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rPr>
      </w:pPr>
    </w:p>
    <w:p>
      <w:pPr>
        <w:rPr>
          <w:sz w:val="32"/>
        </w:rPr>
      </w:pPr>
    </w:p>
    <w:p>
      <w:pPr>
        <w:rPr>
          <w:sz w:val="32"/>
        </w:rPr>
      </w:pPr>
    </w:p>
    <w:p>
      <w:pPr>
        <w:jc w:val="center"/>
        <w:rPr>
          <w:sz w:val="32"/>
        </w:rPr>
      </w:pPr>
      <w: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12" cstate="print"/>
                    <a:srcRect/>
                    <a:stretch>
                      <a:fillRect/>
                    </a:stretch>
                  </pic:blipFill>
                  <pic:spPr>
                    <a:xfrm>
                      <a:off x="0" y="0"/>
                      <a:ext cx="4343400" cy="571500"/>
                    </a:xfrm>
                    <a:prstGeom prst="rect">
                      <a:avLst/>
                    </a:prstGeom>
                    <a:noFill/>
                    <a:ln w="9525">
                      <a:noFill/>
                      <a:miter lim="800000"/>
                      <a:headEnd/>
                      <a:tailEnd/>
                    </a:ln>
                  </pic:spPr>
                </pic:pic>
              </a:graphicData>
            </a:graphic>
          </wp:inline>
        </w:drawing>
      </w:r>
    </w:p>
    <w:p>
      <w:pPr>
        <w:autoSpaceDE w:val="0"/>
        <w:autoSpaceDN w:val="0"/>
        <w:adjustRightInd w:val="0"/>
        <w:snapToGrid w:val="0"/>
        <w:spacing w:before="63" w:line="360" w:lineRule="auto"/>
        <w:ind w:right="13" w:rightChars="6"/>
        <w:jc w:val="center"/>
        <w:rPr>
          <w:rFonts w:ascii="宋体" w:hAnsi="宋体"/>
          <w:b/>
          <w:spacing w:val="2"/>
          <w:w w:val="99"/>
          <w:kern w:val="0"/>
          <w:position w:val="-4"/>
          <w:sz w:val="44"/>
          <w:szCs w:val="44"/>
        </w:rPr>
      </w:pPr>
    </w:p>
    <w:p>
      <w:pPr>
        <w:autoSpaceDE w:val="0"/>
        <w:autoSpaceDN w:val="0"/>
        <w:adjustRightInd w:val="0"/>
        <w:snapToGrid w:val="0"/>
        <w:spacing w:before="63" w:line="360" w:lineRule="auto"/>
        <w:ind w:right="13" w:rightChars="6"/>
        <w:jc w:val="center"/>
        <w:rPr>
          <w:rFonts w:ascii="宋体" w:hAnsi="宋体"/>
          <w:b/>
          <w:spacing w:val="2"/>
          <w:w w:val="99"/>
          <w:kern w:val="0"/>
          <w:position w:val="-4"/>
          <w:sz w:val="44"/>
          <w:szCs w:val="44"/>
        </w:rPr>
      </w:pPr>
    </w:p>
    <w:p>
      <w:pPr>
        <w:autoSpaceDE w:val="0"/>
        <w:autoSpaceDN w:val="0"/>
        <w:adjustRightInd w:val="0"/>
        <w:snapToGrid w:val="0"/>
        <w:spacing w:before="63" w:line="360" w:lineRule="auto"/>
        <w:ind w:right="13" w:rightChars="6"/>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交银施罗德纯债债券型发起式证券投资基金</w:t>
      </w:r>
    </w:p>
    <w:p>
      <w:pPr>
        <w:autoSpaceDE w:val="0"/>
        <w:autoSpaceDN w:val="0"/>
        <w:adjustRightInd w:val="0"/>
        <w:snapToGrid w:val="0"/>
        <w:spacing w:before="63" w:line="360" w:lineRule="auto"/>
        <w:ind w:right="13" w:rightChars="6"/>
        <w:jc w:val="center"/>
        <w:rPr>
          <w:rFonts w:ascii="宋体" w:hAnsi="宋体"/>
          <w:b/>
          <w:kern w:val="0"/>
          <w:sz w:val="44"/>
          <w:szCs w:val="44"/>
        </w:rPr>
      </w:pPr>
      <w:r>
        <w:rPr>
          <w:rFonts w:ascii="宋体" w:hAnsi="宋体"/>
          <w:b/>
          <w:spacing w:val="2"/>
          <w:w w:val="99"/>
          <w:kern w:val="0"/>
          <w:sz w:val="44"/>
          <w:szCs w:val="44"/>
        </w:rPr>
        <w:t>招募说明书(更新)</w:t>
      </w:r>
    </w:p>
    <w:p>
      <w:pPr>
        <w:snapToGrid w:val="0"/>
        <w:spacing w:line="360" w:lineRule="auto"/>
        <w:jc w:val="center"/>
        <w:rPr>
          <w:rFonts w:ascii="宋体" w:hAnsi="宋体"/>
          <w:b/>
          <w:sz w:val="30"/>
          <w:szCs w:val="30"/>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firstLine="1410" w:firstLineChars="500"/>
        <w:rPr>
          <w:rFonts w:ascii="宋体" w:hAnsi="宋体"/>
          <w:b/>
          <w:w w:val="99"/>
          <w:kern w:val="0"/>
          <w:sz w:val="28"/>
          <w:szCs w:val="32"/>
        </w:rPr>
      </w:pPr>
      <w:r>
        <w:rPr>
          <w:rFonts w:ascii="宋体" w:hAnsi="宋体"/>
          <w:b/>
          <w:spacing w:val="2"/>
          <w:w w:val="99"/>
          <w:kern w:val="0"/>
          <w:sz w:val="28"/>
          <w:szCs w:val="32"/>
        </w:rPr>
        <w:t>基金管理人：交银施罗德基金管理有限公司</w:t>
      </w:r>
    </w:p>
    <w:p>
      <w:pPr>
        <w:autoSpaceDE w:val="0"/>
        <w:autoSpaceDN w:val="0"/>
        <w:adjustRightInd w:val="0"/>
        <w:snapToGrid w:val="0"/>
        <w:spacing w:line="360" w:lineRule="auto"/>
        <w:ind w:firstLine="1410" w:firstLineChars="500"/>
        <w:rPr>
          <w:rFonts w:ascii="宋体" w:hAnsi="宋体"/>
          <w:b/>
          <w:w w:val="99"/>
          <w:kern w:val="0"/>
          <w:sz w:val="28"/>
          <w:szCs w:val="32"/>
        </w:rPr>
      </w:pPr>
      <w:r>
        <w:rPr>
          <w:rFonts w:ascii="宋体" w:hAnsi="宋体"/>
          <w:b/>
          <w:spacing w:val="2"/>
          <w:w w:val="99"/>
          <w:kern w:val="0"/>
          <w:sz w:val="28"/>
          <w:szCs w:val="32"/>
        </w:rPr>
        <w:t>基金托管人：中国农业银行股份有限公司</w:t>
      </w: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b/>
          <w:kern w:val="0"/>
          <w:sz w:val="28"/>
          <w:szCs w:val="32"/>
        </w:rPr>
      </w:pPr>
      <w:r>
        <w:rPr>
          <w:rFonts w:ascii="Times New Roman" w:hAnsi="Times New Roman"/>
          <w:b/>
          <w:spacing w:val="2"/>
          <w:w w:val="99"/>
          <w:kern w:val="0"/>
          <w:sz w:val="28"/>
          <w:szCs w:val="32"/>
        </w:rPr>
        <w:t>二〇二五年</w:t>
      </w:r>
      <w:r>
        <w:rPr>
          <w:rFonts w:hint="eastAsia" w:ascii="Times New Roman" w:hAnsi="Times New Roman"/>
          <w:b/>
          <w:spacing w:val="2"/>
          <w:w w:val="99"/>
          <w:kern w:val="0"/>
          <w:sz w:val="28"/>
          <w:szCs w:val="32"/>
        </w:rPr>
        <w:t>十</w:t>
      </w:r>
      <w:r>
        <w:rPr>
          <w:rFonts w:ascii="Times New Roman" w:hAnsi="Times New Roman"/>
          <w:b/>
          <w:spacing w:val="2"/>
          <w:w w:val="99"/>
          <w:kern w:val="0"/>
          <w:sz w:val="28"/>
          <w:szCs w:val="32"/>
        </w:rPr>
        <w:t>月</w:t>
      </w:r>
    </w:p>
    <w:p>
      <w:pPr>
        <w:autoSpaceDE w:val="0"/>
        <w:autoSpaceDN w:val="0"/>
        <w:adjustRightInd w:val="0"/>
        <w:snapToGrid w:val="0"/>
        <w:spacing w:line="360" w:lineRule="auto"/>
        <w:ind w:left="1347" w:right="13" w:rightChars="6"/>
        <w:rPr>
          <w:rFonts w:ascii="宋体" w:hAnsi="宋体"/>
          <w:kern w:val="0"/>
          <w:sz w:val="32"/>
          <w:szCs w:val="32"/>
        </w:rPr>
        <w:sectPr>
          <w:headerReference r:id="rId5" w:type="first"/>
          <w:footerReference r:id="rId8" w:type="first"/>
          <w:headerReference r:id="rId3" w:type="default"/>
          <w:footerReference r:id="rId6" w:type="default"/>
          <w:headerReference r:id="rId4" w:type="even"/>
          <w:footerReference r:id="rId7" w:type="even"/>
          <w:pgSz w:w="11920" w:h="16840"/>
          <w:pgMar w:top="1560" w:right="1680" w:bottom="280" w:left="1680" w:header="0" w:footer="1073" w:gutter="0"/>
          <w:pgNumType w:start="1"/>
          <w:cols w:space="720" w:num="1"/>
          <w:titlePg/>
          <w:docGrid w:linePitch="286" w:charSpace="0"/>
        </w:sectPr>
      </w:pPr>
    </w:p>
    <w:p>
      <w:pPr>
        <w:pStyle w:val="2"/>
        <w:snapToGrid w:val="0"/>
        <w:spacing w:before="240" w:beforeLines="0" w:after="240"/>
        <w:rPr>
          <w:rFonts w:ascii="宋体" w:hAnsi="宋体"/>
          <w:kern w:val="0"/>
        </w:rPr>
      </w:pPr>
      <w:bookmarkStart w:id="0" w:name="_Toc496884613"/>
      <w:bookmarkStart w:id="1" w:name="_Toc187935783"/>
      <w:bookmarkStart w:id="2" w:name="_Toc324920538"/>
      <w:r>
        <w:rPr>
          <w:rFonts w:ascii="Times New Roman" w:hAnsi="Times New Roman"/>
          <w:kern w:val="0"/>
        </w:rPr>
        <w:t>重要提示</w:t>
      </w:r>
      <w:bookmarkEnd w:id="0"/>
      <w:bookmarkEnd w:id="1"/>
      <w:bookmarkEnd w:id="2"/>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交银施罗德纯债债券型发起式证券投资基金（以下简称“本基金”）经2012年9月25日中国证券监督管理委员会证监许可【2012】1287号文核准募集。本基金基金合同于2012年12月19日正式生效。</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包括实施侧袋机制时的特定风险）；交易对手违约风险；投资本基金特有的其他风险等等。本基金是一只债券型基金，属于证券投资基金中中等风险的品种，其长期平均的预期收益和风险高于货币市场基金，低于混合型基金和股票型基金。</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为发起式基金，基金管理人将公平对待所管理的全部基金，基金管理人并不能保证发起式基金不发生亏损，也不能保证发起式基金的收益将优于基金管理人管理的其他非发起式基金。基金管理人运用固有资金认购本基金1000万元，持有期限并不低于三年。但基金管理人对本基金的发起认购，并不代表对本基金的风险或收益的任何判断、预测、推荐和保证，基金管理人认购的发起资金也并不用于对投资者投资亏损的补偿，投资者及基金管理人均自行承担投资风险。基金管理人认购的发起份额持有期限满三年后，基金管理人将根据自身情况决定是否继续持有，届时，基金管理人有可能赎回认购的本基金份额。基金合同生效之日起满3年后的对应日（如该对应日为非工作日，则顺延至下一个工作日），若本基金的资产净值低于2亿元，基金合同将自动终止，且无法通过召开持有人大会延续基金合同期限，因此投资者将面临基金合同可能终止的不确定性风险。</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投资有风险，投资者在投资本基金前应认真阅读本基金的招募说明书、基金合同、基金产品资料概要。基金的过往业绩并不代表其未来表现。基金管理人管理的其他基金的业绩并不构成新基金业绩表现的保证。</w:t>
      </w:r>
    </w:p>
    <w:p>
      <w:pPr>
        <w:autoSpaceDE w:val="0"/>
        <w:autoSpaceDN w:val="0"/>
        <w:adjustRightInd w:val="0"/>
        <w:snapToGrid w:val="0"/>
        <w:spacing w:line="360" w:lineRule="auto"/>
        <w:ind w:left="105" w:leftChars="50" w:firstLine="480" w:firstLineChars="200"/>
        <w:rPr>
          <w:rFonts w:ascii="宋体" w:hAnsi="宋体"/>
          <w:kern w:val="0"/>
          <w:sz w:val="24"/>
        </w:rPr>
      </w:pPr>
      <w:r>
        <w:rPr>
          <w:rFonts w:hint="eastAsia" w:ascii="Times New Roman" w:hAnsi="Times New Roman"/>
          <w:kern w:val="0"/>
          <w:sz w:val="24"/>
        </w:rPr>
        <w:t>本次更新招募说明书主要对本基金开通同一基金不同类别基金份额转换业务的有关内容进行更新，前述内容更新截止日为2025年10月23日。</w:t>
      </w:r>
      <w:r>
        <w:rPr>
          <w:rFonts w:ascii="Times New Roman" w:hAnsi="Times New Roman"/>
          <w:kern w:val="0"/>
          <w:sz w:val="24"/>
        </w:rPr>
        <w:t>基金经理变更相关事项更新截止日为2025年01月15日，除非另有说明，本招募说明书其他所载内容截止日为2024年12月03日，有关财务和业绩表现数据截止日为2024年09月30日，财务和业绩表现数据未经审计。</w:t>
      </w:r>
    </w:p>
    <w:p>
      <w:pPr>
        <w:autoSpaceDE w:val="0"/>
        <w:autoSpaceDN w:val="0"/>
        <w:adjustRightInd w:val="0"/>
        <w:snapToGrid w:val="0"/>
        <w:spacing w:before="51" w:line="360" w:lineRule="auto"/>
        <w:ind w:left="120" w:right="13" w:rightChars="6" w:firstLine="480"/>
        <w:rPr>
          <w:rFonts w:ascii="宋体" w:hAnsi="宋体"/>
          <w:kern w:val="0"/>
          <w:szCs w:val="24"/>
        </w:rPr>
        <w:sectPr>
          <w:headerReference r:id="rId9" w:type="default"/>
          <w:pgSz w:w="11920" w:h="16840"/>
          <w:pgMar w:top="1440" w:right="1680" w:bottom="280" w:left="1680" w:header="0" w:footer="1073" w:gutter="0"/>
          <w:pgNumType w:start="1"/>
          <w:cols w:space="720" w:num="1"/>
        </w:sectPr>
      </w:pPr>
    </w:p>
    <w:p>
      <w:pPr>
        <w:pStyle w:val="20"/>
        <w:snapToGrid w:val="0"/>
        <w:spacing w:after="240" w:line="360" w:lineRule="auto"/>
        <w:jc w:val="center"/>
        <w:rPr>
          <w:rFonts w:ascii="宋体" w:hAnsi="宋体"/>
          <w:sz w:val="24"/>
        </w:rPr>
      </w:pPr>
      <w:r>
        <w:rPr>
          <w:rFonts w:ascii="宋体" w:hAnsi="宋体"/>
          <w:color w:val="000000"/>
          <w:position w:val="-4"/>
          <w:sz w:val="24"/>
          <w:szCs w:val="30"/>
        </w:rPr>
        <w:t>目</w:t>
      </w:r>
      <w:r>
        <w:rPr>
          <w:rFonts w:ascii="宋体" w:hAnsi="宋体"/>
          <w:color w:val="000000"/>
          <w:position w:val="-4"/>
          <w:sz w:val="24"/>
          <w:szCs w:val="30"/>
        </w:rPr>
        <w:tab/>
      </w:r>
      <w:r>
        <w:rPr>
          <w:rFonts w:ascii="宋体" w:hAnsi="宋体"/>
          <w:color w:val="000000"/>
          <w:position w:val="-4"/>
          <w:sz w:val="24"/>
          <w:szCs w:val="30"/>
        </w:rPr>
        <w:t>录</w:t>
      </w:r>
      <w:r>
        <w:rPr>
          <w:rFonts w:ascii="宋体" w:hAnsi="宋体"/>
          <w:color w:val="000000"/>
          <w:position w:val="-4"/>
          <w:sz w:val="24"/>
          <w:szCs w:val="30"/>
        </w:rPr>
        <w:fldChar w:fldCharType="begin"/>
      </w:r>
      <w:r>
        <w:rPr>
          <w:rFonts w:ascii="宋体" w:hAnsi="宋体"/>
          <w:color w:val="000000"/>
          <w:position w:val="-4"/>
          <w:sz w:val="24"/>
          <w:szCs w:val="30"/>
        </w:rPr>
        <w:instrText xml:space="preserve"> TOC \o "1-3" \f - \h \t "-1" </w:instrText>
      </w:r>
      <w:r>
        <w:rPr>
          <w:rFonts w:ascii="宋体" w:hAnsi="宋体"/>
          <w:color w:val="000000"/>
          <w:position w:val="-4"/>
          <w:sz w:val="24"/>
          <w:szCs w:val="30"/>
        </w:rPr>
        <w:fldChar w:fldCharType="separate"/>
      </w:r>
    </w:p>
    <w:p>
      <w:pPr>
        <w:pStyle w:val="10"/>
        <w:tabs>
          <w:tab w:val="right" w:leader="dot" w:pos="8550"/>
        </w:tabs>
        <w:spacing w:line="360" w:lineRule="auto"/>
        <w:rPr>
          <w:rFonts w:ascii="宋体" w:hAnsi="宋体" w:cstheme="minorBidi"/>
          <w:sz w:val="24"/>
        </w:rPr>
      </w:pPr>
      <w:r>
        <w:fldChar w:fldCharType="begin"/>
      </w:r>
      <w:r>
        <w:instrText xml:space="preserve"> HYPERLINK \l "_Toc187935783" </w:instrText>
      </w:r>
      <w:r>
        <w:fldChar w:fldCharType="separate"/>
      </w:r>
      <w:r>
        <w:rPr>
          <w:rStyle w:val="18"/>
          <w:rFonts w:hint="eastAsia" w:ascii="宋体" w:hAnsi="宋体"/>
          <w:kern w:val="0"/>
          <w:sz w:val="24"/>
        </w:rPr>
        <w:t>重要提示</w:t>
      </w:r>
      <w:r>
        <w:rPr>
          <w:rFonts w:ascii="宋体" w:hAnsi="宋体"/>
          <w:sz w:val="24"/>
        </w:rPr>
        <w:tab/>
      </w:r>
      <w:r>
        <w:rPr>
          <w:rFonts w:ascii="宋体" w:hAnsi="宋体"/>
          <w:sz w:val="24"/>
        </w:rPr>
        <w:fldChar w:fldCharType="begin"/>
      </w:r>
      <w:r>
        <w:rPr>
          <w:rFonts w:ascii="宋体" w:hAnsi="宋体"/>
          <w:sz w:val="24"/>
        </w:rPr>
        <w:instrText xml:space="preserve"> PAGEREF _Toc187935783 \h </w:instrText>
      </w:r>
      <w:r>
        <w:rPr>
          <w:rFonts w:ascii="宋体" w:hAnsi="宋体"/>
          <w:sz w:val="24"/>
        </w:rPr>
        <w:fldChar w:fldCharType="separate"/>
      </w:r>
      <w:r>
        <w:rPr>
          <w:rFonts w:ascii="宋体" w:hAnsi="宋体"/>
          <w:sz w:val="24"/>
        </w:rPr>
        <w:t>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"_Toc187935784" </w:instrText>
      </w:r>
      <w:r>
        <w:fldChar w:fldCharType="separate"/>
      </w:r>
      <w:r>
        <w:rPr>
          <w:rStyle w:val="18"/>
          <w:rFonts w:hint="eastAsia" w:ascii="宋体" w:hAnsi="宋体"/>
          <w:sz w:val="24"/>
        </w:rPr>
        <w:t>一、绪言</w:t>
      </w:r>
      <w:r>
        <w:rPr>
          <w:rFonts w:ascii="宋体" w:hAnsi="宋体"/>
          <w:sz w:val="24"/>
        </w:rPr>
        <w:tab/>
      </w:r>
      <w:r>
        <w:rPr>
          <w:rFonts w:ascii="宋体" w:hAnsi="宋体"/>
          <w:sz w:val="24"/>
        </w:rPr>
        <w:fldChar w:fldCharType="begin"/>
      </w:r>
      <w:r>
        <w:rPr>
          <w:rFonts w:ascii="宋体" w:hAnsi="宋体"/>
          <w:sz w:val="24"/>
        </w:rPr>
        <w:instrText xml:space="preserve"> PAGEREF _Toc187935784 \h </w:instrText>
      </w:r>
      <w:r>
        <w:rPr>
          <w:rFonts w:ascii="宋体" w:hAnsi="宋体"/>
          <w:sz w:val="24"/>
        </w:rPr>
        <w:fldChar w:fldCharType="separate"/>
      </w:r>
      <w:r>
        <w:rPr>
          <w:rFonts w:ascii="宋体" w:hAnsi="宋体"/>
          <w:sz w:val="24"/>
        </w:rPr>
        <w:t>4</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"_Toc187935785" </w:instrText>
      </w:r>
      <w:r>
        <w:fldChar w:fldCharType="separate"/>
      </w:r>
      <w:r>
        <w:rPr>
          <w:rStyle w:val="18"/>
          <w:rFonts w:hint="eastAsia" w:ascii="宋体" w:hAnsi="宋体"/>
          <w:sz w:val="24"/>
        </w:rPr>
        <w:t>二、释义</w:t>
      </w:r>
      <w:r>
        <w:rPr>
          <w:rFonts w:ascii="宋体" w:hAnsi="宋体"/>
          <w:sz w:val="24"/>
        </w:rPr>
        <w:tab/>
      </w:r>
      <w:r>
        <w:rPr>
          <w:rFonts w:ascii="宋体" w:hAnsi="宋体"/>
          <w:sz w:val="24"/>
        </w:rPr>
        <w:fldChar w:fldCharType="begin"/>
      </w:r>
      <w:r>
        <w:rPr>
          <w:rFonts w:ascii="宋体" w:hAnsi="宋体"/>
          <w:sz w:val="24"/>
        </w:rPr>
        <w:instrText xml:space="preserve"> PAGEREF _Toc187935785 \h </w:instrText>
      </w:r>
      <w:r>
        <w:rPr>
          <w:rFonts w:ascii="宋体" w:hAnsi="宋体"/>
          <w:sz w:val="24"/>
        </w:rPr>
        <w:fldChar w:fldCharType="separate"/>
      </w:r>
      <w:r>
        <w:rPr>
          <w:rFonts w:ascii="宋体" w:hAnsi="宋体"/>
          <w:sz w:val="24"/>
        </w:rPr>
        <w:t>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"_Toc187935786" </w:instrText>
      </w:r>
      <w:r>
        <w:fldChar w:fldCharType="separate"/>
      </w:r>
      <w:r>
        <w:rPr>
          <w:rStyle w:val="18"/>
          <w:rFonts w:hint="eastAsia" w:ascii="宋体" w:hAnsi="宋体"/>
          <w:sz w:val="24"/>
        </w:rPr>
        <w:t>三、基金管理人</w:t>
      </w:r>
      <w:r>
        <w:rPr>
          <w:rFonts w:ascii="宋体" w:hAnsi="宋体"/>
          <w:sz w:val="24"/>
        </w:rPr>
        <w:tab/>
      </w:r>
      <w:r>
        <w:rPr>
          <w:rFonts w:ascii="宋体" w:hAnsi="宋体"/>
          <w:sz w:val="24"/>
        </w:rPr>
        <w:fldChar w:fldCharType="begin"/>
      </w:r>
      <w:r>
        <w:rPr>
          <w:rFonts w:ascii="宋体" w:hAnsi="宋体"/>
          <w:sz w:val="24"/>
        </w:rPr>
        <w:instrText xml:space="preserve"> PAGEREF _Toc187935786 \h </w:instrText>
      </w:r>
      <w:r>
        <w:rPr>
          <w:rFonts w:ascii="宋体" w:hAnsi="宋体"/>
          <w:sz w:val="24"/>
        </w:rPr>
        <w:fldChar w:fldCharType="separate"/>
      </w:r>
      <w:r>
        <w:rPr>
          <w:rFonts w:ascii="宋体" w:hAnsi="宋体"/>
          <w:sz w:val="24"/>
        </w:rPr>
        <w:t>11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"_Toc187935787" </w:instrText>
      </w:r>
      <w:r>
        <w:fldChar w:fldCharType="separate"/>
      </w:r>
      <w:r>
        <w:rPr>
          <w:rStyle w:val="18"/>
          <w:rFonts w:hint="eastAsia" w:ascii="宋体" w:hAnsi="宋体"/>
          <w:sz w:val="24"/>
        </w:rPr>
        <w:t>四、基金托管人</w:t>
      </w:r>
      <w:r>
        <w:rPr>
          <w:rFonts w:ascii="宋体" w:hAnsi="宋体"/>
          <w:sz w:val="24"/>
        </w:rPr>
        <w:tab/>
      </w:r>
      <w:r>
        <w:rPr>
          <w:rFonts w:ascii="宋体" w:hAnsi="宋体"/>
          <w:sz w:val="24"/>
        </w:rPr>
        <w:fldChar w:fldCharType="begin"/>
      </w:r>
      <w:r>
        <w:rPr>
          <w:rFonts w:ascii="宋体" w:hAnsi="宋体"/>
          <w:sz w:val="24"/>
        </w:rPr>
        <w:instrText xml:space="preserve"> PAGEREF _Toc187935787 \h </w:instrText>
      </w:r>
      <w:r>
        <w:rPr>
          <w:rFonts w:ascii="宋体" w:hAnsi="宋体"/>
          <w:sz w:val="24"/>
        </w:rPr>
        <w:fldChar w:fldCharType="separate"/>
      </w:r>
      <w:r>
        <w:rPr>
          <w:rFonts w:ascii="宋体" w:hAnsi="宋体"/>
          <w:sz w:val="24"/>
        </w:rPr>
        <w:t>20</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"_Toc187935788" </w:instrText>
      </w:r>
      <w:r>
        <w:fldChar w:fldCharType="separate"/>
      </w:r>
      <w:r>
        <w:rPr>
          <w:rStyle w:val="18"/>
          <w:rFonts w:hint="eastAsia" w:ascii="宋体" w:hAnsi="宋体"/>
          <w:sz w:val="24"/>
        </w:rPr>
        <w:t>五、相关服务机构</w:t>
      </w:r>
      <w:r>
        <w:rPr>
          <w:rFonts w:ascii="宋体" w:hAnsi="宋体"/>
          <w:sz w:val="24"/>
        </w:rPr>
        <w:tab/>
      </w:r>
      <w:r>
        <w:rPr>
          <w:rFonts w:ascii="宋体" w:hAnsi="宋体"/>
          <w:sz w:val="24"/>
        </w:rPr>
        <w:fldChar w:fldCharType="begin"/>
      </w:r>
      <w:r>
        <w:rPr>
          <w:rFonts w:ascii="宋体" w:hAnsi="宋体"/>
          <w:sz w:val="24"/>
        </w:rPr>
        <w:instrText xml:space="preserve"> PAGEREF _Toc187935788 \h </w:instrText>
      </w:r>
      <w:r>
        <w:rPr>
          <w:rFonts w:ascii="宋体" w:hAnsi="宋体"/>
          <w:sz w:val="24"/>
        </w:rPr>
        <w:fldChar w:fldCharType="separate"/>
      </w:r>
      <w:r>
        <w:rPr>
          <w:rFonts w:ascii="宋体" w:hAnsi="宋体"/>
          <w:sz w:val="24"/>
        </w:rPr>
        <w:t>23</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"_Toc187935789" </w:instrText>
      </w:r>
      <w:r>
        <w:fldChar w:fldCharType="separate"/>
      </w:r>
      <w:r>
        <w:rPr>
          <w:rStyle w:val="18"/>
          <w:rFonts w:hint="eastAsia" w:ascii="宋体" w:hAnsi="宋体"/>
          <w:sz w:val="24"/>
        </w:rPr>
        <w:t>六、基金的历史沿革</w:t>
      </w:r>
      <w:r>
        <w:rPr>
          <w:rFonts w:ascii="宋体" w:hAnsi="宋体"/>
          <w:sz w:val="24"/>
        </w:rPr>
        <w:tab/>
      </w:r>
      <w:r>
        <w:rPr>
          <w:rFonts w:ascii="宋体" w:hAnsi="宋体"/>
          <w:sz w:val="24"/>
        </w:rPr>
        <w:fldChar w:fldCharType="begin"/>
      </w:r>
      <w:r>
        <w:rPr>
          <w:rFonts w:ascii="宋体" w:hAnsi="宋体"/>
          <w:sz w:val="24"/>
        </w:rPr>
        <w:instrText xml:space="preserve"> PAGEREF _Toc187935789 \h </w:instrText>
      </w:r>
      <w:r>
        <w:rPr>
          <w:rFonts w:ascii="宋体" w:hAnsi="宋体"/>
          <w:sz w:val="24"/>
        </w:rPr>
        <w:fldChar w:fldCharType="separate"/>
      </w:r>
      <w:r>
        <w:rPr>
          <w:rFonts w:ascii="宋体" w:hAnsi="宋体"/>
          <w:sz w:val="24"/>
        </w:rPr>
        <w:t>58</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"_Toc187935790" </w:instrText>
      </w:r>
      <w:r>
        <w:fldChar w:fldCharType="separate"/>
      </w:r>
      <w:r>
        <w:rPr>
          <w:rStyle w:val="18"/>
          <w:rFonts w:hint="eastAsia" w:ascii="宋体" w:hAnsi="宋体"/>
          <w:sz w:val="24"/>
        </w:rPr>
        <w:t>七</w:t>
      </w:r>
      <w:r>
        <w:rPr>
          <w:rStyle w:val="18"/>
          <w:rFonts w:ascii="宋体" w:hAnsi="宋体"/>
          <w:sz w:val="24"/>
        </w:rPr>
        <w:t xml:space="preserve"> </w:t>
      </w:r>
      <w:r>
        <w:rPr>
          <w:rStyle w:val="18"/>
          <w:rFonts w:hint="eastAsia" w:ascii="宋体" w:hAnsi="宋体"/>
          <w:sz w:val="24"/>
        </w:rPr>
        <w:t>、基金合同的生效</w:t>
      </w:r>
      <w:r>
        <w:rPr>
          <w:rFonts w:ascii="宋体" w:hAnsi="宋体"/>
          <w:sz w:val="24"/>
        </w:rPr>
        <w:tab/>
      </w:r>
      <w:r>
        <w:rPr>
          <w:rFonts w:ascii="宋体" w:hAnsi="宋体"/>
          <w:sz w:val="24"/>
        </w:rPr>
        <w:fldChar w:fldCharType="begin"/>
      </w:r>
      <w:r>
        <w:rPr>
          <w:rFonts w:ascii="宋体" w:hAnsi="宋体"/>
          <w:sz w:val="24"/>
        </w:rPr>
        <w:instrText xml:space="preserve"> PAGEREF _Toc187935790 \h </w:instrText>
      </w:r>
      <w:r>
        <w:rPr>
          <w:rFonts w:ascii="宋体" w:hAnsi="宋体"/>
          <w:sz w:val="24"/>
        </w:rPr>
        <w:fldChar w:fldCharType="separate"/>
      </w:r>
      <w:r>
        <w:rPr>
          <w:rFonts w:ascii="宋体" w:hAnsi="宋体"/>
          <w:sz w:val="24"/>
        </w:rPr>
        <w:t>59</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"_Toc187935791" </w:instrText>
      </w:r>
      <w:r>
        <w:fldChar w:fldCharType="separate"/>
      </w:r>
      <w:r>
        <w:rPr>
          <w:rStyle w:val="18"/>
          <w:rFonts w:hint="eastAsia" w:ascii="宋体" w:hAnsi="宋体"/>
          <w:sz w:val="24"/>
        </w:rPr>
        <w:t>八、基金份额的申购与赎回</w:t>
      </w:r>
      <w:r>
        <w:rPr>
          <w:rFonts w:ascii="宋体" w:hAnsi="宋体"/>
          <w:sz w:val="24"/>
        </w:rPr>
        <w:tab/>
      </w:r>
      <w:r>
        <w:rPr>
          <w:rFonts w:ascii="宋体" w:hAnsi="宋体"/>
          <w:sz w:val="24"/>
        </w:rPr>
        <w:fldChar w:fldCharType="begin"/>
      </w:r>
      <w:r>
        <w:rPr>
          <w:rFonts w:ascii="宋体" w:hAnsi="宋体"/>
          <w:sz w:val="24"/>
        </w:rPr>
        <w:instrText xml:space="preserve"> PAGEREF _Toc187935791 \h </w:instrText>
      </w:r>
      <w:r>
        <w:rPr>
          <w:rFonts w:ascii="宋体" w:hAnsi="宋体"/>
          <w:sz w:val="24"/>
        </w:rPr>
        <w:fldChar w:fldCharType="separate"/>
      </w:r>
      <w:r>
        <w:rPr>
          <w:rFonts w:ascii="宋体" w:hAnsi="宋体"/>
          <w:sz w:val="24"/>
        </w:rPr>
        <w:t>60</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"_Toc187935792" </w:instrText>
      </w:r>
      <w:r>
        <w:fldChar w:fldCharType="separate"/>
      </w:r>
      <w:r>
        <w:rPr>
          <w:rStyle w:val="18"/>
          <w:rFonts w:hint="eastAsia" w:ascii="宋体" w:hAnsi="宋体"/>
          <w:sz w:val="24"/>
        </w:rPr>
        <w:t>九、基金的转换</w:t>
      </w:r>
      <w:r>
        <w:rPr>
          <w:rFonts w:ascii="宋体" w:hAnsi="宋体"/>
          <w:sz w:val="24"/>
        </w:rPr>
        <w:tab/>
      </w:r>
      <w:r>
        <w:rPr>
          <w:rFonts w:ascii="宋体" w:hAnsi="宋体"/>
          <w:sz w:val="24"/>
        </w:rPr>
        <w:fldChar w:fldCharType="begin"/>
      </w:r>
      <w:r>
        <w:rPr>
          <w:rFonts w:ascii="宋体" w:hAnsi="宋体"/>
          <w:sz w:val="24"/>
        </w:rPr>
        <w:instrText xml:space="preserve"> PAGEREF _Toc187935792 \h </w:instrText>
      </w:r>
      <w:r>
        <w:rPr>
          <w:rFonts w:ascii="宋体" w:hAnsi="宋体"/>
          <w:sz w:val="24"/>
        </w:rPr>
        <w:fldChar w:fldCharType="separate"/>
      </w:r>
      <w:r>
        <w:rPr>
          <w:rFonts w:ascii="宋体" w:hAnsi="宋体"/>
          <w:sz w:val="24"/>
        </w:rPr>
        <w:t>77</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"_Toc187935793" </w:instrText>
      </w:r>
      <w:r>
        <w:fldChar w:fldCharType="separate"/>
      </w:r>
      <w:r>
        <w:rPr>
          <w:rStyle w:val="18"/>
          <w:rFonts w:hint="eastAsia" w:ascii="宋体" w:hAnsi="宋体"/>
          <w:sz w:val="24"/>
        </w:rPr>
        <w:t>十、基金的投资</w:t>
      </w:r>
      <w:r>
        <w:rPr>
          <w:rFonts w:ascii="宋体" w:hAnsi="宋体"/>
          <w:sz w:val="24"/>
        </w:rPr>
        <w:tab/>
      </w:r>
      <w:r>
        <w:rPr>
          <w:rFonts w:ascii="宋体" w:hAnsi="宋体"/>
          <w:sz w:val="24"/>
        </w:rPr>
        <w:fldChar w:fldCharType="begin"/>
      </w:r>
      <w:r>
        <w:rPr>
          <w:rFonts w:ascii="宋体" w:hAnsi="宋体"/>
          <w:sz w:val="24"/>
        </w:rPr>
        <w:instrText xml:space="preserve"> PAGEREF _Toc187935793 \h </w:instrText>
      </w:r>
      <w:r>
        <w:rPr>
          <w:rFonts w:ascii="宋体" w:hAnsi="宋体"/>
          <w:sz w:val="24"/>
        </w:rPr>
        <w:fldChar w:fldCharType="separate"/>
      </w:r>
      <w:r>
        <w:rPr>
          <w:rFonts w:ascii="宋体" w:hAnsi="宋体"/>
          <w:sz w:val="24"/>
        </w:rPr>
        <w:t>84</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"_Toc187935794" </w:instrText>
      </w:r>
      <w:r>
        <w:fldChar w:fldCharType="separate"/>
      </w:r>
      <w:r>
        <w:rPr>
          <w:rStyle w:val="18"/>
          <w:rFonts w:hint="eastAsia" w:ascii="宋体" w:hAnsi="宋体"/>
          <w:sz w:val="24"/>
        </w:rPr>
        <w:t>十一、基金的业绩</w:t>
      </w:r>
      <w:r>
        <w:rPr>
          <w:rFonts w:ascii="宋体" w:hAnsi="宋体"/>
          <w:sz w:val="24"/>
        </w:rPr>
        <w:tab/>
      </w:r>
      <w:r>
        <w:rPr>
          <w:rFonts w:ascii="宋体" w:hAnsi="宋体"/>
          <w:sz w:val="24"/>
        </w:rPr>
        <w:fldChar w:fldCharType="begin"/>
      </w:r>
      <w:r>
        <w:rPr>
          <w:rFonts w:ascii="宋体" w:hAnsi="宋体"/>
          <w:sz w:val="24"/>
        </w:rPr>
        <w:instrText xml:space="preserve"> PAGEREF _Toc187935794 \h </w:instrText>
      </w:r>
      <w:r>
        <w:rPr>
          <w:rFonts w:ascii="宋体" w:hAnsi="宋体"/>
          <w:sz w:val="24"/>
        </w:rPr>
        <w:fldChar w:fldCharType="separate"/>
      </w:r>
      <w:r>
        <w:rPr>
          <w:rFonts w:ascii="宋体" w:hAnsi="宋体"/>
          <w:sz w:val="24"/>
        </w:rPr>
        <w:t>95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"_Toc187935795" </w:instrText>
      </w:r>
      <w:r>
        <w:fldChar w:fldCharType="separate"/>
      </w:r>
      <w:r>
        <w:rPr>
          <w:rStyle w:val="18"/>
          <w:rFonts w:hint="eastAsia" w:ascii="宋体" w:hAnsi="宋体"/>
          <w:sz w:val="24"/>
        </w:rPr>
        <w:t>十二、基金的财产</w:t>
      </w:r>
      <w:r>
        <w:rPr>
          <w:rFonts w:ascii="宋体" w:hAnsi="宋体"/>
          <w:sz w:val="24"/>
        </w:rPr>
        <w:tab/>
      </w:r>
      <w:r>
        <w:rPr>
          <w:rFonts w:ascii="宋体" w:hAnsi="宋体"/>
          <w:sz w:val="24"/>
        </w:rPr>
        <w:fldChar w:fldCharType="begin"/>
      </w:r>
      <w:r>
        <w:rPr>
          <w:rFonts w:ascii="宋体" w:hAnsi="宋体"/>
          <w:sz w:val="24"/>
        </w:rPr>
        <w:instrText xml:space="preserve"> PAGEREF _Toc187935795 \h </w:instrText>
      </w:r>
      <w:r>
        <w:rPr>
          <w:rFonts w:ascii="宋体" w:hAnsi="宋体"/>
          <w:sz w:val="24"/>
        </w:rPr>
        <w:fldChar w:fldCharType="separate"/>
      </w:r>
      <w:r>
        <w:rPr>
          <w:rFonts w:ascii="宋体" w:hAnsi="宋体"/>
          <w:sz w:val="24"/>
        </w:rPr>
        <w:t>100</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"_Toc187935796" </w:instrText>
      </w:r>
      <w:r>
        <w:fldChar w:fldCharType="separate"/>
      </w:r>
      <w:r>
        <w:rPr>
          <w:rStyle w:val="18"/>
          <w:rFonts w:hint="eastAsia" w:ascii="宋体" w:hAnsi="宋体"/>
          <w:sz w:val="24"/>
        </w:rPr>
        <w:t>十三、基金资产的估值</w:t>
      </w:r>
      <w:r>
        <w:rPr>
          <w:rFonts w:ascii="宋体" w:hAnsi="宋体"/>
          <w:sz w:val="24"/>
        </w:rPr>
        <w:tab/>
      </w:r>
      <w:r>
        <w:rPr>
          <w:rFonts w:ascii="宋体" w:hAnsi="宋体"/>
          <w:sz w:val="24"/>
        </w:rPr>
        <w:fldChar w:fldCharType="begin"/>
      </w:r>
      <w:r>
        <w:rPr>
          <w:rFonts w:ascii="宋体" w:hAnsi="宋体"/>
          <w:sz w:val="24"/>
        </w:rPr>
        <w:instrText xml:space="preserve"> PAGEREF _Toc187935796 \h </w:instrText>
      </w:r>
      <w:r>
        <w:rPr>
          <w:rFonts w:ascii="宋体" w:hAnsi="宋体"/>
          <w:sz w:val="24"/>
        </w:rPr>
        <w:fldChar w:fldCharType="separate"/>
      </w:r>
      <w:r>
        <w:rPr>
          <w:rFonts w:ascii="宋体" w:hAnsi="宋体"/>
          <w:sz w:val="24"/>
        </w:rPr>
        <w:t>101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"_Toc187935797" </w:instrText>
      </w:r>
      <w:r>
        <w:fldChar w:fldCharType="separate"/>
      </w:r>
      <w:r>
        <w:rPr>
          <w:rStyle w:val="18"/>
          <w:rFonts w:hint="eastAsia" w:ascii="宋体" w:hAnsi="宋体"/>
          <w:sz w:val="24"/>
        </w:rPr>
        <w:t>十四、基金的收益与分配</w:t>
      </w:r>
      <w:r>
        <w:rPr>
          <w:rFonts w:ascii="宋体" w:hAnsi="宋体"/>
          <w:sz w:val="24"/>
        </w:rPr>
        <w:tab/>
      </w:r>
      <w:r>
        <w:rPr>
          <w:rFonts w:ascii="宋体" w:hAnsi="宋体"/>
          <w:sz w:val="24"/>
        </w:rPr>
        <w:fldChar w:fldCharType="begin"/>
      </w:r>
      <w:r>
        <w:rPr>
          <w:rFonts w:ascii="宋体" w:hAnsi="宋体"/>
          <w:sz w:val="24"/>
        </w:rPr>
        <w:instrText xml:space="preserve"> PAGEREF _Toc187935797 \h </w:instrText>
      </w:r>
      <w:r>
        <w:rPr>
          <w:rFonts w:ascii="宋体" w:hAnsi="宋体"/>
          <w:sz w:val="24"/>
        </w:rPr>
        <w:fldChar w:fldCharType="separate"/>
      </w:r>
      <w:r>
        <w:rPr>
          <w:rFonts w:ascii="宋体" w:hAnsi="宋体"/>
          <w:sz w:val="24"/>
        </w:rPr>
        <w:t>108</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"_Toc187935798" </w:instrText>
      </w:r>
      <w:r>
        <w:fldChar w:fldCharType="separate"/>
      </w:r>
      <w:r>
        <w:rPr>
          <w:rStyle w:val="18"/>
          <w:rFonts w:hint="eastAsia" w:ascii="宋体" w:hAnsi="宋体"/>
          <w:sz w:val="24"/>
        </w:rPr>
        <w:t>十五、基金的费用与税收</w:t>
      </w:r>
      <w:r>
        <w:rPr>
          <w:rFonts w:ascii="宋体" w:hAnsi="宋体"/>
          <w:sz w:val="24"/>
        </w:rPr>
        <w:tab/>
      </w:r>
      <w:r>
        <w:rPr>
          <w:rFonts w:ascii="宋体" w:hAnsi="宋体"/>
          <w:sz w:val="24"/>
        </w:rPr>
        <w:fldChar w:fldCharType="begin"/>
      </w:r>
      <w:r>
        <w:rPr>
          <w:rFonts w:ascii="宋体" w:hAnsi="宋体"/>
          <w:sz w:val="24"/>
        </w:rPr>
        <w:instrText xml:space="preserve"> PAGEREF _Toc187935798 \h </w:instrText>
      </w:r>
      <w:r>
        <w:rPr>
          <w:rFonts w:ascii="宋体" w:hAnsi="宋体"/>
          <w:sz w:val="24"/>
        </w:rPr>
        <w:fldChar w:fldCharType="separate"/>
      </w:r>
      <w:r>
        <w:rPr>
          <w:rFonts w:ascii="宋体" w:hAnsi="宋体"/>
          <w:sz w:val="24"/>
        </w:rPr>
        <w:t>110</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"_Toc187935799" </w:instrText>
      </w:r>
      <w:r>
        <w:fldChar w:fldCharType="separate"/>
      </w:r>
      <w:r>
        <w:rPr>
          <w:rStyle w:val="18"/>
          <w:rFonts w:hint="eastAsia" w:ascii="宋体" w:hAnsi="宋体"/>
          <w:sz w:val="24"/>
        </w:rPr>
        <w:t>十六、基金的会计与审计</w:t>
      </w:r>
      <w:r>
        <w:rPr>
          <w:rFonts w:ascii="宋体" w:hAnsi="宋体"/>
          <w:sz w:val="24"/>
        </w:rPr>
        <w:tab/>
      </w:r>
      <w:r>
        <w:rPr>
          <w:rFonts w:ascii="宋体" w:hAnsi="宋体"/>
          <w:sz w:val="24"/>
        </w:rPr>
        <w:fldChar w:fldCharType="begin"/>
      </w:r>
      <w:r>
        <w:rPr>
          <w:rFonts w:ascii="宋体" w:hAnsi="宋体"/>
          <w:sz w:val="24"/>
        </w:rPr>
        <w:instrText xml:space="preserve"> PAGEREF _Toc187935799 \h </w:instrText>
      </w:r>
      <w:r>
        <w:rPr>
          <w:rFonts w:ascii="宋体" w:hAnsi="宋体"/>
          <w:sz w:val="24"/>
        </w:rPr>
        <w:fldChar w:fldCharType="separate"/>
      </w:r>
      <w:r>
        <w:rPr>
          <w:rFonts w:ascii="宋体" w:hAnsi="宋体"/>
          <w:sz w:val="24"/>
        </w:rPr>
        <w:t>113</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"_Toc187935800" </w:instrText>
      </w:r>
      <w:r>
        <w:fldChar w:fldCharType="separate"/>
      </w:r>
      <w:r>
        <w:rPr>
          <w:rStyle w:val="18"/>
          <w:rFonts w:hint="eastAsia" w:ascii="宋体" w:hAnsi="宋体"/>
          <w:sz w:val="24"/>
        </w:rPr>
        <w:t>十七、基金的信息披露</w:t>
      </w:r>
      <w:r>
        <w:rPr>
          <w:rFonts w:ascii="宋体" w:hAnsi="宋体"/>
          <w:sz w:val="24"/>
        </w:rPr>
        <w:tab/>
      </w:r>
      <w:r>
        <w:rPr>
          <w:rFonts w:ascii="宋体" w:hAnsi="宋体"/>
          <w:sz w:val="24"/>
        </w:rPr>
        <w:fldChar w:fldCharType="begin"/>
      </w:r>
      <w:r>
        <w:rPr>
          <w:rFonts w:ascii="宋体" w:hAnsi="宋体"/>
          <w:sz w:val="24"/>
        </w:rPr>
        <w:instrText xml:space="preserve"> PAGEREF _Toc187935800 \h </w:instrText>
      </w:r>
      <w:r>
        <w:rPr>
          <w:rFonts w:ascii="宋体" w:hAnsi="宋体"/>
          <w:sz w:val="24"/>
        </w:rPr>
        <w:fldChar w:fldCharType="separate"/>
      </w:r>
      <w:r>
        <w:rPr>
          <w:rFonts w:ascii="宋体" w:hAnsi="宋体"/>
          <w:sz w:val="24"/>
        </w:rPr>
        <w:t>114</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"_Toc187935801" </w:instrText>
      </w:r>
      <w:r>
        <w:fldChar w:fldCharType="separate"/>
      </w:r>
      <w:r>
        <w:rPr>
          <w:rStyle w:val="18"/>
          <w:rFonts w:hint="eastAsia" w:ascii="宋体" w:hAnsi="宋体"/>
          <w:sz w:val="24"/>
        </w:rPr>
        <w:t>十八、侧袋机制</w:t>
      </w:r>
      <w:r>
        <w:rPr>
          <w:rFonts w:ascii="宋体" w:hAnsi="宋体"/>
          <w:sz w:val="24"/>
        </w:rPr>
        <w:tab/>
      </w:r>
      <w:r>
        <w:rPr>
          <w:rFonts w:ascii="宋体" w:hAnsi="宋体"/>
          <w:sz w:val="24"/>
        </w:rPr>
        <w:fldChar w:fldCharType="begin"/>
      </w:r>
      <w:r>
        <w:rPr>
          <w:rFonts w:ascii="宋体" w:hAnsi="宋体"/>
          <w:sz w:val="24"/>
        </w:rPr>
        <w:instrText xml:space="preserve"> PAGEREF _Toc187935801 \h </w:instrText>
      </w:r>
      <w:r>
        <w:rPr>
          <w:rFonts w:ascii="宋体" w:hAnsi="宋体"/>
          <w:sz w:val="24"/>
        </w:rPr>
        <w:fldChar w:fldCharType="separate"/>
      </w:r>
      <w:r>
        <w:rPr>
          <w:rFonts w:ascii="宋体" w:hAnsi="宋体"/>
          <w:sz w:val="24"/>
        </w:rPr>
        <w:t>120</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"_Toc187935802" </w:instrText>
      </w:r>
      <w:r>
        <w:fldChar w:fldCharType="separate"/>
      </w:r>
      <w:r>
        <w:rPr>
          <w:rStyle w:val="18"/>
          <w:rFonts w:hint="eastAsia" w:ascii="宋体" w:hAnsi="宋体"/>
          <w:sz w:val="24"/>
        </w:rPr>
        <w:t>十九、风险揭示</w:t>
      </w:r>
      <w:r>
        <w:rPr>
          <w:rFonts w:ascii="宋体" w:hAnsi="宋体"/>
          <w:sz w:val="24"/>
        </w:rPr>
        <w:tab/>
      </w:r>
      <w:r>
        <w:rPr>
          <w:rFonts w:ascii="宋体" w:hAnsi="宋体"/>
          <w:sz w:val="24"/>
        </w:rPr>
        <w:fldChar w:fldCharType="begin"/>
      </w:r>
      <w:r>
        <w:rPr>
          <w:rFonts w:ascii="宋体" w:hAnsi="宋体"/>
          <w:sz w:val="24"/>
        </w:rPr>
        <w:instrText xml:space="preserve"> PAGEREF _Toc187935802 \h </w:instrText>
      </w:r>
      <w:r>
        <w:rPr>
          <w:rFonts w:ascii="宋体" w:hAnsi="宋体"/>
          <w:sz w:val="24"/>
        </w:rPr>
        <w:fldChar w:fldCharType="separate"/>
      </w:r>
      <w:r>
        <w:rPr>
          <w:rFonts w:ascii="宋体" w:hAnsi="宋体"/>
          <w:sz w:val="24"/>
        </w:rPr>
        <w:t>123</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"_Toc187935803" </w:instrText>
      </w:r>
      <w:r>
        <w:fldChar w:fldCharType="separate"/>
      </w:r>
      <w:r>
        <w:rPr>
          <w:rStyle w:val="18"/>
          <w:rFonts w:hint="eastAsia" w:ascii="宋体" w:hAnsi="宋体"/>
          <w:sz w:val="24"/>
        </w:rPr>
        <w:t>二十、基金合同的终止与基金财产的清算</w:t>
      </w:r>
      <w:r>
        <w:rPr>
          <w:rFonts w:ascii="宋体" w:hAnsi="宋体"/>
          <w:sz w:val="24"/>
        </w:rPr>
        <w:tab/>
      </w:r>
      <w:r>
        <w:rPr>
          <w:rFonts w:ascii="宋体" w:hAnsi="宋体"/>
          <w:sz w:val="24"/>
        </w:rPr>
        <w:fldChar w:fldCharType="begin"/>
      </w:r>
      <w:r>
        <w:rPr>
          <w:rFonts w:ascii="宋体" w:hAnsi="宋体"/>
          <w:sz w:val="24"/>
        </w:rPr>
        <w:instrText xml:space="preserve"> PAGEREF _Toc187935803 \h </w:instrText>
      </w:r>
      <w:r>
        <w:rPr>
          <w:rFonts w:ascii="宋体" w:hAnsi="宋体"/>
          <w:sz w:val="24"/>
        </w:rPr>
        <w:fldChar w:fldCharType="separate"/>
      </w:r>
      <w:r>
        <w:rPr>
          <w:rFonts w:ascii="宋体" w:hAnsi="宋体"/>
          <w:sz w:val="24"/>
        </w:rPr>
        <w:t>129</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"_Toc187935804" </w:instrText>
      </w:r>
      <w:r>
        <w:fldChar w:fldCharType="separate"/>
      </w:r>
      <w:r>
        <w:rPr>
          <w:rStyle w:val="18"/>
          <w:rFonts w:hint="eastAsia" w:ascii="宋体" w:hAnsi="宋体"/>
          <w:sz w:val="24"/>
        </w:rPr>
        <w:t>二十一、基金合同内容摘要</w:t>
      </w:r>
      <w:r>
        <w:rPr>
          <w:rFonts w:ascii="宋体" w:hAnsi="宋体"/>
          <w:sz w:val="24"/>
        </w:rPr>
        <w:tab/>
      </w:r>
      <w:r>
        <w:rPr>
          <w:rFonts w:ascii="宋体" w:hAnsi="宋体"/>
          <w:sz w:val="24"/>
        </w:rPr>
        <w:fldChar w:fldCharType="begin"/>
      </w:r>
      <w:r>
        <w:rPr>
          <w:rFonts w:ascii="宋体" w:hAnsi="宋体"/>
          <w:sz w:val="24"/>
        </w:rPr>
        <w:instrText xml:space="preserve"> PAGEREF _Toc187935804 \h </w:instrText>
      </w:r>
      <w:r>
        <w:rPr>
          <w:rFonts w:ascii="宋体" w:hAnsi="宋体"/>
          <w:sz w:val="24"/>
        </w:rPr>
        <w:fldChar w:fldCharType="separate"/>
      </w:r>
      <w:r>
        <w:rPr>
          <w:rFonts w:ascii="宋体" w:hAnsi="宋体"/>
          <w:sz w:val="24"/>
        </w:rPr>
        <w:t>131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"_Toc187935805" </w:instrText>
      </w:r>
      <w:r>
        <w:fldChar w:fldCharType="separate"/>
      </w:r>
      <w:r>
        <w:rPr>
          <w:rStyle w:val="18"/>
          <w:rFonts w:hint="eastAsia" w:ascii="宋体" w:hAnsi="宋体"/>
          <w:sz w:val="24"/>
        </w:rPr>
        <w:t>二十二、托管协议的内容摘要</w:t>
      </w:r>
      <w:r>
        <w:rPr>
          <w:rFonts w:ascii="宋体" w:hAnsi="宋体"/>
          <w:sz w:val="24"/>
        </w:rPr>
        <w:tab/>
      </w:r>
      <w:r>
        <w:rPr>
          <w:rFonts w:ascii="宋体" w:hAnsi="宋体"/>
          <w:sz w:val="24"/>
        </w:rPr>
        <w:fldChar w:fldCharType="begin"/>
      </w:r>
      <w:r>
        <w:rPr>
          <w:rFonts w:ascii="宋体" w:hAnsi="宋体"/>
          <w:sz w:val="24"/>
        </w:rPr>
        <w:instrText xml:space="preserve"> PAGEREF _Toc187935805 \h </w:instrText>
      </w:r>
      <w:r>
        <w:rPr>
          <w:rFonts w:ascii="宋体" w:hAnsi="宋体"/>
          <w:sz w:val="24"/>
        </w:rPr>
        <w:fldChar w:fldCharType="separate"/>
      </w:r>
      <w:r>
        <w:rPr>
          <w:rFonts w:ascii="宋体" w:hAnsi="宋体"/>
          <w:sz w:val="24"/>
        </w:rPr>
        <w:t>147</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"_Toc187935806" </w:instrText>
      </w:r>
      <w:r>
        <w:fldChar w:fldCharType="separate"/>
      </w:r>
      <w:r>
        <w:rPr>
          <w:rStyle w:val="18"/>
          <w:rFonts w:hint="eastAsia" w:ascii="宋体" w:hAnsi="宋体"/>
          <w:sz w:val="24"/>
        </w:rPr>
        <w:t>二十三、对基金份额持有人的服务</w:t>
      </w:r>
      <w:r>
        <w:rPr>
          <w:rFonts w:ascii="宋体" w:hAnsi="宋体"/>
          <w:sz w:val="24"/>
        </w:rPr>
        <w:tab/>
      </w:r>
      <w:r>
        <w:rPr>
          <w:rFonts w:ascii="宋体" w:hAnsi="宋体"/>
          <w:sz w:val="24"/>
        </w:rPr>
        <w:fldChar w:fldCharType="begin"/>
      </w:r>
      <w:r>
        <w:rPr>
          <w:rFonts w:ascii="宋体" w:hAnsi="宋体"/>
          <w:sz w:val="24"/>
        </w:rPr>
        <w:instrText xml:space="preserve"> PAGEREF _Toc187935806 \h </w:instrText>
      </w:r>
      <w:r>
        <w:rPr>
          <w:rFonts w:ascii="宋体" w:hAnsi="宋体"/>
          <w:sz w:val="24"/>
        </w:rPr>
        <w:fldChar w:fldCharType="separate"/>
      </w:r>
      <w:r>
        <w:rPr>
          <w:rFonts w:ascii="宋体" w:hAnsi="宋体"/>
          <w:sz w:val="24"/>
        </w:rPr>
        <w:t>164</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"_Toc187935807" </w:instrText>
      </w:r>
      <w:r>
        <w:fldChar w:fldCharType="separate"/>
      </w:r>
      <w:r>
        <w:rPr>
          <w:rStyle w:val="18"/>
          <w:rFonts w:hint="eastAsia" w:ascii="宋体" w:hAnsi="宋体"/>
          <w:sz w:val="24"/>
        </w:rPr>
        <w:t>二十四、其他应披露事项</w:t>
      </w:r>
      <w:r>
        <w:rPr>
          <w:rFonts w:ascii="宋体" w:hAnsi="宋体"/>
          <w:sz w:val="24"/>
        </w:rPr>
        <w:tab/>
      </w:r>
      <w:r>
        <w:rPr>
          <w:rFonts w:ascii="宋体" w:hAnsi="宋体"/>
          <w:sz w:val="24"/>
        </w:rPr>
        <w:fldChar w:fldCharType="begin"/>
      </w:r>
      <w:r>
        <w:rPr>
          <w:rFonts w:ascii="宋体" w:hAnsi="宋体"/>
          <w:sz w:val="24"/>
        </w:rPr>
        <w:instrText xml:space="preserve"> PAGEREF _Toc187935807 \h </w:instrText>
      </w:r>
      <w:r>
        <w:rPr>
          <w:rFonts w:ascii="宋体" w:hAnsi="宋体"/>
          <w:sz w:val="24"/>
        </w:rPr>
        <w:fldChar w:fldCharType="separate"/>
      </w:r>
      <w:r>
        <w:rPr>
          <w:rFonts w:ascii="宋体" w:hAnsi="宋体"/>
          <w:sz w:val="24"/>
        </w:rPr>
        <w:t>166</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"_Toc187935808" </w:instrText>
      </w:r>
      <w:r>
        <w:fldChar w:fldCharType="separate"/>
      </w:r>
      <w:r>
        <w:rPr>
          <w:rStyle w:val="18"/>
          <w:rFonts w:hint="eastAsia" w:ascii="宋体" w:hAnsi="宋体"/>
          <w:sz w:val="24"/>
        </w:rPr>
        <w:t>二十五、招募说明书的存放及查阅方式</w:t>
      </w:r>
      <w:r>
        <w:rPr>
          <w:rFonts w:ascii="宋体" w:hAnsi="宋体"/>
          <w:sz w:val="24"/>
        </w:rPr>
        <w:tab/>
      </w:r>
      <w:r>
        <w:rPr>
          <w:rFonts w:ascii="宋体" w:hAnsi="宋体"/>
          <w:sz w:val="24"/>
        </w:rPr>
        <w:fldChar w:fldCharType="begin"/>
      </w:r>
      <w:r>
        <w:rPr>
          <w:rFonts w:ascii="宋体" w:hAnsi="宋体"/>
          <w:sz w:val="24"/>
        </w:rPr>
        <w:instrText xml:space="preserve"> PAGEREF _Toc187935808 \h </w:instrText>
      </w:r>
      <w:r>
        <w:rPr>
          <w:rFonts w:ascii="宋体" w:hAnsi="宋体"/>
          <w:sz w:val="24"/>
        </w:rPr>
        <w:fldChar w:fldCharType="separate"/>
      </w:r>
      <w:r>
        <w:rPr>
          <w:rFonts w:ascii="宋体" w:hAnsi="宋体"/>
          <w:sz w:val="24"/>
        </w:rPr>
        <w:t>172</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"_Toc187935809" </w:instrText>
      </w:r>
      <w:r>
        <w:fldChar w:fldCharType="separate"/>
      </w:r>
      <w:r>
        <w:rPr>
          <w:rStyle w:val="18"/>
          <w:rFonts w:hint="eastAsia" w:ascii="宋体" w:hAnsi="宋体"/>
          <w:sz w:val="24"/>
        </w:rPr>
        <w:t>二十六、备查文件</w:t>
      </w:r>
      <w:r>
        <w:rPr>
          <w:rFonts w:ascii="宋体" w:hAnsi="宋体"/>
          <w:sz w:val="24"/>
        </w:rPr>
        <w:tab/>
      </w:r>
      <w:r>
        <w:rPr>
          <w:rFonts w:ascii="宋体" w:hAnsi="宋体"/>
          <w:sz w:val="24"/>
        </w:rPr>
        <w:fldChar w:fldCharType="begin"/>
      </w:r>
      <w:r>
        <w:rPr>
          <w:rFonts w:ascii="宋体" w:hAnsi="宋体"/>
          <w:sz w:val="24"/>
        </w:rPr>
        <w:instrText xml:space="preserve"> PAGEREF _Toc187935809 \h </w:instrText>
      </w:r>
      <w:r>
        <w:rPr>
          <w:rFonts w:ascii="宋体" w:hAnsi="宋体"/>
          <w:sz w:val="24"/>
        </w:rPr>
        <w:fldChar w:fldCharType="separate"/>
      </w:r>
      <w:r>
        <w:rPr>
          <w:rFonts w:ascii="宋体" w:hAnsi="宋体"/>
          <w:sz w:val="24"/>
        </w:rPr>
        <w:t>173</w:t>
      </w:r>
      <w:r>
        <w:rPr>
          <w:rFonts w:ascii="宋体" w:hAnsi="宋体"/>
          <w:sz w:val="24"/>
        </w:rPr>
        <w:fldChar w:fldCharType="end"/>
      </w:r>
      <w:r>
        <w:rPr>
          <w:rFonts w:ascii="宋体" w:hAnsi="宋体"/>
          <w:sz w:val="24"/>
        </w:rPr>
        <w:fldChar w:fldCharType="end"/>
      </w:r>
    </w:p>
    <w:p>
      <w:pPr>
        <w:pStyle w:val="20"/>
        <w:snapToGrid w:val="0"/>
        <w:spacing w:after="240" w:line="360" w:lineRule="auto"/>
        <w:jc w:val="center"/>
        <w:rPr>
          <w:rFonts w:ascii="宋体" w:hAnsi="宋体"/>
          <w:color w:val="000000"/>
          <w:sz w:val="24"/>
        </w:rPr>
      </w:pPr>
      <w:r>
        <w:rPr>
          <w:rFonts w:ascii="宋体" w:hAnsi="宋体"/>
          <w:color w:val="000000"/>
          <w:position w:val="-4"/>
          <w:sz w:val="24"/>
          <w:szCs w:val="30"/>
        </w:rPr>
        <w:fldChar w:fldCharType="end"/>
      </w:r>
    </w:p>
    <w:p>
      <w:pPr>
        <w:autoSpaceDE w:val="0"/>
        <w:autoSpaceDN w:val="0"/>
        <w:adjustRightInd w:val="0"/>
        <w:snapToGrid w:val="0"/>
        <w:spacing w:line="360" w:lineRule="auto"/>
        <w:ind w:left="120" w:right="13" w:rightChars="6"/>
        <w:rPr>
          <w:rFonts w:ascii="宋体" w:hAnsi="宋体"/>
          <w:kern w:val="0"/>
          <w:szCs w:val="24"/>
        </w:rPr>
        <w:sectPr>
          <w:pgSz w:w="11920" w:h="16840"/>
          <w:pgMar w:top="1480" w:right="1680" w:bottom="280" w:left="1680" w:header="0" w:footer="1073" w:gutter="0"/>
          <w:cols w:space="720" w:num="1"/>
        </w:sectPr>
      </w:pPr>
    </w:p>
    <w:p>
      <w:pPr>
        <w:pStyle w:val="2"/>
        <w:snapToGrid w:val="0"/>
        <w:spacing w:before="240" w:beforeLines="0" w:after="240"/>
        <w:rPr>
          <w:rFonts w:ascii="宋体" w:hAnsi="宋体"/>
          <w:szCs w:val="30"/>
        </w:rPr>
      </w:pPr>
      <w:bookmarkStart w:id="3" w:name="_Toc187935784"/>
      <w:r>
        <w:rPr>
          <w:rFonts w:ascii="Times New Roman" w:hAnsi="Times New Roman"/>
          <w:sz w:val="30"/>
        </w:rPr>
        <w:t>一、绪言</w:t>
      </w:r>
      <w:bookmarkEnd w:id="3"/>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交银施罗德纯债债券型发起式证券投资基金招募说明书》（以下简称“本招募说明书”）依据《中华人民共和国证券投资基金法》、《证券投资基金运作管理办法》、《证券投资基金销售管理办法》、《公开募集证券投资基金信息披露管理办法》、《公开募集开放式证券投资基金流动性风险管理规定》（以下简称“《流动性规定》”）和其他相关法律法规的规定以及《交银施罗德纯债债券型发起式证券投资基金基金合同》（以下简称“基金合同”）编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4" w:name="_Toc187935785"/>
      <w:r>
        <w:rPr>
          <w:rFonts w:ascii="Times New Roman" w:hAnsi="Times New Roman"/>
          <w:sz w:val="30"/>
        </w:rPr>
        <w:t>二、释义</w:t>
      </w:r>
      <w:bookmarkEnd w:id="4"/>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在本招募说明书中，除非文意另有所指，下列词语或简称具有如下含义：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1、基金或本基金：指交银施罗德纯债债券型发起式证券投资基金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2、基金管理人或本基金管理人：指交银施罗德基金管理有限公司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3、基金托管人或本基金托管人：指中国农业银行股份有限公司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4、基金合同：指《交银施罗德纯债债券型发起式证券投资基金基金合同》及对该基金合同的任何有效修订和补充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5、托管协议：指基金管理人与基金托管人就本基金签订之《交银施罗德纯债债券型发起式证券投资基金托管协议》及对该托管协议的任何有效修订和补充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6、招募说明书或本招募说明书：指《交银施罗德纯债债券型发起式证券投资基金招募说明书》，及其更新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7、基金份额发售公告：指《交银施罗德纯债债券型发起式证券投资基金基金份额发售公告》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8、基金产品资料概要：指《交银施罗德纯债债券型发起式证券投资基金基金产品资料概要》及其更新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9、法律法规：指中国现行有效并公布实施的法律、行政法规、司法解释、部门规章、地方性法规、地方政府规章及其他对基金合同当事人有约束力的规范性文件及对该等法律法规不时作出的修订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10、《基金法》：指2003年10月28日经第十届全国人民代表大会常务委员会第五次会议通过，自2004年6月1日起实施的《中华人民共和国证券投资基金法》及颁布机关对其不时作出的修订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11、《销售办法》：指中国证监会2011年6月9日颁布、同年10月1日实施的《证券投资基金销售管理办法》及对其不时作出的修订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12、《信息披露办法》：指中国证监会2019年7月26日颁布、同年9月1日实施的《公开募集证券投资基金信息披露管理办法》及颁布机关对其不时做出的修订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13、《运作办法》：指中国证监会2004年6月29日颁布、同年7月1日实施的《证券投资基金运作管理办法》及对其不时作出的修订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14、《流动性规定》：指中国证监会2017年8月31日颁布、同年10月1日实施的《公开募集开放式证券投资基金流动性风险管理规定》及颁布机关对其不时做出的修订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15、中国：指中华人民共和国，就本基金合同而言，不包括香港特别行政区、澳门特别行政区和台湾地区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16、中国证监会：指中国证券监督管理委员会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17、中国银监会：指中国银行业监督管理委员会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18、基金合同当事人：指受基金合同约束，根据基金合同享有权利并承担义务的法律主体，包括基金管理人、基金托管人和基金份额持有人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19、个人投资者：指符合法律法规规定的条件可以投资证券投资基金的自然人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20、机构投资者：指符合法律法规规定可以投资证券投资基金的在中国境内注册登记或经政府有关部门批准设立的机构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合格境外机构投资者：指符合《合格境外机构投资者境内证券投资管理办法》及其他相关法律法规规定的条件，经中国证监会批准可投资于中国证券市场，并取得国家外汇管理局额度批准的中国境外的机构投资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22、基金投资者或投资者：指个人投资者、机构投资者、合格境外机构投资者和使用发起资金认购的投资人，以及法律法规或中国证监会允许购买证券投资基金的其他投资者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23、基金份额持有人：指依招募说明书和基金合同合法取得基金份额的基金投资者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24、基金销售业务：指基金的宣传推介、认购、申购、赎回、转换、转托管及定期定额投资等业务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25、销售机构：指直销机构和代销机构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26、直销机构：指交银施罗德基金管理有限公司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27、代销机构：指符合《销售办法》和中国证监会规定的其他条件，取得基金代销业务资格并与基金管理人签订了基金销售服务代理协议，代为办理基金销售业务的机构以及可通过上海证券交易所交易系统办理基金销售业务的会员单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28、会员单位：指具有开放式基金代销资格，经上海证券交易所和中国证券登记结算有限责任公司认可的、可通过上海证券交易所交易系统办理开放式基金的认购、申购、赎回和转托管等业务的上海证券交易所会员单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29、基金销售网点：指直销机构的直销中心及代销机构的代销网点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30、注册登记业务：指基金登记、存管、过户、清算和结算业务，具体内容包括基金投资者基金账户的建立和管理、基金份额注册登记、基金销售业务的确认、清算和结算、代理发放红利、建立并保管基金份额持有人名册、办理非交易过户业务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31、注册登记机构：指办理注册登记业务的机构。基金的注册登记机构为交银施罗德基金管理有限公司或接受交银施罗德基金管理有限公司委托代为办理注册登记业务的机构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32、基金账户：指注册登记机构为基金投资者开立的、记录其持有的、基金管理人所管理的基金份额余额及其变动情况的账户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33、基金交易账户：指销售机构为基金投资者开立的、记录基金投资者通过该销售机构办理交易业务而引起的基金份额的变动及结余情况的账户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34、基金合同生效日：指基金募集期结束后达到法律法规规定及基金合同约定的备案条件，基金管理人聘请法定机构验资并向中国证监会办理基金备案手续完毕，并收到其书面确认的日期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35、基金合同终止日：指基金合同规定的基金合同终止事由出现后，基金财产清算完毕，清算结果报中国证监会备案并予以公告的日期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36、基金募集期限：指自基金份额发售之日起至发售结束之日止的期间，最长不得超过3个月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37、存续期：指基金合同生效至终止之间的不定期期限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38、工作日：指上海证券交易所、深圳证券交易所的正常交易日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39、日：指公历日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40、月：指公历月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41、T日：指销售机构在规定时间受理基金投资者有效申购、赎回或其他基金业务申请的工作日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42、T+n日：指自T日起第n个工作日（不包含T日）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43、开放日：指为基金投资者办理基金份额申购、赎回或其他业务的工作日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44、交易时间：指开放日基金接受申购、赎回或其他交易的时间段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45、认购：指在基金募集期间，基金投资者按基金合同和招募说明书的规定申请购买基金份额的行为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46、申购：指在基金存续期内，基金投资者按基金合同和招募说明书的规定申请购买基金份额的行为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47、赎回：指在基金存续期内，基金份额持有人按基金合同和招募说明书规定的条件申请将基金份额兑换为现金的行为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48、场外：指不通过上海证券交易所的交易系统办理基金份额认购、申购和赎回等业务的销售机构和场所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49、场内：指通过上海证券交易所的交易系统办理基金份额认购、申购和赎回等业务的销售机构和场所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50、注册登记系统：指中国证券登记结算有限责任公司开放式基金登记结算系统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51、证券登记结算系统：指中国证券登记结算有限责任公司上海分公司证券登记结算系统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52、销售服务费：指从基金资产中计提的，用于本基金市场推广、销售以及基金份额持有人服务的费用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53、基金份额类别：指本基金根据认购/申购费用、赎回费用、销售服务费收取标准和收取方式的不同，将基金份额分为不同的类别。在投资者认购/申购时收取前端认购/申购费用、赎回时收取赎回费用的，称为A类基金份额；在投资者认购/申购时不收取认购/申购费用、赎回时收取后端认购/申购费用和赎回费用的，称为B类基金份额；在投资者认购/申购时不收取认购/申购费用、赎回时收取赎回费用，并从本类别基金资产中计提销售服务费的，称为C类基金份额；在投资者申购时收取前端申购费用、赎回时收取赎回费用的，称为D类基金份额，A类基金份额与D类基金份额设置不同的申购费、赎回费收取标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54、基金转换：指基金份额持有人按照本基金合同和基金管理人届时公告规定的条件，向基金管理人提出申请将其所持有的基金管理人管理的某一开放式基金（转出基金）的全部或部分基金份额转换为</w:t>
      </w:r>
      <w:r>
        <w:rPr>
          <w:rFonts w:hint="eastAsia"/>
          <w:bCs/>
          <w:sz w:val="24"/>
        </w:rPr>
        <w:t>该基金其他份额（如有）或</w:t>
      </w:r>
      <w:r>
        <w:rPr>
          <w:rFonts w:ascii="宋体" w:hAnsi="宋体"/>
          <w:sz w:val="24"/>
        </w:rPr>
        <w:t>基金管理人管理的其他开放式基金（转入基金）的基金份额的行为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55、定期定额投资计划：指基金投资者通过有关销售机构提出申请，约定每期申购日、扣款金额及扣款方式，由销售机构在基金投资者指定银行账户内自动完成扣款并于每期约定的申购日提交基金申购申请的一种投资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56、转托管：指基金份额持有人在本基金的不同销售机构之间实施变更所持基金份额销售机构的操作，包括系统内转托管及跨系统转托管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57、系统内转托管：指基金份额持有人将持有的基金份额在注册登记系统内不同销售机构之间或证券登记结算系统内不同会员单位之间进行转登记的行为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58、跨系统转托管：指基金份额持有人将持有的A类基金份额在注册登记系统和证券登记结算系统间进行转登记的行为。除经基金管理人另行公告，B类基金份额、C类基金份额和D类基金份额不能进行跨系统转托管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59、巨额赎回：指本基金单个开放日，基金净赎回申请（赎回申请份额总数加上基金转换中转出申请份额总数后扣除申购申请份额总数及基金转换中转入申请份额总数后的余额）超过上一工作日基金总份额的10%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60、元：指人民币元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61、基金利润：指基金利息收入、投资收益、公允价值变动收益和其他收入扣除相关费用后的余额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62、基金资产总值：指基金拥有的各类有价证券、银行存款本息、基金应收申购款及其他资产的价值总和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63、基金资产净值：指基金资产总值减去基金负债后的净资产值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64、基金份额净值：指计算日基金资产净值除以计算日基金份额总数的数值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65、基金资产估值：指计算评估基金资产和负债的价值，以确定基金资产净值和基金份额净值的过程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66、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67、指定媒介：指中国证监会指定的用以进行信息披露的全国性报刊及指定互联网网站（包括基金管理人网站、基金托管人网站、中国证监会基金电子披露网站）等媒介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68、《业务规则》：指《交银施罗德基金管理有限公司开放式基金业务规则》，是规范基金管理人所管理的开放式证券投资基金注册登记方面的业务规则，由基金管理人和基金投资者共同遵守；此外，投资者通过场内认购、申购、赎回本基金还须遵守上海证券交易所及中国证券登记结算有限责任公司场内业务有关规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69、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70、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71、不可抗力：指本基金合同当事人不能预见、不能避免且不能克服的客观事件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72、发起式基金：指符合中国证监会发布的《关于增设发起式基金审核通道有关问题的通知》中相关条件而募集、运作的证券投资基金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73、发起资金：指来源于基金管理人的公司股东的资金、公司固有资金、公司高级管理人员或基金经理（指基金管理人员工中依法具有基金经理资格者，包括但可能不限于本基金的基金经理）等人员的资金</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5" w:name="_Toc187935786"/>
      <w:r>
        <w:rPr>
          <w:rFonts w:ascii="Times New Roman" w:hAnsi="Times New Roman"/>
          <w:sz w:val="30"/>
        </w:rPr>
        <w:t>三、基金管理人</w:t>
      </w:r>
      <w:bookmarkEnd w:id="5"/>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（一）基金管理人概况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办公地址：上海市浦东新区世纪大道8号国金中心二期21-22楼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邮政编码：200120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法定代表人：张宏良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成立时间：2005年8月4日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注册资本：2亿元人民币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存续期间：持续经营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联系人：何佳妮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电话：（021）61055050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传真：（021）61055034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Style w:val="14"/>
        <w:tblW w:w="5000" w:type="pct"/>
        <w:tblInd w:w="0" w:type="dxa"/>
        <w:tblLayout w:type="autofit"/>
        <w:tblCellMar>
          <w:top w:w="0" w:type="dxa"/>
          <w:left w:w="0" w:type="dxa"/>
          <w:bottom w:w="0" w:type="dxa"/>
          <w:right w:w="0" w:type="dxa"/>
        </w:tblCellMar>
      </w:tblPr>
      <w:tblGrid>
        <w:gridCol w:w="2167"/>
        <w:gridCol w:w="6503"/>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交通银行股份有限公司（以下使用全称或其简称“交通银行”）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（二）主要成员情况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1、基金管理人董事会成员</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张宏良先生，董事长，硕士，高级经济师。历任中国太平洋人寿保险公司乌鲁木齐分公司、河南（郑州）分公司、上海分公司党委书记、总经理，交银人寿保险有限公司党委书记、董事长、总裁，兼任交银康联资产管理有限公司董事长，交银理财有限责任公司党委书记、董事长。</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袁庆伟女士，董事，总经理，硕士。历任交通银行乌鲁木齐分行财务会计处副处长、会计结算部高级经理，交通银行总行资产托管业务中心（资产托管部）副总裁、总裁，交通银行总行金融机构部总经理、资产管理业务中心总裁等职务。</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夏华龙先生，董事，博士，现任交通银行选派子公司股权董事，历任交通银行总行托管部基金业务部内控综合处副处长、资产委托高级经理、保险及养老金高级经理、资产托管部副总经理，交银施罗德基金管理有限公司党委委员、副总经理、首席信息官，交通银行总行养老金融部总经理。</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胡晓晖女士，董事，学士，现任交通银行总行董事会办公室资深专家，历任交通银行总行授信管理部副处长、处长，苏州分行副行长、高级信贷执行官，总行授信管理部副总经理，监事会办公室副主任、资深专家。</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杜伟麒（Chris Durack）先生，董事，硕士。现任施罗德投资亚太区行政总裁。历任施罗德投资澳大利亚董事兼产品及分销主管、香港行政总裁兼亚太区机构业务主管、澳大利亚行政总裁兼亚太区联席主管等职。</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郝爱群女士，独立董事，学士。历任人民银行稽核司副处长、处长，合作司调研员，非银司副巡视员、副司长，银监会非银部副主任，银行监管一部副主任、巡视员，汇金公司派出董事。</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2、基金管理人高级管理人员</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袁庆伟女士，总经理。简历同上。</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sz w:val="24"/>
        </w:rPr>
        <w:t>周云康先生，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于海颖女士:基金经理。天津大学数量经济学硕士、经济学学士，19年证券投资行业从业经验。2004年至2006年任北方国际信托投资股份有限公司固定收益研究员，2006年至2010年任光大保德信基金管理有限公司交易员、基金经理助理、基金经理，2010年至2014年任银华基金管理有限公司基金经理，2014年至2016年任五矿证券有限公司固定收益事业部投资管理部总经理。于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曾任固定收益（公募）投资总监，现任混合资产投资总监兼多元资产管理总监、基金经理。曾任交银施罗德丰盈收益债券型证券投资基金(2016年12月29日至2020年08月21日)、交银施罗德增利增强债券型证券投资基金(2017年06月10日至2019年03月15日)、交银施罗德增强收益债券型证券投资基金(2017年06月10日至2019年03月15日)、交银施罗德增利债券证券投资基金(2017年06月10日至2020年08月21日)、交银施罗德荣鑫灵活配置混合型证券投资基金(2017年06月10日至2019年03月15日)、交银施罗德稳固收益债券型证券投资基金(2017年06月10日至2019年03月15日)、交银施罗德丰硕收益债券型证券投资基金(2017年06月10日至2018年07月19日)、交银施罗德定期支付月月丰债券型证券投资基金(2017年06月10日至2019年03月14日)、交银施罗德强化回报债券型证券投资基金(2017年06月10日至2019年03月14日)、交银施罗德裕如纯债债券型证券投资基金(2018年05月25日至2021年01月15日)、交银施罗德裕泰两年定期开放债券型证券投资基金(2019年12月10日至2024年04月12日)、交银施罗德裕如纯债债券型证券投资基金(2023年09月07日至2024年11月23日)的基金经理。现任交银施罗德纯债债券型发起式证券投资基金(2017年06月10日至今)、交银施罗德丰晟收益债券型证券投资基金(2018年05月23日至今)、交银施罗德裕坤纯债一年定期开放债券型发起式证券投资基金(2019年12月26日至今)、交银施罗德鸿光一年持有期混合型证券投资基金(2021年03月08日至今)、交银施罗德鸿福六个月持有期混合型证券投资基金(2021年03月30日至今)、交银施罗德鸿信一年持有期混合型证券投资基金(2021年08月06日至今)、交银施罗德鸿泰一年持有期混合型证券投资基金(2021年11月24日至今)、交银施罗德裕盈纯债债券型证券投资基金(2022年11月12日至今)、交银施罗德裕道纯债一年定期开放债券型发起式证券投资基金(2024年03月29日至今)、交银施罗德裕通纯债债券型证券投资基金(2024年12月17日至今)的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本基金历任基金经理：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胡军华女士(2012年12月19日至2014年03月30日)；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林洪钧先生(2014年03月31日至2015年05月31日)；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孙超先生(2015年05月09日至2017年06月21日)；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魏玉敏女士(2018年08月29日至2025年01月15日)。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5、投资决策委员会成员</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委员：袁庆伟（总经理）</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马俊（副总经理）</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于海颖（混合资产投资总监兼多元资产管理总监、基金经理）</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王崇（权益投资副总监、权益部一级专家、基金经理）</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sz w:val="24"/>
        </w:rPr>
        <w:t>马韬（研究总监）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上述人员之间不存在近亲属关系，上述各项人员信息更新截止日为2025年10月22日，期后变动（如有）敬请关注基金管理人发布的相关公告。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（三）基金管理人的职责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1、依法募集基金，办理或者委托经中国证监会认定的其他机构代为办理基金份额的发售、申购、赎回和登记事宜；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2、办理基金备案手续；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3、对所管理的不同基金财产分别管理、分别记账，进行证券投资；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4、按照基金合同的约定确定基金收益分配方案，及时向基金份额持有人分配收益；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5、进行基金会计核算并编制基金财务会计报告；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6、编制季度报告、中期报告和年度报告；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7、计算并公告基金净值信息，确定基金份额申购、赎回价格；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8、办理与基金财产管理业务活动有关的信息披露事项；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10、保存基金财产管理业务活动的记录、账册、报表和其他相关资料；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11、以基金管理人名义，代表基金份额持有人利益行使诉讼权利或者实施其他法律行为；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12、有关法律法规和中国证监会规定的其他职责。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（四）基金管理人的承诺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1、基金管理人承诺不从事违反《证券法》的行为，并承诺建立健全内部控制制度，采取有效措施，防止违反《证券法》行为的发生；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（1）将基金管理人固有财产或者他人财产混同于基金财产从事证券投资；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（2）不公平地对待管理的不同基金财产；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（3）利用基金财产为基金份额持有人以外的第三人牟取利益；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（4）向基金份额持有人违规承诺收益或者承担损失；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（5）依照法律法规有关规定，由中国证监会规定禁止的其他行为。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5、基金管理人承诺不从事其他法规规定禁止从事的行为。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（五）基金经理承诺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1、依照有关法律法规和基金合同的规定，本着谨慎的原则为基金份额持有人谋取最大利益；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2、不利用职务之便为自己、受雇人或任何第三者谋取利益；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3、不泄露在任职期间知悉的有关证券、基金的商业秘密，尚未依法公开的基金投资内容、基金投资计划等信息；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4、不以任何形式为其他组织或个人进行证券交易。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（六）基金管理人的内部控制制度</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1、内部控制的原则</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（1）健全性原则</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内部控制应当包括公司的各项业务、各个部门或机构和各级人员, 并涵盖到决策、执行、监督、反馈等各个环节。</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（2）有效性原则</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通过科学的内控手段和方法，建立合理的内控程序，维护内控制度的有效执行。</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（3）独立性原则</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公司各机构、部门和岗位职责应当保持相对独立，除非法律法规另有规定，公司基金资产、自有资产、其他资产的运作应当分离。</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（4）相互制约原则</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公司内部部门和岗位的设置应当体现权责分明、相互制衡。</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（5）成本效益原则</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公司运用科学化的经营管理方法降低运作成本，提高经济效益，力争以合理的控制成本达到最佳的内部控制效果。</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2、风险管理和内部风险控制体系结构</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公司的风险管理体系结构是一个分工明确、相互牵制的组织结构，由董事会对风险管理负最终责任，各个业务部门负责本部门的风险评估和监控，风险管理部负责监察公司的风险管理措施的执行。具体而言，包括如下组成部分：</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（1）董事会</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负责制定公司风险偏好（含风险容忍度）、风险管理和内部控制政策，审议并通过与公司内部风险管理和合规有关的重大事项。</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（2）合规风险及审计委员会</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作为董事会下的专业委员会之一，负责对公司在经营管理和基金业务运作的合法性、合规性和风险状况进行检查和评估，对公司监察稽核制度的有效性进行评价，监督检查公司财务状况，审计公司的财务报表，评估公司的财务表现，保证公司的财务运作符合法律的要求和通行的会计标准。</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（3）风险控制委员会</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作为总经理下设的专业委员会之一，风险控制委员会负责评估与公司战略发展和经营运作相关的主要风险；评估公司各方面运行状况是否合规有序，审查有无存在与公司业务有关的重大风险；审议或听取由公司制度规定的需要向风险控制委员会报告的其他情形等。</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（4）督察长</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独立行使督察权利；直接对董事会负责；就内部控制制度和执行情况独立地履行检查、评价、报告、建议职能；定期和不定期地向董事会报告公司内部控制执行情况。</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（5）风险管理部</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风险管理部负责制定公司风险管理政策和防范及控制措施，汇总公司业务所有的风险信息，独立识别、评估各类风险，提出风险控制建议，使公司在一种风险管理和控制的环境中实现业务目标。</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（6）审计部</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（7）内控合规及法律事务部</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内控合规及法律事务部负责公司的法律、内控合规事务及协调实施信息披露事务，依法维护公司合法权益，评估并处理公司运营中发生的法律、内控合规及信息披露相关问题，及时向公司管理层及全体员工传达法规及监管要求。</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（8）业务部门</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风险管理是每一个业务部门首要的责任。部门负责人对本部门的风险负全部责任，负责履行公司的风险管理程序，负责本部门的风险管理系统的开发、执行和维护，用于识别、监控和降低风险。</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3、风险管理和内部风险控制的措施</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（1）建立内控体系，完善内控制度</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（2）建立相互分离、相互制衡的内控机制</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建立、健全了各项制度，做到基金经理分开，投资决策分开，基金交易集中，形成不同部门、不同岗位之间的制衡机制，从制度上减少和防范风险。</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（3）建立、健全岗位责任制</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建立、健全了岗位责任制，使每个员工都明确自己的任务、职责，并及时将各自工作领域中的风险隐患上报，以防范和减少风险。</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（4）建立风险分类、识别、评估、报告、提示程序</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（5）建立有效的内部监控系统</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建立了足够、有效的内部监控系统，对可能出现的各种风险进行全面和实时的监控。</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（6）使用数量化的风险管理手段</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采取数量化、技术化的风险控制手段，建立数量化的风险管理模型，用以提示指数趋势、行业及个</w:t>
      </w:r>
      <w:r>
        <w:rPr>
          <w:rFonts w:hint="eastAsia" w:ascii="宋体" w:hAnsi="宋体"/>
          <w:sz w:val="24"/>
          <w:lang w:val="en-US" w:eastAsia="zh-CN"/>
        </w:rPr>
        <w:t>券</w:t>
      </w:r>
      <w:r>
        <w:rPr>
          <w:rFonts w:hint="eastAsia" w:ascii="宋体" w:hAnsi="宋体"/>
          <w:sz w:val="24"/>
        </w:rPr>
        <w:t>的风险，以便公司及时采取有效的措施，对风险进行分散、控制和规避，尽可能地减少损失。</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（7）提供足够的培训</w:t>
      </w:r>
    </w:p>
    <w:p>
      <w:pPr>
        <w:autoSpaceDE w:val="0"/>
        <w:autoSpaceDN w:val="0"/>
        <w:adjustRightInd w:val="0"/>
        <w:spacing w:line="360" w:lineRule="auto"/>
        <w:ind w:firstLine="480" w:firstLineChars="200"/>
        <w:rPr>
          <w:rFonts w:ascii="宋体" w:hAnsi="宋体"/>
          <w:szCs w:val="24"/>
        </w:rPr>
      </w:pPr>
      <w:r>
        <w:rPr>
          <w:rFonts w:hint="eastAsia" w:ascii="宋体" w:hAnsi="宋体"/>
          <w:sz w:val="24"/>
        </w:rPr>
        <w:t>制定了完整的培训计划，为所有员工提供足够和适当的培训，使员工明确其职责所在，控制风险。</w:t>
      </w:r>
      <w:r>
        <w:rPr>
          <w:rFonts w:ascii="宋体" w:hAnsi="宋体"/>
          <w:sz w:val="24"/>
        </w:rPr>
        <w:br w:type="page"/>
      </w:r>
    </w:p>
    <w:p>
      <w:pPr>
        <w:pStyle w:val="2"/>
        <w:snapToGrid w:val="0"/>
        <w:spacing w:before="240" w:beforeLines="0" w:after="240"/>
        <w:rPr>
          <w:rFonts w:ascii="宋体" w:hAnsi="宋体"/>
          <w:szCs w:val="30"/>
        </w:rPr>
      </w:pPr>
      <w:bookmarkStart w:id="6" w:name="_Toc187935787"/>
      <w:r>
        <w:rPr>
          <w:rFonts w:ascii="Times New Roman" w:hAnsi="Times New Roman"/>
          <w:sz w:val="30"/>
        </w:rPr>
        <w:t>四、基金托管人</w:t>
      </w:r>
      <w:bookmarkEnd w:id="6"/>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（一）基金托管人情况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1、基本情况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名称：中国农业银行股份有限公司（简称中国农业银行）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住所：北京市东城区建国门内大街69号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办公地址：北京市西城区复兴门内大街28号凯晨世贸中心东座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法定代表人：谷澍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成立日期：2009年1月15日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批准设立机关和批准设立文号：中国银监会银监复[2009]13号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基金托管资格批文及文号：中国证监会证监基字[1998]23号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注册资本：34,998,303.4万元人民币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存续期间：持续经营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联系电话：010-66060069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传真：010-68121816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联系人：任航</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2020年被美国《环球金融》评为中国“最佳托管银行”；2021年荣获全国银行间同业拆借中心首次设立的“银行间本币市场优秀托管行”奖；2022年在权威杂志《财资》年度评选中首次荣获“中国最佳保险托管银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中国农业银行证券投资基金托管部于1998年5月经中国证监会和中国人民银行批准成立，2004年更名为中国农业银行托管业务部。目前内设风险合规部/综合管理部、业务管理部、客户一部、客户二部、客户三部、客户四部、系统与信息管理部、营运管理部、营运一部、营运二部，拥有先进的安全防范设施和基金托管业务系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2、主要人员情况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中国农业银行托管业务部现有员工302名，其中具有高级职称的专家60名，服务团队成员专业水平高、业务素质好、服务能力强，高级管理层均有20年以上金融从业经验和高级技术职称，精通国内外证券市场的运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3、基金托管业务经营情况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截止到2024年9月30日，中国农业银行托管的封闭式证券投资基金和开放式证券投资基金共898只。</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（二）基金托管人的内部风险控制制度说明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1、内部控制目标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2、内部控制组织结构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3、内部控制制度及措施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（三）基金托管人对基金管理人运作基金进行监督的方法和程序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当基金出现异常交易行为时，基金托管人应当针对不同情况进行以下方式的处理：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1、电话提示。对媒体和舆论反映集中的问题，电话提示基金管理人；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2、书面警示。对本基金投资比例接近超标、资金头寸不足等问题，以书面方式对基金管理人进行提示；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3、书面报告。对投资比例超标、清算资金透支以及其他涉嫌违规交易等行为，书面提示有关基金管理人并报中国证监会。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7" w:name="_Toc187935788"/>
      <w:r>
        <w:rPr>
          <w:rFonts w:ascii="Times New Roman" w:hAnsi="Times New Roman"/>
          <w:sz w:val="30"/>
        </w:rPr>
        <w:t>五、相关服务机构</w:t>
      </w:r>
      <w:bookmarkEnd w:id="7"/>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（一）基金份额销售机构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1、直销机构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本基金直销机构为本公司直销柜台以及本公司的网上直销交易平台（网站及APP，下同）。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机构名称：交银施罗德基金管理有限公司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办公地址：上海市浦东新区世纪大道8号国金中心二期21-22楼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法定代表人：张宏良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成立时间：2005年8月4日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电话：（021）61055724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传真：（021）61055054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联系人：傅鲸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客户服务电话：400-700-5000（免长途话费），（021）61055000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个人投资者可以通过基金管理人网上直销交易平台办理开户、本基金的申购、赎回、定期定额投资、转换等业务，具体交易细则请参阅基金管理人网站。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网上直销交易平台网址：www.fund001.com。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2、场内代销机构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具有基金代销资格的上海证券交易所场内会员单位。（具体名单见基金份额发售公告）。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3、场外代销机构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（1）名称：中国建设银行股份有限公司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住所：北京市西城区金融大街25号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办公地址：北京市西城区金融大街25号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法定代表人：田国立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电话：（010）66275654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传真：（010）66275654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网址：www.ccb.com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（2）名称：杭州银行股份有限公司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住所：杭州市庆春路46号杭州银行大厦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办公地址：杭州市庆春路46号杭州银行大厦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法定代表人：陈震山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电话：（0571）85108195、85120696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传真：（0571）86475527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联系人：严峻、夏帆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客户服务电话:96523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网址：www.hzbank.com.cn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（3）名称：中国农业银行股份有限公司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住所：北京市东城区建国门内大街69号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办公地址：北京市西城区复兴门内大街28号凯晨世贸中心东座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w:t>
      </w:r>
      <w:r>
        <w:rPr>
          <w:rFonts w:hint="eastAsia" w:ascii="宋体" w:hAnsi="宋体"/>
          <w:sz w:val="24"/>
        </w:rPr>
        <w:t>谷澍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联系电话：010-66060069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传真：010-68121816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联系人：贺倩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网址：www.abchina.com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（4）名称：东莞农村商业银行股份有限公司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住所：东莞市东城区鸿福东路2号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办公地址：东莞市东城区鸿福东路2号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法定代表人：王耀球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电话：（0769）22866254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传真：（0769）22866282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联系人：林培珊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客户服务电话：（0769）961122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网址：www.drcbank.com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（5）名称：中信银行股份有限公司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住所：北京市东城区朝阳门北大街9号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办公地址：北京市东城区朝阳门北大街9号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法定代表人：朱鹤新</w:t>
      </w:r>
      <w:bookmarkStart w:id="29" w:name="_GoBack"/>
      <w:bookmarkEnd w:id="29"/>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电话：（010）89936330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传真：（010）85230024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联系人：丰靖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客户服务电话：95558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网址：bank.ecitic.com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（6）名称：招商银行股份有限公司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住所：深圳市福田区深南大道7088号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办公地址：深圳市福田区深南大道7088号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法定代表人：缪建民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电话：（0755）83198888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传真：（0755）83195109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联系人：季平伟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网址：www.cmbchina.com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（7）名称：交通银行股份有限公司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住所：上海市浦东新区银城中路188号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办公地址：上海市浦东新区银城中路188号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法定代表人：任德奇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电话：（021）58781234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传真：（021）58408483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联系人：范瑞波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客户服务电话：95559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网址：www.bankcomm.com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（8）名称：江苏常熟农村商业银行股份有限公司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住所：江苏省常熟市新世纪大道58号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办公地址：江苏省常熟市新世纪大道58号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法定代表人：宋建明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联系电话：（0512）52909128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传真：（0512）52909122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联系人：黄晓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客户服务电话：962000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网址：www.csrcbank.com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（9）名称：江苏江南农村商业银行股份有限公司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住所：江苏省常州市和平中路413号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办公地址：江苏省常州市和平中路413号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法定代表人：陆向阳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电话：0519-80585939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传真：0519-89995170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联系人：蒋姣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客户服务电话：96005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网址：http://www.jnbank.com.cn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（10）名称：上海浦东发展银行股份有限公司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住所：上海市中山东一路12 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办公地址：上海市中山东一路12 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法定代表人：郑杨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电话：（021）61618888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传真：（021）61618888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联系人：朱瑛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网址：www.spdb.com.cn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（11）名称：平安银行股份有限公司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注册地址：深圳市罗湖区深南东路5047号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办公地址：深圳市深南东路5047号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法定代表人：谢永林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电话：0755-22166574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传真：0755-82080406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联系人：赵杨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客服电话：95511-3或95501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网址：bank.pingan.com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（12）名称：中国民生银行股份有限公司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住所：北京市西城区复兴门内大街2号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办公地址：北京市西城区复兴门内大街2号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法定代表人：洪崎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电话：（010）58560666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传真：（010）57092611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联系人：许野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 95568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网址：www.cmbc.com.cn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（13）名称：宁波银行股份有限公司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住所：宁波市江东区中山东路294号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法定代表人：陆华裕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电话：（021）63586210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传真：（021）63586215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联系人：胡技勋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客户服务电话：96528（上海地区962528）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网址：www.nbcb.com.cn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（14）名称：上海银行股份有限公司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住所：上海市银城中路168号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办公地址：上海市银城中路168号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法定代表人：金煜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电话：（021）68475888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传真：（021）68476111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客户服务电话：（021）962888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网址：www.bankofshanghai.com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（15）名称：中国邮政储蓄银行股份有限公司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法定代表人：李国华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传真：（010）68858117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联系人：陈春林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客户服务电话：95580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网址：www.psbc.com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（16）名称：兴业银行股份有限公司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注册地址：福建省福州市湖东路154号中山大厦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办公地址：上海市浦东新区银城路 167 号兴业银行大厦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法定代表人：吕家进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联系人：蔡宣铭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联系电话：021-52629999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客服热线：95561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网址：www.cib.com.cn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（17）名称：光大证券股份有限公司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住所：上海市静安区新闸路1508号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办公地址：上海市静安区新闸路1508号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法定代表人：薛峰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电话：（021）22169999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传真：（021）22169134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 10108998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网址：www.ebscn.com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（18）名称：中国中金财富证券有限公司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办公地址：深圳市福田区益田路6003号荣超商务中心A栋第04、18层至21层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法定代表人：高涛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电话：（0755）88320851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联系人：胡芷境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客户服务电话：95532/400-600-8008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网址：www.ciccwm.com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（19）名称：国投证券股份有限公司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住所：深圳市福田区福田街道福华一路119号安信金融大厦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办公地址：深圳市福田区福田街道福华一路119号安信金融大厦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法定代表人：段文务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电话：（0755）81688000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传真：（0755）82558355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联系人：陈剑虹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客户服务电话：95517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网址：http://www.essence.com.cn/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（20）名称：国信证券股份有限公司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住所：深圳市罗湖区红岭中路1012号国信证券大厦16-26楼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办公地址：深圳市罗湖区红岭中路1012号国信证券大厦16-26楼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法定代表人：张纳沙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电话：（0755）82130833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传真：（0755）82133952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联系人：于智勇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客户服务电话：95536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网址：www.guosen.com.cn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（21）名称：华泰证券股份有限公司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住所：江苏省南京市江东中路228号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办公地址：江苏省南京市建邺区江东中路228号华泰证券广场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电话：（0755）82492193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传真：（0755）82492962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联系人：胡子豪</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客户服务电话：95597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网址：www.htsc.com.cn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（22）名称：兴业证券股份有限公司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住所：福州市湖东路268号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办公地址：上海市浦东新区长柳路36号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法定代表人：杨华辉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 021-38565547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联系人：乔琳雪</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www.xyzq.com.cn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（23）名称：海通证券股份有限公司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住所：上海市淮海中路98号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办公地址：上海市广东路689号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法定代表人：王开国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电话：（021）23219000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传真：（021）23219100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联系人：李笑鸣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客户服务电话：95553或拨打各城市营业网点咨询电话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网址：www.htsec.com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（24）名称：华宝证券股份有限公司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住所：中国上海市陆家嘴环路166号未来资产大厦27楼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办公地址：中国上海市浦东新区世纪大道100号上海环球金融中心57楼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陈林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电话：（021）68777222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传真：（021）68777822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联系人：赵洁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客户服务电话：400-820-9898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网址：www.cnhbstock.com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（25）名称：爱建证券有限责任公司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住所：上海市南京西路758号24楼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办公地址：上海市浦东新区世纪大道1600号32楼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法定代表人：张建华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电话：（021）32229888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传真：（021）68728703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联系人：陈敏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客户服务电话：（021）63340678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网址：www.ajzq.com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（26）名称：招商证券股份有限公司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住所：深圳市福田区福田街道福华一路111号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办公地址：深圳市福田区益田路江苏大厦A座38-45层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法定代表人：霍达</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电话：（0755）82943666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传真：（0755）82943636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联系人：黄婵君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客户服务电话：400-8888-111，95565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网址：www.newone.com.cn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（27）名称：国泰君安证券股份有限公司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注册地址：中国（上海）自由贸易试验区商城路618号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办公地址：上海市静安区南京西路768号国泰君安大厦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法定代表人：贺青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联系电话：021-38676666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传真：021-38670666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联系人：朱雅崴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服务热线 : 95521 / 4008888666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网址：www.gtja.com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（28）名称：信达证券股份有限公司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住所：北京市西城区闹市口大街9号院1号楼信达金融中心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办公地址：北京市西城区闹市口大街9号院1号楼信达金融中心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法定代表人：张志刚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电话：（010）63081000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传真：（010）63081344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联系人：尹旭航</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客户服务电话：95321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网址：www.cindasc.com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（29）名称：国金证券股份有限公司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住所：四川省成都市东城根上街95号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办公地址：成都市东城根上街95号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法定代表人：冉云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电话：（028）86690057，（028）86690058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传真：（028）86690126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联系人：刘婧漪 贾鹏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网址：www.gjzq.com.cn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（30）名称：长城证券有限责任公司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住所：深圳市福田区深南大道6008号特区报业大厦14、16、17层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法定代表人：黄耀华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电话：（0755）83516289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传真：（0755）83516199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联系人：匡婷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客户服务电话：（0755）33680000，400-6666-888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网址：www.cc168.com.cn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（31）名称：中国国际金融股份有限公司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住所：北京建国门外大街1号国贸大厦2座27层及28层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办公地址：北京建国门外大街1号国贸大厦2座27层及28层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法定代表人：毕明建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电话：（010）65051166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传真：（010）85679203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联系人：杨涵宇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网址：www.cicc.com.cn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（32）名称：中泰证券股份有限公司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住所：山东省济南市市中区经七路86号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办公地址：山东省济南市市中区经七路86号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电话：（0531）68889155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传真：（0531）68889752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联系人：许曼华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客户服务电话：95538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网址：www.zts.com.cn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（33）名称：平安证券股份有限公司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住所：深圳市福田区金田路大中华国际交易广场裙楼8楼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办公地址：深圳市福田区金田路大中华国际交易广场裙楼8楼(518048)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法定代表人：杨宇翔</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电话：（0755）22627802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传真：（0755）82400862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联系人：郑舒丽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网址：www.pingan.com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（34）名称：申万宏源证券有限公司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住所：上海市徐汇区长乐路989号世纪商贸广场45层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办公地址：上海市徐汇区长乐路989号世纪商贸广场45层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法定代表人：杨玉成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电话：（021）33389888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联系人：李清怡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客户服务电话：95523或4008895523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网址：www.sywg.com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（35）名称：中国银河证券股份有限公司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住所：北京市西城区金融大街35号国际企业大厦C座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办公地址：北京市西城区金融大街35号国际企业大厦C座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法定代表人：陈共炎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电话：010-83574507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联系人：辛国政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客户服务电话：400-888-8888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网址：www.chinastock.com.cn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（36）名称：中信证券股份有限公司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住所：广东省深圳市福田区中心三路8号卓越时代广场（二期）北座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办公地址：北京市朝阳区亮马桥路48号中信证券大厦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法定代表人：张佑君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电话：010-60838888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客服电话：95548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网址：www.cs.ecitic.com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（37）名称：方正证券股份有限公司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住所：湖南长沙芙蓉中路二段华侨国际大厦22-24层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办公地址：湖南长沙芙蓉中路二段华侨国际大厦22-24层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法定代表人：雷杰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电话：（010）68546765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传真：（010）68546792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联系人：徐锦福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客户服务电话：95571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网址：www.foundersc.com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（38）名称：中航证券有限公司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住所：南昌市红谷滩新区红谷中大道1619号国际金融大厦41楼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办公地址：南昌市红谷滩新区红谷中大道1619号国际金融大厦41楼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法定代表人：杜航</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电话：（0791）86768681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传真：（0791）86770178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联系人：戴蕾</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客户服务电话：400-8895-335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网址：www.avicsec.com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（39）名称：中信建投证券股份有限公司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住所：北京市朝阳区安立路66号4号楼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办公地址：北京市朝阳门内大街188号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法定代表人：王常青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电话：（010）85130588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传真：（010）65182261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联系人：魏明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网址：www.csc108.com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（40）名称：国都证券股份有限公司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住所：北京市东城区东直门南大街3号国华投资大厦9层10层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办公地址：北京市东城区东直门南大街3号国华投资大厦9层10层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法定代表人：王少华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客户服务电话：400-818-8118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网址：www.guodu.com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（41）名称：中信证券（山东）有限责任公司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住所：青岛市崂山区深圳路222号1号楼2001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办公地址：青岛市市南区东海西路28号龙翔广场东座5层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法定代表人：姜晓林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电话：0531-89606166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传真：0532-85022605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联系人：焦刚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客户服务电话：95548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网址：sd.citics.com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（42）名称：申万宏源西部证券有限公司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住所：新疆乌鲁木齐市建设路2号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办公地址：北京市西城区太平桥大街19号宏源证券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法定代表人：冯戎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电话：（010）88085858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传真：（010）88085195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客户服务电话：4008-000-562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网址：www.hysec.com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（43）名称：江海证券有限公司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住所：黑龙江省哈尔滨市香坊区赣水路56号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法定代表人：孙名扬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电话：（0451）85863719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传真：（0451）82287211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客户服务电话：956007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网址：www.jhzq.com.cn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（44）名称：瑞银证券有限责任公司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住所：北京市西城区金融大街7号英蓝国际金融中心12层、15层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办公地址：北京市西城区金融大街7号英蓝国际金融中心12层、15层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法定代表人：程宜荪</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电话：（010）58328112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传真：（010）58328740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联系人：牟冲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客户服务电话：400-887-8827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网址：www.ubssecurities.com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（45）名称：渤海证券股份有限公司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住所：天津经济技术开发区第二大街42号写字楼101室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办公地址：天津市南开区宾水西道8号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法定代表人：安志勇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电话：（022）28451991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传真：（022）28451892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联系人：蔡霆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 956066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网址：www.ewww.com.cn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（46）名称：国新证券股份有限公司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法定代表人：宋德清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电话：（010）58568235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传真：（010）58568062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联系人：黄恒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客户服务电话：（010）58568118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网址：www.crsec.com.cn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（47）名称：联讯证券股份有限公司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惠州市江北东江三路55号广播电视新闻中心西面一层大堂和三、四层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办公地址：惠州市江北东江三路55号广播电视新闻中心西面一层大堂和三、四层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法定代表人：徐刚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电话：（021）33606736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传真：（021）33606760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联系人：陈思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客户服务电话：95564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网址：www.lxzq.com.cn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（48）名称：华西证券股份有限公司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住所：四川省成都市高新区天府二街198号华西证券大厦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办公地址：四川省成都市高新区天府二街198号华西证券大厦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法定代表人：杨炯洋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电话：（028）86135991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传真：（028）86150400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联系人：周志茹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客户服务电话：95584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网址：www.hx168.com.cn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（49）名称：东莞证券股份有限公司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住所：广东省东莞市莞城区可园南路一号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办公地址：广东省东莞市莞城区可园南路一号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电话：（0769）22115712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传真：（0769）22115712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网址：www.dgzq.com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（50）名称：第一创业证券股份有限公司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住所：深圳市罗湖区笋岗路12号中民时代广场 B 座25、26层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办公地址：深圳市罗湖区笋岗路12号中民时代广场 B 座25、26层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法定代表人：刘学民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电话：（0755）25832852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传真：（0755）25831718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联系人：崔国良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客户服务电话：4008881888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网址：www.firstcapital.com.cn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（51）名称：德邦证券有限责任公司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住所：上海市普陀区曹杨路510号南半幢9楼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办公地址：上海市福山路500号城建大厦26楼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法定代表人：姚文平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电话：（021）68761616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传真：（021）68767981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客户服务电话：4008-888-128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网址：www.tebon.com.cn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（52）名称：中信证券华南股份有限公司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住所：广州市天河区珠江西路5号广州国际金融中心主塔19层、20层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办公地址：广州市天河区珠江西路5号广州国际金融中心主塔19层、20层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法定代表人：胡伏云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电话：020-88836999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传真：020-88836984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联系人：陈靖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客服电话：（020）95396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网址：www.gzs.com.cn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（53）名称：大同证券有限责任公司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注册地址：山西省大同市城区迎宾街15号桐城中央21层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办公地址：太原市长治路 111 号山西世贸中心 A 座 F12、F13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邮政编码：030600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法定代表人：董祥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 话：（0351）4130322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 真：（0351）7219891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客服电话：4007121212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网址：www.dtsbc.com.cn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（54）名称：西部证券股份有限公司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住所：陕西省西安市新城区东新街 319 号 8 幢 10000 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办公地址：陕西省西安市新城区东新街 319 号 8 幢 10000 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法定代表人：徐朝晖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电话：029-87211668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联系人：张吉安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网址：www.west95582.com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（55）名称：天风证券股份有限公司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注册地址：湖北省武汉市东湖新技术开发区关东园路2号高科大厦4楼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办公地址：武汉市武昌区中南路99号保利广场A座37楼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法定代表人：余磊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联系电话：027-87107535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传真：027-87618863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联系人：王雅薇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客户服务电话：95391 / 400-800-5000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网址：www.tfzq.com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（56）名称：联储证券有限责任公司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住所：深圳市福田区福田街道岗厦社区深南大道南侧金地中心大厦9楼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办公地址：北京市朝阳区安定路5号院3号楼中建财富国际中心27层联储证券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法定代表人：吕春卫</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传真：010-86499401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祝博文、张婉婷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 400-620-6868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www.lczq.com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（57）名称：广发证券股份有限公司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住所：广州市黄埔区中新广州知识城腾飞一街2号618室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办公地址：广州市天河区马场路26号广发证券大厦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法定代表人：孙树明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电话：（020）66338888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传真：（020）87553600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联系人：马梦洁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客户服务电话：95575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网址：www.gf.com.cn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（58）名称：湘财证券股份有限公司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住所：湖南省长沙市黄兴中路63号中山国际大厦12楼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办公地址：湖南省长沙市天心区湘府中路198号标志商务中心11楼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法定代表人：林俊波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电话：（021）68634518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传真：（021）68865680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联系人：钟康莺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客户服务电话：400-888-1551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网址：www.xcsc.com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（59）名称：山西证券股份有限公司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住所：山西省太原市府西街69号山西国际贸易中心东塔楼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办公地址：山西省太原市府西街69号山西国际贸易中心东塔楼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法定代表人：侯巍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电话：0351—8686815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联系人：谢武兵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客户服务电话：400-666-1618、95573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网址：www.i618.com.cn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（60）名称：南京证券股份有限公司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住所：南京市江东中路389号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办公地址：南京市江东中路389号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法定代表人：李剑锋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电话：（025）58519529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传真：（025）83369725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联系人：曹梦媛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客户服务电话：95386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网址：www.nizq.com.cn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（61）名称：东兴证券股份有限公司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住所：北京市西城区金融大街5号新盛大厦B座12-15层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法定代表人：徐勇力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电话：（010）66555316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传真：（010）66555246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联系人：汤漫川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 400-8888-993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网址：www.dxzq.net</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（62）名称：东方财富证券股份有限公司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住所：西藏自治区拉萨市柳梧新区国际总部城10栋楼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办公地址：上海市徐汇区宛平南路88号东方财富大厦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法定代表人：戴彦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电话：（021）021-23586603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传真：（021）021-23586860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联系人：付佳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客户服务电话：95357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网址：http://www.18.cn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（63）名称：深圳市新兰德证券投资咨询有限公司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住所：深圳市福田区华强北路赛格科技园4栋10层1006#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办公地址：北京市西城区金融大街35号国际企业大厦C座9层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法定代表人：陈操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电话：（010）58325395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传真：（010）58325282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联系人：刘宝文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客户服务电话：400-850-7771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网址：http://8.jrj.com.cn/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（64）名称：上海大智慧基金销售有限公司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住所：上海市浦东新区杨高南路428号1号楼10-11层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办公地址：上海市浦东新区杨高南路428号1号楼10-11层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法定代表人：申健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电话：021-0219988-35374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传真：021-20219923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客户服务电话：021-20292031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网址：https://www.wg.com.cn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（65）名称：上海利得基金销售有限公司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上海浦东新区峨山路91弄61号陆家嘴软件园10号楼12楼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办公地址：上海市虹口区东大名路1098号浦江国际金融广场53层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法定代表人：李兴春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电话：021-50583533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传真：021-50583633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伍豪</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客服电话：400-032-5885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网址：www.leadfund.com.cn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（66）名称：北京虹点基金销售有限公司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住所：北京市朝阳区工人体育场北路甲2号裙房2层222单元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办公地址：北京市朝阳区工人体育场北路甲2号裙房2层222单元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法定代表人：胡伟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电话：（010）65951887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传真：（010）65951887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联系人：姜颖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客户服务电话：400-618-0707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网址：www.hongdianfund.com/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（67）名称：诺亚正行基金销售有限公司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住所:上海市虹口区飞虹路360弄9号3724室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办公地址:上海市杨浦区长阳路1687号长阳谷2号楼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法定代表：汪静波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电话：（021）80358523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传真：（021）80358749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客户服务电话：4008215399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网址：www.noah-fund.com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（68）名称：上海好买基金销售有限公司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住所：上海市虹口区场中路685弄37号4号楼449室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办公地址：上海市浦东新区浦东南路1118号鄂尔多斯国际大厦903-906室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法定代表人：杨文斌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传真：（021）68596916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联系人：薛年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客户服务电话：400-700-9665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网址：www.howbuy.com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（69）名称：上海长量基金销售有限公司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住所：上海市浦东新区高翔路526号2幢220室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办公地址：上海市浦东新区浦东大道555号裕景国际B座16层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法定代表人：张跃伟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电话：（021）20691832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传真：（021）20691861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联系人：单丙烨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客户服务电话：400-820-2899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网址：www.erichfund.com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（70）名称：深圳众禄基金销售股份有限公司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住所：深圳市罗湖区梨园路物资控股置地大厦8楼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办公地址：深圳市罗湖区梨园路物资控股置地大厦8楼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法定代表人：薛峰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电话：（0755）33227953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传真：（0755）33227951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联系人：汤素娅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客户服务电话：4006-788-887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网址：www.zlfund.cn，www.jjmmw.com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（71）名称：蚂蚁（杭州）基金销售有限公司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住所：浙江省杭州市余杭区五常街道文一西路969号3幢5层599室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办公地址：浙江省杭州市西湖区西溪路556号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电话：（0571）28829790，（021）60897869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传真：（0571）26698533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联系人：韩爱彬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客户服务电话：95188-8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网址：www.fund123.cn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（72）名称：天相投资顾问有限公司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住所：北京市西城区金融街19号富凯大厦B座701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办公地址：北京市西城区新街口外大街28号C座5层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法定代表人：林义相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电话：（010）66045529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传真：（010）66045518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联系人：尹伶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客户服务电话：（010）66045678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网址：http://www.txsec.com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（73）名称：北京展恒基金销售股份有限公司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住所：北京市顺义区后沙峪镇安富街6号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办公地址：北京市朝阳区安苑路15-1号邮电新闻大厦2层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法定代表人：闫振杰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电话：（010）59601366-7024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传真：（010）62020355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马林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客户服务电话：400-888-6661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网址：www.myfund.com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（74）名称：和讯信息科技有限公司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住所：北京市朝阳区朝外大街22号泛利大厦10层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办公地址：北京市朝阳区朝外大街22号泛利大厦10层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电话：（021）20835789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传真：（021）20835879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联系人：周轶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客户服务电话：4009200022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网址：http://licaike.hexun.com/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（75）名称：上海天天基金销售有限公司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住所：上海市徐汇区龙田路190号2号楼2层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办公地址：上海市徐汇区宛平南路88号金座东方财富大厦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法定代表人：其实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电话：（021）54509998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传真：（021）64385308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联系人：屠彦洋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客户服务电话：400-1818-188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网址：www.1234567.com.cn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（76）名称：上海联泰基金销售有限公司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住所：上海市普陀区兰溪路900弄15号526室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办公地址：上海市虹口区临潼路188号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法定代表人：尹彬彬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电话：021-52822063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传真：021-52975270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联系人：兰敏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客户服务电话：400-118-1188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网址：www.66liantai.com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（77）名称：珠海盈米基金销售有限公司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住所：珠海市横琴新区宝华路6号105室-3491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办公地址：广州市海珠区琶洲大道东1号保利国际广场南塔12楼B1201-1203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法定代表人：肖雯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电话：（020）89629099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传真：（020）89629011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联系人：黄敏嫦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客户服务电话：（020）89629066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网址：www.yingmi.com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（78）名称：上海基煜基金销售有限公司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住所：上海市崇明县长兴镇路潘园公路1800号2号楼6153室（上海泰和经济发展区）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办公地址：上海市杨浦区昆明路518号A1002室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法定代表人：王翔</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电话：（021）65370077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传真：（021）55085991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联系人：俞申莉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客户服务电话：（021）65370077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网址：www.fofund.com.cn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（79）名称：宜信普泽投资顾问（北京）有限公司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住所：北京市朝阳区建国路88号9号楼15层1809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办公地址：北京市朝阳区建国路88号SOHO现代城C座1809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法定代表人：沈伟桦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电话：010-52855713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传真：010-85894285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联系人：程刚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客户服务电话：400-6099-200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网址：www.yixinfund.com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（80）名称：浙江同花顺基金销售有限公司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住所：浙江省杭州市文二西路1号元茂大厦903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办公地址：浙江杭州余杭区五常街道同顺街18号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法定代表人：吴强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电话：（0571）88911818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传真：（0571）86800423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联系人：吴强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客户服务电话：952555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网址：https://fund.10jqka.com.cn/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（81）名称：中信期货有限公司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住所：深圳市福田区中心三路8号卓越时代广场（二期）北座13层1301-1305室、14层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办公地址：深圳市福田区中心三路8号卓越时代广场（二期）北座13层1301-1305室、14层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电话：010-60833754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传真：021-60819988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联系人：刘宏莹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客服电话：400-990-8826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网站：www.citicsf.com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（82）名称：上海陆金所基金销售有限公司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住所：上海市浦东新区陆家嘴环路1333号14楼09单元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办公地址：上海市浦东新区陆家嘴环路1333号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法定代表人：王之光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电话：（021）20665952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传真：（021）22066653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联系人：宁博宇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客户服务电话：4008219031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网址：www.lufunds.com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（83）名称：北京汇成基金销售有限公司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住所：北京市西城区宣武门外大街甲1号4层401-2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办公地址：北京市西城区宣武门外大街甲1号环球财讯中心D座4层401-2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法定代表人：王伟刚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电话：（010）56282140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传真：（010）62680827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客户服务电话：400-619-9059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网址：www.hcfunds.co</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（84）名称：奕丰基金销售有限公司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住所：深圳市前海深港合作区前湾一路1号A栋201室（入住深圳市前海商务秘书有限公司）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办公地址：深圳市南山区海德三道航天科技广场A座17楼1704室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法定代表人：TEO WEE HOWE</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电话：（0755）89460500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传真：（0755）21674453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联系人：叶健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客户服务电话：400-684-0500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网址：www.ifastps.com.cn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（85）名称：北京创金启富基金销售有限公司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北京市西城区白纸坊东街2号院6号楼712室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 北京市西城区白纸坊东街2号院6号楼712室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梁蓉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电话：010-66154828-8047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传真：010-63583991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魏素清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客户服务电话：010-66154828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https://www.5irich.com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（86）名称：上海云湾基金销售有限公司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中国（上海）自由贸易试验区新金桥路27号1号1层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 上海市浦东新区新金桥路27号1号楼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冯轶明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电话：（021）20530186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传真：（021）20538999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范泽杰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客户服务电话：400-820-1515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网址：www.zhengtongfunds.com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（87）名称：中证金牛（北京）基金销售有限公司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北京市丰台区东管头1号2号楼2-45室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 北京市西城区宣武门外大街甲一号环球财讯中心A座5层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钱昊旻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电话：（010）59336512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传真：（010）59336586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沈晨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客户服务电话：4008-909-998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www.jnlc.com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（88）名称：北京新浪仓石基金销售有限公司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注册地址：北京市海淀区东北旺西路中关村软件园二期（西扩）N-1、N-2地块新浪总部科研楼5层518室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办公地址：北京市海淀区东北旺西路中关村软件园二期（西扩）N-1、N-2地块新浪总部科研楼5层518室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法定代表人：穆飞虎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电话：010-58982465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联系人：穆飞虎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客服电话：010-6267 5369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网址：www.xincai.com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（89）名称：京东肯特瑞基金销售有限公司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北京市海淀区西三旗建材城中路12号17号平房157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办公地址：北京市通州区亦庄经济技术开发区科创十一街18号院京东集团总部A座17层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法定代表人：王苏宁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电话：95118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传真：010-89189566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客服热线：95118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网址：kenterui.jd.com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（90）名称：北京雪球基金销售有限公司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住所：北京市朝阳区创远路 34 号院6号楼15层1501室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办公地址：北京市朝阳区创远路 34 号院融新科技中心 C 座 17 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电话：（010）61840688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传真：（010）84997571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联系人：武安广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客户服务电话：400-1599-288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网址：danjuanfunds.com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（91）名称：深圳市金斧子基金销售有限公司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住所：深圳市南山区粤海街道科苑路16号东方科技大厦18楼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办公地址：深圳市南山区粤海街道科苑路科兴科学园B3单元7楼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法定代表人：赖任军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电话：（0755）66892301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传真：（0755）66892399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客户服务电话：400-9500-888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网址：www.jfzinv.com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（92）名称：格上富信投资顾问有限公司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住所：北京市朝阳区东三环北路19号楼701内09室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办公地址：北京市朝阳区东三环北路19号楼701内09室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法定代表人：李悦章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电话：（010）85594745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传真：（010）65983333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客户服务电话：400-066-8586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网址：www.igesafe.com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（93）名称：上海万得基金销售有限公司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住所：中国（上海）自由贸易试验区福山路33号11楼B座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办公地址：上海市浦东新区浦明路1500号万得大厦11楼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宋晓言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电话：021-50712782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传真：021-50710161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马烨莹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客户服务电话：400-799-1888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www.520fund.com.cn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（94）名称：万家财富基金销售（天津）有限公司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住所：天津自贸区（中心商务区）迎宾大道1988号滨海浙商大厦公寓2-2413室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办公地址：北京市西城区丰盛胡同28号太平洋保险大厦A座5层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电话：（010）59013825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传真：（010）59013828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联系人：王茜蕊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客户服务电话：010-59013895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网址：http://www.wanjiawealth.com/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（95）名称：上海挖财基金销售有限公司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注册地址：中国(上海)自由贸易试验区杨高南路759号18层03单元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办公地址：中国(上海)自由贸易试验区杨高南路759号18层03单元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法定代表人：吕柳霞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电话：021-50810673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传真：021-50810687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邮编：200120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联系人：毛善波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客服电话：400-711-8718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网址：www.wacaijijin.com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（96）名称：嘉实财富管理有限公司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住所：海南省三亚市天涯区三亚湾路国际客运港区国际养生度假中心酒店B座(2＃楼)27楼2714室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办公地址及其联系方式：北京市朝阳区建国门外大街21号北京国际俱乐部C座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张峰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 010-85097302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联系人：闫欢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客户服务电话：400-021-8850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公司网址：http://www.harvestwm.cn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（97）名称：南京苏宁基金销售有限公司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住所：南京市玄武区苏宁大道1-5号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办公地址：南京市玄武区苏宁大道1-5号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电话：025-66996699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传真：025-66996699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联系人：冯鹏鹏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客户服务电话：95177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网址：www.snjijin.com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（98）名称：北京度小满基金销售有限公司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注册地址：北京市海淀区西北旺东路10号院西区4号楼1层103室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法定代表人：葛新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办公地址：北京市海淀区西北旺东路10号院西区4号楼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机构联系人：王笑宇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联系人电话：010-59403028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联系人传真：010-59403027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客户服务电话：95055-4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公司网址：www.baiyingfund.com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（99）名称：上海华夏财富投资管理有限公司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住所：上海市虹口区东大名路687号1幢2楼268室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 北京市西城区金融大街33号通泰大厦B座8层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毛淮平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电话：010-88066632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传真：010-63136184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张静怡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客户服务电话：400-817-5666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www.amcfortune.com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（100）名称：玄元保险代理有限公司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住所：中国(上海)自由贸易试验区张杨路707号1105室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办公地址：中国(上海)自由贸易试验区张杨路707号1105室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法定代表人：马永谙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电话：（021）50701053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传真：（021）50701053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客户服务电话：400-080-8208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网址：www.licaimofang.cn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（101）名称：阳光人寿保险股份有限公司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住所：海南省三亚市迎宾路360-1号三亚阳光金融广场16层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办公地址：北京市朝阳区朝阳门外大街乙12号院1号昆泰国际大厦12层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电话：（010）85632771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传真：（010）85632773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联系人：王超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网址：http://fund.sinosig.com/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（102）名称：大连网金基金销售有限公司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辽宁省大连市沙河口区体坛路22号诺德大厦2层202室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 辽宁省大连市沙河口区体坛路22号诺德大厦2层202室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樊怀东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电话：（0411-39027810）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传真：（0411-39027835）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于秀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 4000-899-100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网址：http://www.yibaijin.com/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（103）名称：腾安基金销售（深圳）有限公司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住所：深圳市前海深港合作区前湾一路1号A栋201室（入驻深圳市前海商务秘书有限公司）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办公地址：深圳市南山区海天二路33号腾讯滨海大厦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法定代表人：刘明军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电话：95017（拨通后转1转8）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联系人：谭广峰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客户服务电话：95017（拨通后转1转8）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网址：http://www.tenganxinxi.com/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（104）名称：泛华普益基金销售有限公司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住所：成都市成华区建设路9号高地中心1101室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办公地址：成都市金牛区花照壁西顺街399号1栋1单元龙湖西宸天街B座1201号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法定代表人：于海锋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电话：028-8661-6229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联系人：隋亚方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客户服务电话：400-080-3388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网址：https://www.puyifund.com/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（105）名称：和耕传承基金销售有限公司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住所：河南自贸试验区郑州片区（郑东）东风南路东康宁街北6号楼5楼503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办公地址：河南自贸试验区郑州片区（郑东）东风南路东康宁街北6号楼5楼503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法定代表人：温丽燕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电话：0371-85518395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传真：0371-85518397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联系人：胡静华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客户服务电话：4000555671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网址：www.hgccpb.com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（106）名称：上海中欧财富基金销售有限公司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住所：中国（上海）自由贸易试验区陆家嘴环路479号1008-1室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办公地址：上海市虹口区公平路18号嘉昱大厦6楼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法定代表人：许欣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电话：021-68609600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传真：021-33830351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刘弘义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客户服务电话：400-700-9700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公司网址：https://www.zocaifu.com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（107）名称：中国人寿保险股份有限公司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住所：中国北京市西城区金融大街16号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办公地址：北京市西城区金融大街16号中国人寿广场A座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客户服务电话：95519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www.e-chinalife.com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（108）名称：济安财富（北京）基金销售有限公司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住所：北京市朝阳区太阳宫中路16号院1号楼10层1005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办公地址：北京市朝阳区太阳宫中路16号院1号楼11层1105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电话：010-65309516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传真：010-65330699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联系人：宋静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客户服务电话：400-673-7010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网址：www.jianfortune.com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（109）名称：博时财富基金销售有限公司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住所：深圳市福田区莲花街道福新社区益田路5999号基金大厦19层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办公地址：深圳市福田区莲花街道福新社区益田路5999号基金大厦19层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法定代表人：王德英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电话：0755-83169999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传真：0755-83195220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联系人：崔丹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客户服务电话：400-610-5568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网址：www.boserawealth.com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（110）名称：深圳前海微众银行股份有限公司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住所：深圳前海深港合作区前湾一路1号A栋201室（入驻深圳市前海商务秘书有限公司）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办公地址：广东省深圳市南山区沙河西路1819号深圳湾科技生态园7栋A座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法定代表人：顾敏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电话：15112686889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联系人：白冰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客户服务电话：95384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网址：www.webank.com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基金管理人可根据有关法律法规的要求，选择其它符合要求的机构代理销售本基金，并在管理人网站公示。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（二）登记机构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名称：中国证券登记结算有限责任公司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住所：北京市西城区太平桥大街17号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办公地址：北京市西城区太平桥大街17号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法定代表人：于文强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电话：（010）50938782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传真：（010）50938907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联系人：赵亦清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（三）出具法律意见书的律师事务所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名称：上海市通力律师事务所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住所：上海市银城中路68号时代金融中心19楼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办公地址：上海市银城中路68号时代金融中心19楼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负责人：韩炯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电话：（021）31358666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传真：（021）31358600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联系人：黎明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经办律师：吕红、黎明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（四）审计基金财产的会计师事务所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名称：容诚会计师事务所（特殊普通合伙）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注册地址：北京市西城区阜成门外大街22号1幢外经贸大厦901-22至901-26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办公地址：北京市西城区阜成门外大街22号1幢外经贸大厦901-22至901-26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执行事务合伙人：肖厚发、刘维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电话：010-66001391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传真：010-66001391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联系人：李隐煜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经办会计师：沈兆杰、李隐煜</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8" w:name="_Toc187935789"/>
      <w:r>
        <w:rPr>
          <w:rFonts w:ascii="Times New Roman" w:hAnsi="Times New Roman"/>
          <w:sz w:val="30"/>
        </w:rPr>
        <w:t>六、基金的历史沿革</w:t>
      </w:r>
      <w:bookmarkEnd w:id="8"/>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本基金由基金管理人依照《基金法》、《运作办法》、基金合同及其他有关规定，并经中国证监会证监许可[2012]1287号文核准募集发售。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本基金为契约型开放式债券型发起式基金。基金存续期间为不定期。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本基金募集期间基金份额净值为人民币1.00元，按面值发售。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本基金自2012年11月26日至2012年12月14日进行发售。本基金设立募集期共募集2,116,634,959.21份基金份额，有效认购户数为7,477户。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交银施罗德纯债债券型发起式证券投资基金基金合同》的有关约定，本基金管理人运用固有资金作为发起资金认购本基金的净认购金额为10,000,000.00元人民币，认购基金份额（含募集期利息结转份额）10,003,472.22份。自本基金基金合同生效之日起，本基金管理人所认购的基金份额持有期限不低于三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本基金管理人持有的上述发起份额已于2017年一季度全部赎回，相应份额的持有期限符合基金合同的约定。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9" w:name="_Toc187935790"/>
      <w:r>
        <w:rPr>
          <w:rFonts w:ascii="Times New Roman" w:hAnsi="Times New Roman"/>
          <w:sz w:val="30"/>
        </w:rPr>
        <w:t>七 、基金合同的生效</w:t>
      </w:r>
      <w:bookmarkEnd w:id="9"/>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根据有关规定，本基金满足基金合同生效条件，基金合同已于2012年12月19日正式生效。自基金合同生效之日起，本基金管理人正式开始管理本基金。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后，出现基金份额持有人数量不满200人或者基金资产净值低于5000万元情形的，基金管理人应当及时报告中国证监会；连续20个工作日出现前述情形的，基金管理人应当及时向中国证监会报告，说明出现上述情况的原因并提出解决方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基金合同生效之日起满3年后的对应日（如该对应日为非工作日，则顺延至下一个工作日），若基金资产净值低于2亿元的，基金合同自动终止，且不得通过召开基金份额持有人大会延续基金合同期限。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法律法规或监管机构另有规定时，从其规定。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0" w:name="_Toc187935791"/>
      <w:r>
        <w:rPr>
          <w:rFonts w:ascii="Times New Roman" w:hAnsi="Times New Roman"/>
          <w:sz w:val="30"/>
        </w:rPr>
        <w:t>八、基金份额的申购与赎回</w:t>
      </w:r>
      <w:bookmarkEnd w:id="10"/>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本基金A类基金份额接受场内和场外申购与赎回，B类基金份额、C类基金份额和D类基金份额暂时仅接受场外申购和赎回。各类基金份额具体申赎方式详见本招募说明书或相关公告。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（一）申购和赎回的场所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投资者可通过下述场所按照规定的方式进行申购或赎回：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1、直销机构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本基金直销机构为本公司以及本公司的网上直销交易平台。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办公地址：上海市浦东新区世纪大道8号国金中心二期21-22楼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电话：（021）61055724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传真：（021）61055054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联系人：傅鲸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客户服务电话：400-700-5000（免长途话费），（021）61055000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个人投资者可以通过本公司网上直销交易平台办理开户、本基金A类基金份额、C类基金份额和D类基金份额的申购、赎回、转换及定期定额投资等业务，具体交易细则请参阅本公司网站。网上直销交易平台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2、通过上海证券交易所交易系统办理相关业务的上海证券交易所会员单位，目前场内交易只支持A类基金份额的申购。具体名单详见上海证券交易所网站。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3、不通过上海证券交易所交易系统办理相关业务的场外代销机构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本基金场外代销机构参见本招募说明书“五、相关服务机构”章节或拨打本公司客户服务电话进行咨询。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投资者可通过上述销售机构办理基金销售业务的营业场所或按上述销售机构提供的其他方式进行申购或赎回。本基金管理人可根据情况变更或增减基金场外代销机构，并在管理人网站公示。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若基金管理人或其指定的代销机构开通电话、传真或网上等交易方式，投资者可以通过上述方式进行申购与赎回。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（二）申购和赎回的开放日及时间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1、开放日及开放时间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投资者在开放日办理基金份额的申购和赎回，具体办理时间为上海证券交易所、深圳证券交易所的正常交易日的交易时间，但基金管理人根据法律法规、中国证监会的要求或本基金合同的规定公告暂停申购、赎回时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不得在基金合同约定之外的日期或者时间办理基金份额的申购、赎回或者转换。基金投资者在基金合同约定之外的日期和时间提出申购、赎回或转换申请的，其基金份额申购、赎回及转换价格为下次办理基金份额申购、赎回及转换时间所在开放日的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2、申购的开始日及业务办理时间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本基金A类基金份额已于2013年3月19日起开放场外、场内申购业务。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本基金B类基金份额和C类基金份额已于2013年3月19日起开放场外申购业务。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本基金D类基金份额已于2024年9月12日起开放场外申购业务。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3、赎回的开始日及业务办理时间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本基金A类基金份额已于2013年3月19日起开放场外、场内赎回业务。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本基金B类基金份额和C类基金份额已于2013年3月19日起开放场外赎回业务。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本基金D类基金份额已于2024年9月12日起开放场外赎回业务。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（三）申购和赎回的原则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1、“未知价”原则，即基金份额的申购与赎回价格以申请当日收市后计算的基金份额净值为基准进行计算；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2、基金采用金额申购和份额赎回的原则，即申购以金额申请，赎回以份额申请；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份额持有人赎回时，除指定赎回外，基金管理人按“先进先出”的原则，对该持有人账户在该销售机构托管的基金份额进行处理，即注册登记确认日期在先的基金份额先赎回，注册登记确认日期在后的基金份额后赎回，以确定被赎回基金份额的持有期限和所适用的赎回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4、当日的申购与赎回申请一经注册登记机构正式受理不得撤销；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5、基金管理人在不损害基金份额持有人权益的情况下可更改上述原则，但最迟应在新的原则实施前依照《信息披露办法》的有关规定在指定媒介上公告。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（四）申购和赎回的数额限定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1、申购金额的限制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场外申购时，场外代销机构每个账户单笔申购的最低金额为单笔1元，如果代销机构业务规则规定的最低单笔认购金额高于1元，以代销机构的规定为准。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直销机构每个账户首次申购的最低金额为单笔100万元，追加申购的最低金额为单笔10万元；已在直销机构有认购或申购过本基金管理人管理的任一基金（包括本基金）记录的投资者不受首次申购最低金额的限制。通过本公司网上直销交易平台办理基金申购业务的不受直销机构单笔申购最低金额的限制，申购最低金额为单笔1元。本基金直销机构单笔申购最低金额可由基金管理人酌情调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场内申购时，每笔申购金额最低为100元人民币，同时每笔申购必须是100元的整数倍，并且单笔申购最高不超过99,999,900元。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2、赎回份额的限制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场外赎回的最低份额为1份基金份额，如果销售机构业务规则规定的最低单笔赎回份额高于1份，以该销售机构的规定为准。场内赎回时，赎回的最低份额为50份基金份额，同时赎回份额必须是整数份额，并且单笔赎回最多不超过99,999,999份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3、最低保留余额的限制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每个工作日投资者在单个交易账户保留的本基金份额余额少于1份时，若当日该账户同时有份额减少类业务（如赎回、转换出等）被确认，则基金管理人有权将投资者在该账户保留的本基金份额一次性全部赎回。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5、基金管理人可以根据市场情况，在法律法规允许的情况下，调整上述规定的数量或比例限制。基金管理人必须在调整前依照《信息披露办法》的有关规定在指定媒介上公告。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（五）申购和赎回的程序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1、申购和赎回的申请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基金投资者必须根据销售机构规定的程序，在开放日的具体业务办理时间内提出申购或赎回的申请。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基金投资者在提交申购申请时须按销售机构规定的方式备足申购资金，基金投资者在提交赎回申请时须持有足够的基金份额余额，否则所提交的申购、赎回申请无效而不予成交。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2、申购和赎回申请的确认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T 日规定时间受理的申请，正常情况下，注册登记机构在T+1 日内（包括该日）为投资者对该交易的有效性进行确认，基金投资者应在T+2日后（包括该日）及时到销售网点柜台或以销售机构规定的其他方式查询申请的确认情况。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基金管理人可以在法律法规允许的范围内，依法对上述申购和赎回申请的确认时间进行调整，并必须在调整实施日前按照《信息披露办法》的有关规定在指定媒介上公告。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销售机构对申购、赎回申请的受理并不代表该申请一定成功，而仅代表销售机构确实接收到申购、赎回申请。申购、赎回申请的确认以注册登记机构的确认结果为准。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3、申购和赎回的款项支付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申购采用全额缴款方式，若申购资金在规定时间内未全额到账则申购不成功。若申购不成功或无效，基金管理人或基金管理人指定的代销机构将基金投资者已缴付的申购款项本金退还给投资者。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基金投资者赎回申请成功后，基金管理人将通过注册登记机构及其相关销售机构在T＋7日（包括该日）内将赎回款项划往基金份额持有人账户。在发生巨额赎回时，款项的支付办法参照基金合同有关条款处理。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（六）申购与赎回的注册登记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1、投资者T 日申购基金成功后，正常情况下，注册登记机构在T＋1 日为投资者增加权益并办理注册登记手续，投资者自T＋2 日（包括该日）起有权赎回该部分基金份额。投资者应及时查询有关申请的确认情况。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2、投资者T 日赎回基金成功后，正常情况下，注册登记机构在T＋1 日为投资者扣除权益并办理相应的注册登记手续。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3、基金管理人可在法律法规允许的范围内，对上述注册登记办理时间进行调整，并最迟于开始实施前按照《信息披露办法》的有关规定在指定媒介上公告。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（七）基金的申购费和赎回费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基金份额分为A类、B类、C类和D类基金份额。投资者申购A类基金份额或D类基金份额支付申购费用，申购B类基金份额在赎回时才支付相应的申购费用，申购C类基金份额不支付申购费用，而是从该类别基金资产中计提销售服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A类、B类、D类基金份额的申购费用由申购该类基金份额的投资人承担，不列入基金财产，主要用于本基金的市场推广、销售、登记结算等各项费用。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投资者可以多次申购本基金，申购费率按每笔申购申请单独计算。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本基金A类基金份额的申购费率如下：</w:t>
      </w:r>
    </w:p>
    <w:tbl>
      <w:tblPr>
        <w:tblStyle w:val="14"/>
        <w:tblW w:w="5000" w:type="pct"/>
        <w:tblInd w:w="0" w:type="dxa"/>
        <w:tblLayout w:type="autofit"/>
        <w:tblCellMar>
          <w:top w:w="0" w:type="dxa"/>
          <w:left w:w="0" w:type="dxa"/>
          <w:bottom w:w="0" w:type="dxa"/>
          <w:right w:w="0" w:type="dxa"/>
        </w:tblCellMar>
      </w:tblPr>
      <w:tblGrid>
        <w:gridCol w:w="2167"/>
        <w:gridCol w:w="6503"/>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A类基金份额前端申购费率</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50万元以下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50万元（含）至100万元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100万元（含）至200万元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200万元（含）至500万元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500万元（含）以上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每笔交易1000元</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本基金B类基金份额的申购费率如下：</w:t>
      </w:r>
    </w:p>
    <w:tbl>
      <w:tblPr>
        <w:tblStyle w:val="14"/>
        <w:tblW w:w="5000" w:type="pct"/>
        <w:tblInd w:w="0" w:type="dxa"/>
        <w:tblLayout w:type="autofit"/>
        <w:tblCellMar>
          <w:top w:w="0" w:type="dxa"/>
          <w:left w:w="0" w:type="dxa"/>
          <w:bottom w:w="0" w:type="dxa"/>
          <w:right w:w="0" w:type="dxa"/>
        </w:tblCellMar>
      </w:tblPr>
      <w:tblGrid>
        <w:gridCol w:w="2167"/>
        <w:gridCol w:w="6503"/>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B类基金份额后端申购费率</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1年以内（含）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1年—3年（含）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3年—5年（含）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5年以上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本基金D类基金份额的申购费率如下：</w:t>
      </w:r>
    </w:p>
    <w:tbl>
      <w:tblPr>
        <w:tblStyle w:val="14"/>
        <w:tblW w:w="5000" w:type="pct"/>
        <w:tblInd w:w="0" w:type="dxa"/>
        <w:tblLayout w:type="autofit"/>
        <w:tblCellMar>
          <w:top w:w="0" w:type="dxa"/>
          <w:left w:w="0" w:type="dxa"/>
          <w:bottom w:w="0" w:type="dxa"/>
          <w:right w:w="0" w:type="dxa"/>
        </w:tblCellMar>
      </w:tblPr>
      <w:tblGrid>
        <w:gridCol w:w="2167"/>
        <w:gridCol w:w="6503"/>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D类基金份额前端申购费率</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50万元以下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50万元（含）至100万元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100万元（含）至200万元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200万元（含）至500万元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500万元（含）以上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每笔交易1200元</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持有A类、B类或D类基金份额的基金投资者因红利自动再投资而产生的A类、B类或D类基金份额，不收取相应的申购费用。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本基金对通过本公司直销柜台申购本基金A类基金份额或D类基金份额的养老金客户实施特定申购费率。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通过本公司直销柜台申购本基金A类基金份额的养老金客户特定申购费率如下表：</w:t>
      </w:r>
    </w:p>
    <w:tbl>
      <w:tblPr>
        <w:tblStyle w:val="14"/>
        <w:tblW w:w="5000" w:type="pct"/>
        <w:tblInd w:w="0" w:type="dxa"/>
        <w:tblLayout w:type="autofit"/>
        <w:tblCellMar>
          <w:top w:w="0" w:type="dxa"/>
          <w:left w:w="0" w:type="dxa"/>
          <w:bottom w:w="0" w:type="dxa"/>
          <w:right w:w="0" w:type="dxa"/>
        </w:tblCellMar>
      </w:tblPr>
      <w:tblGrid>
        <w:gridCol w:w="1238"/>
        <w:gridCol w:w="3716"/>
        <w:gridCol w:w="3716"/>
      </w:tblGrid>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特定申购费率（A类基金份额）</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A类基金份额特定申购费率</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50万元以下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50万元（含）至100万元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100万元（含）至200万元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200万元（含）至500万元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500万元以上（含500万）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每笔交易1000元</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通过基金管理人直销柜台申购本基金D类基金份额的养老金客户特定申购费率如下表：</w:t>
      </w:r>
    </w:p>
    <w:tbl>
      <w:tblPr>
        <w:tblStyle w:val="14"/>
        <w:tblW w:w="5000" w:type="pct"/>
        <w:tblInd w:w="0" w:type="dxa"/>
        <w:tblLayout w:type="autofit"/>
        <w:tblCellMar>
          <w:top w:w="0" w:type="dxa"/>
          <w:left w:w="0" w:type="dxa"/>
          <w:bottom w:w="0" w:type="dxa"/>
          <w:right w:w="0" w:type="dxa"/>
        </w:tblCellMar>
      </w:tblPr>
      <w:tblGrid>
        <w:gridCol w:w="1238"/>
        <w:gridCol w:w="3716"/>
        <w:gridCol w:w="3716"/>
      </w:tblGrid>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特定申购费率（D类基金份额）</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D类基金份额特定申购费率</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50万元以下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50万元（含）至100万元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0.21%</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100万元（含）至200万元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200万元（含）至500万元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0.08%</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500万元以上（含500万元）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每笔交易1200元</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投资者通过直销机构交易享有的交易费率优惠情况请见本基金管理人的有关公告或本基金管理人网站。本基金管理人基金网上直销业务已开通的银行卡及各银行卡交易金额限额请参阅本基金管理人网站。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本基金管理人可根据业务情况调整上述交易费用和限额要求，并依据相关法规的要求提前进行公告。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2、赎回费用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赎回基金份额收取赎回费用，该费用随基金份额的持有时间递减。本基金A类、B类、C类和D类基金份额的赎回费用由赎回该类基金份额的基金份额持有人承担，赎回费用的25%归基金财产，其余用于支付注册登记费和其他必要的手续费。其中，对持续持有期少于7日的基金份额持有人收取不低于1.5%的赎回费并全额计入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本基金A/B类基金份额的赎回费率如下：</w:t>
      </w:r>
    </w:p>
    <w:tbl>
      <w:tblPr>
        <w:tblStyle w:val="14"/>
        <w:tblW w:w="5000" w:type="pct"/>
        <w:tblInd w:w="0" w:type="dxa"/>
        <w:tblLayout w:type="autofit"/>
        <w:tblCellMar>
          <w:top w:w="0" w:type="dxa"/>
          <w:left w:w="0" w:type="dxa"/>
          <w:bottom w:w="0" w:type="dxa"/>
          <w:right w:w="0" w:type="dxa"/>
        </w:tblCellMar>
      </w:tblPr>
      <w:tblGrid>
        <w:gridCol w:w="2167"/>
        <w:gridCol w:w="6503"/>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7日以内</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7日（含）—1年（含）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1年—2年（含）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2年以上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本基金C类基金份额和D类基金份额的赎回费率如下：</w:t>
      </w:r>
    </w:p>
    <w:tbl>
      <w:tblPr>
        <w:tblStyle w:val="14"/>
        <w:tblW w:w="5000" w:type="pct"/>
        <w:tblInd w:w="0" w:type="dxa"/>
        <w:tblLayout w:type="autofit"/>
        <w:tblCellMar>
          <w:top w:w="0" w:type="dxa"/>
          <w:left w:w="0" w:type="dxa"/>
          <w:bottom w:w="0" w:type="dxa"/>
          <w:right w:w="0" w:type="dxa"/>
        </w:tblCellMar>
      </w:tblPr>
      <w:tblGrid>
        <w:gridCol w:w="2167"/>
        <w:gridCol w:w="6503"/>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7日以内</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7日以上（含）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3、基金管理人可以在履行相关手续后，在基金合同约定的范围内调整申购、赎回费率或调整收费方式，基金管理人应于新的费率或收费方式实施日前依照有关规定在指定媒介上公告。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管理人可以在不违背法律法规规定及基金合同约定的情况下根据市场情况制定基金促销计划，针对基金投资者定期和不定期地开展基金促销活动。在基金促销活动期间，基金管理人可以按中国证监会要求履行必要手续后，对基金投资者适当调整基金申购费率、赎回费率和转换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（八）申购和赎回的数额和价格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1、申购和赎回数额、余额的处理方式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份额余额的处理方式：申购的有效份额按实际确认的申购金额在扣除申购费用（如有）后，以当日该类基金份额的基金份额净值为基准计算，场外申购的有效份额按照四舍五入的原则保留到小数点后2位，由此误差产生的损失由基金财产承担，产生的收益归基金财产所有。场内申购的有效份额的计算截位保留到整数位，剩余部分折回金额返还投资者，折回金额的计算保留到小数点后两位，小数点两位以后的部分四舍五入，由此误差产生的损失由基金财产承担，产生的收益归基金财产所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赎回金额余额的处理方式：赎回金额为按实际确认的有效赎回份额乘以当日该类基金份额的基金份额净值并扣除赎回费用（如有），赎回金额计算结果按照四舍五入的原则保留到小数点后2位，由此误差产生的损失由基金财产承担，产生的收益归基金财产所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2、申购份额的计算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（1）A类基金份额的申购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申购总金额=申请总金额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净申购金额=申购总金额/（1+申购费率）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（注：对于适用固定金额申购费用的申购，净申购金额＝申购总金额－固定申购费用金额）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申购费用=申购总金额-净申购金额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（注：对于适用固定金额申购费用的申购，申购费用＝固定申购费用金额）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w:t>
      </w:r>
      <w:r>
        <w:rPr>
          <w:rFonts w:ascii="宋体" w:hAnsi="宋体"/>
          <w:kern w:val="0"/>
          <w:sz w:val="24"/>
        </w:rPr>
        <w:drawing>
          <wp:inline distT="0" distB="0" distL="0" distR="0">
            <wp:extent cx="3688080" cy="883920"/>
            <wp:effectExtent l="0" t="0" r="0" b="0"/>
            <wp:docPr id="11" name="图片 1"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688080" cy="883920"/>
                    </a:xfrm>
                    <a:prstGeom prst="rect">
                      <a:avLst/>
                    </a:prstGeom>
                    <a:noFill/>
                    <a:ln>
                      <a:noFill/>
                    </a:ln>
                  </pic:spPr>
                </pic:pic>
              </a:graphicData>
            </a:graphic>
          </wp:inline>
        </w:drawing>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场内申购的有效份额保留到整数位，剩余部分对应申购资金返还投资者。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例一：某投资者投资100,000元申购本基金的A类基金份额，假设申购当日A/B类基金份额净值为1.0400元，申购费率为0.8%，如果该投资者是场外申购，则其可得到的申购份额为：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申购总金额＝100,000元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净申购金额=100,000/（1+0.8%）=99,206.35元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申购费用=100,000-99,206.35=793.65元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申购份额=（100,000-793.65）/1.0400=95,390.72份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如果该投资者是场内申购，申购份额为95,390份，其余0.72份对应金额返回给投资者。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（2）B类基金份额的申购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申购总金额=申请总金额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w:t>
      </w:r>
      <w:r>
        <w:rPr>
          <w:rFonts w:ascii="宋体" w:hAnsi="宋体"/>
          <w:kern w:val="0"/>
          <w:sz w:val="24"/>
        </w:rPr>
        <w:drawing>
          <wp:inline distT="0" distB="0" distL="0" distR="0">
            <wp:extent cx="3688080" cy="883920"/>
            <wp:effectExtent l="0" t="0" r="0" b="0"/>
            <wp:docPr id="10"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688080" cy="883920"/>
                    </a:xfrm>
                    <a:prstGeom prst="rect">
                      <a:avLst/>
                    </a:prstGeom>
                    <a:noFill/>
                    <a:ln>
                      <a:noFill/>
                    </a:ln>
                  </pic:spPr>
                </pic:pic>
              </a:graphicData>
            </a:graphic>
          </wp:inline>
        </w:drawing>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当投资者提出赎回时，后端申购费用的计算方法为：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后端申购费用＝赎回份额×T日A/B类基金份额净值×后端申购费率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例二：某投资者投资100,000元申购本基金的B类基金份额，假设申购当日A/B类基金份额净值为1.0400元，则其可得到的申购份额为：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申购份额＝100,000/1.0400＝96,153.85份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即：投资者投资100,000元申购本基金的B类基金份额，假设申购当日A/B类基金份额净值为1.0400元，则可得到96,153.85份基金份额，但其在赎回时需根据其持有时间按对应的后端申购费率交纳后端申购费用。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（3）C类基金份额的申购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如果投资者选择申购C类基金份额，则申购份额的计算方法如下：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申购总金额=申请总金额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申购份额=申购总金额/T日C类基金份额净值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例三：某投资者投资100,000元申购本基金的C类基金份额，假设申购当日C类基金份额净值为1.0400元，则其可得到的申购份额为：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申购份额＝100,000/1.0400＝96,153.85份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（4）D类基金份额的申购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如果投资者选择申购D类基金份额，则申购份额的计算方法如下：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申购总金额=申请总金额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净申购金额=申购总金额/（1+申购费率）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（注：对于适用固定金额申购费用的申购，净申购金额＝申购总金额－固定申购费用金额）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申购费用=申购总金额-净申购金额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（注：对于适用固定金额申购费用的申购，申购费用＝固定申购费用金额）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申购份额=净申购金额/T日D类基金份额净值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例四：某投资者投资100,000.00元申购本基金的D类基金份额，假设申购当日D类基金份额净值为1.0400元，申购费率为0.9%，则其可得到的申购份额为：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申购总金额＝100,000.00元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净申购金额=100,000.00/（1+0.9%）=99,108.03元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申购费用=100,000.00-99,108.03=891.97元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申购份额=99,108.03/1.0400=95,296.18份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即：投资者投资100,000.00元申购本基金D类基金份额，假设申购当日D类基金份额净值为1.0400元，则其可得到95,296.18份D类基金份额。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3、赎回金额的计算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（1）A类基金份额的赎回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如果投资者赎回A类基金份额，则赎回金额的计算方法如下：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赎回费用=赎回份额×T日A/B类基金份额净值×赎回费率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赎回金额=赎回份额×T日A/B类基金份额净值-赎回费用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例五：某投资者赎回100,000份A类基金份额，持有期限为100天，对应的赎回费率为0.1%，假设赎回当日A/B类基金份额净值是1.0160元，则其可得到的赎回金额为：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赎回费用=100,000×1.0160×0.1%＝101.60元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赎回金额=100,000×1.0160-101.60＝101,498.40元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即：投资者赎回100,000万份A类基金份额，持有期限为100天，对应的赎回费率为0.1%，假设赎回当日A/B类基金份额净值是1.0160元，则其可得到的赎回金额为101,498.40元。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（2）B类基金份额的赎回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如果投资者赎回B类基金份额，则赎回金额的计算方法如下：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赎回总额＝赎回份额×T日A/B类基金份额净值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后端（认）申购费用＝赎回份额×（认）申购日基金份额净值×后端（认）申购费率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赎回费用＝赎回总额×赎回费率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赎回金额＝赎回总额－后端（认）申购费用－赎回费用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六：某投资者赎回100,000份B类基金份额，持有期限为100天，对应的后端申购费率是1.0%，赎回费率为0.1%，假设赎回当日A/B类基金份额净值是1.0160元，申购时的A/B类基金份额净值为1.0100元，则其可得到的赎回金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赎回总额=100,000×1.0160=101,600元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后端申购费用=100,000×1.0100×1.0%=1,010.00元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赎回费用=101,600×0.1%=101.60元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赎回金额=101,600-1,010.00-101.60=100,488.40元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投资者赎回100,000份B类基金份额，持有期限为100天，对应的赎回费率为0.1%，假设赎回当日A/B类基金份额净值是1.0160元，投资者对应的后端申购费率是1.0%，申购时的A/B类基金份额净值为1.0100元，则其可得到的赎回金额为100,488.40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（3）C类基金份额的赎回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投资者赎回C类基金份额，赎回金额的计算方法如下：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赎回费用=赎回份额×T日C类基金份额净值×赎回费率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赎回金额=赎回份额×T日C类基金份额净值-赎回费用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例七：某投资者赎回100,000份C类基金份额，持有期限为10天，对应的赎回费率为0，假设赎回当日C类基金份额净值是1.2500元，则其可得到的赎回金额为：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赎回费用=100,000×1.2500×0＝0元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赎回金额=100,000×1.2500-0=125,000 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即：投资者赎回100,000份C类基金份额，持有期限为10天，对应的赎回费率为0，假设赎回当日C类基金份额净值是1.2500元，则其可得到的赎回金额为125,000元。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（4）D类基金份额的赎回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投资者赎回D类基金份额，赎回金额的计算方法如下：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赎回费用=赎回份额×T日D类基金份额净值×赎回费率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赎回金额=赎回份额×T日D类基金份额净值-赎回费用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例八：某投资者赎回100,000.00份D类基金份额，持有期限为10天，对应的赎回费率为0，假设赎回当日D类基金份额净值是1.0160元，则其可得到的赎回金额为：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赎回费用=100,000.00×1.0160×0＝0元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赎回金额=100,000.00×1.0160-0＝101,600.00元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即：投资者赎回100,000.00份D类基金份额，持有期限为10天，对应的赎回费率为0，假设赎回当日D类基金份额净值是1.0160元，则其可得到的赎回金额为101,600.00元。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4、基金份额净值的计算公式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A/B类基金份额净值＝A/B类基金份额的基金资产净值总额/发行在外的A/B类基金份额总数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C类基金份额净值＝C类基金份额的基金资产净值总额/发行在外的C类基金份额总数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D类基金份额净值＝D类基金份额的基金资产净值总额/发行在外的D类基金份额总数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本基金不同类别基金份额T日的基金份额净值在当日收市后分别计算，并在T＋1日分别公告。遇特殊情况，经中国证监会同意，可以适当延迟计算或公告。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（九）拒绝或暂停申购的情形及处理方式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发生下列情况时，基金管理人可拒绝或暂停接受基金投资者的申购申请：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1、因不可抗力导致基金无法正常运作或无法接受申购；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2、证券交易所交易时间临时停市，导致基金管理人无法计算当日基金资产净值；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3、发生本基金合同规定的暂停基金资产估值情况；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4、基金资产规模过大，使基金管理人无法找到合适的投资品种，或基金管理人认为会损害已有基金份额持有人利益的其他情形；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5、基金管理人认为会有损于现有基金份额持有人利益的某笔申购；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6、当前一估值日基金资产净值50%以上的资产出现无可参考的活跃市场价格且采用估值技术仍导致公允价值存在重大不确定性时，经与基金托管人协商确认后，基金管理人应当暂停接受基金申购申请；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7、基金管理人接受某笔或者某些申购申请有可能导致单一投资者持有基金份额的比例超过50%，或者变相规避50%集中度的情形。出现上述情形时，基金管理人有权将上述申购申请全部或部分确认失败。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8、法律法规规定或中国证监会认定的其他情形。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发生上述除第5、7项以外的暂停申购情形且基金管理人决定暂停接受基金投资者的申购申请时，基金管理人应当在规定期限内在指定媒介上刊登暂停申购公告。如果基金投资者的申购申请被拒绝，被拒绝的申购款项将退还给投资者。在暂停申购的情况消除时，基金管理人应及时恢复申购业务的办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（十）暂停赎回或者延缓支付赎回款项的情形及处理方式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发生下列情形时，基金管理人可暂停接受基金投资者的赎回申请或延缓支付赎回款项：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1、因不可抗力导致基金无法正常运作或基金管理人不能支付赎回款项；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2、证券交易所交易时间临时停市，导致基金管理人无法计算当日基金资产净值；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3、连续两个或两个以上开放日发生巨额赎回，导致本基金的现金支付出现困难；</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4、发生本基金合同规定的暂停基金资产估值情况；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6、法律法规规定或中国证监会认定的其他情形。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发生上述情形且基金管理人决定暂停接受基金投资者的赎回申请或延缓支付赎回款项时，基金管理人应在规定期限内在指定媒介上刊登暂停公告，已确认成功的赎回申请，基金管理人应按时足额支付；如暂时不能足额支付，可支付部分按单个账户申请量占申请总量的比例分配给赎回申请人，未支付部分可延期确认，并以后续开放日的基金份额净值为依据计算赎回金额，若出现上述第3项所述情形，按基金合同的相关条款处理。投资者在申请赎回时可事先选择将当日可能未获受理部分予以撤销。暂停赎回或延缓支付款项的场内处理，按照上海证券交易所及中国证券登记结算有限责任公司的有关规定办理。在暂停赎回的情况消除时，基金管理人应及时恢复赎回业务的办理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（十一）巨额赎回的情形及处理方式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1、巨额赎回的认定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2、巨额赎回的处理方式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当基金出现巨额赎回时，基金管理人可以根据基金当时的资产组合状况决定全额赎回或部分顺延赎回。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（1）全额赎回：当基金管理人认为有能力支付基金投资者的赎回申请时，按正常赎回程序执行。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部分顺延赎回：当基金管理人认为支付基金投资者的赎回申请有困难或认为支付投资者的赎回申请而进行的财产变现可能会对基金资产净值造成较大波动时，基金管理人在当日接受赎回比例不低于上一工作日基金总份额的10%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该类基金份额净值为基础计算赎回金额，并以此类推，直到全部赎回为止。如基金投资者在提交赎回申请时未作明确选择，投资者未能赎回部分作自动延期赎回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顺延赎回”的约定方式与其他基金份额持有人的赎回申请一并办理。但是，如基金份额持有人在当日选择取消赎回，则其当日未获受理的部分赎回申请将被撤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巨额赎回业务的场内处理，按照上海证券交易所及中国证券登记结算有限责任公司的有关规定办理。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3、巨额赎回的公告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当发生巨额赎回并顺延赎回时，基金管理人应当通过邮寄、传真、刊登公告或者通知代销机构代为告知等方式在3个交易日内通知基金份额持有人，说明有关处理方法，并在2日内在指定媒介上刊登公告。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连续2日以上（含本数）发生巨额赎回，如基金管理人认为有必要，可暂停接受基金的赎回申请；已经确认成功的赎回申请可以延缓支付赎回款项，但不得超过20个工作日，并应当在指定媒介上进行公告。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（十二）暂停申购或赎回的公告和重新开放申购或赎回的公告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1、发生上述暂停申购或赎回情况的，基金管理人应在规定期限内在指定媒介上刊登暂停公告。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2、暂停结束，基金重新开放申购或赎回时，基金管理人应依照《信息披露管理办法》的有关规定，在指定媒介上刊登基金重新开放申购或赎回公告，并公告最近1个开放日各类基金份额的基金份额净值。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（十三）转托管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本基金的份额采用分系统登记的原则。场外认购或申购的基金份额登记在注册登记系统基金份额持有人开放式基金账户下；场内认购、申购的基金份额登记在证券登记结算系统基金份额持有人上海证券账户下。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1、系统内转托管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（1）系统内转托管是指基金份额持有人将持有的基金份额在注册登记系统内不同销售机构之间或证券登记结算系统内不同会员单位之间进行转登记的行为。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（2）基金份额登记在注册登记系统的基金份额持有人在变更办理基金赎回业务的销售机构（网点）时，销售机构（网点）之间不能通存通兑时的，可办理已持有基金份额的系统内转托管。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2、跨系统转托管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跨系统转托管是指基金份额持有人将所持有的A类基金份额在注册登记系统和证券登记结算系统之间进行转登记的行为。除经基金管理人另行公告，B类基金份额、C类基金份额、D类基金份额不能进行跨系统转托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（2）本基金跨系统转托管的具体业务按照中国证券登记结算有限责任公司的相关规定办理。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如果基金管理人、注册登记机构、办理转托管的销售机构出现技术系统性能限制或出于其它合理原因，可以暂停该业务或者拒绝基金份额持有人的转托管申请。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（十四）定期定额投资计划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2013年3月14日刊登公告自2013年3月19日起开通A/B类基金份额和C类基金份额的定期定额投资计划业务，本基金2024年9月11日刊登公告自2024年9月12日起增设D类基金份额并开通D类基金份额的定期定额投资计划业务，具体开通销售机构名单和业务规则参见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（十五）定期定额赎回业务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通过中国农业银行股份有限公司申请办理本基金A/B类基金份额和C类基金份额的定期定额赎回业务。定期定额赎回业务是指投资人可以委托中国农业银行股份有限公司每月固定时间从指定的基金账户代投资人赎回固定份额的基金。本基金2013年3月14日刊登公告自2013年3月19日起在中国农业银行股份有限公司下属各代销网点开通定期定额赎回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电话（95599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（十六）基金的非交易过户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指注册登记机构受理继承、捐赠、司法强制执行和经注册登记机构认可的其它情况而产生的非交易过户。无论在上述何种情况下，接受划转的主体必须是依法可以持有本基金基金份额的投资者。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注册登记机构要求提供的相关资料，对于符合条件的非交易过户申请按注册登记机构的有关规定办理，并按注册登记机构规定的标准收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（十七）基金份额的冻结和解冻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登记机构只受理国家有关机关依法要求的基金份额的冻结与解冻以及注册登记机构认可的其他情况的基金份额的冻结与解冻。基金份额被冻结的，被冻结基金份额所产生的权益按照法律法规、监管规章以及国家有权机关的要求来决定是否冻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当基金份额处于冻结状态时，注册登记机构或其他相关机构有权拒绝该部分基金份额的赎回申请、转出申请、非交易过户以及基金的转托管申请。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（十八）实施侧袋机制期间本基金的申购与赎回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本基金实施侧袋机制的，本基金的申购和赎回安排详见本招募说明书“侧袋机制”部分的规定或相关公告。</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1" w:name="_Toc187935792"/>
      <w:r>
        <w:rPr>
          <w:rFonts w:ascii="Times New Roman" w:hAnsi="Times New Roman"/>
          <w:sz w:val="30"/>
        </w:rPr>
        <w:t>九、基金的转换</w:t>
      </w:r>
      <w:bookmarkEnd w:id="11"/>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（一）基金转换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基金转换是指开放式基金份额持有人将其持有某只基金的部分或全部份额转换为</w:t>
      </w:r>
      <w:r>
        <w:rPr>
          <w:rFonts w:hint="eastAsia" w:ascii="宋体" w:hAnsi="宋体"/>
          <w:sz w:val="24"/>
        </w:rPr>
        <w:t>该基金其他份额（如有）或</w:t>
      </w:r>
      <w:r>
        <w:rPr>
          <w:rFonts w:ascii="宋体" w:hAnsi="宋体"/>
          <w:sz w:val="24"/>
        </w:rPr>
        <w:t>同一基金管理人管理的另一只开放式基金份额。基金转换只能在同一销售机构进行。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（二）转换业务办理时间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本基金2013年3月28日刊登公告自2013年4月2日起开放A/B类基金份额和C类基金份额的日常转换业务，本基金2024年9月11日刊登公告自2024年9月12日起增设D类基金份额并开通D类基金份额的日常转换业务。</w:t>
      </w:r>
      <w:r>
        <w:rPr>
          <w:rFonts w:hint="eastAsia" w:ascii="宋体" w:hAnsi="宋体"/>
          <w:sz w:val="24"/>
        </w:rPr>
        <w:t>本基金2025年10月23日刊登公告自2025年10月23日起开放开通同一基金不同类别基金份额转换业务。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本基金转换业务具体开通销售机构名单参见相关公告。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（三）基金转换的程序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1、申请方式：书面申请或销售机构公布的其他方式。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2、基金转换申请的确认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3、基金转换的注册登记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（四）基金转换的数额限制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（五）基金转换费用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2、转出基金的赎回费用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3、前端收费模式下转出与转入基金的申购补差费用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4、后端收费模式下转出与转入基金的申购补差费用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5、网上直销的申购补差费率优惠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6、基金管理人可以根据法律法规及基金合同的规定对上述收费方式和费率进行调整，并应于调整后的收费方式和费率在实施前依照《信息披露办法》的有关规定在中国证监会规定媒介上公告。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（六）基金转换份额的计算公式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1、前端收费模式下基金转换份额的计算公式及举例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转出确认金额=转出的基金份额×转换申请当日转出基金的基金份额净值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转出基金的赎回费=转出确认金额×对应的转出基金的赎回费率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转入确认金额=转出确认金额-转出基金的赎回费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（注：若转出基金申购费率不低于转入基金申购费率，转出与转入基金的申购补差费为零）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对于涉及固定费用的，转出与转入基金的申购补差费＝MAX（0，转出基金和转入基金申购费用之差）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其中：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转出确认金额=100,000×1.0100=101,000元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转出基金的赎回费=101,000×0.5%=505元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转入确认金额=101,000-505=100,495元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转出与转入基金的申购补差费=100,495×0/（1+0）=0元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转入基金确认份额=（100,495-0）/2.2700=44,270.93份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转出确认金额=1,000,000×1.0200=1,020,000元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转出基金的赎回费=1,020,000×0.05%=510元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转入确认金额=1,020,000-510=1,019,490元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转出与转入基金的申购补差费=1,019,490×0.5%/（1+0.5%）=5,072.09元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转入基金确认份额=（1,019,490-5,072.09）/1.0100=1,004,374.17份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转出确认金额=100,000×1.2500=125,000元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转入确认金额=125,000-0=125,000元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转出与转入基金的申购补差费=125,000×1.5%/（1+1.5%）=1,847.29元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转入基金确认份额=（125,000-1,847.29）/2.2700=54,252.30份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四：某投资者持有交银货币A级基金份额100,000份，该100,000份基金份额未结转的待支付收益为61.52元，转换申请当日交银增利A类基金份额净值为1.2700元，交银货币的基金份额净值为1.00元。若该投资者将100,000份交银货币A级基金份额转换为交银增利A类基金份额，则转入确认的交银增利A类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转出确认金额=100,000×1.00=100,000元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转入确认金额=100,000-0=100,000元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转出与转入基金的申购补差费=100,000×0.8%/（1+0.8%）=793.65元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转入基金确认份额=（100,000-793.65+61.52）/1.2700=78,163.68份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2、后端收费模式下基金转换份额的计算公式及举例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转出确认金额=转出的基金份额×转换申请当日转出基金的基金份额净值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转出基金的赎回费=转出确认金额×对应的转出基金的赎回费率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转入确认金额=转出确认金额-转出基金的赎回费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转出与转入基金的申购补差费=转入确认金额×对应的转出与转入基金的申购补差费率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其中：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转出确认金额=100,000×1.2500=125,000元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转出基金的赎回费=125,000×0.2%=250元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转入确认金额=125,000-250=124,750元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转出与转入基金的申购补差费=124,750×0=0元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转入基金确认份额=（124,750-0）/2.2700=54,955.95份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银货币的基金份额净值为1.00元。若该投资者将100,000份交银先锋后端A类基金份额转换为交银货币，则转入交银货币的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转出确认金额=100,000×1.2500=125,000元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转出基金的赎回费=125,000×0.2%=250元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转入确认金额=125,000-250=124,750元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转出与转入基金的申购补差费=124,750×1.2%=1497元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转入基金确认份额=（124,750-1497）/1.00=123,253.00份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转出确认金额=100,000×0.8500=85,000元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转出基金的赎回费=85,000×0=0元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转入确认金额=85,000-0=85,000元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转出与转入基金的申购补差费=85,000×0.2%=170元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转入基金确认份额=（85,000-170）/1.0500=80,790.48份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转出确认金额=100,000×1.00=100,000元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转入确认金额=100,000-0=100,000元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转出与转入基金的申购补差费=100,000×0=0元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转入基金确认份额=（100,000-0+61.52）/1.2700=78,788.60份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（七）业务规则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（八）暂停基金转换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2" w:name="_Toc187935793"/>
      <w:r>
        <w:rPr>
          <w:rFonts w:ascii="Times New Roman" w:hAnsi="Times New Roman"/>
          <w:sz w:val="30"/>
        </w:rPr>
        <w:t>十、基金的投资</w:t>
      </w:r>
      <w:bookmarkEnd w:id="12"/>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（一）投资目标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本基金为纯债基金，在严格控制投资风险的基础上，追求稳定的当期收益和基金资产的稳健增值。</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（二）投资范围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的30个交易日内卖出。同时本基金不参与可转换债券投资。如法律法规或监管机构以后允许基金投资其他品种，基金管理人履行适当程序后，可以将其纳入投资范围，其投资比例遵循届时有效法律法规或相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本基金的投资组合比例范围为：固定收益类资产的比例不低于基金资产的80%；现金或到期日在一年以内的政府债券的比例合计不低于基金资产净值的5%，其中现金不包括结算备付金、存出保证金和应收申购款等。</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（三）投资策略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1、大类资产配置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在分析和判断国内外宏观经济形势的基础上，通过“自上而下”的定性分析和定量分析相结合，形成对大类资产的预测和判断，在基金合同约定的范围内确定债券类资产和现金类资产的配置比例，并随着各类证券风险收益特征的相对变化，动态调整大类资产的投资比例，以规避市场风险，提高基金收益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2、债券投资策略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（1）久期管理策略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作为债券基金最基本的投资策略，久期管理策略本质上是一种自上而下，通过灵活的久期策略对管理利率风险的策略。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全球经济的框架下，本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基金管理人通过以下方面的分析来确定债券组合的目标久期：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2）利率变动趋势分析。在宏观经济环境分析的基础上，密切关注月度CPI、PPI等物价指数，货币信贷、汇率等金融运行数据，预测未来利率的变动趋势。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4）动态调整目标久期。通过对国内外宏观经济数据、金融市场运行、货币政策以及国内债券市场运行跟踪分析，评估未来利率水平变化趋势，结合债券市场收益率变动与基金投资目标，动态调整组合目标久期。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（2）期限结构配置策略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（3）债券的类别配置策略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（4）骑乘策略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（5）杠杆放大策略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（6）信用债券投资策略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本基金信用债券的投资遵循以下流程：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1）信用债券研究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2）信用债券投资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基金经理从信用债券池中精选债券构建信用债券投资组合。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本基金构建和管理信用债券投资组合时主要考虑以下因素：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①信用债券信用评级的变化。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②不同信用等级的信用债券，以及同一信用等级不同标的债券之间的信用利差变化。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原则上，购买信用（拟）增级的信用债券，减持信用（拟）降级的信用债券；购买信用利差扩大后存在收窄趋势的信用债券，减持信用利差缩小后存在放宽趋势的信用债券。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（7）资产支持证券（含资产收益计划）投资策略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（四）业绩比较基准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中债综合全价指数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中债综合全价指数由中央国债登记结算有限责任公司编制并发布，其指数样本涵盖国债、政策性银行债、商业银行债、地方企业债、中期票据以及证券公司短期融资券等14类券种，能够综合反映我国债券市场的整体投资收益情况，适合作为本基金的业绩比较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（五）投资决策依据和投资流程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为了保证整个投资组合计划的顺利贯彻与实施，本基金遵循以下投资决策依据以及具体的投资流程：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1、投资决策依据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（1）国家有关法律法规和基金合同的有关规定；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（2）宏观经济发展态势、证券市场运行环境和走势；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（3）投资对象的风险和预期收益的匹配关系，本基金将在承担适度风险的前提下，选择风险和预期收益配比最佳的品种进行投资。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2、投资决策流程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本基金实行投资决策委员会领导下的基金经理负责制，投资总监是投资决策委员会的执行代表。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投资决策委员会和投资总监的主要职责是确定基金的资产配置政策，审批重大单项投资决定等。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投资决策委员会是本基金的最高决策机构，投资决策委员会定期就投资管理业务的重大问题进行讨论。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基金经理、分析师、交易员在投资管理过程中既密切合作，又责任明确，在各自职责内按照业务程序独立工作并合理地相互制衡。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具体的投资管理流程如下：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1、投资决策委员会每月召开投资决策会议，决定基金的资产配置比例和债券的投资重点等；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2、研究部策略分析师、债券分析师、数量分析师各自独立完成相应的研究报告，为投资决策提供依据；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3、固定收益部总经理每周召集固定收益业务投资例会，根据投资决策委员会的决定，结合市场和公司基本面的变化，决定具体的投资策略；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经理依据策略分析师的宏观经济分析和策略建议、债券分析师的债券市场研究和券种选择和数量分析师的定量投资策略研究，结合本基金产品定位及风险控制的要求，在权限范围内制定具体的投资组合方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5、基金经理根据基金投资组合方案，向中央交易室下达交易指令；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6、中央交易室执行基金经理的交易指令，对交易情况及时反馈；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7、数量分析师负责完成有关投资风险监控报告及内部基金业绩评估报告。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投资决策委员会有权根据市场变化和实际情况的需要，对上述投资管理程序做出调整。</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（六）投资限制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本基金的投资组合将遵循以下限制：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1、本基金与由本基金管理人管理的其他基金持有一家公司发行的证券，不超过该证券的10%；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2、进入全国银行间同业市场进行债券回购的资金余额不得超过基金资产净值的40%。债券回购最长期限为1年，债券回购到期后不得展期；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3、保持不低于基金资产净值5%的现金或者到期日在一年以内的政府债券，其中现金不包括结算备付金、存出保证金和应收申购款等；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4、本基金持有的全部权证的市值不超过基金资产净值的 3%，本基金管理人管理的全部基金持有同一权证的比例不超过该权证的10%。投资于其他权证的投资比例，遵从法律法规或监管部门的相关规定；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5、本基金应投资于信用级别评级为BBB以上(含BBB)的资产支持证券。基金持有资产支持证券期间，如果其信用等级下降、不再符合投资标准，应在评级报告发布之日起3个月内予以全部卖出；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本基金持有的同一（指同一信用级别）资产支持证券的比例，不得超过该资产支持证券规模的10%；本基金投资于同一原始权益人的各类资产支持证券的比例，不得超过基金资产净值的10%；基金管理人管理的全部证券投资基金投资于同一原始权益人的各类资产支持证券，不得超过其各类资产支持证券合计规模的10%；本基金持有的全部资产支持证券，其市值不得超过基金资产净值的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8、本基金与私募类证券资管产品及中国证监会认定的其他主体为交易对手开展逆回购交易的，可接受质押品的资质要求应当与本基金合同约定的投资范围保持一致；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9、本基金不得违反基金合同中有关投资范围、投资策略、投资比例的规定；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10、法律法规或监管部门对上述比例限制另有规定的，从其规定。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自基金合同生效之日起六个月内使基金的投资组合比例符合基金合同的约定。基金托管人对基金投资的监督与检查自本基金合同生效之日起开始。在符合相关法律法规规定的前提下，除上述第3、5、7、8项外，因证券市场波动、上市公司合并、基金规模变动等非本基金管理人的因素致使基金的投资组合不符合上述规定的投资比例的，基金管理人应当在10个交易日内进行调整。法律法规或监管部门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上述投资组合限制条款中，若属法律法规或监管部门的强制性规定，则当法律法规或监管部门对上述约定的投资组合比例限制规定进行变更，在履行适当程序后，以变更后的规定为准；当法律法规或监管部门取消上述限制，履行适当程序后，本基金投资可不受上述规定限制。</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（七）禁止行为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为维护基金份额持有人的合法权益，本基金禁止从事下列行为：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1、承销证券；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2、向他人贷款或者提供担保；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3、从事承担无限责任的投资；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4、买卖其他基金份额，但是法律法规或国务院另有规定的除外；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5、向基金管理人、基金托管人出资或者买卖基金管理人、基金托管人发行的债券；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6、买卖与基金管理人、基金托管人有控股关系的股东或者与基金管理人、基金托管人有其他重大利害关系的公司发行的证券或者承销期内承销的证券；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7、从事内幕交易、操纵证券交易价格及其他不正当的证券交易活动；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8、依照法律法规有关规定，由中国证监会规定禁止的其他活动。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若法律法规或监管部门取消上述禁止性规定，履行适当程序后，本基金投资可不受上述相关规定限制。</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（八）风险收益特征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是一只债券型基金，属于证券投资基金中中等风险的品种，其长期平均的预期收益和风险高于货币市场基金，低于混合型基金和股票型基金。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（九）基金管理人代表基金行使债权人权利的处理原则及方法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1、基金管理人按照国家有关规定代表基金独立行使债权人权利，保护基金份额持有人的利益；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2、不谋求对上市公司的控股，不参与所投资上市公司的经营管理；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3、有利于基金财产的安全与增值；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4、不通过关联交易为自身、雇员、授权代理人或任何存在利害关系的第三人牟取任何不当利益。</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（十）基金的融资、融券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本基金可以按照有关法律法规和政策的规定进行融资、融券。</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（十一）侧袋机制的实施和投资运作安排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（十二）基金投资组合报告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本基金托管人中国农业银行根据本基金合同规定,于2024年10月24日复核了本报告中的财务指标、净值表现和投资组合报告等内容,保证复核内容不存在虚假记载、误导性陈述或者重大遗漏。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本报告期为2024年07月01日至09月30日。本报告财务资料未经审计师审计。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1、报告期末基金资产组合情况</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4,076,417,770.77</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99.43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4,076,417,770.77</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99.43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21,550,670.24</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0.53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1,708,109.71</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4,099,676,550.72</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2、报告期末按行业分类的股票投资组合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 报告期末按行业分类的境内股票投资组合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 报告期末按行业分类的港股通投资股票投资组合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3、期末按公允价值占基金资产净值比例大小排序的股票投资明细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3.1 报告期末按公允价值占基金资产净值比例大小排序的前十名股票投资明细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4、报告期末按债券品种分类的债券投资组合</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157,667,183.91</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4.43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477,524,234.98</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13.41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201,228,443.00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5.65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441,898,388.19</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12.41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2,899,466,483.69</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81.40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99,861,480.00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2.80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4,076,417,770.77</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114.45</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5、报告期末按公允价值占基金资产净值比例大小排序的前五名债券投资明细</w:t>
      </w:r>
    </w:p>
    <w:tbl>
      <w:tblPr>
        <w:tblStyle w:val="14"/>
        <w:tblW w:w="5000" w:type="pct"/>
        <w:tblInd w:w="0" w:type="dxa"/>
        <w:tblLayout w:type="autofit"/>
        <w:tblCellMar>
          <w:top w:w="0" w:type="dxa"/>
          <w:left w:w="0" w:type="dxa"/>
          <w:bottom w:w="0" w:type="dxa"/>
          <w:right w:w="0" w:type="dxa"/>
        </w:tblCellMar>
      </w:tblPr>
      <w:tblGrid>
        <w:gridCol w:w="541"/>
        <w:gridCol w:w="1625"/>
        <w:gridCol w:w="1626"/>
        <w:gridCol w:w="1626"/>
        <w:gridCol w:w="1626"/>
        <w:gridCol w:w="1626"/>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102480903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24坪山城投MTN002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1,400,000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143,042,986.30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4.02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102380363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23港城开发MTN001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1,300,000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135,147,002.74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3.79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102102101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21空港兴城MTN002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103,852,448.09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2.92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102280054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22杭金租赁MTN001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102,969,508.20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2.89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240401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24农发01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101,118,306.01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2.84</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6、报告期末按公允价值占基金资产净值比例大小排序的前十名资产支持证券投资明细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7、报告期末按公允价值占基金资产净值比例大小排序的前五名贵金属投资明细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8、报告期末按公允价值占基金资产净值比例大小排序的前五名权证投资明细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9、报告期末本基金投资的国债期货交易情况说明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9.1 本期国债期货投资政策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9.2 报告期末本基金投资的国债期货持仓和损益明细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9.3 本期国债期货投资评价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10、投资组合报告附注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10.1 本基金投资的前十名证券的发行主体本期是否出现被监管部门立案调查，或在报告编制日前一年内受到公开谴责、处罚的情形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报告期内本基金投资的前十名证券的发行主体出现被监管部门立案调查，或在报告编制日前一年内受到公开谴责、处罚的情形披露如下：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2023年10月20日,国家金融监督管理总局宁波监管局公示甬金罚决字[2023]13号行政处罚决定书,给予宁波鄞州农村商业银行股份有限公司50万元人民币的行政处罚。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2024年01月03日,国家金融监督管理总局宁波监管局公示甬金罚决字[2023]45号行政处罚决定书,给予宁波鄞州农村商业银行股份有限公司560万元人民币的行政处罚。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本基金管理人对证券投资决策程序的说明如下：本基金管理人对证券投资特别是重仓证券的投资有严格的投资决策流程控制，对上述主体发行证券的投资决策程序符合公司投资制度的规定。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除上述主体外，本基金投资的前十名证券的其他发行主体本期没有出现被监管部门立案调查，或在报告编制日前一年内受到公开谴责、处罚的情形。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10.2 基金投资的前十名股票是否超出基金合同规定的备选股票库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基金投资的前十名股票中，没有超出基金合同规定的备选股票库之外的股票。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10.3 其他资产构成</w:t>
      </w:r>
    </w:p>
    <w:tbl>
      <w:tblPr>
        <w:tblStyle w:val="14"/>
        <w:tblW w:w="5000" w:type="pct"/>
        <w:tblInd w:w="0" w:type="dxa"/>
        <w:tblLayout w:type="autofit"/>
        <w:tblCellMar>
          <w:top w:w="0" w:type="dxa"/>
          <w:left w:w="0" w:type="dxa"/>
          <w:bottom w:w="0" w:type="dxa"/>
          <w:right w:w="0" w:type="dxa"/>
        </w:tblCellMar>
      </w:tblPr>
      <w:tblGrid>
        <w:gridCol w:w="1548"/>
        <w:gridCol w:w="4645"/>
        <w:gridCol w:w="2477"/>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3,672.35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1,704,437.36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1,708,109.71</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10.4 报告期末持有的处于转股期的可转换债券明细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10.5 报告期末前十名股票中存在流通受限情况的说明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10.6 投资组合报告附注的其他文字描述部分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由于四舍五入的原因，分项之和与合计项之间可能存在尾差。</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3" w:name="_Toc187935794"/>
      <w:r>
        <w:rPr>
          <w:rFonts w:ascii="Times New Roman" w:hAnsi="Times New Roman"/>
          <w:sz w:val="30"/>
        </w:rPr>
        <w:t>十一、基金的业绩</w:t>
      </w:r>
      <w:bookmarkEnd w:id="13"/>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基金业绩截止日为2024年09月30日，所载财务数据未经审计师审计。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1、基金份额净值增长率及其与同期业绩比较基准收益率的比较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（1）交银纯债债券发起A/B</w:t>
      </w:r>
    </w:p>
    <w:tbl>
      <w:tblPr>
        <w:tblStyle w:val="14"/>
        <w:tblW w:w="5000" w:type="pct"/>
        <w:tblInd w:w="0" w:type="dxa"/>
        <w:tblLayout w:type="autofit"/>
        <w:tblCellMar>
          <w:top w:w="0" w:type="dxa"/>
          <w:left w:w="0" w:type="dxa"/>
          <w:bottom w:w="0" w:type="dxa"/>
          <w:right w:w="0" w:type="dxa"/>
        </w:tblCellMar>
      </w:tblPr>
      <w:tblGrid>
        <w:gridCol w:w="1300"/>
        <w:gridCol w:w="1300"/>
        <w:gridCol w:w="1300"/>
        <w:gridCol w:w="1301"/>
        <w:gridCol w:w="1301"/>
        <w:gridCol w:w="1301"/>
        <w:gridCol w:w="867"/>
      </w:tblGrid>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净值增长率①</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业绩比较基准收益率标准差④</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0.26%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2024上半年</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2.39%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2.42%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2023年度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5.21%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2022年度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0.47%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2021年度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5.25%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2.83%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2.90%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2019年度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4.74%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3.43%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2018年度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9.27%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4.79%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4.48%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2017年度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-0.30%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-3.39%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2016年度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-2.73%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-1.63%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2015年度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10.86%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6.68%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2014年度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6.54%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3.56%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2013年度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-3.75%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3.24%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2012年度（自基金合同生效日起至2012年12月31日）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（2）交银纯债债券发起C</w:t>
      </w:r>
    </w:p>
    <w:tbl>
      <w:tblPr>
        <w:tblStyle w:val="14"/>
        <w:tblW w:w="5000" w:type="pct"/>
        <w:tblInd w:w="0" w:type="dxa"/>
        <w:tblLayout w:type="autofit"/>
        <w:tblCellMar>
          <w:top w:w="0" w:type="dxa"/>
          <w:left w:w="0" w:type="dxa"/>
          <w:bottom w:w="0" w:type="dxa"/>
          <w:right w:w="0" w:type="dxa"/>
        </w:tblCellMar>
      </w:tblPr>
      <w:tblGrid>
        <w:gridCol w:w="1300"/>
        <w:gridCol w:w="1300"/>
        <w:gridCol w:w="1300"/>
        <w:gridCol w:w="1301"/>
        <w:gridCol w:w="1301"/>
        <w:gridCol w:w="1301"/>
        <w:gridCol w:w="867"/>
      </w:tblGrid>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净值增长率①</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业绩比较基准收益率标准差④</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0.26%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-0.31%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2024上半年</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2.42%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-0.23%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2023年度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4.79%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2.73%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2022年度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0.57%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2021年度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4.83%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2.73%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2.46%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2.53%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2019年度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4.38%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2018年度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8.84%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4.79%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4.05%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2017年度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-3.39%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2.69%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2016年度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-1.63%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-1.57%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2015年度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10.28%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2014年度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9.44%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6.54%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2.90%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2013年度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-3.75%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2.64%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2012年度（自基金合同生效日起至2012年12月31日）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（3）交银纯债债券发起D</w:t>
      </w:r>
    </w:p>
    <w:tbl>
      <w:tblPr>
        <w:tblStyle w:val="14"/>
        <w:tblW w:w="5000" w:type="pct"/>
        <w:tblInd w:w="0" w:type="dxa"/>
        <w:tblLayout w:type="autofit"/>
        <w:tblCellMar>
          <w:top w:w="0" w:type="dxa"/>
          <w:left w:w="0" w:type="dxa"/>
          <w:bottom w:w="0" w:type="dxa"/>
          <w:right w:w="0" w:type="dxa"/>
        </w:tblCellMar>
      </w:tblPr>
      <w:tblGrid>
        <w:gridCol w:w="1300"/>
        <w:gridCol w:w="1300"/>
        <w:gridCol w:w="1300"/>
        <w:gridCol w:w="1301"/>
        <w:gridCol w:w="1301"/>
        <w:gridCol w:w="1301"/>
        <w:gridCol w:w="867"/>
      </w:tblGrid>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净值增长率①</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业绩比较基准收益率标准差④</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自基金份额类别首次确认起至2024年9月30日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-0.44%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-0.69%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0.25%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注：1）本基金的业绩比较基准为中债综合全价指数。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2）本基金自2024年9月12日起，开始销售D类份额，截至上年度末，无D类份额相关年报数据。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2、自基金合同生效以来基金份额累计净值增长率变动及其与同期业绩比较基准收益率变动的比较</w:t>
      </w:r>
    </w:p>
    <w:p>
      <w:pPr>
        <w:autoSpaceDE w:val="0"/>
        <w:autoSpaceDN w:val="0"/>
        <w:adjustRightInd w:val="0"/>
        <w:snapToGrid w:val="0"/>
        <w:spacing w:line="360" w:lineRule="auto"/>
        <w:ind w:firstLine="480" w:firstLineChars="200"/>
        <w:jc w:val="center"/>
        <w:rPr>
          <w:rFonts w:ascii="宋体" w:hAnsi="宋体"/>
          <w:szCs w:val="24"/>
        </w:rPr>
      </w:pPr>
      <w:r>
        <w:rPr>
          <w:rFonts w:ascii="宋体" w:hAnsi="宋体"/>
          <w:sz w:val="24"/>
        </w:rPr>
        <w:t>交银施罗德纯债债券型发起式证券投资基金</w:t>
      </w:r>
    </w:p>
    <w:p>
      <w:pPr>
        <w:autoSpaceDE w:val="0"/>
        <w:autoSpaceDN w:val="0"/>
        <w:adjustRightInd w:val="0"/>
        <w:snapToGrid w:val="0"/>
        <w:spacing w:line="360" w:lineRule="auto"/>
        <w:ind w:firstLine="480" w:firstLineChars="200"/>
        <w:jc w:val="center"/>
        <w:rPr>
          <w:rFonts w:ascii="宋体" w:hAnsi="宋体"/>
          <w:szCs w:val="24"/>
        </w:rPr>
      </w:pPr>
      <w:r>
        <w:rPr>
          <w:rFonts w:ascii="宋体" w:hAnsi="宋体"/>
          <w:sz w:val="24"/>
        </w:rPr>
        <w:t>份额累计净值增长率与业绩比较基准收益率的历史走势对比图</w:t>
      </w:r>
    </w:p>
    <w:p>
      <w:pPr>
        <w:autoSpaceDE w:val="0"/>
        <w:autoSpaceDN w:val="0"/>
        <w:adjustRightInd w:val="0"/>
        <w:snapToGrid w:val="0"/>
        <w:spacing w:line="360" w:lineRule="auto"/>
        <w:ind w:firstLine="480" w:firstLineChars="200"/>
        <w:jc w:val="center"/>
        <w:rPr>
          <w:rFonts w:ascii="宋体" w:hAnsi="宋体"/>
          <w:szCs w:val="24"/>
        </w:rPr>
      </w:pPr>
      <w:r>
        <w:rPr>
          <w:rFonts w:ascii="宋体" w:hAnsi="宋体"/>
          <w:sz w:val="24"/>
        </w:rPr>
        <w:t>（2012年12月19日至2024年09月30日）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（1）交银纯债债券发起A/B</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kern w:val="0"/>
          <w:sz w:val="24"/>
        </w:rPr>
        <w:drawing>
          <wp:inline distT="0" distB="0" distL="0" distR="0">
            <wp:extent cx="5577840" cy="5836920"/>
            <wp:effectExtent l="0" t="0" r="0" b="0"/>
            <wp:docPr id="9"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15212566102420208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577840" cy="5836920"/>
                    </a:xfrm>
                    <a:prstGeom prst="rect">
                      <a:avLst/>
                    </a:prstGeom>
                    <a:noFill/>
                    <a:ln>
                      <a:noFill/>
                    </a:ln>
                  </pic:spPr>
                </pic:pic>
              </a:graphicData>
            </a:graphic>
          </wp:inline>
        </w:drawing>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（2）交银纯债债券发起C</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kern w:val="0"/>
          <w:sz w:val="24"/>
        </w:rPr>
        <w:drawing>
          <wp:inline distT="0" distB="0" distL="0" distR="0">
            <wp:extent cx="5577840" cy="5836920"/>
            <wp:effectExtent l="0" t="0" r="0" b="0"/>
            <wp:docPr id="8" name="图片 4"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15212566102420208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77840" cy="5836920"/>
                    </a:xfrm>
                    <a:prstGeom prst="rect">
                      <a:avLst/>
                    </a:prstGeom>
                    <a:noFill/>
                    <a:ln>
                      <a:noFill/>
                    </a:ln>
                  </pic:spPr>
                </pic:pic>
              </a:graphicData>
            </a:graphic>
          </wp:inline>
        </w:drawing>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（3）交银纯债债券发起D</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kern w:val="0"/>
          <w:sz w:val="24"/>
        </w:rPr>
        <w:drawing>
          <wp:inline distT="0" distB="0" distL="0" distR="0">
            <wp:extent cx="5577840" cy="5836920"/>
            <wp:effectExtent l="0" t="0" r="0" b="0"/>
            <wp:docPr id="7" name="图片 5"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15212566102420208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577840" cy="5836920"/>
                    </a:xfrm>
                    <a:prstGeom prst="rect">
                      <a:avLst/>
                    </a:prstGeom>
                    <a:noFill/>
                    <a:ln>
                      <a:noFill/>
                    </a:ln>
                  </pic:spPr>
                </pic:pic>
              </a:graphicData>
            </a:graphic>
          </wp:inline>
        </w:drawing>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注：1、本基金建仓期为自基金合同生效日起的6个月。截至建仓期结束，本基金各项资产配置比例符合基金合同及招募说明书有关投资比例的约定。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2、本基金自2024年9月12日起，开始销售D类份额，投资者提交的申购申请于2024年9月13日被确认并将有效份额登记在册。</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4" w:name="_Toc187935795"/>
      <w:r>
        <w:rPr>
          <w:rFonts w:ascii="Times New Roman" w:hAnsi="Times New Roman"/>
          <w:sz w:val="30"/>
        </w:rPr>
        <w:t>十二、基金的财产</w:t>
      </w:r>
      <w:bookmarkEnd w:id="14"/>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（一）基金资产总值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基金资产总值是指基金拥有的各类有价证券、银行存款本息、基金应收申购款以及其他资产的价值总和。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基金资产净值是指基金资产总值减去基金负债后的净资产值。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（三）基金财产的账户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财产以本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（四）基金财产的处分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基金财产的债权，不得与基金管理人、基金托管人固有财产的债务相抵销；不同基金财产的债权债务，不得相互抵销。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除依据《基金法》、基金合同及其他有关规定处分外，基金财产不得被处分。非因基金财产本身承担的债务，不得对基金财产强制执行。</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5" w:name="_Toc187935796"/>
      <w:r>
        <w:rPr>
          <w:rFonts w:ascii="Times New Roman" w:hAnsi="Times New Roman"/>
          <w:sz w:val="30"/>
        </w:rPr>
        <w:t>十三、基金资产的估值</w:t>
      </w:r>
      <w:bookmarkEnd w:id="15"/>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（一）估值目的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基金资产的估值目的是客观、准确地反映基金资产是否保值、增值，并为基金份额提供计价依据。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（二）估值日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本基金的估值日为相关的证券交易场所的正常交易日，以及国家法律法规规定需要对外披露基金净值的非交易日。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（三）估值对象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基金依法拥有的债券、权证及其他基金资产和负债。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（四）估值程序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日常估值由基金管理人进行。基金管理人每个工作日分别计算本基金A/B类基金份额、C类基金份额和D类基金份额的基金资产净值及基金份额净值。各类基金份额净值由基金管理人完成估值后，将估值结果以书面形式或双方约定的其他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（五）估值方法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1、债券估值方法：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在证券交易所市场挂牌交易且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（3）首次发行未上市债券采用估值技术确定的公允价值进行估值，在估值技术难以可靠计量公允价值的情况下，按成本估值。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（4）交易所以大宗交易方式转让的资产支持证券，采用估值技术确定公允价值，在估值技术难以可靠计量公允价值的情况下，按成本进行后续计量。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（5）在全国银行间债券市场交易的债券、资产支持证券等固定收益品种，采用估值技术确定公允价值。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（6）同一债券同时在两个或两个以上市场交易的，按债券所处的市场分别估值。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在任何情况下，基金管理人如采用本项第（1）－（6）小项规定的方法对基金资产进行估值，均应被认为采用了适当的估值方法。但是，如果基金管理人认为按本项第（1）－（6）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（8）国家有最新规定的，按其规定进行估值。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2、权证估值方法：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（2）首次发行未上市的权证，采用估值技术确定公允价值，在估值技术难以可靠计量公允价值的情况下，按成本估值。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（3）停止交易、但未行权的权证，采用估值技术确定公允价值进行估值。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在任何情况下，基金管理人如采用本项第（1）－（3）项规定的方法对基金资产进行估值，均应被认为采用了适当的估值方法。但是，如果基金管理人认为按本项第（1）－（3）项规定的方法对基金资产进行估值不能客观反映其公允价值的，基金管理人可根据具体情况，并与基金托管人商定后，按最能反映公允价值的价格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（5）国家有最新规定的，按其规定进行估值。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3、其他有价证券等资产按国家有关规定进行估值。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（六）估值错误的处理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基金管理人和基金托管人将采取必要、适当、合理的措施确保基金资产估值的准确性、及时性。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本基金合同的当事人应按照以下约定处理：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1、估值错误类型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运作过程中，如果由于基金管理人或基金托管人或注册登记机构或代销机构或投资者自身的过错造成估值错误，导致其他当事人遭受损失的，估值错误的责任人应当对由于该估值错误遭受损失的当事人（“受损方”）按下述“估值错误处理原则”给予赔偿，承担赔偿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对于因技术原因引起的估值错误，若系同行业现有技术水平不能预见、不能避免、不能克服，则属不可抗力，按照下述规定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由于不可抗力原因造成投资者的交易资料灭失或被错误处理或造成其他估值错误，因不可抗力原因出现估值错误的当事人不对其他当事人承担赔偿责任，但因该估值错误取得不当得利的当事人仍应负有返还不当得利的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2、估值错误处理原则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承担；若估值错误责任方已经积极协调，并且有协助义务的当事人有足够的时间进行更正而未更正，则其应当承担相应赔偿责任。估值错误责任方应对更正的情况向有关当事人进行确认，确保估值错误已得到更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（2）估值错误的责任方对可能导致有关当事人的直接损失负责，不对间接损失负责，并且仅对估值错误的有关直接当事人负责，不对第三方负责；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（4）估值错误调整采用尽量恢复至假设未发生估值错误的正确情形的方式；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估值错误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托管人之外的第三方造成基金财产的损失，并拒绝进行赔偿时，由基金管理人负责向估值错误方追偿，追偿过程中产生的有关费用，由责任方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如果出现估值错误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（7）按法律法规规定的其他原则处理估值错误。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3、估值错误处理程序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估值错误被发现后，有关的当事人应当及时进行处理，处理的程序如下：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（1）查明估值错误发生的原因，列明所有的当事人，并根据估值错误发生的原因确定估值错误的责任方；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（2）根据估值错误处理原则或当事人协商的方法对因估值错误造成的损失进行评估；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（3）根据估值错误处理原则或当事人协商的方法由估值错误的责任方进行更正和赔偿损失；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（4）根据估值错误处理的方法，需要修改注册登记机构交易数据的，由注册登记机构进行更正，并就估值错误的更正向有关当事人进行确认。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4、基金份额净值错误处理的原则和方法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当基金份额净值小数点后4位以内（含第4位）发生估值错误时，视为基金份额净值错误；基金份额净值出现错误时，基金管理人应当立即予以纠正，通报基金托管人，并采取合理的措施防止损失进一步扩大；当错误达到或超过基金资产净值的0.25%时，基金管理人应当及时通知基金托管人并报中国证监会；错误偏差达到基金份额净值的0.5%时，基金管理人应当公告、通报基金托管人并报中国证监会备案；当发生基金份额净值错误时，由基金管理人负责处理，由此给基金份额持有人和基金造成损失的，应由基金管理人先行赔付，基金管理人按估值错误情形，有权向其他当事人追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（2）当基金份额净值错误给基金和基金份额持有人造成损失需要进行赔偿时，基金管理人和基金托管人应根据实际情况界定双方承担的责任，经确认后按以下条款进行赔偿：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② 若基金管理人计算的基金份额净值已由基金托管人复核确认后公告，当发生基金份额净值错误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50%，基金托管人承担50%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④ 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（3）基金管理人和基金托管人由于各自技术系统设置而产生的净值计算尾差，以基金管理人计算结果为准。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（4）前述内容如法律法规或者监管部门另有规定的，从其规定。如果行业有通行做法，双方当事人应本着平等和保护基金份额持有人利益的原则进行协商。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（七）暂停估值的情形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1、基金投资所涉及的证券投资市场遇法定节假日或因其他原因暂停交易时；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2、因不可抗力或其他情形致使基金管理人、基金托管人无法准确评估基金资产价值时；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3、占基金相当比例的投资品种的估值出现重大转变，而基金管理人为保障基金份额持有人的利益，决定延迟估值；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4、当特定资产占前一估值日基金资产净值50%以上的，经与基金托管人协商确认后，基金管理人应当暂停估值；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5、中国证监会和基金合同认定的其他情形。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（八）基金净值的确认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本基金合同和有关法律法规的规定对基金净值予以公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各类基金份额净值的计算精确到0.0001元，小数点后第五位四舍五入，由此产生的误差计入基金财产。国家另有规定的，从其规定。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（九）特殊情形的处理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1、基金管理人或基金托管人按债券估值方法的第（7）项、权证估值方法的第（4）项进行估值时，所造成的误差不作为基金资产估值错误处理。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由于证券交易所或登记结算公司发送的数据错误，有关会计制度变化或由于其他不可抗力原因，基金管理人和基金托管人虽然已经采取必要、适当、合理的措施进行检查，但是未能发现该错误而造成的基金份额净值错误，基金管理人、基金托管人免除赔偿责任。但基金管理人、基金托管人应积极采取必要的措施消除由此造成的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（十）实施侧袋机制期间的基金资产估值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6" w:name="_Toc187935797"/>
      <w:r>
        <w:rPr>
          <w:rFonts w:ascii="Times New Roman" w:hAnsi="Times New Roman"/>
          <w:sz w:val="30"/>
        </w:rPr>
        <w:t>十四、基金的收益与分配</w:t>
      </w:r>
      <w:bookmarkEnd w:id="16"/>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（一）基金利润的构成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（二）基金可供分配利润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基金可供分配利润指截至收益分配基准日基金未分配利润与未分配利润中已实现收益的孰低数。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（三）基金收益分配原则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本基金收益分配应遵循下列原则：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1、由于本基金A类、B类和D类基金份额不收取销售服务费，C类基金份额收取销售服务费，各基金份额类别对应的可供分配利润将有所不同，本基金同一基金份额类别的每份基金份额享有同等分配权；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2、收益分配时所发生的银行转账或其他手续费用由基金投资者自行承担；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3、每季度末最后一个工作日为收益分配基准日，在符合有关基金分红条件的前提下，当收益分配基准日每份基金份额可供分配利润大于0.01 元时，本基金进行收益分配，本基金每年收益分配次数最多为12次，每份基金份额每次分配比例不得低于收益分配基准日每份基金份额可供分配利润的50%；若基金合同生效不满3个月，可不进行收益分配；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4、基金收益分配基准日的任一类基金份额净值减去该类每单位基金份额收益分配金额后不能低于面值；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收益分配方式分为两种：现金分红与红利再投资，基金投资者可选择现金红利或将现金红利自动转为相应类别的基金份额进行再投资；若投资者不选择，本基金默认的收益分配方式是现金分红；基金份额持有人可对A类、B类、C类以及D类基金份额分别选择不同的收益分配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6、法律法规或监管机构另有规定的从其规定。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在不影响基金份额持有人利益的情况下，基金管理人可在法律法规允许的前提下酌情调整以上基金收益分配原则，并于变更实施日前在指定媒介上公告。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（四）收益分配方案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基金收益分配方案中应载明基金收益分配基准日可供分配利润、基金收益分配对象、分配时间、分配数额及比例、分配方式等内容。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（五）收益分配方案的确定、公告与实施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1、本基金收益分配方案由基金管理人拟定、由基金托管人复核，依照《信息披露办法》的有关规定在指定媒介公告。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收益分配的发放日距离收益分配基准日的时间不超过15个工作日。在分配方案公布后（依据具体方案的规定），基金管理人就支付的现金红利向基金托管人发送划款指令，基金托管人按照基金管理人的指令及时进行分红资金的划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3、法律法规或监管机关另有规定的，从其规定。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（六）收益分配中发生的费用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收益分配时所发生的银行转账或其他手续费用由投资者自行承担。当投资者的现金红利小于一定金额，不足于支付银行转账或其他手续费用时，注册登记机构可将基金份额持有人的现金红利自动转为相应类别的基金份额。红利再投资的计算方法，依照《业务规则》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（七）收益分配方式的修改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投资者可至销售机构办理收益分配方式的修改，投资者对不同的交易账户可设置不同的收益分配方式。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投资者同一日多次申报分红方式变更的，按照《业务规则》执行，最终确认的分红方式以注册登记机构记录为准。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（八）实施侧袋机制期间的收益分配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本基金实施侧袋机制的，侧袋账户不进行收益分配。</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7" w:name="_Toc187935798"/>
      <w:r>
        <w:rPr>
          <w:rFonts w:ascii="Times New Roman" w:hAnsi="Times New Roman"/>
          <w:sz w:val="30"/>
        </w:rPr>
        <w:t>十五、基金的费用与税收</w:t>
      </w:r>
      <w:bookmarkEnd w:id="17"/>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（一）基金费用的种类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1、基金管理人的管理费；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2、基金托管人的托管费；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3、基金合同生效后的信息披露费用；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4、基金份额持有人大会费用；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5、基金合同生效后与基金有关的会计师费和律师费；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6、基金的证券交易费用；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7、基金财产拨划支付的银行费用；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8、证券账户开户费用和银行账户维护费；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9、本基金从C类基金份额的基金财产中计提销售服务费；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10、按照国家有关规定可以在基金财产中列支的其他费用。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（二）基金费用计提方法、计提标准和支付方式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1、与基金运作有关的费用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（1）基金管理人的管理费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在通常情况下，基金管理费按前一日基金资产净值的0.3%年费率计提。计算方法如下：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H＝E×年管理费率÷当年天数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H为每日应计提的基金管理费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E为前一日基金资产净值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费每日计提，按月支付。由基金管理人向基金托管人发送基金管理费划付指令，经基金托管人复核后于次月首日起3个工作日内从基金财产中一次性支付给基金管理人，若遇法定节假日、休息日或不可抗力致使无法按时支付的，顺延至最近可支付日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（2）基金托管人的托管费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在通常情况下，基金托管费按前一日基金资产净值的0.1%年费率计提。计算方法如下：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H＝E×年托管费率÷当年天数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H为每日应计提的基金托管费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E为前一日基金资产净值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费每日计提，按月支付。由基金管理人向基金托管人发送基金托管费划付指令，经基金托管人复核后于次月首日起3个工作日内从基金财产中一次性支付给基金托管人，若遇法定节假日、休息日或不可抗力致使无法按时支付的，顺延至最近可支付日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（3）上述（一）中3到8、10项费用由基金托管人根据其他有关法律法规及相应协议的规定，按费用支出金额支付，列入或摊入当期基金费用。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2、与基金销售有关的费用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（1）A类和B类基金份额的申购费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本基金A类和B类基金份额申购费的费率水平、计算公式和收取方式详见“基金份额的申购与赎回”一章。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（2）A类和B类基金份额的赎回费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本基金A类和B类基金份额赎回费的费率水平、计算公式和收取方式详见“基金份额的申购与赎回”一章。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（3）C类基金份额的销售服务费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本基金A类、B类和D类基金份额不收取销售服务费，C类基金份额的销售服务费按前一日C类基金资产净值的0.4%年费率计提。计算方法如下：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H＝E×年销售服务费率÷当年天数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H为C类基金份额每日应计提的销售服务费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E为C类基金份额前一日基金资产净值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C类基金份额销售服务费每日计提，按月支付。由基金管理人向基金托管人发送销售服务费划付指令，经基金托管人复核后于次月首日起3个工作日内从基金财产中一次性支付给基金管理人，若遇法定节假日、休息日或不可抗力致使无法按时支付的，顺延至最近可支付日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C类基金份额的销售服务费将专门用于本基金的推广、销售与基金份额持有人服务。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（4）转换费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本基金转换费的费率水平、计算公式和收取方式详见“基金的转换”一章。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（三）不列入基金费用的项目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和基金托管人因未履行或未完全履行义务导致的费用支出或基金财产的损失，以及处理与基金运作无关的事项发生的费用等不列入基金费用。基金募集期间的信息披露费、律师费和会计师费以及其他费用不得从基金财产中列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（四）基金管理费和基金托管费的调整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和基金托管人可根据基金发展情况调整基金管理费率、基金托管费率和C类基金份额销售服务费。降低基金管理费率、基金托管费率和C类基金份额销售服务费，无须召开基金份额持有人大会。基金管理人必须依照有关规定最迟于新的费率实施日前在指定媒介和基金管理人网站上刊登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（五）实施侧袋机制期间的基金费用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（六）基金税收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基金和基金份额持有人根据国家法律法规的规定，履行纳税义务。</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8" w:name="_Toc187935799"/>
      <w:r>
        <w:rPr>
          <w:rFonts w:ascii="Times New Roman" w:hAnsi="Times New Roman"/>
          <w:sz w:val="30"/>
        </w:rPr>
        <w:t>十六、基金的会计与审计</w:t>
      </w:r>
      <w:bookmarkEnd w:id="18"/>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（一）基金的会计政策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1、基金管理人为本基金的会计责任方；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2、本基金的会计年度为公历每年的1月1日至12月31日；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3、本基金的会计核算以人民币为记账本位币，以人民币元为记账单位；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4、会计制度执行国家有关的会计制度；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5、本基金独立建账、独立核算；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6、基金管理人及基金托管人分别保留完整的会计账目、凭证并进行日常的会计核算，按照有关规定编制基金会计报表；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7、基金托管人定期与基金管理人就基金的会计核算、报表编制等进行核对并书面确认。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（二）基金的审计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1、基金管理人聘请具有从事证券、期货相关业务资格的会计师事务所及其注册会计师对本基金年度财务报表及其他规定事项进行审计。会计师事务所及其注册会计师与基金管理人、基金托管人相互独立。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2、会计师事务所更换经办注册会计师时，应事先征得基金管理人同意。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9" w:name="_Toc187935800"/>
      <w:r>
        <w:rPr>
          <w:rFonts w:ascii="Times New Roman" w:hAnsi="Times New Roman"/>
          <w:sz w:val="30"/>
        </w:rPr>
        <w:t>十七、基金的信息披露</w:t>
      </w:r>
      <w:bookmarkEnd w:id="19"/>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（一）本基金的信息披露应符合《基金法》、《运作办法》、《信息披露办法》、《流动性规定》、基金合同及其他有关规定。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（二）信息披露义务人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（三）本基金信息披露义务人在承诺公开披露的基金信息时，不得有下列行为：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1、虚假记载、误导性陈述或者重大遗漏；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2、对证券投资业绩进行预测；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3、违规承诺收益或者承担损失；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4、诋毁其他基金管理人、基金托管人或者基金销售机构；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5、登载任何自然人、法人和非法人组织的祝贺性、恭维性或推荐性的文字；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6、中国证监会禁止的其他行为。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本基金公开披露的信息采用阿拉伯数字；除特别说明外，货币单位为人民币元。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（五）公开披露的基金信息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公开披露的基金信息包括：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1、招募说明书、基金合同、托管协议、基金产品资料概要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基金经中国证监会准予变更注册后，基金管理人根据《信息披露办法》的规定将招募说明书、基金合同摘要登载在指定媒介上；基金管理人、基金托管人应当将基金合同、托管协议登载在网站上。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（1）《基金合同》是界定《基金合同》当事人的各项权利、义务关系，明确基金份额持有人大会召开的规则及具体程序，说明基金产品的特性等涉及基金投资者重大利益的事项的法律文件。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2、发售公告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基金管理人应当就基金份额发售的具体事宜编制发售公告，并在披露招募说明书的当日登载于指定媒介上。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3、基金合同生效公告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基金管理人应当在本基金合同生效的次日在指定报刊和基金管理人网站上登载基金合同生效公告。基金合同生效公告中将说明基金募集情况。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4、基金开始申购、赎回公告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基金管理人应于申购开始日、赎回开始日前在指定媒介上公告。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5、基金份额申购、赎回价格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6、基金净值信息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《基金合同》生效后，在开始办理基金份额申购或者赎回前，基金管理人应当至少每周在指定网站披露一次A/B类基金份额和C类基金份额所对应的基金份额净值和基金份额累计净值。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开始办理基金份额申购或者赎回后，基金管理人应当在不晚于每个开放日的次日，通过指定网站、基金销售机构网站或者营业网点分别披露开放日的A/B类基金份额、C类基金份额和D类基金份额所对应的基金份额净值和基金份额累计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基金管理人应当在不晚于半年度和年度最后一日的次日，在指定网站分别披露半年度和年度最后一日的A/B类基金份额、C类基金份额和D类基金份额所对应的基金份额净值和基金份额累计净值。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7、基金定期报告，包括基金年度报告、基金中期报告和基金季度报告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《基金合同》生效不足2个月的，基金管理人可以不编制当期季度报告、中期报告或者年度报告。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基金管理人应当在基金年度报告和中期报告中披露基金组合资产情况及其流动性风险分析等。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8、临时报告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前款所称重大事件，是指可能对基金份额持有人权益或者基金份额的价格产生重大影响的下列事件：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（1）基金份额持有人大会的召开及决定的事项；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（2）《基金合同》终止、基金清算；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（3）转换基金运作方式、基金合并；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（4）更换基金管理人、基金托管人、基金份额登记机构，基金改聘会计师事务所；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（6）基金管理人、基金托管人的法定名称、住所发生变更；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（7）基金管理人变更持有百分之五以上股权的股东、基金管理人的实际控制人变更；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（8）基金募集期延长或提前结束募集；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（9）基金管理人的高级管理人员、基金经理和基金托管人专门基金托管部门负责人发生变动；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（11）涉及基金财产、基金管理业务、基金托管业务的诉讼或仲裁；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（14）基金收益分配事项；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（15）管理费、托管费、销售服务费、申购费、赎回费等费用计提标准、计提方式和费率发生变更；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（16）任一类基金份额净值计价错误达该类基金份额净值百分之零点五；</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（17）本基金开始办理申购、赎回；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（18）本基金发生巨额赎回并延期办理；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（19）本基金连续发生巨额赎回并暂停接受赎回申请或延缓支付赎回款项；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（20）本基金暂停接受申购、赎回申请或重新接受申购、赎回申请；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（21）基金推出新业务或服务；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（22）发生涉及基金申购、赎回事项调整或潜在影响投资者赎回等重大事项时；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（23）基金信息披露义务人认为可能对基金份额持有人权益或者基金份额的价格产生重大影响的其他事项或中国证监会规定的其他事项。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9、澄清公告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10、基金份额持有人大会决议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基金份额持有人大会决定的事项，应当依法报中国证监会备案，并予以公告。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基金管理人应当在基金合同生效公告、基金季度报告、中期报告、年度报告等定期报告中分别披露基金管理人、基金管理人的公司高级管理人员、基金经理等投资管理人员以及基金管理人的股东持有本基金的份额、期限及期间的变动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12、实施侧袋机制期间的信息披露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13、中国证监会规定的其他信息。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（六）信息披露事务管理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基金信息披露义务人公开披露基金信息，应当符合中国证监会相关基金信息披露内容与格式准则等法律法规规定。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（七）信息披露文件的存放与查阅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（八）本基金信息披露事项以法律法规规定及本章节约定的内容为准。</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0" w:name="_Toc187935801"/>
      <w:r>
        <w:rPr>
          <w:rFonts w:ascii="Times New Roman" w:hAnsi="Times New Roman"/>
          <w:sz w:val="30"/>
        </w:rPr>
        <w:t>十八、侧袋机制</w:t>
      </w:r>
      <w:bookmarkEnd w:id="20"/>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（一）侧袋机制的实施条件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（二）实施侧袋机制期间基金份额的申购与赎回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（三）实施侧袋机制期间的基金投资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基金管理人不得在侧袋账户中进行除特定资产处置变现以外的其他投资操作。</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（四）实施侧袋机制期间的基金估值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本基金实施侧袋机制的，基金管理人和基金托管人应对主袋账户资产进行估值并披露主袋账户的基金净值信息，暂停披露侧袋账户份额净值。侧袋账户的会计核算应符合《企业会计准则》的相关要求。</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（五）实施侧袋账户期间的基金费用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1、本基金实施侧袋机制的，管理费和托管费等按主袋账户基金资产净值作为基数计提。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（六）侧袋账户中特定资产的处置变现和支付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（七）侧袋机制的信息披露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1、临时公告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2、基金净值信息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3、定期报告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1" w:name="_Toc187935802"/>
      <w:r>
        <w:rPr>
          <w:rFonts w:ascii="Times New Roman" w:hAnsi="Times New Roman"/>
          <w:sz w:val="30"/>
        </w:rPr>
        <w:t>十九、风险揭示</w:t>
      </w:r>
      <w:bookmarkEnd w:id="21"/>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上一开放日基金总份额的百分之十时，投资者将可能无法及时赎回持有的全部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应当认真阅读《基金合同》、《招募说明书》、基金产品资料概要等基金法律文件，了解基金的风险收益特征，并根据自身的投资目的、投资期限、投资经验、资产状况等判断基金是否和投资者的风险承受能力相适应。</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作出投资决策后，基金运营状况与基金净值变化引致的投资风险，由投资者自行负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基金份额持有人须了解并承受以下风险：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（一）市场风险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市场风险是指证券市场价格因受到经济因素、政治因素、投资心理和交易制度等各种因素的影响而引起的波动，对基金收益水平产生的潜在风险，主要包括：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2、经济周期风险。证券市场受宏观经济运行的影响，而经济运行具有周期性的特点，而宏观经济运行状况将对证券市场的收益水平产生影响，从而对基金收益造成影响。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本基金投资于债券和债券回购，其收益水平会受到利率变化和货币市场供求状况的影响。例如当市场利率上升时，基金所持有的债券价格将下降，若基金组合久期较长，则基金资产面临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6、债券收益率曲线变动风险。是指收益率曲线没有按预期变化导致基金投资决策出现偏差。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（二）管理风险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（三）流动性风险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为开放式基金。按照基金合同的约定，基金管理人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1、本基金的申购、赎回安排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2、投资市场、行业及资产的流动性风险评估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3、巨额赎回情形下的流动性风险管理措施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当基金出现巨额赎回时，基金管理人可以根据基金当时的资产组合状况决定全额赎回或部分顺延赎回。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（1）全额赎回：当基金管理人认为有能力支付基金投资者的赎回申请时，按正常赎回程序执行。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部分顺延赎回：当基金管理人认为支付基金投资者的赎回申请有困难或认为支付投资者的赎回申请而进行的财产变现可能会对基金资产净值造成较大波动时，基金管理人在当日接受赎回比例不低于上一工作日基金总份额的10%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该类基金份额净值为基础计算赎回金额，并以此类推，直到全部赎回为止。如基金投资者在提交赎回申请时未作明确选择，投资者未能赎回部分作自动延期赎回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顺延赎回”的约定方式与其他基金份额持有人的赎回申请一并办理。但是，如基金份额持有人在当日选择取消赎回，则其当日未获受理的部分赎回申请将被撤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暂停赎回：连续2日以上（含本数）发生巨额赎回，如基金管理人认为有必要，可暂停接受基金的赎回申请；已经确认成功的赎回申请可以延缓支付赎回款项，但不得超过20个工作日，并应当在指定媒介上进行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巨额赎回业务的场内处理，按照上海证券交易所及中国证券登记结算有限责任公司的有关规定办理。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4、实施备用的流动性风险管理工具的情形、程序及对投资者的潜在影响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本基金在面临大规模赎回的情况下有可能因为无法变现造成流动性风险。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基金管理人将根据主袋账户运作情况合理确定申购政策，因此实施侧袋机制后主袋账户份额存在暂停申购的可能。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（四）交易对手违约风险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（五）投资本基金特有的风险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1、本基金为债券型基金，固定收益类资产的比例不低于基金资产的80%，因投资固定收益类资产而面临的固定收益类资产市场的系统性风险和个券风险；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为发起式基金，基金管理人运用固有资金认购本基金1000万元，持有期限并不低于三年。但基金管理人对本基金的发起认购，并不代表对本基金的风险或收益的任何判断、预测、推荐和保证，基金管理人认购的发起资金也并不用于对投资者投资亏损的补偿，投资者及基金管理人均自行承担投资风险。基金管理人认购的发起份额持有期限满三年后，基金管理人将根据自身情况决定是否继续持有，届时，基金管理人有可能赎回认购的本基金份额。基金合同生效之日起满3年后的对应日（如该对应日为非工作日，则顺延至下一个工作日），若本基金的资产净值低于2亿元，基金合同将自动终止，且无法通过召开持有人大会延续基金合同期限，因此投资者将面临基金合同可能终止的不确定性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（六）其他风险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1、因技术因素而产生的风险，如电脑系统不可靠产生的风险；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2、因基金业务快速发展，在制度建设、人员配备、内控制度建立等方面的不完善产生的风险；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3、因人为因素而产生的风险、如内幕交易、欺诈行为等产生的风险；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4、对主要业务人员如基金经理的依赖而可能产生的风险；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5、因业务竞争压力可能产生的风险；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6、战争、自然灾害等不可抗力可能导致基金财产的损失，影响基金收益水平，从而带来风险；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7、其他意外导致的风险。</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2" w:name="_Toc187935803"/>
      <w:r>
        <w:rPr>
          <w:rFonts w:ascii="Times New Roman" w:hAnsi="Times New Roman"/>
          <w:sz w:val="30"/>
        </w:rPr>
        <w:t>二十、基金合同的终止与基金财产的清算</w:t>
      </w:r>
      <w:bookmarkEnd w:id="22"/>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（一）基金合同的终止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有下列情形之一的，基金合同经中国证监会核准后将终止：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1、基金份额持有人大会决定终止的；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2、基金管理人职责终止，而在6个月内没有新的基金管理人承接的；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3、基金托管人职责终止，而在6个月内没有新的基金托管人承接的；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4、基金合同生效之日起满3年后的对应日（如该对应日为非工作日，则顺延至下一个工作日），基金资产净值低于2亿元的；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5、相关法律法规和中国证监会规定的其他情况。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（二）基金财产的清算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1、基金财产清算小组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（1）自出现基金合同终止事由之日起30个工作日内成立基金财产清算小组，基金管理人组织基金财产清算小组并在中国证监会的监督下进行基金清算。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（2）基金财产清算小组成员由基金管理人、基金托管人、具有从事证券相关业务资格的注册会计师、律师以及中国证监会指定的人员组成。基金财产清算小组可以聘用必要的工作人员。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（3）基金财产清算小组负责基金财产的保管、清理、估价、变现和分配。基金财产清算小组可以依法进行必要的民事活动。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2、基金财产清算程序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（1）基金合同终止时，由基金财产清算小组统一接管基金财产；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（2）对基金财产进行清理和确认；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（3）对基金财产进行估价和变现；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（4）制作清算报告；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（5）聘请会计师事务所对清算报告进行审计；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（6）聘请律师事务所对清算报告出具法律意见书；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（7）将基金清算结果报告中国证监会；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（8）公布基金清算报告；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（9）对基金剩余财产进行分配。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3、基金财产清算的期限为6个月（若遇基金持有的上市证券出现长期休市、停牌或其他流通受限的情形除外）。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4、清算费用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5、基金财产按下列顺序清偿：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（1）支付清算费用；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（2）交纳所欠税款；</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（3）清偿基金债务；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（4）按基金份额持有人持有的基金份额比例进行分配。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基金财产未按前款（1）－（3）项规定清偿前，不分配给基金份额持有人。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6、基金财产清算的公告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清算过程中的有关重大事项须及时公告；基金财产清算报告经会计师事务所审计，律师事务所出具法律意见书后，由基金财产清算小组报中国证监会备案后5个工作日内由基金财产清算小组公告。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7、基金财产清算账册及文件的保存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基金财产清算账册及有关文件由基金托管人保存15年以上。</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3" w:name="_Toc187935804"/>
      <w:r>
        <w:rPr>
          <w:rFonts w:ascii="Times New Roman" w:hAnsi="Times New Roman"/>
          <w:sz w:val="30"/>
        </w:rPr>
        <w:t>二十一、基金合同内容摘要</w:t>
      </w:r>
      <w:bookmarkEnd w:id="23"/>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（一）基金合同当事人的权利与义务</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1、基金管理人的权利与义务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根据《基金法》、《运作办法》及其他有关规定，基金管理人的权利包括但不限于：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（1）依法募集基金；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（2）自本基金合同生效之日起，依照有关法律法规和本基金合同的规定独立运用并管理基金财产；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（3）依照本基金合同获得基金管理费以及法律法规规定或中国证监会批准的其他收入；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（4）销售基金份额；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（5）依照法律法规为基金的利益行使因基金财产投资于证券所产生的权利；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（6）在符合有关法律法规和本基金合同的前提下，制订和调整有关基金认购、申购、赎回、转换、转托管等业务的规则，决定基金的除调高托管费和管理费、销售服务费之外的费率结构和收费方式；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根据本基金合同及有关规定监督基金托管人，对于基金托管人违反了本基金合同或有关法律法规规定的行为，对基金财产、其他基金当事人的利益造成重大损失的情形，应及时呈报中国证监会和其他监管部门，并采取必要措施保护基金及相关基金当事人的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（8）在基金合同约定的范围内，拒绝或暂停受理申购、赎回和转换等申请；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（9）自行担任注册登记机构或选择、更换注册登记机构，获取基金份额持有人名册，并对注册登记机构的代理行为进行必要的监督和检查；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（10）选择、更换代销机构，并依据销售代理协议和有关法律法规，对其行为进行必要的监督和检查；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（11）依据基金合同及有关法律规定决定基金收益的分配方案；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（12）在基金托管人更换时，提名新的基金托管人；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（13）依法召集基金份额持有人大会；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（14）选择、更换律师事务所、会计师事务所、证券经纪商或其他为基金提供服务的外部机构；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（15）根据国家有关规定，在法律法规允许的前提下，以基金的名义依法为基金融资、融券；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（16）以基金管理人的名义，代表基金份额持有人的利益行使诉讼权利或者实施其他法律行为；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（17）法律法规和基金合同规定的其他权利。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根据《基金法》、《运作办法》及其他有关规定，基金管理人的义务包括但不限于：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（1）依法募集基金，办理或者委托经由中国证监会认定的其他机构代为办理基金份额的发售、申购、赎回和注册登记事宜；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（2）办理基金备案手续；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（3）自基金合同生效之日起，以诚实信用、勤勉尽责的原则管理和运用基金财产；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（4）配备足够的具有专业资格的人员进行基金投资分析、决策，以专业化的经营方式管理和运作基金财产；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（5）建立健全内部风险控制、监察与稽核、财务管理及人事管理等制度，保证所管理的基金财产和基金管理人的财产相互独立，对所管理的不同基金财产分别管理，分别记账，进行证券投资；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（6）除依据《基金法》、基金合同及其他有关规定外，不得为自己及任何第三人谋取利益，不得委托第三人运作基金财产；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（7）依法接受基金托管人的监督；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（8）计算并公告基金净值信息，确定基金份额申购、赎回价格；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（9）采取适当合理的措施使计算基金份额认购、申购、赎回和注销价格的方法符合基金合同等法律文件的规定；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（10）按规定受理基金份额的申购和赎回申请，及时、足额支付赎回款项；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（11）进行基金会计核算并编制基金财务会计报告；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（12）编制季度报告、中期报告和年度报告；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（13）严格按照《基金法》、基金合同及其他有关规定，履行信息披露及报告义务；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（14）保守基金商业秘密，不得泄露基金投资计划、投资意向等。除《基金法》、基金合同及其他有关规定另有规定外，在基金信息公开披露前应予保密，不得向他人泄露；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（15）按照基金合同的约定确定基金收益分配方案，及时向基金份额持有人分配收益；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（16）依据《基金法》、基金合同及其他有关规定召集基金份额持有人大会或配合基金托管人、基金份额持有人依法召集基金份额持有人大会；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（18）保存基金财产管理业务活动的记录、账册、报表和其他相关资料；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（19）以基金管理人名义，代表基金份额持有人利益行使诉讼权利或者实施其他法律行为；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（20）组织并参加基金财产清算小组，参与基金财产的保管、清理、估价、变现和分配；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（21）因违反基金合同导致基金财产的损失或损害基金份额持有人合法权益，应当承担赔偿责任，其赔偿责任不因其退任而免除；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（22）监督基金托管人按法律法规和基金合同规定履行自己的义务，基金托管人违反基金合同造成基金财产损失时，基金管理人应为基金份额持有人利益向基金托管人追偿；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（23）当基金管理人将其义务委托第三方处理时，应当对第三方处理有关基金事务的行为承担责任；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（24）按规定向基金托管人提供基金份额持有人名册资料；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（25）建立并保存基金份额持有人名册；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（26）面临解散、依法被撤销或者被依法宣告破产时，及时报告中国证监会并通知基金托管人；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（27）基金管理人在募集期间未能达到基金的备案条件，基金合同不能生效，基金管理人承担全部募集费用，将已募集资金并加计银行同期存款利息在基金募集期结束后30日内退还投资者；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（28）执行生效的基金份额持有人大会的决议；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（29）不从事任何有损基金及其他基金合同当事人合法权益的活动；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（30）法律法规、基金合同规定的以及中国证监会要求的其他义务。</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2、基金托管人的权利与义务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根据《基金法》、《运作办法》及其他有关规定，基金托管人的权利包括但不限于：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（1）依基金合同约定获得基金托管费以及法律法规规定或监管部门批准的其他收入；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（2）监督基金管理人对本基金的投资运作；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（3）自本基金合同生效之日起，依法律法规和基金合同的规定安全保管基金财产；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（4）在基金管理人更换时，提名新任基金管理人；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根据本基金合同及有关规定监督基金管理人，如发现基金管理人有违反本基金合同或有关法律法规规定的行为，对基金财产、其他基金合同当事人的利益造成重大损失的情形，应及时呈报中国证监会，并采取必要措施保护基金及相关基金合同当事人的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（6）提议召开或依法召集基金份额持有人大会；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（7）根据相关市场规则，为本基金开设证券账户、为本基金办理证券交易资金清算；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（8）按规定取得基金份额持有人名册；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（9）法律法规和基金合同规定的其他权利。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根据《基金法》、《运作办法》及其他有关规定，基金托管人的义务包括但不限于：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（1）以诚实信用、勤勉尽责的原则持有并安全保管基金财产；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（2）设立专门的基金托管部，具有符合要求的营业场所，配备足够的、合格的熟悉基金托管业务的专职人员，负责基金财产托管事宜；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（5）保管由基金管理人代表基金签订的与基金有关的重大合同及有关凭证；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（6）按规定开设基金财产的资金账户和证券账户；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（7）保守基金商业秘密，除《基金法》、基金合同及其他有关规定另有规定外，在基金信息公开披露前应予以保密，不得向他人泄露；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（9）保存基金托管业务活动的记录、账册、报表和其他相关资料不少于15年；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（10）按照基金合同的约定，根据基金管理人的投资指令，及时办理清算、交割事宜；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（11）办理与基金托管业务活动有关的信息披露事项；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（12）复核、审查基金管理人计算的基金资产净值、基金份额净值和基金份额申购、赎回价格；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（13）按照法律法规和基金合同的规定监督基金管理人的投资运作；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（14）按规定制作相关账册并与基金管理人核对；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（15）依据基金管理人的指令或有关规定向基金份额持有人支付基金收益和赎回款项；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（16）按照规定召集基金份额持有人大会或配合基金管理人、基金份额持有人依法召集基金份额持有人大会；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（17）因违反基金合同导致基金财产损失或损害基金份额持有人合法权益，应承担赔偿责任，其赔偿责任不因其退任而免除；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（18）按规定监督基金管理人按照法律法规规定和基金合同履行其义务，基金管理人因违反基金合同造成基金财产损失时，应为基金份额持有人利益向基金管理人追偿；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（19）根据本基金合同和托管协议规定建立并保存基金份额持有人名册；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（20）参加基金财产清算组，参与基金财产的保管、清理、估价、变现和分配；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（21）面临解散、依法被撤销、破产或者由接管人接管其资产时，及时报告中国证监会和中国银监会，并通知基金管理人；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（22）执行生效的基金份额持有人大会的决议；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（23）法律法规、基金合同规定的以及中国证监会要求的其他义务。</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3、基金份额持有人的权利与义务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投资者自依招募说明书、基金合同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同一基金份额类别的每份基金份额具有同等的合法权益。根据《基金法》、《运作办法》及其他有关法律法规的规定，基金份额持有人的权利包括但不限于：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（1）分享基金财产收益；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（2）参与分配清算后的剩余基金财产；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（3）依法申请赎回其持有的基金份额；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（4）按照规定要求召开基金份额持有人大会；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（5）出席或者委派代表出席基金份额持有人大会，对基金份额持有人大会审议事项行使表决权；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（6）查阅或者复制公开披露的基金信息资料；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（7）监督基金管理人的投资运作；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（8）对基金管理人、基金托管人、基金销售机构损害其合法权益的行为依法提起诉讼或仲裁；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（9）法律法规和基金合同规定的其他权利。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根据《基金法》、《运作办法》及其他有关法律法规的规定，基金份额持有人的义务包括但不限于：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（1）认真阅读基金合同，遵守法律法规、基金合同及其他有关规定；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（2）了解所投资基金产品，了解自身风险承受能力，自行承担投资风险；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（3）关注基金信息披露，及时行使权利和履行义务；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（4）缴纳基金认购、申购款项及法律法规、基金合同和招募说明书规定的费用；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（5）在其持有的基金份额范围内，承担基金亏损或者基金合同终止的有限责任；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（6）不从事任何有损基金及其他基金合同当事人合法权益的活动；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（7）执行生效的基金份额持有人大会决议；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（8）遵守基金管理人、基金托管人及销售机构和注册登记机构的相关交易及业务规则；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（9）返还在基金交易过程中因任何原因获得的不当得利；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（10）使用发起资金认购的投资人持有认购的基金份额不少于3年；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（11）法律法规、基金合同规定的以及中国证监会要求的其他义务。</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4、本基金合同当事人各方的权利义务以本基金合同为依据，不因基金账户名称而有所改变。</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（二）基金份额持有人大会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由基金份额持有人组成，基金份额持有人的合法授权代表有权代表基金份额持有人出席会议并表决。基金份额持有人持有的每一基金份额（包括发起资金认购的基金份额）拥有平等的投票权。但基金管理人不能作为基金份额持有人向基金份额持有人大会提出议案，对涉及基金管理人利益的表决事项应当回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2、召开事由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1）终止基金合同，属于基金合同约定的自动终止情形除外，即基金合同生效之日起满3年后的对应日（如该对应日为非工作日，则顺延至下一个工作日），若基金资产净值低于2亿元的，基金合同自动终止；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2）转换基金运作方式；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3）变更基金类别；</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4）变更基金投资目标、投资范围或投资策略（法律法规和中国证监会另有规定的除外）；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5）变更基金份额持有人大会议事程序；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6）更换基金管理人、基金托管人；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7）提高基金管理人、基金托管人的报酬标准和提高销售服务费；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8）本基金与其他基金的合并；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9）对基金合同当事人权利、义务产生重大影响，需召开基金份额持有人大会的变更基金合同等其他事项；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10）法律法规、基金合同或中国证监会规定的其他情形。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（2）出现以下情形之一的，可由基金管理人和基金托管人协商后修改，不需召开基金份额持有人大会：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1）调低基金管理费、基金托管费、销售服务费和其他应由基金或基金份额持有人承担的费用；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2）法律法规要求增加的基金费用的收取；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3）在法律法规和本基金合同规定的范围内调整基金的申购费率、调低赎回费率；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4）因相应的法律法规、证券交易所或者注册登记机构的相关业务规则发生变动必须对基金合同进行修改；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5）基金合同的修改不涉及本基金合同当事人权利义务关系发生重大变化；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6）基金合同的修改对基金份额持有人利益无实质性不利影响；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7）按照法律法规或本基金合同规定不需召开基金份额持有人大会的其他情形。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3、召集人及召集方式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（1）除法律法规或本基金合同另有约定外，基金份额持有人大会由基金管理人召集。基金管理人未按规定召集或者不能召集时，由基金托管人召集。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（5）基金份额持有人依法自行召集基金份额持有人大会的，基金管理人、基金托管人应当配合，不得阻碍、干扰。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4、召开基金份额持有人大会的通知时间、通知内容、通知方式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的召集人（以下简称“召集人”）负责选择确定开会时间、地点、方式和权益登记日。召开基金份额持有人大会，召集人必须于会议召开日前40日在指定媒介公告。基金份额持有人大会通知须至少载明以下内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1）会议召开的时间、地点和出席方式；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2）会议拟审议的主要事项；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3）会议形式；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4）议事程序；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5）有权出席基金份额持有人大会的基金份额持有人的权益登记日；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6）授权委托证明的内容要求（包括但不限于代理人身份、代理权限和代理有效期限等）、送达时间和地点；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7）表决方式；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8）会务常设联系人姓名、电话；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9）出席会议者必须准备的文件和必须履行的手续；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10）召集人需要通知的其他事项。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采用通讯方式开会并进行表决的情况下，由召集人决定通讯方式和书面表决方式，并在会议通知中说明本次基金份额持有人大会所采取的具体通讯方式、委托的公证机关及其联系方式和联系人、书面表决意见的寄交的截止时间和收取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5、基金份额持有人出席会议的方式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（1）会议方式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1）基金份额持有人大会的召开方式包括现场开会、通讯方式开会或法律法规和监管机关允许的其他方式。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2）现场开会由基金份额持有人本人出席或通过授权委托证明委派其代理人出席，现场开会时基金管理人和基金托管人的授权代表应当出席，基金管理人或基金托管人拒不派代表出席的，不影响表决效力。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3）通讯方式开会指按照本基金合同的相关规定以通讯的书面方式进行表决。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（2）召开基金份额持有人大会的条件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1）现场开会方式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在同时符合以下条件时，现场会议方可举行：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①经核对、汇总，到会者出示的在权益登记日持有基金份额的凭证显示，全部有效凭证所对应的基金份额应占权益登记日基金总份额的50%以上（含50%，下同）；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②亲自出席会议者持有基金份额持有人凭证和受托出席会议者出具的委托人持有基金份额的凭证及授权委托证明等文件符合有关法律法规和基金合同及会议通知的规定，并且持有基金份额的凭证与基金管理人持有的登记资料相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未能满足上述条件的情况下，则召集人可另行确定并公告重新开会的时间（至少应在25个工作日后）和地点，但确定有权出席会议的基金份额持有人资格的权益登记日不变。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2）通讯开会方式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在同时符合以下条件时，通讯会议方可举行：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①召集人按本基金合同规定公布会议通知后，在2个工作日内连续公布相关提示性公告；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②召集人在基金托管人（如果基金托管人为召集人，则为基金管理人；以下称为“监督人”）和公证机关的监督下按照会议通知规定的方式收取和统计基金份额持有人的书面表决意见，监督人经通知拒不参加收取和统计书面表决意见的，不影响表决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③本人直接出具书面意见或授权他人代表出具书面意见的基金份额持有人所代表的基金份额应占权益登记日基金总份额的50%以上；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④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如果开会条件达不到上述的条件，则召集人可另行确定并公告重新表决的时间（至少应在25个工作日后），且确定有权出席会议的基金份额持有人资格的权益登记日不变。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3）在法律法规或监管机构允许的情况下，经会议通知载明，基金份额持有人也可以采用网络、电话或其他方式进行表决，或者采用网络、电话或其他方式授权他人代为出席会议并表决。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6、议事内容与程序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（1）议事内容及提案权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1）议事内容为本基金合同规定的召开基金份额持有人大会事由所涉及的内容以及会议召集人认为需提交基金份额持有人大会讨论的其他事项。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基金托管人、单独或合并持有权益登记日本基金总份额10%以上的基金份额持有人可以在大会召集人发出会议通知前就召开事由向大会召集人提交需由基金份额持有人大会审议表决的提案；也可以在会议通知发出后向大会召集人提交临时提案，临时提案应当在大会召开日前35日提交召集人。召集人对于临时提案应当在大会召开日前30日公告。否则，会议的召开日期应当顺延并保证至少与临时提案公告日期有30日的间隔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3）对于基金份额持有人提交的提案（包括临时提案），大会召集人应当按照以下原则对提案进行审核：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份额持有人大会的召集人发出召开会议的通知后，如果需要对原有提案进行修改，应当最迟在基金份额持有人大会召开日前30日公告。否则，会议的召开日期应当顺延并保证至少与公告日期有30日的间隔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（2）议事程序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1）现场开会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在现场开会的方式下，首先由大会主持人按照规定程序宣布会议议事程序及注意事项，确定和公布监票人，然后由大会主持人宣读提案，经讨论后进行表决，经合法执业的律师见证后形成大会决议。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基金管理人和基金托管人不出席或主持基金份额持有人大会，不影响基金份额持有人大会作出的决议的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召集人应当制作出席会议人员的签名册。签名册载明参加会议人员姓名（或单位名称）、身份证号码、持有或代表有表决权的基金份额、委托人姓名（或单位名称）等事项。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2）通讯方式开会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通讯表决开会的方式下，首先由召集人提前30日公布提案，在所通知的表决截止日期第2日在公证机构监督下由召集人统计全部有效表决并形成决议。如监督人经通知但拒绝到场监督，则在公正机关监督下形成的决议有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（3）基金份额持有人大会不得对未事先公告的议事内容进行表决。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7、决议形成的条件、表决方式、程序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（1）基金份额持有人所持每一基金份额享有平等的表决权。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（2）基金份额持有人大会决议分为一般决议和特别决议：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1）一般决议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一般决议须经出席会议的基金份额持有人及其代理人所持表决权的50%以上通过方为有效，除下列2）所规定的须以特别决议通过事项以外的其他事项均以一般决议的方式通过。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2）特别决议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特别决议须经出席会议的基金份额持有人及代理人所持表决权的三分之二以上通过方为有效；更换基金管理人、更换基金托管人、转换基金运作方式、终止基金合同必须以特别决议通过方为有效。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3）基金份额持有人大会决定的事项，应当依法报中国证监会核准，或者备案，并予以公告。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5）基金份额持有人大会采取记名方式进行投票表决。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6）基金份额持有人大会的各项提案或同一项提案内并列的各项议题应当分开审议、逐项表决。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8、计票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（1）现场开会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3名基金份额持有人担任监票人。基金管理人或基金托管人不出席大会的，不影响计票的效力及表决结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2）监票人应当在基金份额持有人表决后立即进行清点，由大会主持人当场公布计票结果。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4）计票过程应由公证机关予以公证。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（2）通讯方式开会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通讯方式开会的情况下，计票方式为：由大会召集人授权的两名监督员在监督人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9、基金份额持有人大会决议报中国证监会核准或备案后的公告时间、方式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通过的一般决议和特别决议，召集人应当自通过之日起5日内报中国证监会核准或者备案。基金份额持有人大会决定的事项自中国证监会依法核准或者出具无异议意见之日起生效，并在生效后方可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（2）生效的基金份额持有人大会决议对全体基金份额持有人、基金管理人、基金托管人均有约束力。基金管理人、基金托管人和基金份额持有人应当执行生效的基金份额持有人大会的决定。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（3）基金份额持有人大会决议应自生效之日起2日内在指定媒介上公告。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（4）如果采用通讯方式进行表决，在公告基金份额持有人大会决议时，必须将公证书全文、公证机关、公证员姓名等一同公告。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10、实施侧袋机制期间基金份额持有人大会的特殊约定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（1）基金份额持有人行使提议权、召集权、提名权所需单独或合计代表相关基金份额10%以上（含10%）；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（6）一般决议须经参加大会的基金份额持有人或其代理人所持表决权的二分之一以上（含二分之一）通过；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同一主侧袋账户内的每份基金份额具有平等的表决权。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（三）基金合同的变更与终止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1、基金合同的变更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按照法律法规或本基金合同的规定，对基金合同的变更应当召开基金份额持有人大会的，基金合同变更的内容应经基金份额持有人大会决议通过，并依法报中国证监会核准或备案，自中国证监会核准或出具无异议意见之日起生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（2）但出现下列情况时，可不经基金份额持有人大会决议，由基金管理人和基金托管人同意变更后公布经修订的基金合同，并报中国证监会备案：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1）调低基金管理费、基金托管费、销售服务费和其他应由基金或基金份额持有人承担的费用；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2）法律法规要求增加的基金费用的收取；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3）在法律法规和本基金合同规定的范围内调整基金的申购费率、调低赎回费率、变更或增加收费方式；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4）因相应的法律法规、证券交易所或者注册登记机构的相关业务规则发生变动必须对基金合同进行修改；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5）基金合同的修改不涉及本基金合同当事人权利义务关系发生重大变化；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6）基金合同的修改对基金份额持有人利益无实质性不利影响；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7）按照法律法规或本基金合同规定不需召开基金份额持有人大会的其他情形。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2、基金合同的终止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有下列情形之一的，本基金合同经中国证监会核准后将终止：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（1）基金份额持有人大会决定终止的；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（2）基金管理人职责终止，而在6个月内没有新的基金管理人承接的；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（3）基金托管人职责终止，而在6个月内没有新的基金托管人承接的；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（4）基金合同生效之日起满3年后的对应日（如该对应日为非工作日，则顺延至下一个工作日），基金资产净值低于2亿元的；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（5）相关法律法规和中国证监会规定的其他情况。</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（四）争议的处理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本基金合同适用中华人民共和国法律并从其解释。</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（五）基金合同存放及投资者取得基金合同的方式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1、本基金合同正本一式六份，除上报相关监管部门两份外，基金管理人和基金托管人各持有两份。每份均具有同等的法律效力。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2、本基金合同可印制成册，供基金投资者在基金管理人和基金托管人办公场所查阅。基金合同条款及内容应以基金合同正本为准。</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4" w:name="_Toc187935805"/>
      <w:r>
        <w:rPr>
          <w:rFonts w:ascii="Times New Roman" w:hAnsi="Times New Roman"/>
          <w:sz w:val="30"/>
        </w:rPr>
        <w:t>二十二、托管协议的内容摘要</w:t>
      </w:r>
      <w:bookmarkEnd w:id="24"/>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（一）托管协议当事人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办公地址：上海市浦东新区世纪大道8号国金中心二期21-22楼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邮政编码：200120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法定代表人：张宏良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成立日期：2005年8月4日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批准设立机关及批准设立文号：中国证监会证监基金字[2005]128号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组织形式：有限责任公司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注册资本：贰亿元人民币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存续期间：持续经营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经营范围：基金募集、基金销售、资产管理和中国证监会许可的其它业务。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名称：中国农业银行股份有限公司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住所：北京市东城区建国门内大街69号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办公地址：北京市西城区复兴门内大街28号凯晨世贸中心东座九层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邮政编码：100031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法定代表人：谷澍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成立时间：2009年1月15日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基金托管资格批文及文号：中国证监会证监基字[1998]23号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注册资本：34,998,303.4万元人民币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存续期间：持续经营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保险兼业代理业务。</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（二）基金托管人对基金管理人的业务监督和核查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30个交易日内卖出。同时本基金不参与可转换债券投资。如法律法规或监管机构以后允许基金投资其他品种，基金管理人履行适当程序后，可以将其纳入投资范围，其投资比例遵循届时有效法律法规或相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本基金的投资组合比例范围为：固定收益类资产的比例不低于基金资产的80%；现金或到期日在一年以内的政府债券的比例合计不低于基金资产净值的5%，其中现金不包括结算备付金、存出保证金和应收申购款等。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2、基金托管人根据有关法律法规的规定及基金合同的约定，对基金投资、融资、融券比例进行监督。基金托管人按下述比例和调整期限进行监督：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（1）本基金与本基金管理人管理的其他基金持有一家公司发行的证券，其市值不超过该证券的10%；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（2）进入全国银行间同业市场进行债券回购的资金余额不超过基金资产净值的40%。债券回购最长期限为1年，债券回购到期后不得展期；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持有的全部权证，其市值不得超过基金资产净值的3%；本基金与本基金管理人管理的其他基金持有的同一权证，不得超过该权证的10%。投资于其他权证的投资比例，遵从法律法规或监管部门的相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（4）本基金应投资于信用级别评级为BBB 以上(含BBB)的资产支持证券。基金持有资产支持证券期间，如果其信用等级下降、不再符合投资标准，应在评级报告发布之日起3个月内予以全部卖出；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持有的同一（指同一信用级别）资产支持证券的比例，不得超过该资产支持证券规模的10%；本基金投资于同一原始权益人的各类资产支持证券的比例，不得超过基金资产净值的10%；本基金管理人管理的全部证券投资基金投资于同一原始权益人的各类资产支持证券，不得超过其各类资产支持证券合计规模的10%；本基金持有的全部资产支持证券，其市值不得超过基金资产净值的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（6）保持不低于基金资产净值5%的现金或者到期日在一年以内的政府债券，其中现金不包括结算备付金、存出保证金和应收申购款等；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（8）本基金与私募类证券资管产品及中国证监会认定的其他主体为交易对手开展逆回购交易的，可接受质押品的资质要求应当与基金合同约定的投资范围保持一致；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（9）本基金不得违反基金合同中有关投资范围、投资策略、投资比例的规定；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（10）法律法规或监管部门对上述比例限制另有规定的，从其规定。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自基金合同生效之日起6个月内使基金的投资组合比例符合基金合同的有关约定。在符合相关法律法规规定的前提下，除上述第（4）、（6）、（7）、（8）项外，因证券市场波动、上市公司合并、基金规模变动等基金管理人之外的因素致使基金投资比例不符合上述规定的投资比例的，基金管理人应当在10个交易日内进行调整。法律法规或监管部门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上述投资组合限制条款中，若属法律法规或监管部门的强制性规定，则当法律法规或监管部门对上述约定的投资组合比例限制规定进行变更，在履行适当程序后，以变更后的规定为准；当法律法规或监管部门取消上述限制，在履行适当程序后，本基金投资可不受上述规定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基金托管人对基金投资的监督和检查自基金合同生效之日起开始。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1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5、基金托管人根据有关法律法规的规定及基金合同的约定，对基金管理人选择存款银行进行监督。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本基金投资银行存款应符合如下规定：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（1）基金管理人、基金托管人应当与存款银行建立定期对账机制，确保基金银行存款业务账目及核算的真实、准确。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（2）基金托管人应加强对基金银行存款业务的监督与核查，严格审查、复核相关协议、账户资料、投资指令、存款证实书等有关文件，切实履行托管职责。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（3）基金管理人与基金托管人在开展基金存款业务时，应严格遵守《基金法》、《运作办法》等有关法律法规，以及国家有关账户管理、利率管理、支付结算等的各项规定。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如果基金管理人未经基金托管人的审核擅自将不实的业绩表现数据印制在宣传推介材料上，则基金托管人对此不承担任何责任，并将在发现后立即报告中国证监会。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7、基金托管人根据有关法律法规的规定及基金合同的约定，对基金投资流通受限证券进行监督。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（1）基金投资流通受限证券，应遵守《关于规范基金投资非公开发行证券行为的紧急通知》、《关于基金投资非公开发行股票等流通受限证券有关问题的通知》等有关法律法规规定。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（4）在投资流通受限证券之前，基金管理人应至少提前一个交易日向基金托管人提供有关非公开定向增发流通受限证券的相关信息，具体应当包括但不限于如下文件（如有）：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应保证基金投资的受限证券登记存管在本基金名下，并保证基金托管人能够正常查询。因基金管理人原因产生的受限证券登记存管问题，造成基金财产的损失或基金托管人无法安全保管基金财产的责任与损失，由基金管理人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（三）基金管理人对基金托管人的业务核查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（四）基金财产保管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1、基金财产保管的原则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（1）基金财产应独立于基金管理人、基金托管人的固有财产。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（2）基金托管人应安全保管基金财产。未经基金管理人依据合法程序作出的合法合规指令，基金托管人不得自行运用、处分、分配基金的任何财产。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（3）基金托管人按照规定开设基金财产的资金账户和证券账户。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（7）除依据法律法规和基金合同的规定外，基金托管人不得委托第三人托管基金财产。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2、基金募集期间及募集资金的验资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（1）基金募集期间的认购款项应存于专用账户。该账户由基金管理人委托的注册登记机构开立并管理。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应将募集到的全部资金划入基金托管人开立的基金托管资金账户，同时在规定时间内，聘请具有从事证券相关业务资格的会计师事务所进行验资，出具验资报告。出具的验资报告由参加验资的2名或2名以上中国注册会计师签字方为有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（3）若基金募集期限届满，未能达到基金合同生效的条件，由基金管理人按规定办理退款等事宜，基金托管人应提供充分协助。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3、基金托管资金账户的开立和管理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（1）基金托管人应负责本基金的资金账户的开设和管理。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（4）基金托管资金账户的开立和管理应符合相关法律法规的有关规定。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（5）在符合法律法规规定的条件下，基金托管人可以通过基金托管人专用账户办理基金资产的支付。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4、基金证券账户和结算备付金账户的开立和管理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（1）基金托管人在中国证券登记结算有限责任公司上海分公司、深圳分公司为基金开立基金托管人与基金联名的证券账户。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 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（4）基金证券账户的开立和证券账户卡的保管由基金托管人负责，账户资产的管理和运用由基金管理人负责。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5、债券托管专户的开设和管理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6、其他账户的开立和管理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（1）因业务发展需要而开立的其他账户，可以根据法律法规和基金合同的规定，在基金管理人和基金托管人商议后由基金托管人负责开立。新账户按有关规则使用并管理。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（2）法律法规等有关规定对相关账户的开立和管理另有规定的，从其规定办理。7、基金财产投资的有关有价凭证等的保管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8、与基金财产有关的重大合同的保管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（五）基金资产净值计算和会计核算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1、基金资产净值的计算及复核程序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基金资产净值是指基金资产总值减去基金负债后的净资产值。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各类基金份额的基金份额净值是指计算日该类基金份额的基金资产净值除以计算日该类基金份额总数的数值。各类基金份额净值的计算，精确到0.0001元，小数点后第五位四舍五入，由此产生的误差计入基金财产。国家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基金管理人每个工作日分别计算本基金A/B类基金份额、C类基金份额和D类基金份额的基金资产净值及基金份额净值，经基金托管人复核，按规定公告。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（2）复核程序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每工作日对基金资产进行估值后，将本基金A/B类基金份额、C类基金份额和D类基金份额的基金份额净值结果发送基金托管人，经基金托管人复核无误后，由基金管理人依据基金合同和相关法律法规的规定对外公布。月末、年中和年末估值复核与基金会计账目的核对同时进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2、基金资产估值方法和特殊情形的处理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（1）估值对象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基金依法拥有的债券、权证及其他基金资产和负债。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（2）估值方法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1）债券估值方法：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证券交易所市场挂牌交易且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首次发行未上市债券采用估值技术确定的公允价值进行估值，在估值技术难以可靠计量公允价值的情况下，按成本估值。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交易所以大宗交易方式转让的资产支持证券，采用估值技术确定公允价值，在估值技术难以可靠计量公允价值的情况下，按成本进行后续计量。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在全国银行间债券市场交易的债券、资产支持证券等固定收益品种，采用估值技术确定公允价值。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同一债券同时在两个或两个以上市场交易的，按债券所处的市场分别估值。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任何情况下，基金管理人如采用本项第01-06小项规定的方法对基金资产进行估值，均应被认为采用了适当的估值方法。但是，如果基金管理人认为按本项第01-06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国家有最新规定的，按其规定进行估值。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2）权证估值方法：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首次发行未上市的权证，采用估值技术确定公允价值，在估值技术难以可靠计量公允价值的情况下，按成本估值。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停止交易、但未行权的权证，采用估值技术确定公允价值进行估值。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任何情况下，基金管理人如采用本项第1-3项规定的方法对基金资产进行估值，均应被认为采用了适当的估值方法。但是，如果基金管理人认为按本项第1-3项规定的方法对基金资产进行估值不能客观反映其公允价值的，基金管理人可根据具体情况，并与基金托管人商定后，按最能反映公允价值的价格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国家有最新规定的，按其规定进行估值。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3）其他有价证券等资产按国家有关规定进行估值。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（3）特殊情形的处理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1）基金管理人、基金托管人按债券估值方法的第7项、权证估值方法的第4项进行估值时，所造成的误差不作为基金份额净值错误处理。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由于证券交易所或登记结算公司发送的数据错误，有关会计制度变化或由于其他不可抗力原因，基金管理人和基金托管人虽然已经采取必要、适当、合理的措施进行检查，但是未能发现该错误而造成的基金份额净值错误，基金管理人、基金托管人免除赔偿责任。但基金管理人、基金托管人应积极采取必要的措施消除由此造成的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3、基金份额净值错误的处理方式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当基金份额净值小数点后4位以内（含第4位）发生估值错误时，视为基金份额净值错误；基金份额净值出现错误时，基金管理人应当立即予以纠正，通报基金托管人，并采取合理的措施防止损失进一步扩大；错误偏差达到或超过基金资产净值的0.25%时，基金管理人应当及时通知基金托管人并报中国证监会；错误偏差达到基金份额净值的0.50%时，基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（2）当基金份额净值错误给基金和基金份额持有人造成损失需要进行赔偿时，基金管理人和基金托管人应根据实际情况界定双方承担的责任，经确认后按以下条款进行赔偿：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若基金管理人计算的基金份额净值已由基金托管人复核确认后公告，当发生基金份额净值错误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50%，基金托管人承担50%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（3）基金管理人和基金托管人由于各自技术系统设置而产生的净值计算尾差，以基金管理人计算结果为准。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（4）前述内容如法律法规或监管机关另有规定的，从其规定处理。如果行业有通行做法，双方当事人应本着平等和保护基金份额持有人利益的原则进行协商。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4、暂停估值与公告基金份额净值的情形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（1）基金投资所涉及的证券投资市场遇法定节假日或因其他原因暂停交易时；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（2）因不可抗力或其他情形致使基金管理人、基金托管人无法准确评估基金资产价值时；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（3）占基金相当比例的投资品种的估值出现重大转变，而基金管理人为保障基金份额持有人的利益，决定延迟估值时；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（4）当特定资产占前一估值日基金资产净值50%以上的，经与基金托管人协商确认后，基金管理人应当暂停估值；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（5）中国证监会和基金合同认定的其他情形。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5、基金会计制度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按国家有关部门规定的会计制度执行。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6、基金账册的建立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7、基金财务报表与报告的编制和复核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（1）财务报表的编制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及时编制并对外提供真实、完整的基金财务会计报告。月度报表的编制，基金管理人应于每月终了后5个工作日内完成；季度报告应在季度结束之日起15个工作日内编制完毕并予以公告；中期报告在会计年度半年终了后两个月内编制完毕并予以公告；年度报告在会计年度结束后三个月内编制完毕并予以公告。基金合同生效不足2个月的，基金管理人可以不编制当期季度报告、中期报告或者年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（2）报表复核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基金管理人在报表或定期报告完成当日，对报表盖章后，以加密传真方式或双方书面商定的其他方式将有关报表提供基金托管人复核。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（六）基金份额持有人名册的的登记与保管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基金管理人和基金托管人须分别妥善保管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（七）争议解决方式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本协议适用中华人民共和国法律并从其解释。</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（八）托管协议的变更与终止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1、托管协议的变更程序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本协议双方当事人经协商一致，可以对协议进行修改。修改后的新协议，其内容不得与基金合同的规定有任何冲突。基金托管协议的变更报中国证监会核准或备案后生效。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2、基金托管协议终止的情形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（2）基金托管人解散、依法被撤销、破产或由其他基金托管人接管基金资产；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（3）基金管理人解散、依法被撤销、破产或由其他基金管理人接管基金管理权；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（4）发生法律法规或基金合同规定的终止事项。</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5" w:name="_Toc187935806"/>
      <w:r>
        <w:rPr>
          <w:rFonts w:ascii="Times New Roman" w:hAnsi="Times New Roman"/>
          <w:sz w:val="30"/>
        </w:rPr>
        <w:t>二十三、对基金份额持有人的服务</w:t>
      </w:r>
      <w:bookmarkEnd w:id="25"/>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本基金管理人承诺为基金份额持有人提供一系列的服务。本基金管理人根据基金份额持有人的需要和市场的变化，有权增加或变更服务项目。主要服务内容如下：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w:t>
      </w:r>
      <w:r>
        <w:rPr>
          <w:rFonts w:hint="eastAsia" w:ascii="宋体" w:hAnsi="宋体"/>
          <w:b/>
          <w:kern w:val="0"/>
          <w:sz w:val="24"/>
        </w:rPr>
        <w:t>一）持有人交易资料的寄送服务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1、每次交易结束后，投资人可在T+2个工作日后通过销售机构的网点查询和打印确认单；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（二）网上直销服务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和本基金的申购、赎回、定期定额投资和转换等业务。本公司暂不开展网上直销本基金B类基金份额的认/申购业务，通过转托管转入网上直销账户的本基金B类基金份额只能办理赎回业务。通过网上直销交易平台办理本基金A类基金份额或D类基金份额的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本公司基金网上直销业务已开通的银行卡及各银行卡交易金额限额请参阅本公司网站。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在条件成熟的时候，本基金管理人将根据基金网上直销业务的发展状况，适时调整可用于网上直销交易平台的银行卡种类，敬请投资者留意相关公告。</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（三）信息咨询、查询服务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如果想查询申购、赎回等交易情况、分红方式状态、基金账户余额、基金产品与服务等信息，请拨打本基金管理人客户服务电话（400-700-5000，021-61055000）或登录本基金管理人网站（www.fund001.com）进行咨询、查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为投资者预设基金查询密码，预设的基金查询密码为投资者开户证件号码的后6位数字，不足6位数字的，前面加“0”补足。基金查询密码用于投资者通过客户服务电话查询基金账户下的账户和交易信息。投资者请在其知晓基金账号后，及时拨打本基金管理人客户服务电话修改基金查询密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投资者可以拨打本基金管理人客户服务电话投诉直销机构的人员和服务。</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（四）基金红利再投资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本基金收益分配时，基金投资者可以选择将当期分配所得的红利再投资于本基金，再投资红利按红利再投日（即除息日）除息后的基金份额净值自动转为相应类别的基金份额，并免收申购费用。</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（五）定期定额投资计划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本基金已开通定期定额投资计划，具体实施方法请参见相关公告。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服务联系方式：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基金管理人的互联网地址及电子信箱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电子信箱：services@jysld.com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投资者也可登录本基金管理人网站，直接提出有关本基金的问题和建议。</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（六）如本招募说明书存在任何您/贵机构无法理解的内容，请通过上述方式联系基金管理人。请确保投资前，您/贵机构已经全面理解了本招募说明书。</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6" w:name="_Toc187935807"/>
      <w:r>
        <w:rPr>
          <w:rFonts w:ascii="Times New Roman" w:hAnsi="Times New Roman"/>
          <w:sz w:val="30"/>
        </w:rPr>
        <w:t>二十四、其他应披露事项</w:t>
      </w:r>
      <w:bookmarkEnd w:id="26"/>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基金合同如有未尽事宜，由基金合同当事人各方按有关法律法规协商解决。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本招募说明书更新期间基金披露的其他重要事项</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交银施罗德基金管理有限公司关于交银施罗德资产管理（香港）有限公司解散的公告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交银施罗德纯债债券型发起式证券投资基金(更新)招募说明书(2023年第1号)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交银施罗德纯债债券型发起式证券投资基金（AB类份额）基金产品资料概要更新(2023年第1号)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交银施罗德纯债债券型发起式证券投资基金（C类份额）基金产品资料概要更新(2023年第1号)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交银施罗德基金管理有限公司关于交银施罗德纯债债券型发起式证券投资基金调整大额申购（转换转入、定期定额投资）业务限额的公告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2024-01-11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交银施罗德基金管理有限公司关于交银施罗德纯债债券型发起式证券投资基金分红公告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2024-01-16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交银施罗德纯债债券型发起式证券投资基金2023年第4季度报告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2024-01-20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交银施罗德基金管理有限公司关于交银施罗德纯债债券型发起式证券投资基金于2024年“春节”假期前调整大额申购（转换转入、定期定额投资）业务限额的公告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2024-02-05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交银施罗德基金管理有限公司关于增加深圳前海微众银行股份有限公司为旗下基金销售机构的公告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2024-02-08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交银施罗德基金管理有限公司关于交银施罗德纯债债券型发起式证券投资基金于2024年“清明节”假期前调整大额申购（转换转入、定期定额投资）业务限额的公告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交银施罗德纯债债券型发起式证券投资基金2023年年度报告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交银施罗德基金管理有限公司高级管理人员任职公告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交银施罗德基金管理有限公司关于交银施罗德纯债债券型发起式证券投资基金调整大额申购（转换转入、定期定额投资）业务限额的公告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2024-04-08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交银施罗德基金管理有限公司关于交银施罗德纯债债券型发起式证券投资基金分红公告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2024-04-11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交银施罗德纯债债券型发起式证券投资基金2024年第1季度报告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2024-04-20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交银施罗德基金管理有限公司关于交银施罗德纯债债券型发起式证券投资基金于2024年“劳动节”假期前调整大额申购（转换转入、定期定额投资）业务限额的公告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2024-04-26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交银施罗德基金管理有限公司关于调整交银施罗德纯债债券型发起式证券投资基金管理费率与托管费率并修改基金合同等法律文件的公告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2024-05-21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交银施罗德纯债债券型发起式证券投资基金(更新)招募说明书(2024年第1号)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2024-05-21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交银施罗德纯债债券型发起式证券投资基金基金合同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2024-05-21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交银施罗德纯债债券型发起式证券投资基金托管协议</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2024-05-21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交银施罗德纯债债券型发起式证券投资基金（AB类份额）基金产品资料概要更新(2024年第1号)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2024-05-21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交银施罗德纯债债券型发起式证券投资基金（C类份额）基金产品资料概要更新(2024年第1号)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2024-05-21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交银施罗德基金管理有限公司关于终止上海钜派钰茂基金销售有限公司办理相关销售业务的公告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2024-05-23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交银施罗德基金管理有限公司关于增加东方财富证券股份有限公司为旗下基金销售机构的公告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2024-05-27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交银施罗德纯债债券型发起式证券投资基金基金产品资料概要更新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2024-06-27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交银施罗德基金管理有限公司关于交银施罗德纯债债券型发起式证券投资基金调整大额申购（转换转入、定期定额投资）业务限额的公告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2024-07-04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交银施罗德基金管理有限公司关于交银施罗德纯债债券型发起式证券投资基金分红公告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2024-07-09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交银施罗德基金管理有限公司旗下全部基金2024年第二季度报告提示性公告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2024-07-18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交银施罗德纯债债券型发起式证券投资基金2024年第2季度报告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2024-07-18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交银施罗德基金管理有限公司关于交银施罗德纯债债券型发起式证券投资基金恢复大额申购（转换转入、定期定额投资）业务的公告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2024-08-17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交银施罗德基金管理有限公司关于董事长离任及代任董事长（法定代表人）的公告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2024-08-17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交银施罗德基金管理有限公司旗下全部基金2024年中期报告提示性公告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交银施罗德纯债债券型发起式证券投资基金2024年中期报告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交银施罗德基金管理有限公司关于交银施罗德纯债债券型发起式证券投资基金增加D类基金份额并修改基金合同和托管协议的公告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2024-09-11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交银施罗德纯债债券型发起式证券投资基金基金合同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2024-09-11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交银施罗德纯债债券型发起式证券投资基金托管协议</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2024-09-11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交银施罗德纯债债券型发起式证券投资基金招募说明书更新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2024-09-11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交银施罗德纯债债券型发起式证券投资基金（AB类份额）基金产品资料概要更新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2024-09-11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交银施罗德纯债债券型发起式证券投资基金（C类份额）基金产品资料概要更新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2024-09-11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交银施罗德纯债债券型发起式证券投资基金（D类份额）基金产品资料概要更新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2024-09-11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交银施罗德基金管理有限公司关于增加上海利得基金销售有限公司为旗下基金的销售机构的公告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2024-09-18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交银施罗德基金管理有限公司关于增加上海基煜基金销售有限公司为旗下基金的销售机构的公告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2024-09-18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交银施罗德基金管理有限公司关于增加北京汇成基金销售有限公司为旗下基金的销售机构的公告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2024-09-18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交银施罗德基金管理有限公司关于交银施罗德纯债债券型发起式证券投资基金于2024年“国庆节”假期暂停大额申购（转换转入、定期定额投资）业务的公告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2024-09-26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交银施罗德基金管理有限公司关于交银施罗德纯债债券型发起式证券投资基金暂停及恢复大额申购（转换转入、定期定额投资）业务的公告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2024-10-11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交银施罗德基金管理有限公司关于交银施罗德纯债债券型发起式证券投资基金分红公告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2024-10-16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交银施罗德基金管理有限公司关于增加上海万得基金销售有限公司为旗下基金的销售机构的公告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2024-10-16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交银施罗德基金管理有限公司关于增加上海天天基金销售有限公司为旗下基金的销售机构的公告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2024-10-16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交银施罗德基金管理有限公司关于增加宁波银行股份有限公司为旗下基金的销售机构的公告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2024-10-16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交银施罗德基金管理有限公司关于增加珠海盈米基金销售有限公司为旗下基金的销售机构的公告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2024-10-16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交银施罗德基金管理有限公司关于交银施罗德纯债债券型发起式证券投资基金暂停非直销销售机构大额申购（转换转入、定期定额投资）业务的公告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2024-10-19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交银施罗德基金管理有限公司关于董事长（法定代表人）任职的公告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2024-10-25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交银施罗德基金管理有限公司高级管理人员任职公告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2024-10-25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交银施罗德纯债债券型发起式证券投资基金2024年第3季度报告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2024-10-25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交银施罗德基金管理有限公司关于增加兴业银行股份有限公司为旗下基金的销售机构的公告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2024-10-31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交银施罗德基金管理有限公司关于增加上海好买基金销售有限公司为旗下基金的销售机构的公告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2024-11-18</w:t>
            </w:r>
          </w:p>
        </w:tc>
      </w:tr>
    </w:tbl>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7" w:name="_Toc187935808"/>
      <w:r>
        <w:rPr>
          <w:rFonts w:ascii="Times New Roman" w:hAnsi="Times New Roman"/>
          <w:sz w:val="30"/>
        </w:rPr>
        <w:t>二十五、招募说明书的存放及查阅方式</w:t>
      </w:r>
      <w:bookmarkEnd w:id="27"/>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投资者还可以直接登录基金管理人的网站（www.fund001.com）查阅和下载招募说明书。</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8" w:name="_Toc187935809"/>
      <w:r>
        <w:rPr>
          <w:rFonts w:ascii="Times New Roman" w:hAnsi="Times New Roman"/>
          <w:sz w:val="30"/>
        </w:rPr>
        <w:t>二十六、备查文件</w:t>
      </w:r>
      <w:bookmarkEnd w:id="28"/>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以下备查文件存放在基金管理人的办公场所，在办公时间可供免费查阅。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（一）中国证监会核准交银施罗德纯债债券型发起式证券投资基金募集的文件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（二）《交银施罗德纯债债券型发起式证券投资基金基金合同》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（三）《交银施罗德纯债债券型发起式证券投资基金托管协议》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（四）基金管理人业务资格批件、营业执照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（五）基金托管人业务资格批件、营业执照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（六）关于申请募集交银施罗德纯债债券型发起式证券投资基金之法律意见书</w:t>
      </w:r>
    </w:p>
    <w:sectPr>
      <w:footerReference r:id="rId10" w:type="default"/>
      <w:pgSz w:w="11920" w:h="16840"/>
      <w:pgMar w:top="1360" w:right="1580" w:bottom="280" w:left="1680" w:header="0" w:footer="11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ascii="Times New Roman" w:hAnsi="Times New Roman"/>
        <w:kern w:val="0"/>
        <w:sz w:val="20"/>
        <w:szCs w:val="20"/>
      </w:rPr>
    </w:pPr>
    <w:r>
      <mc:AlternateContent>
        <mc:Choice Requires="wps">
          <w:drawing>
            <wp:anchor distT="0" distB="0" distL="114300" distR="114300" simplePos="0" relativeHeight="25166131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6" name="Text Box 1"/>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wps:spPr>
                    <wps:txbx>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3.4pt;margin-top:782.6pt;height:11pt;width:21.6pt;mso-position-horizontal-relative:page;mso-position-vertical-relative:page;z-index:-251655168;mso-width-relative:page;mso-height-relative:page;" filled="f" stroked="f" coordsize="21600,21600" o:allowincell="f" o:gfxdata="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Ykyd9oAAAANAQAADwAAAAAAAAABACAAAAAiAAAAZHJzL2Rvd25y&#10;ZXYueG1sUEsBAhQAFAAAAAgAh07iQM97fF38AQAAAwQAAA4AAAAAAAAAAQAgAAAAKQEAAGRycy9l&#10;Mm9Eb2MueG1sUEsFBgAAAAAGAAYAWQEAAJcFAAAAAA==&#10;">
              <v:fill on="f" focussize="0,0"/>
              <v:stroke on="f"/>
              <v:imagedata o:title=""/>
              <o:lock v:ext="edit" aspectratio="f"/>
              <v:textbox inset="0mm,0mm,0mm,0mm">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4</w:t>
                    </w:r>
                    <w:r>
                      <w:rPr>
                        <w:rFonts w:ascii="Times New Roman" w:hAnsi="Times New Roman"/>
                        <w:kern w:val="0"/>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ascii="Times New Roman" w:hAnsi="Times New Roman"/>
        <w:kern w:val="0"/>
        <w:sz w:val="20"/>
        <w:szCs w:val="20"/>
      </w:rPr>
    </w:pPr>
    <w:r>
      <mc:AlternateContent>
        <mc:Choice Requires="wps">
          <w:drawing>
            <wp:anchor distT="0" distB="0" distL="114300" distR="114300" simplePos="0" relativeHeight="25166233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5" name="Text Box 20"/>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wps:spPr>
                    <wps:txbx>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162</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20" o:spid="_x0000_s1026" o:spt="202" type="#_x0000_t202" style="position:absolute;left:0pt;margin-left:291.25pt;margin-top:773.85pt;height:11pt;width:33.5pt;mso-position-horizontal-relative:page;mso-position-vertical-relative:page;z-index:-251654144;mso-width-relative:page;mso-height-relative:page;" filled="f" stroked="f" coordsize="21600,21600" o:allowincell="f" o:gfxdata="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xI+742gAAAA0BAAAPAAAAAAAAAAEAIAAAACIAAABkcnMvZG93&#10;bnJldi54bWxQSwECFAAUAAAACACHTuJANHagKP4BAAAEBAAADgAAAAAAAAABACAAAAApAQAAZHJz&#10;L2Uyb0RvYy54bWxQSwUGAAAAAAYABgBZAQAAmQUAAAAA&#10;">
              <v:fill on="f" focussize="0,0"/>
              <v:stroke on="f"/>
              <v:imagedata o:title=""/>
              <o:lock v:ext="edit" aspectratio="f"/>
              <v:textbox inset="0mm,0mm,0mm,0mm">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162</w:t>
                    </w:r>
                    <w:r>
                      <w:rPr>
                        <w:rFonts w:ascii="Times New Roman" w:hAnsi="Times New Roman"/>
                        <w:kern w:val="0"/>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1"/>
                  <pic:cNvPicPr>
                    <a:picLocks noChangeAspect="1" noChangeArrowheads="1"/>
                  </pic:cNvPicPr>
                </pic:nvPicPr>
                <pic:blipFill>
                  <a:blip r:embed="rId1"/>
                  <a:srcRect/>
                  <a:stretch>
                    <a:fillRect/>
                  </a:stretch>
                </pic:blipFill>
                <pic:spPr>
                  <a:xfrm>
                    <a:off x="0" y="0"/>
                    <a:ext cx="1714500" cy="238125"/>
                  </a:xfrm>
                  <a:prstGeom prst="rect">
                    <a:avLst/>
                  </a:prstGeom>
                  <a:noFill/>
                  <a:ln w="9525">
                    <a:noFill/>
                    <a:miter lim="800000"/>
                    <a:headEnd/>
                    <a:tailEnd/>
                  </a:ln>
                </pic:spPr>
              </pic:pic>
            </a:graphicData>
          </a:graphic>
        </wp:anchor>
      </w:drawing>
    </w:r>
  </w:p>
  <w:p>
    <w:pPr>
      <w:pStyle w:val="9"/>
      <w:jc w:val="right"/>
      <w:rPr>
        <w:rFonts w:ascii="宋体" w:hAnsi="宋体"/>
      </w:rPr>
    </w:pPr>
    <w:r>
      <w:rPr>
        <w:rFonts w:hint="eastAsia" w:ascii="宋体" w:hAnsi="宋体"/>
      </w:rPr>
      <w:t>交银施罗德纯债债券型发起式证券投资基金招募说明书更新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jc w:val="right"/>
    </w:pPr>
  </w:p>
  <w:p>
    <w:pPr>
      <w:pStyle w:val="9"/>
      <w:jc w:val="right"/>
    </w:pPr>
  </w:p>
  <w:p>
    <w:pPr>
      <w:pStyle w:val="9"/>
      <w:jc w:val="right"/>
    </w:pPr>
    <w:r>
      <w:drawing>
        <wp:anchor distT="0" distB="0" distL="114300" distR="114300" simplePos="0" relativeHeight="251660288"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srcRect/>
                  <a:stretch>
                    <a:fillRect/>
                  </a:stretch>
                </pic:blipFill>
                <pic:spPr>
                  <a:xfrm>
                    <a:off x="0" y="0"/>
                    <a:ext cx="1714500" cy="238125"/>
                  </a:xfrm>
                  <a:prstGeom prst="rect">
                    <a:avLst/>
                  </a:prstGeom>
                  <a:noFill/>
                  <a:ln w="9525">
                    <a:noFill/>
                    <a:miter lim="800000"/>
                    <a:headEnd/>
                    <a:tailEnd/>
                  </a:ln>
                </pic:spPr>
              </pic:pic>
            </a:graphicData>
          </a:graphic>
        </wp:anchor>
      </w:drawing>
    </w:r>
  </w:p>
  <w:p>
    <w:pPr>
      <w:pStyle w:val="9"/>
      <w:jc w:val="right"/>
      <w:rPr>
        <w:rFonts w:ascii="宋体" w:hAnsi="宋体"/>
      </w:rPr>
    </w:pPr>
    <w:r>
      <w:rPr>
        <w:rFonts w:hint="eastAsia" w:ascii="宋体" w:hAnsi="宋体"/>
      </w:rPr>
      <w:t>交银施罗德纯债债券型发起式证券投资基金招募说明书更新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jc w:val="right"/>
    </w:pPr>
  </w:p>
  <w:p>
    <w:pPr>
      <w:pStyle w:val="9"/>
      <w:jc w:val="right"/>
    </w:pPr>
  </w:p>
  <w:p>
    <w:pPr>
      <w:pStyle w:val="9"/>
      <w:jc w:val="right"/>
    </w:pPr>
    <w:r>
      <w:drawing>
        <wp:anchor distT="0" distB="0" distL="114300" distR="114300" simplePos="0" relativeHeight="251661312"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1"/>
                  <pic:cNvPicPr>
                    <a:picLocks noChangeAspect="1" noChangeArrowheads="1"/>
                  </pic:cNvPicPr>
                </pic:nvPicPr>
                <pic:blipFill>
                  <a:blip r:embed="rId1"/>
                  <a:srcRect/>
                  <a:stretch>
                    <a:fillRect/>
                  </a:stretch>
                </pic:blipFill>
                <pic:spPr>
                  <a:xfrm>
                    <a:off x="0" y="0"/>
                    <a:ext cx="1714500" cy="238125"/>
                  </a:xfrm>
                  <a:prstGeom prst="rect">
                    <a:avLst/>
                  </a:prstGeom>
                  <a:noFill/>
                  <a:ln w="9525">
                    <a:noFill/>
                    <a:miter lim="800000"/>
                    <a:headEnd/>
                    <a:tailEnd/>
                  </a:ln>
                </pic:spPr>
              </pic:pic>
            </a:graphicData>
          </a:graphic>
        </wp:anchor>
      </w:drawing>
    </w:r>
  </w:p>
  <w:p>
    <w:pPr>
      <w:pStyle w:val="9"/>
      <w:jc w:val="right"/>
      <w:rPr>
        <w:rFonts w:ascii="宋体" w:hAnsi="宋体"/>
      </w:rPr>
    </w:pPr>
    <w:r>
      <w:rPr>
        <w:rFonts w:hint="eastAsia" w:ascii="宋体" w:hAnsi="宋体"/>
      </w:rPr>
      <w:t>交银施罗德纯债债券型发起式证券投资基金招募说明书更新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73EE"/>
    <w:multiLevelType w:val="multilevel"/>
    <w:tmpl w:val="547D73EE"/>
    <w:lvl w:ilvl="0" w:tentative="0">
      <w:start w:val="1"/>
      <w:numFmt w:val="decimal"/>
      <w:pStyle w:val="24"/>
      <w:suff w:val="space"/>
      <w:lvlText w:val="§%1"/>
      <w:lvlJc w:val="left"/>
      <w:pPr>
        <w:ind w:left="425" w:hanging="425"/>
      </w:pPr>
      <w:rPr>
        <w:rFonts w:hint="eastAsia"/>
      </w:rPr>
    </w:lvl>
    <w:lvl w:ilvl="1" w:tentative="0">
      <w:start w:val="1"/>
      <w:numFmt w:val="decimal"/>
      <w:pStyle w:val="25"/>
      <w:suff w:val="space"/>
      <w:lvlText w:val="%1.%2"/>
      <w:lvlJc w:val="left"/>
      <w:pPr>
        <w:ind w:left="738" w:hanging="454"/>
      </w:pPr>
      <w:rPr>
        <w:rFonts w:hint="eastAsia"/>
      </w:rPr>
    </w:lvl>
    <w:lvl w:ilvl="2" w:tentative="0">
      <w:start w:val="1"/>
      <w:numFmt w:val="decimal"/>
      <w:pStyle w:val="26"/>
      <w:suff w:val="space"/>
      <w:lvlText w:val="%1.%2.%3"/>
      <w:lvlJc w:val="left"/>
      <w:pPr>
        <w:ind w:left="624" w:hanging="624"/>
      </w:pPr>
    </w:lvl>
    <w:lvl w:ilvl="3" w:tentative="0">
      <w:start w:val="1"/>
      <w:numFmt w:val="decimal"/>
      <w:pStyle w:val="28"/>
      <w:suff w:val="space"/>
      <w:lvlText w:val="%1.%2.%3.%4"/>
      <w:lvlJc w:val="left"/>
      <w:pPr>
        <w:ind w:left="794" w:hanging="794"/>
      </w:pPr>
      <w:rPr>
        <w:rFonts w:hint="eastAsia"/>
      </w:rPr>
    </w:lvl>
    <w:lvl w:ilvl="4" w:tentative="0">
      <w:start w:val="1"/>
      <w:numFmt w:val="decimal"/>
      <w:pStyle w:val="27"/>
      <w:suff w:val="space"/>
      <w:lvlText w:val="%1.%2.%3.%4.%5"/>
      <w:lvlJc w:val="left"/>
      <w:pPr>
        <w:ind w:left="1021" w:hanging="1021"/>
      </w:pPr>
      <w:rPr>
        <w:rFonts w:hint="eastAsia"/>
      </w:rPr>
    </w:lvl>
    <w:lvl w:ilvl="5" w:tentative="0">
      <w:start w:val="1"/>
      <w:numFmt w:val="decimal"/>
      <w:pStyle w:val="21"/>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720"/>
  <w:drawingGridHorizontalSpacing w:val="105"/>
  <w:drawingGridVerticalSpacing w:val="120"/>
  <w:displayHorizontalDrawingGridEvery w:val="0"/>
  <w:displayVerticalDrawingGridEvery w:val="3"/>
  <w:doNotShadeFormData w:val="1"/>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1F79"/>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2CE"/>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4641"/>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1430"/>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2C0"/>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067E"/>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E7DC3"/>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09C1"/>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0F0442FB"/>
    <w:rsid w:val="1A113708"/>
    <w:rsid w:val="253B0799"/>
    <w:rsid w:val="3E6E1FCB"/>
    <w:rsid w:val="468F312C"/>
    <w:rsid w:val="4D8212ED"/>
    <w:rsid w:val="618B7898"/>
    <w:rsid w:val="64413D89"/>
    <w:rsid w:val="72B9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9"/>
    <w:qFormat/>
    <w:uiPriority w:val="9"/>
    <w:pPr>
      <w:keepNext/>
      <w:keepLines/>
      <w:spacing w:before="100" w:beforeLines="100" w:after="100" w:afterLines="100" w:line="360" w:lineRule="auto"/>
      <w:jc w:val="center"/>
      <w:outlineLvl w:val="0"/>
    </w:pPr>
    <w:rPr>
      <w:b/>
      <w:bCs/>
      <w:kern w:val="44"/>
      <w:sz w:val="28"/>
      <w:szCs w:val="44"/>
    </w:rPr>
  </w:style>
  <w:style w:type="paragraph" w:styleId="3">
    <w:name w:val="heading 2"/>
    <w:basedOn w:val="1"/>
    <w:next w:val="1"/>
    <w:link w:val="37"/>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link w:val="38"/>
    <w:unhideWhenUsed/>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5"/>
    <w:unhideWhenUsed/>
    <w:qFormat/>
    <w:uiPriority w:val="99"/>
    <w:rPr>
      <w:rFonts w:ascii="宋体"/>
      <w:sz w:val="18"/>
      <w:szCs w:val="18"/>
    </w:rPr>
  </w:style>
  <w:style w:type="paragraph" w:styleId="6">
    <w:name w:val="annotation text"/>
    <w:basedOn w:val="1"/>
    <w:link w:val="31"/>
    <w:unhideWhenUsed/>
    <w:qFormat/>
    <w:uiPriority w:val="0"/>
    <w:pPr>
      <w:jc w:val="left"/>
    </w:pPr>
  </w:style>
  <w:style w:type="paragraph" w:styleId="7">
    <w:name w:val="Balloon Text"/>
    <w:basedOn w:val="1"/>
    <w:semiHidden/>
    <w:qFormat/>
    <w:uiPriority w:val="0"/>
    <w:rPr>
      <w:sz w:val="18"/>
      <w:szCs w:val="18"/>
    </w:rPr>
  </w:style>
  <w:style w:type="paragraph" w:styleId="8">
    <w:name w:val="footer"/>
    <w:basedOn w:val="1"/>
    <w:link w:val="36"/>
    <w:unhideWhenUsed/>
    <w:qFormat/>
    <w:uiPriority w:val="99"/>
    <w:pPr>
      <w:tabs>
        <w:tab w:val="center" w:pos="4153"/>
        <w:tab w:val="right" w:pos="8306"/>
      </w:tabs>
      <w:snapToGrid w:val="0"/>
      <w:jc w:val="left"/>
    </w:pPr>
    <w:rPr>
      <w:kern w:val="0"/>
      <w:sz w:val="18"/>
      <w:szCs w:val="18"/>
    </w:rPr>
  </w:style>
  <w:style w:type="paragraph" w:styleId="9">
    <w:name w:val="header"/>
    <w:basedOn w:val="1"/>
    <w:link w:val="3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unhideWhenUsed/>
    <w:qFormat/>
    <w:uiPriority w:val="39"/>
  </w:style>
  <w:style w:type="paragraph" w:styleId="11">
    <w:name w:val="Subtitle"/>
    <w:basedOn w:val="1"/>
    <w:next w:val="1"/>
    <w:link w:val="34"/>
    <w:qFormat/>
    <w:uiPriority w:val="0"/>
    <w:pPr>
      <w:spacing w:before="240" w:after="60" w:line="312" w:lineRule="auto"/>
      <w:jc w:val="center"/>
      <w:outlineLvl w:val="1"/>
    </w:pPr>
    <w:rPr>
      <w:rFonts w:ascii="Cambria" w:hAnsi="Cambria"/>
      <w:b/>
      <w:bCs/>
      <w:kern w:val="28"/>
      <w:sz w:val="32"/>
      <w:szCs w:val="32"/>
    </w:rPr>
  </w:style>
  <w:style w:type="paragraph" w:styleId="12">
    <w:name w:val="toc 2"/>
    <w:basedOn w:val="1"/>
    <w:next w:val="1"/>
    <w:unhideWhenUsed/>
    <w:qFormat/>
    <w:uiPriority w:val="39"/>
    <w:pPr>
      <w:ind w:left="480" w:leftChars="200"/>
    </w:pPr>
  </w:style>
  <w:style w:type="paragraph" w:styleId="13">
    <w:name w:val="annotation subject"/>
    <w:basedOn w:val="6"/>
    <w:next w:val="6"/>
    <w:link w:val="32"/>
    <w:unhideWhenUsed/>
    <w:qFormat/>
    <w:uiPriority w:val="99"/>
    <w:rPr>
      <w:b/>
      <w:bCs/>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6">
    <w:name w:val="Light Shading Accent 5"/>
    <w:basedOn w:val="14"/>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character" w:styleId="18">
    <w:name w:val="Hyperlink"/>
    <w:unhideWhenUsed/>
    <w:qFormat/>
    <w:uiPriority w:val="99"/>
    <w:rPr>
      <w:color w:val="0000FF"/>
      <w:u w:val="single"/>
    </w:rPr>
  </w:style>
  <w:style w:type="character" w:styleId="19">
    <w:name w:val="annotation reference"/>
    <w:unhideWhenUsed/>
    <w:qFormat/>
    <w:uiPriority w:val="0"/>
    <w:rPr>
      <w:sz w:val="21"/>
      <w:szCs w:val="21"/>
    </w:rPr>
  </w:style>
  <w:style w:type="paragraph" w:customStyle="1" w:styleId="20">
    <w:name w:val="_Style 19"/>
    <w:basedOn w:val="2"/>
    <w:next w:val="1"/>
    <w:qFormat/>
    <w:uiPriority w:val="39"/>
    <w:pPr>
      <w:widowControl/>
      <w:spacing w:before="480" w:beforeLines="0" w:line="276" w:lineRule="auto"/>
      <w:jc w:val="left"/>
      <w:outlineLvl w:val="9"/>
    </w:pPr>
    <w:rPr>
      <w:rFonts w:ascii="Cambria" w:hAnsi="Cambria"/>
      <w:color w:val="365F91"/>
      <w:kern w:val="0"/>
      <w:szCs w:val="28"/>
    </w:rPr>
  </w:style>
  <w:style w:type="paragraph" w:customStyle="1" w:styleId="21">
    <w:name w:val="XBRLTitle6"/>
    <w:basedOn w:val="11"/>
    <w:next w:val="4"/>
    <w:qFormat/>
    <w:uiPriority w:val="0"/>
    <w:pPr>
      <w:keepNext/>
      <w:keepLines/>
      <w:numPr>
        <w:ilvl w:val="5"/>
        <w:numId w:val="1"/>
      </w:numPr>
      <w:ind w:left="0" w:firstLine="0"/>
      <w:jc w:val="left"/>
    </w:pPr>
    <w:rPr>
      <w:bCs w:val="0"/>
      <w:sz w:val="24"/>
    </w:rPr>
  </w:style>
  <w:style w:type="paragraph" w:customStyle="1" w:styleId="22">
    <w:name w:val="_Style 21"/>
    <w:semiHidden/>
    <w:qFormat/>
    <w:uiPriority w:val="99"/>
    <w:rPr>
      <w:rFonts w:ascii="Calibri" w:hAnsi="Calibri" w:eastAsia="宋体" w:cs="Times New Roman"/>
      <w:kern w:val="2"/>
      <w:sz w:val="21"/>
      <w:szCs w:val="22"/>
      <w:lang w:val="en-US" w:eastAsia="zh-CN" w:bidi="ar-SA"/>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XBRLTitle1"/>
    <w:basedOn w:val="2"/>
    <w:next w:val="3"/>
    <w:qFormat/>
    <w:uiPriority w:val="0"/>
    <w:pPr>
      <w:numPr>
        <w:ilvl w:val="0"/>
        <w:numId w:val="1"/>
      </w:numPr>
      <w:spacing w:before="340" w:beforeLines="50" w:after="330" w:afterLines="50" w:line="240" w:lineRule="auto"/>
    </w:pPr>
    <w:rPr>
      <w:rFonts w:ascii="Cambria" w:hAnsi="Cambria"/>
    </w:rPr>
  </w:style>
  <w:style w:type="paragraph" w:customStyle="1" w:styleId="25">
    <w:name w:val="XBRLTitle2"/>
    <w:basedOn w:val="11"/>
    <w:next w:val="4"/>
    <w:qFormat/>
    <w:uiPriority w:val="0"/>
    <w:pPr>
      <w:keepNext/>
      <w:keepLines/>
      <w:numPr>
        <w:ilvl w:val="1"/>
        <w:numId w:val="1"/>
      </w:numPr>
      <w:jc w:val="left"/>
    </w:pPr>
    <w:rPr>
      <w:bCs w:val="0"/>
      <w:sz w:val="24"/>
    </w:rPr>
  </w:style>
  <w:style w:type="paragraph" w:customStyle="1" w:styleId="26">
    <w:name w:val="XBRLTitle3"/>
    <w:basedOn w:val="11"/>
    <w:next w:val="4"/>
    <w:qFormat/>
    <w:uiPriority w:val="0"/>
    <w:pPr>
      <w:keepNext/>
      <w:keepLines/>
      <w:numPr>
        <w:ilvl w:val="2"/>
        <w:numId w:val="1"/>
      </w:numPr>
      <w:ind w:left="0" w:firstLine="0"/>
      <w:jc w:val="left"/>
    </w:pPr>
    <w:rPr>
      <w:bCs w:val="0"/>
      <w:sz w:val="24"/>
    </w:rPr>
  </w:style>
  <w:style w:type="paragraph" w:customStyle="1" w:styleId="27">
    <w:name w:val="XBRLTitle5"/>
    <w:basedOn w:val="11"/>
    <w:next w:val="4"/>
    <w:qFormat/>
    <w:uiPriority w:val="0"/>
    <w:pPr>
      <w:keepNext/>
      <w:keepLines/>
      <w:numPr>
        <w:ilvl w:val="4"/>
        <w:numId w:val="1"/>
      </w:numPr>
      <w:ind w:left="0" w:firstLine="0"/>
      <w:jc w:val="left"/>
    </w:pPr>
    <w:rPr>
      <w:bCs w:val="0"/>
      <w:sz w:val="24"/>
    </w:rPr>
  </w:style>
  <w:style w:type="paragraph" w:customStyle="1" w:styleId="28">
    <w:name w:val="XBRLTitle4"/>
    <w:basedOn w:val="11"/>
    <w:next w:val="4"/>
    <w:qFormat/>
    <w:uiPriority w:val="0"/>
    <w:pPr>
      <w:keepNext/>
      <w:keepLines/>
      <w:numPr>
        <w:ilvl w:val="3"/>
        <w:numId w:val="1"/>
      </w:numPr>
      <w:ind w:left="0" w:firstLine="0"/>
      <w:jc w:val="left"/>
    </w:pPr>
    <w:rPr>
      <w:bCs w:val="0"/>
      <w:sz w:val="24"/>
    </w:rPr>
  </w:style>
  <w:style w:type="character" w:customStyle="1" w:styleId="29">
    <w:name w:val="副标题 Char1"/>
    <w:qFormat/>
    <w:uiPriority w:val="0"/>
    <w:rPr>
      <w:rFonts w:ascii="Cambria" w:hAnsi="Cambria"/>
      <w:b/>
      <w:kern w:val="28"/>
      <w:sz w:val="24"/>
      <w:szCs w:val="32"/>
    </w:rPr>
  </w:style>
  <w:style w:type="character" w:customStyle="1" w:styleId="30">
    <w:name w:val="txtcontent11"/>
    <w:qFormat/>
    <w:uiPriority w:val="0"/>
    <w:rPr>
      <w:rFonts w:hint="default" w:ascii="ˎ̥" w:hAnsi="ˎ̥"/>
      <w:color w:val="000000"/>
      <w:sz w:val="21"/>
      <w:szCs w:val="21"/>
    </w:rPr>
  </w:style>
  <w:style w:type="character" w:customStyle="1" w:styleId="31">
    <w:name w:val="批注文字 字符"/>
    <w:link w:val="6"/>
    <w:qFormat/>
    <w:uiPriority w:val="0"/>
    <w:rPr>
      <w:kern w:val="2"/>
      <w:sz w:val="21"/>
      <w:szCs w:val="22"/>
    </w:rPr>
  </w:style>
  <w:style w:type="character" w:customStyle="1" w:styleId="32">
    <w:name w:val="批注主题 字符"/>
    <w:link w:val="13"/>
    <w:semiHidden/>
    <w:qFormat/>
    <w:uiPriority w:val="99"/>
    <w:rPr>
      <w:b/>
      <w:bCs/>
      <w:kern w:val="2"/>
      <w:sz w:val="21"/>
      <w:szCs w:val="22"/>
    </w:rPr>
  </w:style>
  <w:style w:type="character" w:customStyle="1" w:styleId="33">
    <w:name w:val="页眉 字符"/>
    <w:link w:val="9"/>
    <w:qFormat/>
    <w:uiPriority w:val="99"/>
    <w:rPr>
      <w:sz w:val="18"/>
      <w:szCs w:val="18"/>
    </w:rPr>
  </w:style>
  <w:style w:type="character" w:customStyle="1" w:styleId="34">
    <w:name w:val="副标题 字符"/>
    <w:link w:val="11"/>
    <w:qFormat/>
    <w:uiPriority w:val="0"/>
    <w:rPr>
      <w:rFonts w:ascii="Cambria" w:hAnsi="Cambria" w:cs="Times New Roman"/>
      <w:b/>
      <w:bCs/>
      <w:kern w:val="28"/>
      <w:sz w:val="32"/>
      <w:szCs w:val="32"/>
    </w:rPr>
  </w:style>
  <w:style w:type="character" w:customStyle="1" w:styleId="35">
    <w:name w:val="文档结构图 字符"/>
    <w:link w:val="5"/>
    <w:semiHidden/>
    <w:qFormat/>
    <w:uiPriority w:val="99"/>
    <w:rPr>
      <w:rFonts w:ascii="宋体"/>
      <w:kern w:val="2"/>
      <w:sz w:val="18"/>
      <w:szCs w:val="18"/>
    </w:rPr>
  </w:style>
  <w:style w:type="character" w:customStyle="1" w:styleId="36">
    <w:name w:val="页脚 字符"/>
    <w:link w:val="8"/>
    <w:qFormat/>
    <w:uiPriority w:val="99"/>
    <w:rPr>
      <w:sz w:val="18"/>
      <w:szCs w:val="18"/>
    </w:rPr>
  </w:style>
  <w:style w:type="character" w:customStyle="1" w:styleId="37">
    <w:name w:val="标题 2 字符"/>
    <w:link w:val="3"/>
    <w:semiHidden/>
    <w:qFormat/>
    <w:uiPriority w:val="9"/>
    <w:rPr>
      <w:rFonts w:ascii="Cambria" w:hAnsi="Cambria" w:eastAsia="宋体" w:cs="Times New Roman"/>
      <w:b/>
      <w:bCs/>
      <w:kern w:val="2"/>
      <w:sz w:val="32"/>
      <w:szCs w:val="32"/>
    </w:rPr>
  </w:style>
  <w:style w:type="character" w:customStyle="1" w:styleId="38">
    <w:name w:val="标题 4 字符"/>
    <w:link w:val="4"/>
    <w:semiHidden/>
    <w:qFormat/>
    <w:uiPriority w:val="9"/>
    <w:rPr>
      <w:rFonts w:ascii="Cambria" w:hAnsi="Cambria" w:eastAsia="宋体" w:cs="Times New Roman"/>
      <w:b/>
      <w:bCs/>
      <w:kern w:val="2"/>
      <w:sz w:val="28"/>
      <w:szCs w:val="28"/>
    </w:rPr>
  </w:style>
  <w:style w:type="character" w:customStyle="1" w:styleId="39">
    <w:name w:val="标题 1 字符"/>
    <w:link w:val="2"/>
    <w:qFormat/>
    <w:uiPriority w:val="9"/>
    <w:rPr>
      <w:b/>
      <w:bCs/>
      <w:kern w:val="44"/>
      <w:sz w:val="28"/>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179</Pages>
  <Words>18324</Words>
  <Characters>104449</Characters>
  <Lines>870</Lines>
  <Paragraphs>245</Paragraphs>
  <TotalTime>44</TotalTime>
  <ScaleCrop>false</ScaleCrop>
  <LinksUpToDate>false</LinksUpToDate>
  <CharactersWithSpaces>122528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2025-10-17T10:01:00Z</dcterms:created>
  <dc:creator>系统用户</dc:creator>
  <cp:lastModifiedBy>喻秋燕</cp:lastModifiedBy>
  <cp:lastPrinted>2013-02-18T03:10:00Z</cp:lastPrinted>
  <dcterms:modified xsi:type="dcterms:W3CDTF">2025-10-22T01:41:36Z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17D13A8053BD4C75BAAD3D5425FBFAA5</vt:lpwstr>
  </property>
</Properties>
</file>