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12" cstate="print"/>
                    <a:srcRect/>
                    <a:stretch>
                      <a:fillRect/>
                    </a:stretch>
                  </pic:blipFill>
                  <pic:spPr>
                    <a:xfrm>
                      <a:off x="0" y="0"/>
                      <a:ext cx="4343400" cy="571500"/>
                    </a:xfrm>
                    <a:prstGeom prst="rect">
                      <a:avLst/>
                    </a:prstGeom>
                    <a:noFill/>
                    <a:ln w="9525">
                      <a:noFill/>
                      <a:miter lim="800000"/>
                      <a:headEnd/>
                      <a:tailEnd/>
                    </a:ln>
                  </pic:spPr>
                </pic:pic>
              </a:graphicData>
            </a:graphic>
          </wp:inline>
        </w:drawing>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交银施罗德先进制造混合型证券投资基金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招募说明书(更新)</w:t>
      </w:r>
    </w:p>
    <w:p>
      <w:pPr>
        <w:snapToGrid w:val="0"/>
        <w:spacing w:line="360" w:lineRule="auto"/>
        <w:jc w:val="center"/>
        <w:rPr>
          <w:rFonts w:ascii="宋体" w:hAnsi="宋体"/>
          <w:b/>
          <w:sz w:val="30"/>
          <w:szCs w:val="30"/>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基金托管人：中国农业银行股份有限公司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二〇二五年</w:t>
      </w:r>
      <w:r>
        <w:rPr>
          <w:rFonts w:hint="eastAsia" w:ascii="Times New Roman" w:hAnsi="Times New Roman"/>
          <w:b/>
          <w:spacing w:val="2"/>
          <w:w w:val="99"/>
          <w:kern w:val="0"/>
          <w:sz w:val="28"/>
          <w:szCs w:val="32"/>
        </w:rPr>
        <w:t>十</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324920538"/>
      <w:bookmarkStart w:id="1" w:name="_Toc496884613"/>
      <w:bookmarkStart w:id="2" w:name="_Toc209535098"/>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交银施罗德先进制造混合型证券投资基金（以下简称“本基金”）由交银施罗德先进制造股票证券投资基金变更而来，交银施罗德先进制造股票证券投资基金经2011年4月29日中国证券监督管理委员会证监许可【2011】639号文核准募集，并经2018年1月5日中国证监会证监许可【2018】62号文准予变更注册。交银施罗德先进制造混合型证券投资基金以通讯方式召开基金份额持有人大会，大会于2018年3月20日表决通过了《关于交银施罗德先进制造混合型证券投资基金调整投资范围及修改基金合同有关事项的议案》，同意交银施罗德先进制造混合型证券投资基金调整投资范围、投资策略、投资比例限制、业绩比较基准、估值方法及修改基金合同等事宜。本基金经2021年5月31日中国证监会证监许可【2021】1896号文准予变更注册。交银施罗德先进制造混合型证券投资基金以通讯方式召开基金份额持有人大会，大会于2022年1月21日表决通过了《关于交银施罗德先进制造混合型证券投资基金调整投资范围及修改基金合同有关事项的议案》，同意在交银施罗德先进制造混合型证券投资基金投资范围中增加港股通标的股票，相应调整投资策略、投资比例限制、业绩比较基准、估值方法等内容，并调整基金赎回费率、增加基金合同自动终止条款、增加C类基金份额、增加侧袋机制相关表述以及修改基金合同其他部分条款等事项，上述基金份额持有人大会决议事项自表决通过之日起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交银施罗德先进制造股票证券投资基金募集的核准以及对本基金的变更注册，并不表明其对本基金的价值和收益作出实质性判断或保证，也不表明投资于本基金没有风险。中国证监会不对基金的投资价值及市场前景等作出实质性判断或者保证。</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市场风险；基金管理人在基金管理运作过程中产生的基金管理风险；流动性风险（包括实施侧袋机制时的特定风险）；交易对手或债券发行人违约产生的信用风险；本基金投资策略所特有的风险；投资资产支持证券的特定风险；投资股指期货的特定风险；投资流通受限证券的特定风险；投资科创板股票的特定风险；连续50个工作日出现基金份额持有人数量不满200人或基金资产净值低于5000万元情形时基金管理人依基金合同约定提前终止基金合同的风险；投资本基金特有的其他风险等等。本基金是一只混合型基金，其预期风险和预期收益高于债券型基金和货币市场基金，低于股票型基金。</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基金可根据投资策略需要或不同配置地市场环境的变化，选择将部分基金资产投资于港股或选择不将基金资产投资于港股，基金资产并非必然投资港股。</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者在投资本基金前应认真阅读本基金的招募说明书和基金合同、基金产品资料概要等信息披露文件，自主判断基金的投资价值，自主作出投资决策，自行承担投资风险。基金的过往业绩并不代表其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本基金单一投资者持有基金份额数不得超过基金份额总数的50%，但在基金运作过程中因基金份额赎回等情形导致被动超过前述50%比例的除外。</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本次更新招募说明书主要对本基金开通同一基金不同类别基金份额转换业务的有关内容进行更新，前述内容更新截止日为2025年10月23日。</w:t>
      </w:r>
      <w:r>
        <w:rPr>
          <w:rFonts w:ascii="Times New Roman" w:hAnsi="Times New Roman"/>
          <w:kern w:val="0"/>
          <w:sz w:val="24"/>
        </w:rPr>
        <w:t>基金经理变更相关事项更新截止日为2025年09月20日，除非另有说明，本招募说明书其他所载内容截止日为2025年05月26日，有关财务和业绩表现数据截止日为2025年03月31日，财务和业绩表现数据未经审计。</w:t>
      </w:r>
    </w:p>
    <w:p>
      <w:pPr>
        <w:autoSpaceDE w:val="0"/>
        <w:autoSpaceDN w:val="0"/>
        <w:adjustRightInd w:val="0"/>
        <w:snapToGrid w:val="0"/>
        <w:spacing w:before="51" w:line="360" w:lineRule="auto"/>
        <w:ind w:left="120" w:right="13" w:rightChars="6" w:firstLine="480"/>
        <w:rPr>
          <w:rFonts w:ascii="宋体" w:hAnsi="宋体"/>
          <w:kern w:val="0"/>
          <w:szCs w:val="24"/>
        </w:rPr>
        <w:sectPr>
          <w:headerReference r:id="rId9"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cstheme="minorBidi"/>
          <w:sz w:val="24"/>
        </w:rPr>
      </w:pPr>
      <w:r>
        <w:fldChar w:fldCharType="begin"/>
      </w:r>
      <w:r>
        <w:instrText xml:space="preserve"> HYPERLINK \l "_Toc209535098"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_Toc209535098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"_Toc209535099"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_Toc209535099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"_Toc209535100"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_Toc209535100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"_Toc209535101" </w:instrText>
      </w:r>
      <w:r>
        <w:fldChar w:fldCharType="separate"/>
      </w:r>
      <w:r>
        <w:rPr>
          <w:rStyle w:val="18"/>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_Toc209535101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"_Toc209535102" </w:instrText>
      </w:r>
      <w:r>
        <w:fldChar w:fldCharType="separate"/>
      </w:r>
      <w:r>
        <w:rPr>
          <w:rStyle w:val="18"/>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_Toc209535102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"_Toc209535103" </w:instrText>
      </w:r>
      <w:r>
        <w:fldChar w:fldCharType="separate"/>
      </w:r>
      <w:r>
        <w:rPr>
          <w:rStyle w:val="18"/>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_Toc209535103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"_Toc209535104" </w:instrText>
      </w:r>
      <w:r>
        <w:fldChar w:fldCharType="separate"/>
      </w:r>
      <w:r>
        <w:rPr>
          <w:rStyle w:val="18"/>
          <w:rFonts w:hint="eastAsia" w:ascii="宋体" w:hAnsi="宋体"/>
          <w:sz w:val="24"/>
        </w:rPr>
        <w:t>六、基金的历史沿革</w:t>
      </w:r>
      <w:r>
        <w:rPr>
          <w:rFonts w:ascii="宋体" w:hAnsi="宋体"/>
          <w:sz w:val="24"/>
        </w:rPr>
        <w:tab/>
      </w:r>
      <w:r>
        <w:rPr>
          <w:rFonts w:ascii="宋体" w:hAnsi="宋体"/>
          <w:sz w:val="24"/>
        </w:rPr>
        <w:fldChar w:fldCharType="begin"/>
      </w:r>
      <w:r>
        <w:rPr>
          <w:rFonts w:ascii="宋体" w:hAnsi="宋体"/>
          <w:sz w:val="24"/>
        </w:rPr>
        <w:instrText xml:space="preserve"> PAGEREF _Toc209535104 \h </w:instrText>
      </w:r>
      <w:r>
        <w:rPr>
          <w:rFonts w:ascii="宋体" w:hAnsi="宋体"/>
          <w:sz w:val="24"/>
        </w:rPr>
        <w:fldChar w:fldCharType="separate"/>
      </w:r>
      <w:r>
        <w:rPr>
          <w:rFonts w:ascii="宋体" w:hAnsi="宋体"/>
          <w:sz w:val="24"/>
        </w:rPr>
        <w:t>63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"_Toc209535105" </w:instrText>
      </w:r>
      <w:r>
        <w:fldChar w:fldCharType="separate"/>
      </w:r>
      <w:r>
        <w:rPr>
          <w:rStyle w:val="18"/>
          <w:rFonts w:hint="eastAsia" w:ascii="宋体" w:hAnsi="宋体"/>
          <w:sz w:val="24"/>
        </w:rPr>
        <w:t>七、基金的存续</w:t>
      </w:r>
      <w:r>
        <w:rPr>
          <w:rFonts w:ascii="宋体" w:hAnsi="宋体"/>
          <w:sz w:val="24"/>
        </w:rPr>
        <w:tab/>
      </w:r>
      <w:r>
        <w:rPr>
          <w:rFonts w:ascii="宋体" w:hAnsi="宋体"/>
          <w:sz w:val="24"/>
        </w:rPr>
        <w:fldChar w:fldCharType="begin"/>
      </w:r>
      <w:r>
        <w:rPr>
          <w:rFonts w:ascii="宋体" w:hAnsi="宋体"/>
          <w:sz w:val="24"/>
        </w:rPr>
        <w:instrText xml:space="preserve"> PAGEREF _Toc209535105 \h </w:instrText>
      </w:r>
      <w:r>
        <w:rPr>
          <w:rFonts w:ascii="宋体" w:hAnsi="宋体"/>
          <w:sz w:val="24"/>
        </w:rPr>
        <w:fldChar w:fldCharType="separate"/>
      </w:r>
      <w:r>
        <w:rPr>
          <w:rFonts w:ascii="宋体" w:hAnsi="宋体"/>
          <w:sz w:val="24"/>
        </w:rPr>
        <w:t>65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"_Toc209535106" </w:instrText>
      </w:r>
      <w:r>
        <w:fldChar w:fldCharType="separate"/>
      </w:r>
      <w:r>
        <w:rPr>
          <w:rStyle w:val="18"/>
          <w:rFonts w:hint="eastAsia" w:ascii="宋体" w:hAnsi="宋体"/>
          <w:sz w:val="24"/>
        </w:rPr>
        <w:t>八、基金份额的申购与赎回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_Toc209535106 \h </w:instrText>
      </w:r>
      <w:r>
        <w:rPr>
          <w:rFonts w:ascii="宋体" w:hAnsi="宋体"/>
          <w:sz w:val="24"/>
        </w:rPr>
        <w:fldChar w:fldCharType="separate"/>
      </w:r>
      <w:r>
        <w:rPr>
          <w:rFonts w:ascii="宋体" w:hAnsi="宋体"/>
          <w:sz w:val="24"/>
        </w:rPr>
        <w:t>66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"_Toc209535107" </w:instrText>
      </w:r>
      <w:r>
        <w:fldChar w:fldCharType="separate"/>
      </w:r>
      <w:r>
        <w:rPr>
          <w:rStyle w:val="18"/>
          <w:rFonts w:hint="eastAsia" w:ascii="宋体" w:hAnsi="宋体"/>
          <w:sz w:val="24"/>
        </w:rPr>
        <w:t>九、基金的转换</w:t>
      </w:r>
      <w:r>
        <w:rPr>
          <w:rFonts w:ascii="宋体" w:hAnsi="宋体"/>
          <w:sz w:val="24"/>
        </w:rPr>
        <w:tab/>
      </w:r>
      <w:r>
        <w:rPr>
          <w:rFonts w:ascii="宋体" w:hAnsi="宋体"/>
          <w:sz w:val="24"/>
        </w:rPr>
        <w:fldChar w:fldCharType="begin"/>
      </w:r>
      <w:r>
        <w:rPr>
          <w:rFonts w:ascii="宋体" w:hAnsi="宋体"/>
          <w:sz w:val="24"/>
        </w:rPr>
        <w:instrText xml:space="preserve"> PAGEREF _Toc209535107 \h </w:instrText>
      </w:r>
      <w:r>
        <w:rPr>
          <w:rFonts w:ascii="宋体" w:hAnsi="宋体"/>
          <w:sz w:val="24"/>
        </w:rPr>
        <w:fldChar w:fldCharType="separate"/>
      </w:r>
      <w:r>
        <w:rPr>
          <w:rFonts w:ascii="宋体" w:hAnsi="宋体"/>
          <w:sz w:val="24"/>
        </w:rPr>
        <w:t>81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"_Toc209535108" </w:instrText>
      </w:r>
      <w:r>
        <w:fldChar w:fldCharType="separate"/>
      </w:r>
      <w:r>
        <w:rPr>
          <w:rStyle w:val="18"/>
          <w:rFonts w:hint="eastAsia" w:ascii="宋体" w:hAnsi="宋体"/>
          <w:sz w:val="24"/>
        </w:rPr>
        <w:t>十、基金的投资</w:t>
      </w:r>
      <w:r>
        <w:rPr>
          <w:rFonts w:ascii="宋体" w:hAnsi="宋体"/>
          <w:sz w:val="24"/>
        </w:rPr>
        <w:tab/>
      </w:r>
      <w:r>
        <w:rPr>
          <w:rFonts w:ascii="宋体" w:hAnsi="宋体"/>
          <w:sz w:val="24"/>
        </w:rPr>
        <w:fldChar w:fldCharType="begin"/>
      </w:r>
      <w:r>
        <w:rPr>
          <w:rFonts w:ascii="宋体" w:hAnsi="宋体"/>
          <w:sz w:val="24"/>
        </w:rPr>
        <w:instrText xml:space="preserve"> PAGEREF _Toc209535108 \h </w:instrText>
      </w:r>
      <w:r>
        <w:rPr>
          <w:rFonts w:ascii="宋体" w:hAnsi="宋体"/>
          <w:sz w:val="24"/>
        </w:rPr>
        <w:fldChar w:fldCharType="separate"/>
      </w:r>
      <w:r>
        <w:rPr>
          <w:rFonts w:ascii="宋体" w:hAnsi="宋体"/>
          <w:sz w:val="24"/>
        </w:rPr>
        <w:t>88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"_Toc209535109" </w:instrText>
      </w:r>
      <w:r>
        <w:fldChar w:fldCharType="separate"/>
      </w:r>
      <w:r>
        <w:rPr>
          <w:rStyle w:val="18"/>
          <w:rFonts w:hint="eastAsia" w:ascii="宋体" w:hAnsi="宋体"/>
          <w:sz w:val="24"/>
        </w:rPr>
        <w:t>十一、基金的业绩</w:t>
      </w:r>
      <w:r>
        <w:rPr>
          <w:rFonts w:ascii="宋体" w:hAnsi="宋体"/>
          <w:sz w:val="24"/>
        </w:rPr>
        <w:tab/>
      </w:r>
      <w:r>
        <w:rPr>
          <w:rFonts w:ascii="宋体" w:hAnsi="宋体"/>
          <w:sz w:val="24"/>
        </w:rPr>
        <w:fldChar w:fldCharType="begin"/>
      </w:r>
      <w:r>
        <w:rPr>
          <w:rFonts w:ascii="宋体" w:hAnsi="宋体"/>
          <w:sz w:val="24"/>
        </w:rPr>
        <w:instrText xml:space="preserve"> PAGEREF _Toc209535109 \h </w:instrText>
      </w:r>
      <w:r>
        <w:rPr>
          <w:rFonts w:ascii="宋体" w:hAnsi="宋体"/>
          <w:sz w:val="24"/>
        </w:rPr>
        <w:fldChar w:fldCharType="separate"/>
      </w:r>
      <w:r>
        <w:rPr>
          <w:rFonts w:ascii="宋体" w:hAnsi="宋体"/>
          <w:sz w:val="24"/>
        </w:rPr>
        <w:t>102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"_Toc209535110" </w:instrText>
      </w:r>
      <w:r>
        <w:fldChar w:fldCharType="separate"/>
      </w:r>
      <w:r>
        <w:rPr>
          <w:rStyle w:val="18"/>
          <w:rFonts w:hint="eastAsia" w:ascii="宋体" w:hAnsi="宋体"/>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_Toc209535110 \h </w:instrText>
      </w:r>
      <w:r>
        <w:rPr>
          <w:rFonts w:ascii="宋体" w:hAnsi="宋体"/>
          <w:sz w:val="24"/>
        </w:rPr>
        <w:fldChar w:fldCharType="separate"/>
      </w:r>
      <w:r>
        <w:rPr>
          <w:rFonts w:ascii="宋体" w:hAnsi="宋体"/>
          <w:sz w:val="24"/>
        </w:rPr>
        <w:t>105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"_Toc209535111" </w:instrText>
      </w:r>
      <w:r>
        <w:fldChar w:fldCharType="separate"/>
      </w:r>
      <w:r>
        <w:rPr>
          <w:rStyle w:val="18"/>
          <w:rFonts w:hint="eastAsia" w:ascii="宋体" w:hAnsi="宋体"/>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_Toc209535111 \h </w:instrText>
      </w:r>
      <w:r>
        <w:rPr>
          <w:rFonts w:ascii="宋体" w:hAnsi="宋体"/>
          <w:sz w:val="24"/>
        </w:rPr>
        <w:fldChar w:fldCharType="separate"/>
      </w:r>
      <w:r>
        <w:rPr>
          <w:rFonts w:ascii="宋体" w:hAnsi="宋体"/>
          <w:sz w:val="24"/>
        </w:rPr>
        <w:t>106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"_Toc209535112" </w:instrText>
      </w:r>
      <w:r>
        <w:fldChar w:fldCharType="separate"/>
      </w:r>
      <w:r>
        <w:rPr>
          <w:rStyle w:val="18"/>
          <w:rFonts w:hint="eastAsia" w:ascii="宋体" w:hAnsi="宋体"/>
          <w:sz w:val="24"/>
        </w:rPr>
        <w:t>十四、基金的收益与分配</w:t>
      </w:r>
      <w:r>
        <w:rPr>
          <w:rFonts w:ascii="宋体" w:hAnsi="宋体"/>
          <w:sz w:val="24"/>
        </w:rPr>
        <w:tab/>
      </w:r>
      <w:r>
        <w:rPr>
          <w:rFonts w:ascii="宋体" w:hAnsi="宋体"/>
          <w:sz w:val="24"/>
        </w:rPr>
        <w:fldChar w:fldCharType="begin"/>
      </w:r>
      <w:r>
        <w:rPr>
          <w:rFonts w:ascii="宋体" w:hAnsi="宋体"/>
          <w:sz w:val="24"/>
        </w:rPr>
        <w:instrText xml:space="preserve"> PAGEREF _Toc209535112 \h </w:instrText>
      </w:r>
      <w:r>
        <w:rPr>
          <w:rFonts w:ascii="宋体" w:hAnsi="宋体"/>
          <w:sz w:val="24"/>
        </w:rPr>
        <w:fldChar w:fldCharType="separate"/>
      </w:r>
      <w:r>
        <w:rPr>
          <w:rFonts w:ascii="宋体" w:hAnsi="宋体"/>
          <w:sz w:val="24"/>
        </w:rPr>
        <w:t>113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"_Toc209535113" </w:instrText>
      </w:r>
      <w:r>
        <w:fldChar w:fldCharType="separate"/>
      </w:r>
      <w:r>
        <w:rPr>
          <w:rStyle w:val="18"/>
          <w:rFonts w:hint="eastAsia" w:ascii="宋体" w:hAnsi="宋体"/>
          <w:sz w:val="24"/>
        </w:rPr>
        <w:t>十五、基金的费用与税收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_Toc209535113 \h </w:instrText>
      </w:r>
      <w:r>
        <w:rPr>
          <w:rFonts w:ascii="宋体" w:hAnsi="宋体"/>
          <w:sz w:val="24"/>
        </w:rPr>
        <w:fldChar w:fldCharType="separate"/>
      </w:r>
      <w:r>
        <w:rPr>
          <w:rFonts w:ascii="宋体" w:hAnsi="宋体"/>
          <w:sz w:val="24"/>
        </w:rPr>
        <w:t>115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"_Toc209535114" </w:instrText>
      </w:r>
      <w:r>
        <w:fldChar w:fldCharType="separate"/>
      </w:r>
      <w:r>
        <w:rPr>
          <w:rStyle w:val="18"/>
          <w:rFonts w:hint="eastAsia" w:ascii="宋体" w:hAnsi="宋体"/>
          <w:sz w:val="24"/>
        </w:rPr>
        <w:t>十六、基金的会计与审计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_Toc209535114 \h </w:instrText>
      </w:r>
      <w:r>
        <w:rPr>
          <w:rFonts w:ascii="宋体" w:hAnsi="宋体"/>
          <w:sz w:val="24"/>
        </w:rPr>
        <w:fldChar w:fldCharType="separate"/>
      </w:r>
      <w:r>
        <w:rPr>
          <w:rFonts w:ascii="宋体" w:hAnsi="宋体"/>
          <w:sz w:val="24"/>
        </w:rPr>
        <w:t>118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"_Toc209535115" </w:instrText>
      </w:r>
      <w:r>
        <w:fldChar w:fldCharType="separate"/>
      </w:r>
      <w:r>
        <w:rPr>
          <w:rStyle w:val="18"/>
          <w:rFonts w:hint="eastAsia" w:ascii="宋体" w:hAnsi="宋体"/>
          <w:sz w:val="24"/>
        </w:rPr>
        <w:t>十七、基金的信息披露</w:t>
      </w:r>
      <w:r>
        <w:rPr>
          <w:rFonts w:ascii="宋体" w:hAnsi="宋体"/>
          <w:sz w:val="24"/>
        </w:rPr>
        <w:tab/>
      </w:r>
      <w:r>
        <w:rPr>
          <w:rFonts w:ascii="宋体" w:hAnsi="宋体"/>
          <w:sz w:val="24"/>
        </w:rPr>
        <w:fldChar w:fldCharType="begin"/>
      </w:r>
      <w:r>
        <w:rPr>
          <w:rFonts w:ascii="宋体" w:hAnsi="宋体"/>
          <w:sz w:val="24"/>
        </w:rPr>
        <w:instrText xml:space="preserve"> PAGEREF _Toc209535115 \h </w:instrText>
      </w:r>
      <w:r>
        <w:rPr>
          <w:rFonts w:ascii="宋体" w:hAnsi="宋体"/>
          <w:sz w:val="24"/>
        </w:rPr>
        <w:fldChar w:fldCharType="separate"/>
      </w:r>
      <w:r>
        <w:rPr>
          <w:rFonts w:ascii="宋体" w:hAnsi="宋体"/>
          <w:sz w:val="24"/>
        </w:rPr>
        <w:t>119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"_Toc209535116" </w:instrText>
      </w:r>
      <w:r>
        <w:fldChar w:fldCharType="separate"/>
      </w:r>
      <w:r>
        <w:rPr>
          <w:rStyle w:val="18"/>
          <w:rFonts w:hint="eastAsia" w:ascii="宋体" w:hAnsi="宋体"/>
          <w:sz w:val="24"/>
        </w:rPr>
        <w:t>十八、侧袋机制</w:t>
      </w:r>
      <w:r>
        <w:rPr>
          <w:rFonts w:ascii="宋体" w:hAnsi="宋体"/>
          <w:sz w:val="24"/>
        </w:rPr>
        <w:tab/>
      </w:r>
      <w:r>
        <w:rPr>
          <w:rFonts w:ascii="宋体" w:hAnsi="宋体"/>
          <w:sz w:val="24"/>
        </w:rPr>
        <w:fldChar w:fldCharType="begin"/>
      </w:r>
      <w:r>
        <w:rPr>
          <w:rFonts w:ascii="宋体" w:hAnsi="宋体"/>
          <w:sz w:val="24"/>
        </w:rPr>
        <w:instrText xml:space="preserve"> PAGEREF _Toc209535116 \h </w:instrText>
      </w:r>
      <w:r>
        <w:rPr>
          <w:rFonts w:ascii="宋体" w:hAnsi="宋体"/>
          <w:sz w:val="24"/>
        </w:rPr>
        <w:fldChar w:fldCharType="separate"/>
      </w:r>
      <w:r>
        <w:rPr>
          <w:rFonts w:ascii="宋体" w:hAnsi="宋体"/>
          <w:sz w:val="24"/>
        </w:rPr>
        <w:t>126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"_Toc209535117" </w:instrText>
      </w:r>
      <w:r>
        <w:fldChar w:fldCharType="separate"/>
      </w:r>
      <w:r>
        <w:rPr>
          <w:rStyle w:val="18"/>
          <w:rFonts w:hint="eastAsia" w:ascii="宋体" w:hAnsi="宋体"/>
          <w:sz w:val="24"/>
        </w:rPr>
        <w:t>十九、风险揭示</w:t>
      </w:r>
      <w:r>
        <w:rPr>
          <w:rFonts w:ascii="宋体" w:hAnsi="宋体"/>
          <w:sz w:val="24"/>
        </w:rPr>
        <w:tab/>
      </w:r>
      <w:r>
        <w:rPr>
          <w:rFonts w:ascii="宋体" w:hAnsi="宋体"/>
          <w:sz w:val="24"/>
        </w:rPr>
        <w:fldChar w:fldCharType="begin"/>
      </w:r>
      <w:r>
        <w:rPr>
          <w:rFonts w:ascii="宋体" w:hAnsi="宋体"/>
          <w:sz w:val="24"/>
        </w:rPr>
        <w:instrText xml:space="preserve"> PAGEREF _Toc209535117 \h </w:instrText>
      </w:r>
      <w:r>
        <w:rPr>
          <w:rFonts w:ascii="宋体" w:hAnsi="宋体"/>
          <w:sz w:val="24"/>
        </w:rPr>
        <w:fldChar w:fldCharType="separate"/>
      </w:r>
      <w:r>
        <w:rPr>
          <w:rFonts w:ascii="宋体" w:hAnsi="宋体"/>
          <w:sz w:val="24"/>
        </w:rPr>
        <w:t>129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"_Toc209535118" </w:instrText>
      </w:r>
      <w:r>
        <w:fldChar w:fldCharType="separate"/>
      </w:r>
      <w:r>
        <w:rPr>
          <w:rStyle w:val="18"/>
          <w:rFonts w:hint="eastAsia" w:ascii="宋体" w:hAnsi="宋体"/>
          <w:sz w:val="24"/>
        </w:rPr>
        <w:t>二十、基金合同的变更、终止与基金财产的清算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_Toc209535118 \h </w:instrText>
      </w:r>
      <w:r>
        <w:rPr>
          <w:rFonts w:ascii="宋体" w:hAnsi="宋体"/>
          <w:sz w:val="24"/>
        </w:rPr>
        <w:fldChar w:fldCharType="separate"/>
      </w:r>
      <w:r>
        <w:rPr>
          <w:rFonts w:ascii="宋体" w:hAnsi="宋体"/>
          <w:sz w:val="24"/>
        </w:rPr>
        <w:t>139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"_Toc209535119" </w:instrText>
      </w:r>
      <w:r>
        <w:fldChar w:fldCharType="separate"/>
      </w:r>
      <w:r>
        <w:rPr>
          <w:rStyle w:val="18"/>
          <w:rFonts w:hint="eastAsia" w:ascii="宋体" w:hAnsi="宋体"/>
          <w:sz w:val="24"/>
        </w:rPr>
        <w:t>二十一、基金合同的内容摘要</w:t>
      </w:r>
      <w:r>
        <w:rPr>
          <w:rFonts w:ascii="宋体" w:hAnsi="宋体"/>
          <w:sz w:val="24"/>
        </w:rPr>
        <w:tab/>
      </w:r>
      <w:r>
        <w:rPr>
          <w:rFonts w:ascii="宋体" w:hAnsi="宋体"/>
          <w:sz w:val="24"/>
        </w:rPr>
        <w:fldChar w:fldCharType="begin"/>
      </w:r>
      <w:r>
        <w:rPr>
          <w:rFonts w:ascii="宋体" w:hAnsi="宋体"/>
          <w:sz w:val="24"/>
        </w:rPr>
        <w:instrText xml:space="preserve"> PAGEREF _Toc209535119 \h </w:instrText>
      </w:r>
      <w:r>
        <w:rPr>
          <w:rFonts w:ascii="宋体" w:hAnsi="宋体"/>
          <w:sz w:val="24"/>
        </w:rPr>
        <w:fldChar w:fldCharType="separate"/>
      </w:r>
      <w:r>
        <w:rPr>
          <w:rFonts w:ascii="宋体" w:hAnsi="宋体"/>
          <w:sz w:val="24"/>
        </w:rPr>
        <w:t>141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"_Toc209535120" </w:instrText>
      </w:r>
      <w:r>
        <w:fldChar w:fldCharType="separate"/>
      </w:r>
      <w:r>
        <w:rPr>
          <w:rStyle w:val="18"/>
          <w:rFonts w:hint="eastAsia" w:ascii="宋体" w:hAnsi="宋体"/>
          <w:sz w:val="24"/>
        </w:rPr>
        <w:t>二十二、托管协议的内容摘要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_Toc209535120 \h </w:instrText>
      </w:r>
      <w:r>
        <w:rPr>
          <w:rFonts w:ascii="宋体" w:hAnsi="宋体"/>
          <w:sz w:val="24"/>
        </w:rPr>
        <w:fldChar w:fldCharType="separate"/>
      </w:r>
      <w:r>
        <w:rPr>
          <w:rFonts w:ascii="宋体" w:hAnsi="宋体"/>
          <w:sz w:val="24"/>
        </w:rPr>
        <w:t>157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"_Toc209535121" </w:instrText>
      </w:r>
      <w:r>
        <w:fldChar w:fldCharType="separate"/>
      </w:r>
      <w:r>
        <w:rPr>
          <w:rStyle w:val="18"/>
          <w:rFonts w:hint="eastAsia" w:ascii="宋体" w:hAnsi="宋体"/>
          <w:sz w:val="24"/>
        </w:rPr>
        <w:t>二十三、对基金份额持有人的服务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_Toc209535121 \h </w:instrText>
      </w:r>
      <w:r>
        <w:rPr>
          <w:rFonts w:ascii="宋体" w:hAnsi="宋体"/>
          <w:sz w:val="24"/>
        </w:rPr>
        <w:fldChar w:fldCharType="separate"/>
      </w:r>
      <w:r>
        <w:rPr>
          <w:rFonts w:ascii="宋体" w:hAnsi="宋体"/>
          <w:sz w:val="24"/>
        </w:rPr>
        <w:t>175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"_Toc209535122" </w:instrText>
      </w:r>
      <w:r>
        <w:fldChar w:fldCharType="separate"/>
      </w:r>
      <w:r>
        <w:rPr>
          <w:rStyle w:val="18"/>
          <w:rFonts w:hint="eastAsia" w:ascii="宋体" w:hAnsi="宋体"/>
          <w:sz w:val="24"/>
        </w:rPr>
        <w:t>二十四、其他应披露事项</w:t>
      </w:r>
      <w:r>
        <w:rPr>
          <w:rFonts w:ascii="宋体" w:hAnsi="宋体"/>
          <w:sz w:val="24"/>
        </w:rPr>
        <w:tab/>
      </w:r>
      <w:r>
        <w:rPr>
          <w:rFonts w:ascii="宋体" w:hAnsi="宋体"/>
          <w:sz w:val="24"/>
        </w:rPr>
        <w:fldChar w:fldCharType="begin"/>
      </w:r>
      <w:r>
        <w:rPr>
          <w:rFonts w:ascii="宋体" w:hAnsi="宋体"/>
          <w:sz w:val="24"/>
        </w:rPr>
        <w:instrText xml:space="preserve"> PAGEREF _Toc209535122 \h </w:instrText>
      </w:r>
      <w:r>
        <w:rPr>
          <w:rFonts w:ascii="宋体" w:hAnsi="宋体"/>
          <w:sz w:val="24"/>
        </w:rPr>
        <w:fldChar w:fldCharType="separate"/>
      </w:r>
      <w:r>
        <w:rPr>
          <w:rFonts w:ascii="宋体" w:hAnsi="宋体"/>
          <w:sz w:val="24"/>
        </w:rPr>
        <w:t>177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"_Toc209535123" </w:instrText>
      </w:r>
      <w:r>
        <w:fldChar w:fldCharType="separate"/>
      </w:r>
      <w:r>
        <w:rPr>
          <w:rStyle w:val="18"/>
          <w:rFonts w:hint="eastAsia" w:ascii="宋体" w:hAnsi="宋体"/>
          <w:sz w:val="24"/>
        </w:rPr>
        <w:t>二十五、招募说明书的存放及查阅方式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_Toc209535123 \h </w:instrText>
      </w:r>
      <w:r>
        <w:rPr>
          <w:rFonts w:ascii="宋体" w:hAnsi="宋体"/>
          <w:sz w:val="24"/>
        </w:rPr>
        <w:fldChar w:fldCharType="separate"/>
      </w:r>
      <w:r>
        <w:rPr>
          <w:rFonts w:ascii="宋体" w:hAnsi="宋体"/>
          <w:sz w:val="24"/>
        </w:rPr>
        <w:t>179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"_Toc209535124" </w:instrText>
      </w:r>
      <w:r>
        <w:fldChar w:fldCharType="separate"/>
      </w:r>
      <w:r>
        <w:rPr>
          <w:rStyle w:val="18"/>
          <w:rFonts w:hint="eastAsia" w:ascii="宋体" w:hAnsi="宋体"/>
          <w:sz w:val="24"/>
        </w:rPr>
        <w:t>二十六、备查文件</w:t>
      </w:r>
      <w:r>
        <w:rPr>
          <w:rFonts w:ascii="宋体" w:hAnsi="宋体"/>
          <w:sz w:val="24"/>
        </w:rPr>
        <w:tab/>
      </w:r>
      <w:r>
        <w:rPr>
          <w:rFonts w:ascii="宋体" w:hAnsi="宋体"/>
          <w:sz w:val="24"/>
        </w:rPr>
        <w:fldChar w:fldCharType="begin"/>
      </w:r>
      <w:r>
        <w:rPr>
          <w:rFonts w:ascii="宋体" w:hAnsi="宋体"/>
          <w:sz w:val="24"/>
        </w:rPr>
        <w:instrText xml:space="preserve"> PAGEREF _Toc209535124 \h </w:instrText>
      </w:r>
      <w:r>
        <w:rPr>
          <w:rFonts w:ascii="宋体" w:hAnsi="宋体"/>
          <w:sz w:val="24"/>
        </w:rPr>
        <w:fldChar w:fldCharType="separate"/>
      </w:r>
      <w:r>
        <w:rPr>
          <w:rFonts w:ascii="宋体" w:hAnsi="宋体"/>
          <w:sz w:val="24"/>
        </w:rPr>
        <w:t>180</w:t>
      </w:r>
      <w:r>
        <w:rPr>
          <w:rFonts w:ascii="宋体" w:hAnsi="宋体"/>
          <w:sz w:val="24"/>
        </w:rPr>
        <w:fldChar w:fldCharType="end"/>
      </w:r>
      <w:r>
        <w:rPr>
          <w:rFonts w:ascii="宋体" w:hAnsi="宋体"/>
          <w:sz w:val="24"/>
        </w:rPr>
        <w:fldChar w:fldCharType="end"/>
      </w:r>
    </w:p>
    <w:p>
      <w:pPr>
        <w:pStyle w:val="20"/>
        <w:snapToGrid w:val="0"/>
        <w:spacing w:after="240" w:line="360" w:lineRule="auto"/>
        <w:jc w:val="center"/>
        <w:rPr>
          <w:rFonts w:ascii="宋体" w:hAnsi="宋体"/>
          <w:color w:val="000000"/>
          <w:sz w:val="24"/>
        </w:rPr>
      </w:pPr>
      <w:r>
        <w:rPr>
          <w:rFonts w:ascii="宋体" w:hAnsi="宋体"/>
          <w:color w:val="000000"/>
          <w:position w:val="-4"/>
          <w:sz w:val="24"/>
          <w:szCs w:val="30"/>
        </w:rPr>
        <w:fldChar w:fldCharType="end"/>
      </w:r>
    </w:p>
    <w:p>
      <w:pPr>
        <w:autoSpaceDE w:val="0"/>
        <w:autoSpaceDN w:val="0"/>
        <w:adjustRightInd w:val="0"/>
        <w:snapToGrid w:val="0"/>
        <w:spacing w:line="360" w:lineRule="auto"/>
        <w:ind w:left="120" w:right="13" w:rightChars="6"/>
        <w:rPr>
          <w:rFonts w:ascii="宋体" w:hAnsi="宋体"/>
          <w:kern w:val="0"/>
          <w:szCs w:val="24"/>
        </w:rPr>
        <w:sectPr>
          <w:pgSz w:w="11920" w:h="16840"/>
          <w:pgMar w:top="1480" w:right="1680" w:bottom="280" w:left="1680" w:header="0" w:footer="1073" w:gutter="0"/>
          <w:cols w:space="720" w:num="1"/>
        </w:sectPr>
      </w:pPr>
    </w:p>
    <w:p>
      <w:pPr>
        <w:pStyle w:val="2"/>
        <w:snapToGrid w:val="0"/>
        <w:spacing w:before="240" w:beforeLines="0" w:after="240"/>
        <w:rPr>
          <w:rFonts w:ascii="宋体" w:hAnsi="宋体"/>
          <w:szCs w:val="30"/>
        </w:rPr>
      </w:pPr>
      <w:bookmarkStart w:id="3" w:name="_Toc209535099"/>
      <w:r>
        <w:rPr>
          <w:rFonts w:ascii="Times New Roman" w:hAnsi="Times New Roman"/>
          <w:sz w:val="30"/>
        </w:rPr>
        <w:t>一、绪言</w:t>
      </w:r>
      <w:bookmarkEnd w:id="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先进制造混合型证券投资基金招募说明书》（以下简称“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规定》”）和其他相关法律法规的规定以及《交银施罗德先进制造混合型证券投资基金基金合同》（以下简称“基金合同”）编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变更注册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根据本基金的基金合同编写，并经中国证监会变更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209535100"/>
      <w:r>
        <w:rPr>
          <w:rFonts w:ascii="Times New Roman" w:hAnsi="Times New Roman"/>
          <w:sz w:val="30"/>
        </w:rPr>
        <w:t>二、释义</w:t>
      </w:r>
      <w:bookmarkEnd w:id="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在本招募说明书中，除非文意另有所指，下列词语或简称具有如下含义：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1、基金或本基金：指交银施罗德先进制造混合型证券投资基金，本基金由交银施罗德先进制造股票证券投资基金变更而来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2、基金管理人或本基金管理人：指交银施罗德基金管理有限公司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3、基金托管人或本基金托管人：指中国农业银行股份有限公司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4、基金合同：指《交银施罗德先进制造混合型证券投资基金基金合同》及对基金合同的任何有效修订和补充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5、托管协议：指基金管理人与基金托管人就本基金签订之《交银施罗德先进制造混合型证券投资基金托管协议》及对该托管协议的任何有效修订和补充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6、招募说明书或本招募说明书：指《交银施罗德先进制造混合型证券投资基金招募说明书》，及其更新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7、发售公告：指交银施罗德先进制造股票证券投资基金根据《运作办法》变更为混合型基金前的《交银施罗德先进制造股票证券投资基金份额发售公告》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8、基金产品资料概要：指《交银施罗德先进制造混合型证券投资基金基金产品资料概要》及其更新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9、法律法规：指中国现行有效并公布实施的法律、行政法规、司法解释、部门规章、地方性法规、地方政府规章及其他对基金合同当事人有约束力的规范性文件及对该等法律法规不时作出的修订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10、《基金法》：指《中华人民共和国证券投资基金法》及颁布机关对其不时做出的修订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11、《销售办法》：指《公开募集证券投资基金销售机构监督管理办法》及颁布机关对其不时做出的修订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12、《信息披露办法》：指《公开募集证券投资基金信息披露管理办法》及颁布机关对其不时做出的修订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13、《运作办法》：指《公开募集证券投资基金运作管理办法》及颁布机关对其不时做出的修订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14、《流动性规定》：指《公开募集开放式证券投资基金流动性风险管理规定》及颁布机关对其不时做出的修订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15、中国：指中华人民共和国，就基金合同而言，不包括香港特别行政区、澳门特别行政区和台湾地区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16、中国证监会：指中国证券监督管理委员会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17、银行业监督管理机构：指中国人民银行和/或中国银行保险监督管理委员会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19、个人投资者：指符合法律法规规定的条件可以投资证券投资基金的自然人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20、机构投资者：指符合法律法规规定可以投资证券投资基金的在中华人民共和国注册登记或经政府有关部门批准设立的机构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22、基金投资者或投资者：指个人投资者、机构投资者、合格境外投资者，以及法律法规或中国证监会允许购买证券投资基金的其他投资者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23、基金份额持有人：指依招募说明书和基金合同合法取得基金份额的基金投资者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24、基金销售业务：指基金管理人或销售机构宣传推介基金，销售基金份额，办理基金份额的申购、赎回、转换、转托管及定期定额投资等业务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27、注册登记机构：指办理注册登记业务的机构。基金的注册登记机构为交银施罗德基金管理有限公司或接受交银施罗德基金管理有限公司委托代为办理注册登记业务的机构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28、基金账户：指注册登记机构为基金投资者开立的、记录其持有的、基金管理人所管理的基金份额余额及其变动情况的账户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29、基金交易账户：指销售机构为基金投资者开立的、记录基金投资者通过该销售机构办理交易业务而引起的基金份额的变动及结余情况的账户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基金合同生效日：指根据2021年12月21日至2022年1月20日基金份额持有人大会审议通过的《关于交银施罗德先进制造混合型证券投资基金调整投资范围及修改基金合同有关事项的议案》所修订的《交银施罗德先进制造混合型证券投资基金基金合同》生效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31、基金合同终止日：指基金合同规定的基金合同终止事由出现后，按照基金合同规定的程序终止基金合同的日期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32、基金募集期：指自交银施罗德先进制造股票证券投资基金基金份额发售之日起至发售结束之日止的期间，最长不得超过3个月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33、存续期：指《交银施罗德先进制造股票证券投资基金基金合同》生效至《交银施罗德先进制造混合型证券投资基金基金合同》终止之间的不定期期限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34、工作日：指上海证券交易所、深圳证券交易所的正常交易日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35、日：指公历日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36、月：指公历月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37、T日：指销售机构在规定时间受理基金投资者申购、赎回或其他基金业务申请的工作日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38、T+n日：指自T日起第n个工作日（不包含T日）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39、开放日：指为基金投资者办理基金份额申购、赎回或其他业务的工作日（若该工作日为非港股通交易日，则本基金可不开放）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40、开放时间：指开放日基金接受申购、赎回或其他交易的时间段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41、认购：指在交银施罗德先进制造股票证券投资基金募集期间，基金投资者申请购买基金份额的行为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42、申购：指在基金存续期内，基金投资者按基金合同和招募说明书的规定申请购买基金份额的行为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43、赎回：指在基金存续期内基金份额持有人按基金合同和招募说明书的规定的条件要求申请将基金份额兑换为现金的行为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44、场外：指不通过上海证券交易所的交易系统办理基金份额认购、申购和赎回等业务的销售机构和场所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45、场内：指通过上海证券交易所的交易系统办理基金份额认购、申购和赎回等业务的销售机构和场所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46、注册登记系统：指中国证券登记结算有限责任公司开放式基金登记结算系统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47、证券登记结算系统：指中国证券登记结算有限责任公司上海分公司证券登记结算系统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48、基金转换：</w:t>
      </w:r>
      <w:r>
        <w:rPr>
          <w:rFonts w:hint="eastAsia" w:ascii="宋体" w:hAnsi="宋体"/>
          <w:sz w:val="24"/>
        </w:rPr>
        <w:t>指基金份额持有人按照本基金合同和基金管理人届时有效公告规定的条件，申请将其持有基金管理人管理的、某一基金的基金份额转换为该基金其他份额（如有）或基金管理人管理的其他基金基金份额的行为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50、转托管：指基金份额持有人在本基金的不同销售机构之间实施变更所持基金份额销售机构的行为，包括系统内转托管及跨系统转托管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51、系统内转托管：指基金份额持有人将持有的基金份额在注册登记系统内不同销售机构（网点）之间或证券登记结算系统内不同会员单位（交易单元）之间进行转登记的行为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52、跨系统转托管：指基金份额持有人将持有的基金份额在注册登记系统和证券登记结算系统间进行转登记的行为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巨额赎回：指本基金单个开放日，基金净赎回申请（赎回申请份额总数加上基金转换中转出申请份额总数后扣除申购申请份额总数及基金转换中转入申请份额总数后的余额）超过上一工作日基金总份额的10%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54、元：指人民币元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55、基金利润：指基金利息收入、投资收益、公允价值变动收益和其他收入扣除相关费用后的余额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56、基金资产总值：指基金拥有的各类有价证券、股指期货合约、银行存款本息、基金应收款项及其他资产的价值总和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57、基金资产净值：指基金资产总值减去基金负债后的净资产值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58、基金份额净值：指计算日基金资产净值除以计算日基金份额总数的数值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59、基金资产估值：指计算评估基金资产和负债的价值，以确定基金资产净值和基金份额净值的过程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60、港股通：指内地投资者委托内地证券公司，经由内地证券交易所在香港设立的证券交易服务公司，向香港联合交易所进行申报，买卖规定范围内的香港联合交易所上市的股票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61、销售服务费：指从基金财产中计提的，用于本基金市场推广、销售以及基金份额持有人服务的费用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62、A类基金份额：指在投资人申购时收取申购费用且不从本类别基金资产中计提销售服务费的基金份额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63、C类基金份额：指在投资人申购时不收取申购费用，并从本类别基金资产中计提销售服务费的基金份额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65、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66、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67、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68、规定媒介：指符合中国证监会规定条件的用以进行信息披露的全国性报刊及《信息披露办法》规定的互联网网站（包括基金管理人网站、基金托管人网站、中国证监会基金电子披露网站）等媒介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69、《业务规则》：指中国证券登记结算有限责任公司相关业务规则及其不时做出的修订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70、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期货交易所非正常暂停或停止交易</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209535101"/>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（一）基金管理人概况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联系人：何佳妮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电话：（021）61055050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2167"/>
        <w:gridCol w:w="6503"/>
      </w:tblGrid>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（二）主要成员情况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1、基金管理人董事会成员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袁庆伟女士，董事，总经理，硕士。历任交通银行乌鲁木齐分行财务会计处副处长、会计结算部高级经理，交通银行总行资产托管业务中心（资产托管部）副总裁、总裁，交通银行总行金融机构部总经理、资产管理业务中心总裁等职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2、基金管理人高级管理人员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袁庆伟女士，总经理。简历同上。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郭若先生:香港大学金融学硕士、清华大学工业设计及经济学双学士。7年证券投资行业从业经验。2018年加入交银施罗德基金管理有限公司，曾任行业分析师，现任基金经理。现任交银施罗德启信混合型发起式证券投资基金(2023年03月01日至今)、交银施罗德先进制造混合型证券投资基金(2025年09月15日至今)的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本基金历任基金经理：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黄义志先生(2011年06月22日至2012年08月09日)；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张科兵先生(2012年03月13日至2013年04月25日)；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王少成先生(2013年03月21日至2015年08月14日)；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任相栋先生(2015年01月21日至2018年06月22日)；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刘鹏先生(2018年05月29日至2025年09月20日)。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4、投资决策委员会成员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委员：袁庆伟（总经理）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马俊（副总经理）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于海颖（混合资产投资总监兼多元资产管理总监、基金经理）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王崇（权益投资副总监、权益部一级专家、基金经理）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马韬（研究总监）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上述人员之间不存在近亲属关系。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（三）基金管理人的职责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3、对所管理的不同基金财产分别管理、分别记账，进行证券投资；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8、办理与基金财产管理业务活动有关的信息披露事项；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9、按照规定召集基金份额持有人大会；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12、有关法律法规和中国证监会规定的其他职责。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（四）基金管理人的承诺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（1）将基金管理人固有财产或者他人财产混同于基金财产从事证券投资；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（2）不公平地对待管理的不同基金财产；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（3）利用基金财产为基金份额持有人以外的第三人牟取利益；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（4）向基金份额持有人违规承诺收益或者承担损失；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（5）侵占、挪用基金财产；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（6）法律、行政法规和中国证监会规定禁止的其他行为。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5、基金管理人承诺不从事其他法规规定禁止从事的行为。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（五）基金经理承诺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2、不利用职务之便为自己、受雇人或任何第三者谋取利益；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4、不以任何形式为其他组织或个人进行证券交易。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（六）基金管理人的内部控制制度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1、风险管理的原则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全面性原则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独立性原则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相互制约原则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定性和定量相结合原则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建立完备的风险管理指标体系，使风险管理更具客观性和操作性。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2、风险管理和内部风险控制体系结构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董事会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负责制定公司的风险管理政策，对风险管理负完全的和最终的责任。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合规审核及风险管理委员会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风险控制委员会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督察长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 风险管理部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（6）审计部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（7）内控合规及法律事务部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（8）业务部门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3、风险管理和内部风险控制的措施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建立内控体系，完善内控制度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建立相互分离、相互制衡的内控机制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建立、健全岗位责任制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建立风险分类、识别、评估、报告、提示程序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 建立有效的内部监控系统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 使用数量化的风险管理手段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 提供足够的培训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209535102"/>
      <w:r>
        <w:rPr>
          <w:rFonts w:ascii="Times New Roman" w:hAnsi="Times New Roman"/>
          <w:sz w:val="30"/>
        </w:rPr>
        <w:t>四、基金托管人</w:t>
      </w:r>
      <w:bookmarkEnd w:id="6"/>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（一）基金托管人情况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1、基本情况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名称：中国农业银行股份有限公司（简称中国农业银行）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法定代表人：谷澍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成立日期：2009年1月15日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批准设立机关和批准设立文号：中国银监会银监复[2009]13号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基金托管资格批文及文号：中国证监会证监基字[1998]23号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注册资本：34,998,303.4万元人民币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联系电话：010-66060069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传真：010-68121816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联系人：任航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证券投资基金托管部于1998年5月经中国证监会和中国人民银行批准成立，2004年更名为中国农业银行托管业务部。目前内设风险合规部/综合管理部、业务管理部、客户一部、客户二部、客户三部、客户四部、系统与信息管理部、营运管理部、营运一部、营运二部，拥有先进的安全防范设施和基金托管业务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2、主要人员情况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托管业务部现有员工302名，其中具有高级职称的专家60名，服务团队成员专业水平高、业务素质好、服务能力强，高级管理层均有20年以上金融从业经验和高级技术职称，精通国内外证券市场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3、基金托管业务经营情况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截止到2025年3月31日，中国农业银行托管的封闭式证券投资基金和开放式证券投资基金共934只。</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（二）基金托管人的内部风险控制制度说明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1、内部控制目标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2、内部控制组织结构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3、内部控制制度及措施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（三）基金托管人对基金管理人运作基金进行监督的方法和程序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当基金出现异常交易行为时，基金托管人应当针对不同情况进行以下方式的处理：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1、电话提示。对媒体和舆论反映集中的问题，电话提示基金管理人；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2、书面警示。对本基金投资比例接近超标、资金头寸不足等问题，以书面方式对基金管理人进行提示；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209535103"/>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（一）基金份额销售机构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本基金直销机构为基金管理人直销柜台以及基金管理人的网上直销交易平台（网站及手机APP，下同）。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个人投资者可以通过基金管理人网上直销交易平台办理开户、本基金的申购、赎回、转换及定期定额投资等业务，具体交易细则请参阅基金管理人网站。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（1）名称：江苏江南农村商业银行股份有限公司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住所：江苏省常州市和平中路413号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办公地址：江苏省常州市和平中路413号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法定代表人：陆向阳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电话：0519-80585939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传真：0519-89995170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联系人：蒋姣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客户服务电话：96005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网址：http://www.jnbank.com.cn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（2）名称：上海浦东发展银行股份有限公司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法定代表人：郑杨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网址：www.spdb.com.cn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（3）名称：中国邮政储蓄银行股份有限公司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法定代表人：李国华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传真：（010）68858117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联系人：陈春林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网址：www.psbc.com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（4）名称：杭州银行股份有限公司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住所：杭州市庆春路46号杭州银行大厦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办公地址：杭州市庆春路46号杭州银行大厦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法定代表人：陈震山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电话：（0571）85108195、85120696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传真：（0571）86475527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联系人：严峻、夏帆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网址：www.hzbank.com.cn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（5）名称：华夏银行股份有限公司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住所：北京市东城区建国门内大街22号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办公地址：北京市东城区建国门内大街22号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法定代表人：李民吉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网址：www.hxb.com.cn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（6）名称：江苏银行股份有限公司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住所：南京市中华路26号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办公地址：南京市中华路26号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法定代表人：夏平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电话：（025）58587018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传真：（025）58587038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联系人：田春慧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网址：www.jsbchina.cn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（7）名称：北京银行股份有限公司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住所：北京市西城区金融大街甲17号首层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办公地址：北京市西城区金融大街甲17号首层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法定代表人：张东宁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传真：（010）66226045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联系人：孔超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网址：www.bankofbeijing.com.cn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（8）名称：中国民生银行股份有限公司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住所：北京市西城区复兴门内大街2号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法定代表人：洪崎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电话：（010）58560666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传真：（010）57092611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联系人：许野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95568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（9）名称：中国农业银行股份有限公司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法定代表人：谷澍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联系电话：010-66060069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传真：010-68121816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联系人：贺倩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（10）名称：东莞农村商业银行股份有限公司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住所：东莞市东城区鸿福东路2号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办公地址：东莞市东城区鸿福东路2号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法定代表人：王耀球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电话：（0769）22866254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传真：（0769）22866282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联系人：林培珊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客户服务电话：（0769）961122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网址：www.drcbank.com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（11）名称：江苏常熟农村商业银行股份有限公司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住所：江苏省常熟市新世纪大道58号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办公地址：江苏省常熟市新世纪大道58号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法定代表人：宋建明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联系电话：（0512）52909128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传真：（0512）52909122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客户服务电话：962000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网址：www.csrcbank.com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（12）名称：中信银行股份有限公司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法定代表人：朱鹤新</w:t>
      </w:r>
      <w:bookmarkStart w:id="29" w:name="_GoBack"/>
      <w:bookmarkEnd w:id="2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电话：（010）89936330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传真：（010）85230024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联系人：丰靖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（13）名称：上海银行股份有限公司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住所：上海市银城中路168号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办公地址：上海市银城中路168号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法定代表人：金煜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电话：（021）68475888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传真：（021）68476111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客户服务电话：（021）962888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网址：www.bankofshanghai.com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（14）名称：中国建设银行股份有限公司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办公地址：北京市西城区闹市口大街1号院1号楼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法定代表人：张金良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（15）名称：中国光大银行股份有限公司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住所：北京市西城区太平桥大街25号、甲25号中国光大中心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办公地址：北京市西城区太平桥大街25号、甲25号中国光大中心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法定代表人：李晓鹏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电话：（010）63639681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传真：（010）63639709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联系人：刘昭宇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网址：www.cebbank.com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（16）名称：交通银行股份有限公司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法定代表人：任德奇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电话：（021）58781234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传真：（021）58408483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联系人：范瑞波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网址：www.bankcomm.com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（17）名称：宁波银行股份有限公司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住所：宁波市江东区中山东路294号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法定代表人：陆华裕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电话：（021）63586210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传真：（021）63586215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联系人：胡技勋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客户服务电话：96528（上海地区962528）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网址：www.nbcb.com.cn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（18）名称：兴业银行股份有限公司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注册地址：福建省福州市台江区江滨中大道398号兴业银行大厦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办公地址：上海市浦东新区银城路 167 号兴业银行大厦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法定代表人：吕家进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联系人：蔡宣铭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联系电话：021-52629999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客服热线：95561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（19）名称：南京银行股份有限公司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住所：南京市玄武区中山路288号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办公地址：南京市玄武区中山路288号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法定代表人：胡升荣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电话：025-86776111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传真：025-86775054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网址：www.njcb.com.cn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（20）名称：平安银行股份有限公司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注册地址：深圳市罗湖区深南东路5047号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法定代表人：谢永林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电话：0755-22166574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传真：0755-82080406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客服电话：95511-3或95501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（21）名称：中国工商银行股份有限公司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注册地址：北京市西城区复兴门内大街55号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办公地址：北京市西城区复兴门内大街55号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法定代表人：廖林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网址：www.icbc.com.cn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（22）名称：招商银行股份有限公司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（23）名称：光大证券股份有限公司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住所：上海市静安区新闸路1508号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办公地址：上海市静安区新闸路1508号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电话：（021）22169999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传真：（021）22169134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10108998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网址：www.ebscn.com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（24）名称：东北证券股份有限公司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住所：长春市自由大路1138号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办公地址：长春市自由大路1138号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法定代表人：矫正中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电话：（0431）85096709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联系人：潘锴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客户服务电话：4006000686，（0431）85096733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网址：www.nesc.cn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（25）名称：中银国际证券股份有限公司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住所：上海市银城中路200号39层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办公地址：中国上海浦东银城中路200号中银大厦39-40层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法定代表人：许刚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客户服务电话：400-620-8888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网址：www.bocichina.com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（26）名称：华福证券有限责任公司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住所：福州市五四路157号新天地大厦7、8层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办公地址：福州市五四路新天地大厦7至10层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法定代表人：黄金琳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电话：（0591）87383623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传真：（0591）87383610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客户服务电话：（0591）95547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网址：www.hfzq.com.cn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（27）名称：中国民族证券有限责任公司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住所：北京市西城区金融街5号新盛大厦A座6-9层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办公地址：北京市西城区金融街5号新盛大厦A座6-9层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法定代表人：赵大建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客户服务电话：400-889-5618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网址：www.e5618.com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（28）名称：国投证券股份有限公司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住所：深圳市福田区福田街道福华一路119号安信金融大厦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办公地址：深圳市福田区福田街道福华一路119号安信金融大厦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法定代表人：王苏望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电话：（0755）81688000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传真：（0755）82558355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网址：https://www.sdicsc.com.cn/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（29）名称：中航证券有限公司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住所：南昌市红谷滩新区红谷中大道1619号国际金融大厦41楼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办公地址：南昌市红谷滩新区红谷中大道1619号国际金融大厦41楼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法定代表人：杜航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电话：（0791）86768681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传真：（0791）86770178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联系人：戴蕾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客户服务电话：400-8895-335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网址：www.avicsec.com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（30）名称：财通证券股份有限公司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注册地址：杭州市杭大路15号嘉华国际商务中心201、501、502、1103、1601-1615、1701-1716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办公地址：杭州市杭大路15号嘉华国际商务中心201、501、502、1103、1601-1615、1701-1716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沈继宁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电话：0571-87789160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陶志华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客户服务电话：95336,40086-96336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网址：www.ctsec.com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（31）名称：国信证券股份有限公司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法定代表人：张纳沙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电话：（0755）82130833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传真：（0755）82133952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联系人：于智勇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网址：www.guosen.com.cn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（32）名称：湘财证券股份有限公司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住所：湖南省长沙市黄兴中路63号中山国际大厦12楼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办公地址：湖南省长沙市天心区湘府中路198号标志商务中心11楼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法定代表人：林俊波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电话：（021）68634518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传真：（021）68865680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联系人：钟康莺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客户服务电话：400-888-1551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网址：www.xcsc.com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（33）名称：华龙证券股份有限公司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住所：兰州市城关区东岗西路638号财富中心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办公地址：兰州市城关区东岗西路638号财富中心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法定代表人：李晓安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电话：（0931）4890208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传真：（0931）4890628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联系人：李昕田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客户服务电话：4006898888、（0931）4890208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网址：www.hlzqgs.com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（34）名称：长城国瑞证券有限公司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住所：厦门市莲前西路2号莲富大厦17楼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办公地址：厦门市莲前西路2号莲富大厦17楼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电话：（0592）5161642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传真：（0592）5161640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客户服务电话：（0592）5163588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网址：www.xmzq.cn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（35）名称：爱建证券有限责任公司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住所：上海市南京西路758号24楼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办公地址：上海市浦东新区世纪大道1600号32楼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法定代表人：张建华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电话：（021）32229888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传真：（021）68728703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客户服务电话：（021）63340678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网址：www.ajzq.com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（36）名称：长江证券股份有限公司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住所：武汉市新华路特8号长江证券大厦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办公地址：武汉市新华路特8号长江证券大厦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法定代表人：胡运钊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电话：（027）65799999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传真：（027）85481900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客户服务电话：95579或4008-888-999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网址：www.95579.com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（37）名称：招商证券股份有限公司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住所：深圳市福田区福田街道福华一路111号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办公地址：深圳市福田区益田路江苏大厦A座38-45层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法定代表人：霍达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电话：（0755）82943666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传真：（0755）82943636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联系人：黄婵君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客户服务电话：400-8888-111，95565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网址：www.newone.com.cn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（38）名称：粤开证券股份有限公司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注册地址：广州市黄埔区科学大道60号开发区控股中心19、22、23层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办公地址：广州市黄埔区科学大道60号开发区控股中心19、22、23层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法定代表人：郭川舟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客服电话：95564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网址：www.ykzq.com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（39）名称：西南证券股份有限公司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住所：重庆市江北区桥北苑8号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办公地址：重庆市江北区桥北苑8号西南证券大厦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法定代表人：吴坚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电话：（023）63786141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传真：（023）63786212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客户服务电话：95355、400-809-6096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网址：www.swsc.com.cn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（40）名称：信达证券股份有限公司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住所：北京市西城区闹市口大街9号院1号楼信达金融中心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办公地址：北京市西城区闹市口大街9号院1号楼信达金融中心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法定代表人：张志刚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电话：（010）63081000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传真：（010）63081344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联系人：尹旭航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网址：www.cindasc.com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（41）名称：渤海证券股份有限公司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住所：天津经济技术开发区第二大街42号写字楼101室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办公地址：天津市南开区宾水西道8号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法定代表人：安志勇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电话：（022）28451991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传真：（022）28451892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联系人：蔡霆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956066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网址：www.ewww.com.cn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（42）名称：长城证券有限责任公司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住所：深圳市福田区深南大道6008号特区报业大厦14、16、17层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法定代表人：黄耀华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电话：（0755）83516289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传真：（0755）83516199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联系人：匡婷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客户服务电话：（0755）33680000，400-6666-888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（43）名称：瑞银证券有限责任公司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住所：北京市西城区金融大街7号英蓝国际金融中心12层、15层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办公地址：北京市西城区金融大街7号英蓝国际金融中心12层、15层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法定代表人：程宜荪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电话：（010）58328112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传真：（010）58328740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联系人：牟冲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客户服务电话：400-887-8827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网址：www.ubssecurities.com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（44）名称：中国国际金融股份有限公司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法定代表人：毕明建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电话：（010）65051166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传真：（010）85679203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联系人：杨涵宇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（45）名称：华鑫证券有限责任公司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华鑫证券有限责任公司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4001099918，95323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www.cfsc.com.cn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（46）名称：江海证券有限公司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住所：黑龙江省哈尔滨市香坊区赣水路56号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法定代表人：孙名扬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电话：（0451）85863719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传真：（0451）82287211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客户服务电话：956007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网址：www.jhzq.com.cn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（47）名称：中泰证券股份有限公司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住所：山东省济南市市中区经七路86号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办公地址：山东省济南市市中区经七路86号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电话：（0531）68889155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传真：（0531）68889752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联系人：许曼华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网址：www.zts.com.cn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（48）名称：申万宏源西部证券有限公司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住所：新疆乌鲁木齐市建设路2号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办公地址：北京市西城区太平桥大街19号宏源证券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法定代表人：冯戎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电话：（010）88085858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传真：（010）88085195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客户服务电话：4008-000-562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网址：www.hysec.com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（49）名称：中国银河证券股份有限公司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法定代表人：陈共炎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电话：010-83574507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联系人：辛国政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网址：www.chinastock.com.cn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（50）名称：申万宏源证券有限公司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法定代表人：杨玉成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电话：（021）33389888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联系人：李清怡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客户服务电话：95523或4008895523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网址：www.sywg.com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（51）名称：国都证券股份有限公司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法定代表人：王少华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客户服务电话：400-818-8118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网址：www.guodu.com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（52）名称：大同证券有限责任公司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注册地址：山西省大同市城区迎宾街15号桐城中央21层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办公地址：太原市长治路 111 号山西世贸中心 A 座 F12、F13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邮政编码：030600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法定代表人：董祥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 话：（0351）4130322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 真：（0351）7219891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客服电话：4007121212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网址：www.dtsbc.com.cn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（53）名称：国联民生证券股份有限公司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住所：江苏省无锡市金融一街8号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办公地址：江苏省无锡市金融一街8号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法定代表人：顾伟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联系电话：0510-82832051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传真：0510-82830162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网址：www.glsc.com.cn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（54）名称：山西证券股份有限公司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住所：山西省太原市府西街69号山西国际贸易中心东塔楼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办公地址：山西省太原市府西街69号山西国际贸易中心东塔楼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法定代表人：侯巍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电话：0351—8686815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联系人：谢武兵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客户服务电话：400-666-1618、95573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网址：www.i618.com.cn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（55）名称：方正中期期货有限公司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住所：北京市石景山区金府路32号院3号楼5层512室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办公地址：北京市朝阳区东三环北路38号院1号泰康金融大厦22层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法定代表人：姜志军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联系电话：010-85881211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传真：010-85881394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联系人：罗雯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客户服务电话：4008802277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网址：www.founderfu.com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（56）名称：联储证券有限责任公司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住所：深圳市福田区福田街道岗厦社区深南大道南侧金地中心大厦9楼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办公地址：北京市朝阳区安定路5号院3号楼中建财富国际中心27层联储证券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法定代表人：吕春卫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传真：010-86499401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祝博文、张婉婷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 400-620-6868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www.lczq.com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（57）名称：东方财富证券股份有限公司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住所：西藏自治区拉萨市柳梧新区国际总部城10栋楼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法定代表人：戴彦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电话：（021）021-23586603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传真：（021）021-23586860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联系人：付佳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网址：http://www.18.cn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（58）名称：德邦证券股份有限公司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住所：上海市普陀区曹杨路510号南半幢9楼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办公地址：上海市福山路500号城建大厦26楼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法定代表人：姚文平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电话：（021）68761616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传真：（021）68767981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客户服务电话：4008-888-128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网址：www.tebon.com.cn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（59）名称：平安证券股份有限公司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住所：深圳市福田区金田路大中华国际交易广场裙楼8楼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办公地址：深圳市福田区金田路大中华国际交易广场裙楼8楼(518048)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法定代表人：杨宇翔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电话：（0755）22627802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传真：（0755）82400862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联系人：郑舒丽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（60）名称：中信建投证券股份有限公司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住所：北京市朝阳区安立路66号4号楼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办公地址：北京市朝阳门内大街188号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法定代表人：王常青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电话：（010）85130588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传真：（010）65182261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联系人：魏明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网址：www.csc108.com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（61）名称：东兴证券股份有限公司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住所：北京市西城区金融大街5号新盛大厦B座12-15层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法定代表人：徐勇力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电话：（010）66555316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传真：（010）66555246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联系人：汤漫川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400-8888-993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网址：www.dxzq.net</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（62）名称：国新证券股份有限公司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法定代表人：宋德清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电话：（010）58568235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传真：（010）58568062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客户服务电话：（010）58568118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网址：www.crsec.com.cn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（63）名称：华泰证券股份有限公司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住所：江苏省南京市江东中路228号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办公地址：江苏省南京市建邺区江东中路228号华泰证券广场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电话：（0755）82492193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传真：（0755）82492962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联系人：胡子豪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网址：www.htsc.com.cn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（64）名称：浙商证券股份有限公司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住所：浙江省杭州市江干区五星路201号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办公地址：浙江省杭州市江干区五星路201号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法定代表人：吴承根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电话：（0571）87901964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传真：（0571）87901955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联系人：胡相斌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客户服务电话：95345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网址：www.stocke.com.cn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（65）名称：广发证券股份有限公司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住所：广州市黄埔区中新广州知识城腾飞一街2号618室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办公地址：广州市天河区马场路26号广发证券大厦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法定代表人：孙树明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电话：（020）66338888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传真：（020）87553600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联系人：马梦洁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网址：www.gf.com.cn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（66）名称：西部证券股份有限公司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住所：陕西省西安市新城区东新街 319 号 8 幢 10000 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办公地址：陕西省西安市新城区东新街 319 号 8 幢 10000 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法定代表人：徐朝晖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电话：029-87211668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联系人：张吉安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网址：www.west95582.com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（67）名称：兴业证券股份有限公司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住所：福州市湖东路268号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办公地址：上海市浦东新区长柳路36号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法定代表人：杨华辉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 021-38565547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联系人：乔琳雪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www.xyzq.com.cn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（68）名称：中国中金财富证券有限公司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办公地址：深圳市福田区益田路6003号荣超商务中心A栋第04、18层至21层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法定代表人：高涛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电话：（0755）88320851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联系人：胡芷境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客户服务电话：95532/400-600-8008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网址：www.ciccwm.com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（69）名称：海通证券股份有限公司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住所：上海市淮海中路98号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办公地址：上海市广东路689号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法定代表人：王开国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电话：（021）23219000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传真：（021）23219100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联系人：李笑鸣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客户服务电话：95553或拨打各城市营业网点咨询电话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网址：www.htsec.com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（70）名称：国元证券股份有限公司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住所：中国安徽省合肥市梅山路18号安徽国际金融中心A座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办公地址：中国安徽省合肥市梅山路18号安徽国际金融中心A座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法定代表人：俞仕新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联系电话：0551-62207400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传真：0551-62207148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联系人：汪先哲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网址：www.gyzq.com.cn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（71）名称：方正证券股份有限公司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住所：湖南长沙芙蓉中路二段华侨国际大厦22-24层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办公地址：湖南长沙芙蓉中路二段华侨国际大厦22-24层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法定代表人：雷杰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电话：（010）68546765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传真：（010）68546792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联系人：徐锦福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网址：www.foundersc.com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（72）名称：第一创业证券股份有限公司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住所：深圳市罗湖区笋岗路12号中民时代广场 B 座25、26层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办公地址：深圳市罗湖区笋岗路12号中民时代广场 B 座25、26层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法定代表人：刘学民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电话：（0755）25832852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传真：（0755）25831718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联系人：崔国良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网址：www.firstcapital.com.cn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（73）名称：中原证券股份有限公司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住所：郑州市郑东新区商务外环路10号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办公地址：郑州市郑东新区商务外环路10号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法定代表人：菅明军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联系人：程月艳 李盼盼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电话：0371-69099881/2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网址：https://www.ccnew.com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（74）名称：华宝证券股份有限公司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住所：中国上海市陆家嘴环路166号未来资产大厦27楼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办公地址：中国上海市浦东新区世纪大道100号上海环球金融中心57楼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陈林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电话：（021）68777222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传真：（021）68777822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客户服务电话：400-820-9898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网址：www.cnhbstock.com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（75）名称：华西证券股份有限公司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法定代表人：杨炯洋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电话：（028）86135991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传真：（028）86150400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联系人：周志茹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网址：www.hx168.com.cn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（76）名称：万联证券股份有限公司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注册地址：广州市天河区珠江东路11号18、19楼全层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办公地址：广东省广州市天河区珠江东路13号高德置地广场E座12层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 系 人：丁思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联系方式：020-83988334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客服电话：95322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公司官网：www.wlzq.cn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（77）名称：金融街证券股份有限公司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注册地址：内蒙古自治区呼和浩特市新城区海拉尔东街满世尚都办公商业综合楼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办公地址：内蒙古自治区呼和浩特市新城区海拉尔东街满世尚都办公商业综合楼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法定代表人：祝艳辉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联系人：熊丽、王捷勋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联系电话：0471-4972675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客户服务电话：956088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网址：www.cnht.com.cn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（78）名称：南京证券股份有限公司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住所：南京市江东中路389号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办公地址：南京市江东中路389号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法定代表人：李剑锋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电话：（025）58519529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传真：（025）83369725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联系人：曹梦媛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网址：www.nizq.com.cn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（79）名称：国泰海通证券股份有限公司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注册地址：中国（上海）自由贸易试验区商城路618号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办公地址：上海市静安区南京西路768号国泰君安大厦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法定代表人：朱健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联系电话：021-38676666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传真：021-38670666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联系人：朱雅崴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服务热线 : 95521 / 4008888666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网址：www.gtht.com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（80）名称：中信证券（山东）有限责任公司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住所：青岛市崂山区深圳路222号1号楼2001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办公地址：青岛市市南区东海西路28号龙翔广场东座5层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法定代表人：姜晓林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电话：0531-89606166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传真：0532-85022605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联系人：焦刚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网址：sd.citics.com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（81）名称：中信证券股份有限公司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住所：广东省深圳市福田区中心三路8号卓越时代广场（二期）北座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办公地址：北京市朝阳区亮马桥路48号中信证券大厦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法定代表人：张佑君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（82）名称：中信证券华南股份有限公司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法定代表人：胡伏云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电话：020-88836999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传真：020-88836984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客服电话：（020）95396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网址：www.gzs.com.cn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（83）名称：开源证券股份有限公司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注册地址：陕西省西安市高新区锦业路一号都市之门B座5层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办公地址：陕西省西安市高新区锦业路一号都市之门B座5层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电话：13709210036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联系人：赵东会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网址：www.kysec.cn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（84）名称：东方证券股份有限公司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住所：上海市中山南路318号2号楼22层-29层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法定代表人：王益民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电话：（021）63325888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传真：（021）63326173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网址：www.dfzq.com.cn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（85）名称：东莞证券股份有限公司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住所：广东省东莞市莞城区可园南路一号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办公地址：广东省东莞市莞城区可园南路一号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电话：（0769）22115712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传真：（0769）22115712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网址：www.dgzq.com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（86）名称：国金证券股份有限公司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法定代表人：冉云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电话：（028）86690057，（028）86690058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传真：（028）86690126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联系人：刘婧漪 贾鹏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网址：www.gjzq.com.cn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（87）名称：中国人寿保险股份有限公司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住所：中国北京市西城区金融大街16号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办公地址：北京市西城区金融大街16号中国人寿广场A座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www.e-chinalife.com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（88）名称：天相投资顾问有限公司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住所：北京市西城区金融街19号富凯大厦B座701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办公地址：北京市西城区新街口外大街28号C座5层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法定代表人：林义相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电话：（010）66045529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传真：（010）66045518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联系人：尹伶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客户服务电话：（010）66045678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网址：http://www.txsec.com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（89）名称：上海中欧财富基金销售有限公司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住所：中国（上海）自由贸易试验区陆家嘴环路479号1008-1室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办公地址：上海市虹口区公平路18号嘉昱大厦6楼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法定代表人：许欣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电话：021-68609600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传真：021-33830351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刘弘义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客户服务电话：400-700-9700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公司网址：https://www.zocaifu.com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（90）名称：大连网金基金销售有限公司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樊怀东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电话：（0411-39027810）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传真：（0411-39027835）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于秀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4000-899-100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网址：http://www.yibaijin.com/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（91）名称：阳光人寿保险股份有限公司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住所：海南省三亚市迎宾路360-1号三亚阳光金融广场16层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办公地址：北京市朝阳区朝阳门外大街乙12号院1号昆泰国际大厦12层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电话：（010）85632771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传真：（010）85632773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网址：http://fund.sinosig.com/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（92）名称：玄元保险代理有限公司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法定代表人：马永谙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客户服务电话：400-080-8208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网址：www.licaimofang.cn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（93）名称：京东肯特瑞基金销售有限公司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北京市海淀区西三旗建材城中路12号17号平房157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办公地址：北京市通州区亦庄经济技术开发区科创十一街18号院京东集团总部A座17层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法定代表人：王苏宁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传真：010-89189566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网址：kenterui.jd.com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（94）名称：上海大智慧基金销售有限公司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法定代表人：申健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电话：021-0219988-35374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传真：021-20219923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客户服务电话：021-20292031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网址：https://www.wg.com.cn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（95）名称：和耕传承基金销售有限公司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法定代表人：温丽燕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电话：0371-85518395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传真：0371-85518397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联系人：胡静华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客户服务电话：4000555671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网址：www.hgccpb.com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（96）名称：腾安基金销售（深圳）有限公司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办公地址：深圳市南山区海天二路33号腾讯滨海大厦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法定代表人：刘明军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联系人：谭广峰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网址：http://www.tenganxinxi.com/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（97）名称：珠海盈米基金销售有限公司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住所：珠海市横琴新区宝华路6号105室-3491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办公地址：广州市海珠区琶洲大道东1号保利国际广场南塔12楼B1201-1203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法定代表人：肖雯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电话：（020）89629099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传真：（020）89629011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联系人：黄敏嫦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客户服务电话：（020）89629066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网址：www.yingmi.com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（98）名称：上海华夏财富投资管理有限公司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住所：上海市虹口区东大名路687号1幢2楼268室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北京市西城区金融大街33号通泰大厦B座8层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毛淮平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电话：010-88066632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传真：010-63136184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张静怡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客户服务电话：400-817-5666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www.amcfortune.com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（99）名称：北京度小满基金销售有限公司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注册地址：北京市海淀区西北旺东路10号院西区4号楼1层103室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法定代表人：葛新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办公地址：北京市海淀区西北旺东路10号院西区4号楼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机构联系人：王笑宇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联系人电话：010-59403028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联系人传真：010-59403027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客户服务电话：95055-4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公司网址：www.baiyingfund.com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（100）名称：南京苏宁基金销售有限公司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联系人：冯鹏鹏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网址：www.snjijin.com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（101）名称：嘉实财富管理有限公司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住所：海南省三亚市天涯区三亚湾路国际客运港区国际养生度假中心酒店B座(2＃楼)27楼2714室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办公地址及其联系方式：北京市朝阳区建国门外大街21号北京国际俱乐部C座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张峰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 010-85097302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联系人：闫欢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客户服务电话：400-021-8850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公司网址：http://www.harvestwm.cn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（102）名称：北京汇成基金销售有限公司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住所：北京市西城区宣武门外大街甲1号4层401-2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办公地址：北京市西城区宣武门外大街甲1号环球财讯中心D座4层401-2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法定代表人：王伟刚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电话：（010）56282140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传真：（010）62680827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客户服务电话：010-63158805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网址：www.hcfunds.co</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（103）名称：上海利得基金销售有限公司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办公地址：上海市虹口区东大名路1098号浦江国际金融广场53层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法定代表人：李兴春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电话：021-50583533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传真：021-50583633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伍豪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客服电话：400-032-5885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网址：www.leadfund.com.cn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（104）名称：北京虹点基金销售有限公司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联系人：姜颖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客户服务电话：400-618-0707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网址：www.hongdianfund.com/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（105）名称：上海陆金所基金销售有限公司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住所：上海市浦东新区陆家嘴环路1333号14楼09单元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办公地址：上海市浦东新区陆家嘴环路1333号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法定代表人：王之光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电话：（021）20665952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传真：（021）22066653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联系人：宁博宇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客户服务电话：4008219031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网址：www.lufunds.com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（106）名称：上海挖财基金销售有限公司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注册地址：中国(上海)自由贸易试验区杨高南路759号18层03单元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办公地址：中国(上海)自由贸易试验区杨高南路759号18层03单元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法定代表人：吕柳霞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电话：021-50810673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传真：021-50810687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邮编：200120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联系人：毛善波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客服电话：400-711-8718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网址：www.wacaijijin.com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（107）名称：万家财富基金销售（天津）有限公司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住所：天津自贸区（中心商务区）迎宾大道1988号滨海浙商大厦公寓2-2413室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办公地址：北京市西城区丰盛胡同28号太平洋保险大厦A座5层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电话：（010）59013825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传真：（010）59013828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联系人：王茜蕊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客户服务电话：010-59013895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网址：http://www.wanjiawealth.com/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（108）名称：上海万得基金销售有限公司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住所：中国（上海）自由贸易试验区福山路33号11楼B座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办公地址：上海市浦东新区浦明路1500号万得大厦11楼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宋晓言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电话：021-50712782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传真：021-50710161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马烨莹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客户服务电话：400-799-1888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www.520fund.com.cn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（109）名称：格上富信投资顾问有限公司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法定代表人：李悦章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电话：（010）85594745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传真：（010）65983333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客户服务电话：400-066-8586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网址：www.igesafe.com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（110）名称：深圳市金斧子基金销售有限公司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住所：深圳市南山区粤海街道科苑路16号东方科技大厦18楼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办公地址：深圳市南山区粤海街道科苑路科兴科学园B3单元7楼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法定代表人：赖任军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电话：（0755）66892301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传真：（0755）66892399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客户服务电话：400-9500-888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网址：www.jfzinv.com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（111）名称：北京雪球基金销售有限公司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住所：北京市朝阳区创远路 34 号院6号楼15层1501室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办公地址：北京市朝阳区创远路 34 号院融新科技中心 C 座 17 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电话：（010）61840688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传真：（010）84997571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联系人：武安广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客户服务电话：400-1599-288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网址：danjuanfunds.com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（112）名称：北京新浪仓石基金销售有限公司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法定代表人：穆飞虎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电话：010-58982465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联系人：穆飞虎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客服电话：010-6267 5369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网址：www.xincai.com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（113）名称：中证金牛（北京）基金销售有限公司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北京市丰台区东管头1号2号楼2-45室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北京市西城区宣武门外大街甲一号环球财讯中心A座5层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钱昊旻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电话：（010）59336512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传真：（010）59336586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沈晨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客户服务电话：4008-909-998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www.jnlc.com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（114）名称：上海证达通基金销售有限公司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上海市浦东新区金葵路118号3层B区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办公地址：上海市浦东新区金葵路118号3层B区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法定代表人：姚杨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电话：（021）20530186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传真：（021）20538999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潘梦茹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客户服务电话：021-20538880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网址：www.zdt.fund</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（115）名称：北京创金启富基金销售有限公司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北京市西城区白纸坊东街2号院6号楼712室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北京市西城区白纸坊东街2号院6号楼712室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梁蓉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电话：010-66154828-8047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传真：010-63583991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魏素清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客户服务电话：010-66154828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https://www.5irich.com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（116）名称：奕丰基金销售有限公司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住所：深圳市前海深港合作区前湾一路1号A栋201室（入住深圳市前海商务秘书有限公司）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办公地址：深圳市南山区海德三道航天科技广场A座17楼1704室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法定代表人：TEO WEE HOWE</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电话：（0755）89460500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传真：（0755）21674453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联系人：叶健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客户服务电话：400-684-0500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网址：www.ifastps.com.cn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（117）名称：上海天天基金销售有限公司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住所：上海市徐汇区龙田路190号2号楼2层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办公地址：上海市徐汇区宛平南路88号金座东方财富大厦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法定代表人：其实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电话：（021）54509998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传真：（021）64385308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联系人：屠彦洋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客户服务电话：400-1818-188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网址：www.1234567.com.cn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（118）名称：和讯信息科技有限公司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电话：（021）20835789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传真：（021）20835879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客户服务电话：4009200022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网址：http://licaike.hexun.com/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（119）名称：诺亚正行基金销售有限公司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住所:上海市虹口区飞虹路360弄9号3724室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办公地址:上海市杨浦区长阳路1687号长阳谷2号楼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法定代表：汪静波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电话：（021）80358523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传真：（021）80358749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客户服务电话：4008215399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网址：www.noah-fund.com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（120）名称：上海好买基金销售有限公司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住所：上海市虹口区场中路685弄37号4号楼449室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办公地址：上海市浦东新区浦东南路1118号鄂尔多斯国际大厦903-906室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法定代表人：杨文斌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传真：（021）68596916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联系人：薛年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客户服务电话：400-700-9665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网址：www.howbuy.com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（121）名称：上海长量基金销售有限公司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住所：上海市浦东新区高翔路526号2幢220室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办公地址：上海市浦东新区浦东大道555号裕景国际B座16层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法定代表人：张跃伟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电话：（021）20691832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传真：（021）20691861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联系人：单丙烨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客户服务电话：400-820-2899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网址：www.erichfund.com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（122）名称：深圳众禄基金销售股份有限公司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电话：（0755）33227953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传真：（0755）33227951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联系人：汤素娅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客户服务电话：4006-788-887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网址：www.zlfund.cn，www.jjmmw.com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（123）名称：蚂蚁（杭州）基金销售有限公司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住所：浙江省杭州市余杭区五常街道文一西路969号3幢5层599室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办公地址：浙江省杭州市西湖区西溪路556号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电话：（0571）28829790，（021）60897869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传真：（0571）26698533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联系人：韩爱彬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网址：www.fund123.cn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（124）名称：深圳市新兰德证券投资咨询有限公司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住所：深圳市福田区华强北路赛格科技园4栋10层1006#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电话：（010）58325395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传真：（010）58325282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联系人：刘宝文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客户服务电话：400-850-7771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网址：http://8.jrj.com.cn/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（125）名称：北京展恒基金销售股份有限公司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住所：北京市顺义区后沙峪镇安富街6号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办公地址：北京市朝阳区安苑路15-1号邮电新闻大厦2层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法定代表人：闫振杰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电话：（010）59601366-7024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传真：（010）62020355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马林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客户服务电话：400-888-6661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网址：www.myfund.com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（126）名称：泛华普益基金销售有限公司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住所：成都市成华区建设路9号高地中心1101室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办公地址：成都市金牛区花照壁西顺街399号1栋1单元龙湖西宸天街B座1201号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法定代表人：于海锋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电话：028-8661-6229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联系人：隋亚方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客户服务电话：400-080-3388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网址：https://www.puyifund.com/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（127）名称：上海联泰基金销售有限公司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住所：上海市普陀区兰溪路900弄15号526室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办公地址：上海市虹口区临潼路188号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法定代表人：尹彬彬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电话：021-52822063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传真：021-52975270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联系人：兰敏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客户服务电话：400-118-1188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网址：www.66liantai.com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（128）名称：宜信普泽（北京）基金销售有限公司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住所：北京市朝阳区建国路乙118号12层01D、02A—02F、03A—03C</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办公地址：北京市朝阳区建国路乙118号12层01D、02A—02F、03A—03C</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法定代表人：汤蕾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电话：010-5090-5707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联系人：蒋凯帆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客户服务电话：400-6099-200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网址：http://www.puzefund.com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（129）名称：浙江同花顺基金销售有限公司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住所：浙江省杭州市文二西路1号元茂大厦903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办公地址：浙江杭州余杭区五常街道同顺街18号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法定代表人：吴强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电话：（0571）88911818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传真：（0571）86800423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客户服务电话：952555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网址：https://fund.10jqka.com.cn/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（130）名称：上海基煜基金销售有限公司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住所：上海市崇明县长兴镇路潘园公路1800号2号楼6153室（上海泰和经济发展区）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办公地址：上海市杨浦区昆明路518号A1002室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电话：（021）65370077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传真：（021）55085991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联系人：俞申莉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客户服务电话：（021）65370077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网址：www.fofund.com.cn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（131）名称：济安财富（北京）基金销售有限公司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住所：北京市朝阳区太阳宫中路16号院1号楼10层1005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办公地址：北京市朝阳区太阳宫中路16号院1号楼11层1105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电话：010-65309516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传真：010-65330699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联系人：宋静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客户服务电话：400-673-7010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网址：www.jianfortune.com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（132）名称：博时财富基金销售有限公司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法定代表人：王德英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电话：0755-83169999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传真：0755-83195220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联系人：崔丹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客户服务电话：400-610-5568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网址：www.boserawealth.com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（133）名称：深圳前海微众银行股份有限公司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办公地址：广东省深圳市南山区沙河西路1819号深圳湾科技生态园7栋A座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法定代表人：顾敏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电话：15112686889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联系人：白冰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网址：www.webank.com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（134）名称：中信期货有限公司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电话：010-60833754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传真：021-60819988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联系人：刘宏莹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客服电话：400-990-8826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网站：www.citicsf.com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类基金份额的场内销售机构是指由中国证监会核准的具有开放式基金销售资格，并经上海证券交易所和中国证券登记结算有限责任公司认可的上海证券交易所会员（以下简称“有资格的上证所会员”），名单详见上海证券交易所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基金管理人可根据有关法律法规的要求，选择其它符合要求的机构销售本基金，并在管理人网站公示。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（二）登记机构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名称：中国证券登记结算有限责任公司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法定代表人：于文强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电话：（010）50938782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传真：（010）50938907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联系人：赵亦清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（三）出具法律意见书的律师事务所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名称：上海市通力律师事务所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负责人：韩炯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电话：（021）31358666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传真：（021）31358600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联系人：丁媛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经办律师：黎明、丁媛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（四）审计基金财产的会计师事务所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名称：安永华明会计师事务所（特殊普通合伙）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住所：北京市东城区东长安街1号东方广场安永大楼17层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办公地址：北京市东城区东长安街1号东方广场安永大楼17层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执行事务合伙人：毛鞍宁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电话：（010）58153000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传真：（010）85188298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联系人：蒋燕华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经办注册会计师：蒋燕华、费泽旭</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209535104"/>
      <w:r>
        <w:rPr>
          <w:rFonts w:ascii="Times New Roman" w:hAnsi="Times New Roman"/>
          <w:sz w:val="30"/>
        </w:rPr>
        <w:t>六、基金的历史沿革</w:t>
      </w:r>
      <w:bookmarkEnd w:id="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交银施罗德先进制造混合型证券投资基金由交银施罗德先进制造股票证券投资基金更名而成。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先进制造股票证券投资基金经中国证监会证监许可[2011]639号文核准，自2011年5月23日起向社会公开募集，于2011年6月17日结束募集工作，并于2011年6月22日获得中国证监会的书面确认，《交银施罗德先进制造股票证券投资基金基金合同》自该日起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关于实施&lt;公开募集证券投资基金运作管理办法&gt;有关问题的规定》、《交银施罗德先进制造股票证券投资基金基金合同》及基金管理人于2015年8月5日发布的《交银施罗德基金管理有限公司关于旗下部分基金变更基金类别及修改基金名称并相应修改基金合同和托管协议的公告》，交银施罗德先进制造股票证券投资基金的基金类别自2015年8月8日变更为混合型基金，基金名称由“交银施罗德先进制造股票证券投资基金”修改为“交银施罗德先进制造混合型证券投资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自2018年2月13日至2018年3月19日交银施罗德先进制造混合型证券投资基金以通讯方式召开基金份额持有人大会，大会于2018年3月20日审议通过了《关于交银施罗德先进制造混合型证券投资基金调整投资范围及修改基金合同有关事项的议案》，内容包括交银施罗德先进制造混合型证券投资基金调整投资范围、投资策略、投资比例限制、业绩比较基准、估值方法及修改基金合同等事项，上述基金份额持有人大会决议事项自表决通过之日起生效。自2018年3月21日起，根据《关于交银施罗德先进制造混合型证券投资基金调整投资范围及修改基金合同有关事项的议案》修改而成的《交银施罗德先进制造混合型证券投资基金基金合同》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自2021年12月21日至2022年1月20日交银施罗德先进制造混合型证券投资基金以通讯方式召开基金份额持有人大会，大会于2022年1月21日审议通过了《关于交银施罗德先进制造混合型证券投资基金调整投资范围及修改基金合同有关事项的议案》，内容包括在交银施罗德先进制造混合型证券投资基金的投资范围中增加港股通标的股票，相应调整投资策略、投资比例限制、业绩比较基准、估值方法等内容，并调整基金赎回费率、增加基金合同自动终止条款、增加C类基金份额、增加侧袋机制相关表述及修改基金合同其他条款等事项，上述基金份额持有人大会决议事项自表决通过之日起生效。自2022年1月24日起，根据《关于交银施罗德先进制造混合型证券投资基金调整投资范围及修改基金合同有关事项的议案》修改而成的《交银施罗德先进制造混合型证券投资基金基金合同》生效。</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209535105"/>
      <w:r>
        <w:rPr>
          <w:rFonts w:ascii="Times New Roman" w:hAnsi="Times New Roman"/>
          <w:sz w:val="30"/>
        </w:rPr>
        <w:t>七、基金的存续</w:t>
      </w:r>
      <w:bookmarkEnd w:id="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法律法规或监管机构另有规定时，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209535106"/>
      <w:r>
        <w:rPr>
          <w:rFonts w:ascii="Times New Roman" w:hAnsi="Times New Roman"/>
          <w:sz w:val="30"/>
        </w:rPr>
        <w:t>八、基金份额的申购与赎回</w:t>
      </w:r>
      <w:bookmarkEnd w:id="10"/>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（一）申购和赎回的场所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投资者可通过下述场所按照规定的方式进行申购或赎回：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本基金直销机构为基金管理人以及基金管理人的网上直销交易平台。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个人投资者可以通过基金管理人网上直销交易平台办理开户、本基金A类基金份额和C类基金份额的申购、赎回、转换及定期定额投资等业务，具体交易细则请参阅基金管理人网站。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2、不通过上海证券交易所交易系统办理相关业务的场外销售机构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本基金的场外销售机构请见本招募说明书“五、相关服务机构”章节或拨打基金管理人客户服务电话进行咨询。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3、通过上海证券交易所交易系统办理相关业务的上海证券交易所会员单位，目前场内交易只支持A类前端基金份额的申购。具体名单详见上海证券交易所网站。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投资者可通过上述场所按照规定的方式进行申购或赎回。本基金管理人可根据情况变更或增减基金销售机构，并在管理人网站公示。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（二）申购和赎回的开放日及时间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1、开放日及开放时间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在开放日申请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2、申购、赎回开始日及业务办理时间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本基金A类基金份额已于2011年9月13日起开放申购、赎回业务。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本基金C类基金份额已于2022年1月24日起开放申购、赎回业务。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基金合同约定之外的日期或者时间办理基金份额的申购、赎回或者转换。基金投资者在基金合同约定之外的日期和时间提出申购、赎回或转换申请且登记机构确认接受的，其基金份额申购、赎回价格为下一开放日基金份额申购、赎回的价格。</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（三）申购和赎回的原则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1、“未知价”原则，即基金份额的申购与赎回价格以申请当日收市后计算的基金份额净值为基准进行计算；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2、基金采用金额申购和份额赎回的原则，即申购以金额申请，赎回以份额申请；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4、当日的申购与赎回申请可以在基金管理人规定的时间以内撤销，但申请经登记机构受理的不得撤销；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5、基金管理人在不损害基金份额持有人权益的情况下可更改上述原则，但最迟应在新的原则实施前依照《信息披露办法》的有关规定在规定媒介上公告。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（四）申购和赎回的数额限定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1、申购金额的限制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场外申购时，场外销售机构每个账户单笔申购的最低金额为单笔1元，如果销售机构业务规则规定的最低单笔申购金额高于1元，以该销售机构的规定为准。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者不受首次申购最低金额的限制。通过基金管理人网上直销交易平台办理基金申购业务的不受直销机构单笔申购最低金额的限制，申购最低金额为单笔1元。本基金直销机构单笔申购最低金额可由基金管理人酌情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场内申购时，每笔申购金额最低为1000元人民币，同时每笔申购必须是100元的整数倍，并且单笔申购最高不超过99,999,900元。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2、赎回份额的限制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场外赎回时，赎回的最低份额为1份基金份额，如果销售机构业务规则规定的最低单笔赎回份额高于1份，以该销售机构的规定为准；场内赎回时，赎回的最低份额为50 份基金份额，同时赎回份额必须是整数份额，并且单笔赎回最多不超过99,999,999份基金份额。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3、最低保留余额的限制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5、基金管理人可根据市场情况，在法律法规允许的情况下，调整上述规定的数量或比例限制，基金管理人必须在调整前依照《信息披露办法》的有关规定在规定媒介公告。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（五）申购和赎回的程序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1、申购和赎回的申请方式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投资者必须根据基金销售机构规定的程序，在开放日的业务办理时间向基金销售机构提出申购或赎回的申请。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投资者在申购本基金时须按销售机构规定的方式备足申购资金，否则所提交的申购申请不成立。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投资者在提交赎回申请时，必须持有足够的基金份额余额，否则所提交的赎回申请不成立。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2、申购和赎回申请的确认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T 日规定时间受理的申请，正常情况下，注册登记机构在T+1 日内（包括该日）为投资者对该交易的有效性进行确认，基金投资者应在T+2日后（包括该日）及时到销售网点柜台或以销售机构规定的其他方式查询申请的确认情况，否则如因申请未得到注册登记机构的确认而产生的后果，由投资者自行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销售机构对申购、赎回申请的受理并不代表该申请一定成功，而仅代表销售机构确实接收到申购、赎回申请。申购、赎回申请的确认以注册登记机构的确认结果为准。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3、申购和赎回的款项支付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采用全额缴款方式，若申购资金在规定时间内未全额到账则申购不成立。投资人全额交付申购款项，申购成立；注册登记机构确认基金份额时，申购生效。若申购不成立或无效，基金管理人或基金管理人指定的销售机构将基金投资者已缴付的申购款项本金退还给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递交赎回申请，赎回成立；注册登记机构确认赎回时，赎回生效。基金投资者赎回申请成功后，基金管理人将通过注册登记机构及其相关销售机构在T＋7日（包括该日）内将赎回款项划往基金份额持有人账户。在发生巨额赎回或基金合同载明的其他暂停赎回或延缓支付赎回款项的情形时，款项的支付办法参照基金合同有关条款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4、申购和赎回基金份额的份额注册登记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（1）投资者T 日申购基金成功后，正常情况下，注册登记机构在T＋1 日为投资者增加权益并办理注册登记手续，投资者自T＋2 日（含该日）起有权赎回该部分基金份额。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（2）投资者T 日赎回基金成功后，正常情况下，基金注册登记机构在T＋1 日为投资者扣除权益并办理相应的注册登记手续。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（3）基金管理人可在法律法规允许的范围内，对上述注册登记办理时间进行调整，并最迟于开始实施前按照《信息披露办法》的有关规定在规定媒介上公告。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（六）基金的申购费和赎回费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本基金A类基金份额的申购费用由申购A类基金份额的基金申购人承担，不列入基金财产，主要用于本基金的市场推广、销售、注册登记等各项费用。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投资者可以多次申购本基金，申购费率按每笔申购申请单独计算。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本基金A类基金份额（非养老金客户）的申购费率如下：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A类基金份额申购费率（前端）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A类基金份额前端申购费率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A类基金份额申购费率（后端）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持有时间</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A类基金份额后端申购费率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1年以内（含）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1年—3年（含）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3年—5年（含）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5年以上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持有A类基金份额的投资人因红利自动再投资而产生的A类基金份额，不收取相应的申购费用。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本基金对通过基金管理人直销柜台申购本基金A类前端基金份额的养老金客户实施特定申购费率。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通过基金管理人直销柜台申购本基金A类前端基金份额的养老金客户特定申购费率如下表：</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A类基金份额特定申购费率（前端）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A类基金份额前端特定申购费率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有关养老金客户实施特定申购费率的具体规定以及活动时间如有变化，敬请投资人留意基金管理人发布的相关公告。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（1）本基金A类基金份额的赎回费率如下：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A类基金份额的赎回费率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7日（含）—30日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30日（含）—6个月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6个月以上（含）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的赎回费用由赎回A类基金份额的基金份额持有人承担，在基金份额持有人赎回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上述“月”指的是30个自然日。未归入基金财产的部分用于支付登记费和其他必要的手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（2）本基金C类基金份额的赎回费率如下：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C类基金份额的赎回费率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C类基金份额赎回费率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7日（含）—30日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30日以上（含）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（七）申购和赎回的数额和价格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1、申购和赎回数额、余额的处理方式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份额余额的处理方式：申购A类基金份额或C类基金份额的有效份额为按实际确认的申购金额在扣除相应的费用（如有）后，以当日该类基金份额的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金额的处理方式：赎回金额为按实际确认的A类基金份额和C类基金份额有效赎回份额乘以当日基金份额净值并扣除相应的费用（如有），赎回金额计算结果保留到小数点后2位，小数点后两位以后的部分四舍五入，由此产生的误差计入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2、申购份额的计算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场外申购A类基金份额可以采取前端收费模式和后端收费模式，场内申购A类基金份额目前只支持前端收费模式。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1）前端收费模式：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净申购金额=申购总金额/（1+申购费率）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（注：对于适用固定金额申购费用的申购，净申购金额＝申购总金额－固定申购费用金额）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申购费用=申购总金额-净申购金额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（注：对于适用固定金额申购费用的申购，申购费用＝固定申购费用金额）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申购份额=（申购总金额-申购费用）/ T日A类基金份额净值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场内申购金额的有效份额保留到整数位，剩余部分对应申购资金返还投资者。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例一：某投资者投资40,000元申购本基金A类基金份额，假设申购当日A类基金份额净值为1.0400元，如果其选择前端收费方式，申购费率为1.5%，则其可得到的申购份额为：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申购总金额＝40,000元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净申购金额=40,000/（1+1.5%）=39,408.87元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申购费用=40,000-39,408.87=591.13元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申购份额=（40,000-591.13）/1.0400=37,893.14份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如果投资者是场外申购，申购份额为37,893.14份。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如果投资者是场内申购，则申购份额为37,893份，其余0.14份对应金额返回给投资者。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2）后端收费模式：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申购份额＝申购总金额/T日A类基金份额净值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当投资者提出赎回时，后端认购费用的计算方法为：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后端申购费用＝赎回份额×申购日基金份额净值×后端申购费率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例二：某投资者投资40,000元申购本基金A类基金份额，假设申购当日A类基金份额净值为1.0400元，如果其选择后端收费方式，则其可得到的申购份额为：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 ＝ 40,000 / 1.0400 ＝ 38,461.54份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即：投资者投资40,000元申购本基金A类基金份额，假设申购当日A类基金份额净值为1.0400元，则可得到38,461.54份A类基金份额，但其在赎回时需根据其持有时间按对应的后端申购费率交纳后端申购费用。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（2）C类基金份额的申购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如果投资者选择申购C类基金份额，则申购份额的计算方法如下：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申购份额=申购总金额/T日C类基金份额净值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例三：某投资者投资40,000元申购本基金的C类基金份额，假设申购当日C类基金份额净值为1.0400元，则其可得到的申购份额为：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申购份额＝40,000/1.0400＝38,461.54份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即：投资者投资40,000元申购本基金的C类基金份额，假设申购当日C类基金份额净值为1.0400元，则其可得到38,461.54份C类基金份额。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3、赎回金额的计算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赎回金额为按实际确认的有效赎回份额乘以当日该类基金份额净值并扣除相应的费用，赎回金额单位为元，计算结果保留到小数点后两位，第三位四舍五入。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1）如果投资者在申购A类基金份额时选择交纳前端申购费用，则赎回金额的计算方法如下：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赎回费用=赎回份额×T日A类基金份额净值×赎回费率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赎回金额=赎回份额×T日A类基金份额净值-赎回费用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例四：某投资者赎回通过前端申购持有的10,000份A类基金份额，持有期限为30日，对应的赎回费率为0.5%，假设赎回当日A类基金份额净值是1.0160元，则其可得到的赎回金额为：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 = 10,000×1.0160×0.5% ＝ 50.80元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 = 10,000×1.0160-50.80 ＝ 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即：投资者赎回本基金10,000份A类基金份额，假设赎回当日A类基金份额净值是1.0160元，则其可得到的赎回金额为10,109.20元。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2）如果投资者在申购A类基金份额时选择交纳后端申购费用，则赎回金额的计算方法如下：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赎回总额＝赎回份额×T日A类基金份额净值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后端申购费用＝赎回份额×申购日A类基金份额净值×后端申购费率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赎回费用＝赎回总额×赎回费率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赎回金额＝赎回总额－后端申购费用－赎回费用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五：某投资者赎回通过后端申购持有的10,000份A类基金份额，持有期限为30日，对应的后端申购费率是1.8%，赎回费率为0.5%，假设赎回当日A类基金份额净值是1.0160元，申购时的A类基金份额净值为1.0100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赎回总额=10,000×1.0160=10,160元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后端申购费用=10,000×1.0100×1.8%=181.80元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赎回费用=10,160×0.5%=50.80元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赎回金额=10,160-181.80-50.80=9,927.40元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本基金10,000份A类基金份额，对应的赎回费率为0.5%，假设赎回当日A类基金份额净值是1.0160元，投资者对应的后端申购费率是1.8%，申购时的A类基金份额净值为1.0100元，则其可得到的赎回金额为9,927.40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（2）C类基金份额的赎回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投资者赎回C类基金份额，赎回金额的计算方法如下：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赎回费用=赎回份额×T日C类基金份额净值×赎回费率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赎回金额=赎回份额×T日C类基金份额净值—赎回费用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例六：某投资者赎回持有的10,000份C类基金份额，假设持有时间为20日，对应的赎回费率为0.5%，假设赎回当日C类基金份额净值是1.0160元，则其可得到的赎回金额为：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 = 10,000×1.0160×0.5% ＝ 50.80元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 = 10,000×1.0160-50.80 ＝ 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即：投资者赎回本基金10,000份C类基金份额，假设持有时间为20日，对应的赎回费率为0.5%，假设赎回当日C类基金份额净值是1.0160元，则其可得到的赎回金额为10,109.20元。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A类基金份额净值＝A类基金份额的基金资产净值总额/发行在外的A类基金份额总数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C类基金份额净值＝C类基金份额的基金资产净值总额/发行在外的C类基金份额总数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T日的基金份额净值在当天收市后计算，并在T＋1日公告。遇特殊情况，经中国证监会同意，可以适当延迟计算或公告。本基金A类基金份额和C类基金份额的份额净值的计算，均保留到小数点后4位，小数点后第5位四舍五入，由此产生的收益或损失由基金财产承担。</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（八）拒绝或暂停申购的情形及处理方式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发生下列情况时，基金管理人可拒绝或暂停接受基金投资者的申购申请：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1、因不可抗力导致基金无法正常运作；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2、证券/期货交易所交易时间非正常停市或港股通临时停市，导致基金管理人无法计算当日基金资产净值；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3、发生基金合同规定的暂停基金资产估值情况；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4、基金资产规模过大，使基金管理人无法找到合适的投资品种，或基金管理人认为会损害已有基金份额持有人利益的其他情形；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5、基金管理人认为会有损于现有基金份额持有人利益的某笔申购；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6、基金管理人接受某笔或者某些申购申请有可能导致单一投资者持有基金份额的比例超过50%，或者变相规避50%集中度的。出现上述情形时，基金管理人有权将上述申购申请全部或部分确认失败；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7、港股通交易每日额度不足。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暂停基金估值，并采取暂停接受基金申购申请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9、法律法规规定、中国证监会认定或基金合同约定的其他情形。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除第5、6项以外的暂停申购情形之一且基金管理人决定暂停接受投资人的申购申请时，基金管理人应当根据有关规定在规定媒介上刊登暂停申购公告。如果基金投资者的申购申请被拒绝，被拒绝的申购款项将退还给投资者。在暂停申购的情况消除时，基金管理人应及时恢复申购业务的办理。</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（九）暂停赎回或者延缓支付赎回款项的情形及处理方式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发生下列情形时，基金管理人可暂停接受基金投资者的赎回申请或延缓支付赎回款项：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1、因不可抗力导致基金管理人不能支付赎回款项；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2、证券/期货交易所交易时间非正常停市或港股通临时停市，导致基金管理人无法计算当日基金资产净值；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3、连续两个或两个以上开放日发生巨额赎回；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4、发生基金合同规定的暂停基金资产估值情况；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6、法律法规规定、中国证监会认定或基金合同约定的其他情形。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情形之一且基金管理人决定暂停接受投资人的赎回申请或延缓支付赎回款项时，基金管理人应及时报中国证监会备案，已成功确认的赎回申请，基金管理人应足额支付；如暂时不能足额支付，可延期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出现上述第3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（十）巨额赎回的情形及处理方式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1、巨额赎回的认定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2、巨额赎回的处理方式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（1）巨额赎回的场外处理方式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1）全额赎回：当基金管理人认为有能力支付基金投资者的赎回申请时，按正常赎回程序执行。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下一开放日的基金份额净值为基础计算赎回金额，并以此类推，直到全部赎回为止。如基金投资者在提交赎回申请时未作明确选择，投资者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（2）巨额赎回的场内处理方式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巨额赎回业务的场内处理，按照上海证券交易所及中国证券登记结算有限责任公司的有关规定办理。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当发生巨额赎回并延期赎回时，基金管理人应当通过邮寄、传真、刊登公告或者通知基金销售机构代为告知等方式在3个交易日内通知基金份额持有人，说明有关处理方法，并在2日内在规定媒介上刊登公告。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连续2日以上（含本数）发生巨额赎回，如基金管理人认为有必要，可暂停接受基金的赎回申请；已经确认成功的赎回申请可以延缓支付赎回款项，但不得超过20个工作日，并应当在规定媒介上进行公告。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（十一）暂停申购或赎回的公告和重新开放申购或赎回的公告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1、发生上述暂停申购或赎回情况的，基金管理人应在规定期限内在规定媒介上刊登暂停公告。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2、暂停结束，基金重新开放申购或赎回时，基金管理人应依照《信息披露管理办法》的有关规定，在规定媒介上刊登基金重新开放申购或赎回公告，并公告最近1个工作日各类基金份额的基金份额净值。</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（十二）转托管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本基金的份额采用分系统登记的原则。场外申购的基金份额登记在注册登记系统基金份额持有人开放式基金账户下；场内申购的基金份额登记在证券登记结算系统基金份额持有人上海证券账户下。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1、系统内转托管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系统内转托管是指基金份额持有人将持有的基金份额在注册登记系统内不同销售机构之间或证券登记结算系统内不同会员单位之间进行转登记的行为。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2、跨系统转托管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（1）跨系统转托管是指基金份额持有人将持有的基金份额在注册登记系统和证券登记结算系统之间进行转登记的行为。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（2）本基金跨系统转托管的具体业务按照中国证券登记结算有限责任公司的相关规定办理。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基金管理人、注册登记机构、办理转托管的销售机构因技术系统性能限制或其它合理原因，可以暂停该业务或者拒绝基金份额持有人的转托管申请。</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（十三）定期定额投资计划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9月7日刊登公告自2011年9月13日起开通A类基金份额的定期定额投资计划业务，本基金2022年2月23日刊登公告自2022年2月28日起开通C类基金份额的定期定额投资计划业务，具体开通销售机构名单和业务规则参见相关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（十四）定期定额赎回业务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中国农业银行股份有限公司申请办理本基金A类基金份额的定期定额赎回业务。定期定额赎回业务是指投资人可以委托中国农业银行股份有限公司每月固定时间从指定的基金账户代投资人赎回固定份额的基金。本基金2011年9月7日刊登公告自2011年9月13日起在中国农业银行股份有限公司下属各销售网点开通A类基金份额定期定额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通过中国农业银行股份有限公司办理本基金A类基金份额的定期定额赎回业务，相关流程和业务规则遵循中国农业银行股份有限公司的有关规定。详情请咨询当地中国农业银行股份有限公司的销售网点或中国农业银行股份有限公司客户服务热线（95599）。</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（十五）基金的非交易过户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指注册登记机构受理继承、捐赠、司法强制执行和经注册登记机构认可的其它情况而产生的非交易过户。无论在上述何种情况下，接受划转的主体必须是依法可以持有本基金基金份额的投资者。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（十六）基金份额的冻结和解冻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（十七）实施侧袋机制期间本基金的申购与赎回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本基金实施侧袋机制的，本基金的申购和赎回安排详见招募说明书“侧袋机制”部分的规定或相关公告。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（十八）其他业务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209535107"/>
      <w:r>
        <w:rPr>
          <w:rFonts w:ascii="Times New Roman" w:hAnsi="Times New Roman"/>
          <w:sz w:val="30"/>
        </w:rPr>
        <w:t>九、基金的转换</w:t>
      </w:r>
      <w:bookmarkEnd w:id="11"/>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基金转换是指开放式基金份额持有人将其持有某只基金的部分或全部份额转换为</w:t>
      </w:r>
      <w:r>
        <w:rPr>
          <w:rFonts w:hint="eastAsia" w:ascii="宋体" w:hAnsi="宋体"/>
          <w:sz w:val="24"/>
        </w:rPr>
        <w:t>该基金其他份额（如有）或</w:t>
      </w:r>
      <w:r>
        <w:rPr>
          <w:rFonts w:ascii="宋体" w:hAnsi="宋体"/>
          <w:sz w:val="24"/>
        </w:rPr>
        <w:t>同一基金管理人管理的另一只开放式基金份额。基金转换只能在同一销售机构进行。</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（二）转换业务办理时间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本基金2011年9月7日刊登公告自2011年9月13日起开放A类基金份额的日常转换业务，本基金2022年2月23日刊登公告自2022年2月28日起开放C类基金份额的日常转换业务。</w:t>
      </w:r>
      <w:r>
        <w:rPr>
          <w:rFonts w:hint="eastAsia" w:ascii="宋体" w:hAnsi="宋体"/>
          <w:sz w:val="24"/>
        </w:rPr>
        <w:t>本基金2025年10月23日刊登公告自2025年10月23日起开放开通同一基金不同类别基金份额转换业务。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本基金转换业务具体开通销售机构名单参见相关公告。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（三）基金转换的程序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1、申请方式：书面申请或销售机构公布的其他方式。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2、基金转换申请的确认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3、基金转换的注册登记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（四）基金转换的数额限制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（五）基金转换费用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2、转出基金的赎回费用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转出基金的赎回费用及归入基金财产的比例按照各基金最新的更新招募说明书及相关公告规定的赎回费率和计费方式收取。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3、前端收费模式下转出与转入基金的申购补差费用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4、后端收费模式下转出与转入基金的申购补差费用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5、网上直销的申购补差费率优惠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6、基金管理人可以根据法律法规及基金合同的规定对上述收费方式和费率进行调整，并应于调整后的收费方式和费率在实施前依照《信息披露办法》的有关规定在中国证监会规定媒介上公告。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（六）基金转换份额的计算公式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1、前端收费模式下基金转换份额的计算公式及举例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转出确认金额=转出的基金份额×转换申请当日转出基金的基金份额净值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转出基金的赎回费=转出确认金额×对应的转出基金的赎回费率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转入确认金额=转出确认金额-转出基金的赎回费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（注：若转出基金申购费率不低于转入基金申购费率，转出与转入基金的申购补差费为零）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对于涉及固定费用的，转出与转入基金的申购补差费＝MAX（0，转出基金和转入基金申购费用之差）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其中：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转出确认金额=100,000×1.0100=101,000元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转出基金的赎回费=101,000×0.5%=505元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转入确认金额=101,000-505=100,495元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转出与转入基金的申购补差费=100,495×0/（1+0）=0元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转入基金确认份额=（100,495-0）/2.2700=44,270.93份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转出确认金额=1,000,000×1.0200=1,020,000元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转出基金的赎回费=1,020,000×0.05%=510元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转入确认金额=1,020,000-510=1,019,490元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转出与转入基金的申购补差费=1,019,490×0.5%/（1+0.5%）=5,072.09元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转入基金确认份额=（1,019,490-5,072.09）/1.0100=1,004,374.17份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转出与转入基金的申购补差费=125,000×1.5%/（1+1.5%）=1,847.29元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转入基金确认份额=（125,000-1,847.29）/2.2700=54,252.30份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转入确认金额=100,000-0=100,000元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转出与转入基金的申购补差费=100,000×0.8%/（1+0.8%）=793.65元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转入基金确认份额=（100,000-793.65+61.52）/1.2700=78,163.68份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2、后端收费模式下基金转换份额的计算公式及举例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转出确认金额=转出的基金份额×转换申请当日转出基金的基金份额净值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转出基金的赎回费=转出确认金额×对应的转出基金的赎回费率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转入确认金额=转出确认金额-转出基金的赎回费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转出与转入基金的申购补差费=转入确认金额×对应的转出与转入基金的申购补差费率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其中：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转出基金的赎回费=125,000×0.2%=250元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转入确认金额=125,000-250=124,750元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转出与转入基金的申购补差费=124,750×0=0元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转入基金确认份额=（124,750-0）/2.2700=54,955.95份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转出基金的赎回费=125,000×0.2%=250元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转入确认金额=125,000-250=124,750元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转出与转入基金的申购补差费=124,750×1.2%=1,497元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转入基金确认份额=（124,750-1,497）/1.00=123,253.00份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转出确认金额=100,000×0.8500=85,000元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转出基金的赎回费=85,000×0=0元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转入确认金额=85,000-0=85,000元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转出与转入基金的申购补差费=85,000×0.2%=170元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转入基金确认份额=（85,000-170）/1.0500=80,790.48份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转入确认金额=100,000-0=100,000元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转入基金确认份额=（100,000-0+61.52）/1.2700=78,788.60份</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（八）暂停基金转换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前一工作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209535108"/>
      <w:r>
        <w:rPr>
          <w:rFonts w:ascii="Times New Roman" w:hAnsi="Times New Roman"/>
          <w:sz w:val="30"/>
        </w:rPr>
        <w:t>十、基金的投资</w:t>
      </w:r>
      <w:bookmarkEnd w:id="12"/>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 投资理念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中国传统工业已经发展到一定程度，未来经济发展的动力源自新兴产业和装备升级。在“中国制造”向“中国智造”的战略升级过程中，本基金可以通过专业研究挖掘相关行业的投资机会。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本基金通过重点投资于与先进制造主题相关的优质企业，把握中国产业结构升级的投资机会，在控制风险并保持基金资产良好的流动性的前提下，力争实现基金资产的长期稳定增值。</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国内依法发行上市的股票（含创业板、科创板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的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如法律法规或监管机构以后允许本基金投资其他品种，基金管理人在履行适当程序后，可以将其纳入投资范围。</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（四）投资对象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比例为：股票资产（含存托凭证）占基金资产的50%-95%（其中投资于港股通标的股票的比例占股票资产的0%-50%），投资于先进制造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沪深300指数收益率×55%+恒生指数收益率×5%+中证综合债券指数收益率×40%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介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恒生指数是由恒生指数服务有限公司编制，以香港股票市场中的50家上市股票为成份股样本，以其发行量为权数的加权平均股价指数，是反映香港股市价幅趋势最有影响的一种股价指数。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上述基准指数停止计算编制或更改名称，或者市场推出更符合本基金投资目标和风险收益特征的指数，又或者今后法律法规发生变化，则本基金将视情况按照监管部门要求履行相关程序后调整本基金的业绩比较基准并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本基金充分发挥基金管理人的研究优势，将严谨、规范化的选股方法与积极主动的投资风格相结合，自下而上挖掘与先进制造主题相关的上市公司投资机会，以谋求良好收益。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1、资产配置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通过“自上而下”的定性分析和定量分析相结合形成对不同资产市场表现的预测和判断，确定基金资产在沪深A股、港股、债券及货币市场工具等各类别资产间的分配比例，并随着各类证券风险收益特征的相对变化，动态调整组合中各类资产的比例，以规避或控制市场风险，提高基金收益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2、股票投资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（1）先进制造主题的范畴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本基金将“先进制造”主题聚焦于以下两方面：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是聚焦满足国家战略需求的先进制造业：考虑到中国所处的发展阶段和制造行业转型升级过程中的实际情况，基金管理人将在充分结合中国的实际国情的基础上，重点配置符合国家战略需求的先进制造业领域，例如核心基础零部件、先进基础工艺、关键基础材料等制造业基础产业领域，也包括根据战略性新兴产业的特征，持续跟踪国家相关政策，深度挖掘如与新一代信息技术、高端装备、新材料相关的制造业新兴产业领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是聚焦制造行业生产过程智能化、自动化和制造领域的互联网化，包括具备深度感知、智慧决策、自动执行功能的高档数控机床、工业机器人、增材制造装备、农机装备等智能制造装备以及智能化生产线，同时包括基于互联网的个性化定制、众包设计、云制造等新型制造模式和基于消费需求动态感知的研发、制造和产业组织方式所产生的制造应用领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未来如果随着先进制造范畴的变化及发展、政策或市场环境变化导致本基金对先进制造界定范围发生变动，本基金在履行适当程序后可调整上述界定标准。本基金由于上述原因调整界定范围应及时告知基金托管人，并在更新的招募说明书中进行公告。若因本基金界定先进制造主题的方法调整或者上市公司经营发生变化等原因导致本基金持有的先进制造主题相关证券的比例低于非现金基金资产的80%，本基金将在十个交易日之内进行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（2）股票选择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本基金综合运用交银施罗德股票研究分析方法和其它投资分析工具，充分发挥研究团队“自下而上”的主动选股能力，精选具有投资潜力的股票构建投资组合。具体分以下两个层次进行股票挑选：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1）品质筛选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筛选出在公司治理、财务及管理品质上符合基本品质要求的上市公司，构建备选股票池。主要筛选指标包括：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盈利能力指标：如市盈率（P/E）、市现率（P/Cash Flow）、股价与每股自由现金流比率（P/FCF）、市销率（P/S）、股价与每股息税前利润比率（P/EBIT）等；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经营效率指标：如净资产收益率（ROE）、资产收益率（ROA）、经营资产回报率（Return on operating assets）等；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财务状况指标：如资产负债率（D/A）、流动比率等。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2）价值评估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在公司备选股票池基础上，本基金将进一步通过对备选上市公司详实的案头分析和深入的实地调研，以定性与定量相结合的方法对公司价值进行综合评估，构建本基金风格池。具体从三方面进行系统分析：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行业分析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该部分主要通过对公司所处行业的基本面、主题投资机会、行业整合机会、行业市场表现以及行业的估值情况进行综合考察，把握影响公司所在行业的发展前景和整体投资机会。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公司质量评价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本基金对公司质量的评价主要包括企业财务状况、企业的成长动力以及公司治理、管理层评价等方面。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首先，通过深入的财务分析对公司状况及经营能力进行细致考察，探究企业竞争优势和经营绩效间的内在模式，寻找财务状况良好、信用评价高的企业，并为后续的估值判断提供基础（具体指标包括公司ROE和调整后ROE，ROE历史变化率和ROE预测变化率，营业利润/税前利润；利息保障倍数，经营现金流/净利润，折旧/资本支出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其次，本基金通过企业的全球化动力、产业结构优化动力、经济增长方式转变动力、区域协调发展动力和制度变革动力等多个角度的分析，进一步考察企业的可持续增长能力。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此外，本基金在考察上市公司是否具有持续投资价值的重要方面，特别注重公司治理和管理层评价，通过研究员与公司的直接接触和实地调研加强对公司的深入了解，从而确定公司是否有意愿持续为股东创造价值，董事会和管理层是否有良好的战略执行能力等。其中公司治理主要从公司的信息披露、重要股东状况、激励约束机制等方面进行综合考察。管理层评价则注重管理层素质、战略思维、执行能力、过往经营业绩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估值水平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最后，本基金根据对个股价值的评估和市场机会的判断构建股票组合。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（3）存托凭证的投资策略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本基金投资存托凭证的策略依照境内上市交易的股票投资策略执行。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（4）港股通标的股票投资策略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本基金可通过内地与香港股票市场交易互联互通机制投资于香港股票市场。本基金优先将基本面健康、业绩向上弹性较大、具有估值优势的港股纳入本基金的股票投资组合。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本基金可根据投资策略需要或不同配置地市场环境的变化，选择将部分基金资产投资于港股或选择不将基金资产投资于港股，基金资产并非必然投资港股。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3、债券投资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4、可转换债券与可交换公司债券投资策略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5、资产支持证券投资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6、股指期货投资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（七）投资组合限制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本基金的投资组合应遵循以下限制：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（1）股票资产（含存托凭证）占基金资产的50%-95%（其中投资于港股通标的股票的比例占股票资产的0%-50%），投资于先进制造主题相关证券的比例不低于非现金基金资产的80%；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（3）本基金持有一家公司发行的证券（同一家公司在内地和香港同时上市的A+H股合计计算），其市值不超过基金资产净值的10%；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（8）本基金投资于同一原始权益人的各类资产支持证券的比例，不得超过基金资产净值的10%；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（15）当本基金投资股指期货时，则：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1）本基金在任何交易日日终，持有的买入股指期货合约价值，不得超过基金资产净值的10%；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3）本基金在任何交易日日终，持有的卖出股指期货合约价值不得超过基金持有的股票总市值的20%；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（16）本基金的基金资产总值不得超过基金资产净值的140%；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（17）本基金投资存托凭证的比例限制依照境内上市交易的股票执行；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第（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6个月内使基金的投资组合比例符合基金合同的约定。在上述期间内，本基金的投资范围、投资策略应当符合基金合同的约定。基金托管人对基金的投资的监督与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法律法规对上述投资组合比例限制进行变更的，以变更后的规定为准。法律法规或监管部门取消上述限制，如适用于本基金，则本基金投资不再受相关限制。</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（八）禁止行为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为维护基金份额持有人的合法权益，基金财产不得用于下列投资或者活动：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1、承销证券；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2、违反规定向他人贷款或者提供担保；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3、从事承担无限责任的投资；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4、买卖其他基金份额，但是中国证监会另有规定的除外；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5、向其基金管理人、基金托管人出资；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6、从事内幕交易、操纵证券交易价格及其他不正当的证券交易活动；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7、法律、行政法规和中国证监会规定禁止的其他活动。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若法律、行政法规或监管部门取消上述禁止性规定，如适用于本基金，基金管理人在履行适当程序后，本基金投资可不受上述规定限制。</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（九）</w:t>
      </w:r>
      <w:r>
        <w:rPr>
          <w:rFonts w:hint="eastAsia" w:ascii="宋体" w:hAnsi="宋体"/>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本基金是一只混合型基金，其预期风险和预期收益高于债券型基金和货币市场基金，低于股票型基金。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本基金可投资港股通标的股票，会面临港股通机制下因投资环境、投资标的、市场制度以及交易规则等差异带来的特有风险。</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（十一）基金管理人代表基金行使股东及债权人权利的处理原则及方法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1、基金管理人按照国家有关规定代表基金独立行使股东和债权人权利，保护基金份额持有人的利益；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2、不谋求对上市公司的控股，不参与所投资上市公司的经营管理；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3、有利于基金财产的安全与增值；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4、不通过关联交易为自身、雇员、授权代理人或任何存在利害关系的第三人牟取任何不当利益。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（十二）侧袋机制的实施和投资运作安排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侧袋账户的实施条件、实施程序、运作安排、投资安排、特定资产的处置变现和支付等对投资者权益有重大影响的事项详见招募说明书“侧袋机制”部分的规定。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（十三）基金投资组合报告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本基金托管人中国农业银行根据本基金合同规定，于2025年04月18日复核了本报告中的财务指标、净值表现和投资组合报告等内容，保证复核内容不存在虚假记载、误导性陈述或者重大遗漏。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本报告期为2025年01月01日起至03月31日止。本报告财务资料未经审计师审计。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1、报告期末基金资产组合情况</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3,820,918,991.80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85.53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3,820,918,991.80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85.53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171,227,901.38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171,227,901.38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433,364,631.56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9.70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41,889,725.25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0.94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4,467,401,249.99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注：本基金本报告期末通过港股通机制投资香港股票的公允价值为840,107,254.67元，占基金资产净值比例为19.19%。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2、报告期末按行业分类的股票投资组合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 报告期末按行业分类的境内股票投资组合</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42,862,246.00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0.98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2,905,340,140.53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66.38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19,670,406.40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12,914,036.34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24,907.86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2,980,811,737.13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68.10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 报告期末按行业分类的港股通投资股票投资组合</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通信服务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287,749,720.81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6.57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工业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284,733,474.86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6.51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可选消费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134,571,975.44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信息技术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90,458,851.17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医药卫生</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42,591,851.02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0.97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1,381.37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840,107,254.67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19.19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注：本报告采用中证CICS一级分类标准编制。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3、期末按公允价值占基金资产净值比例大小排序的股票投资明细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 报告期末按公允价值占基金资产净值比例大小排序的前十名股票投资明细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600562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国睿科技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20,525,704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417,903,333.44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9.55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605117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德业股份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3,553,607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325,012,896.22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7.43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洪都航空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8,018,005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279,587,834.35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6.39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688639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华恒生物</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8,150,350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240,761,339.00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5.50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中国动力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10,427,564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227,112,343.92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03808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中国重汽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10,863,309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211,527,235.08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4.83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睿创微纳</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3,212,302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196,239,529.18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01385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上海复旦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3,944,600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90,458,851.17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688385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复旦微电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1,915,173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87,159,523.23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铂科新材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3,689,573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169,937,681.76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潍柴动力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6,545,520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107,411,983.20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02338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潍柴动力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1,909,000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28,856,358.86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0.66</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4、报告期末按债券品种分类的债券投资组合</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171,227,901.38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171,227,901.38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171,227,901.38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3.91</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5、报告期末按公允价值占基金资产净值比例大小排序的前五名债券投资明细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240431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24农发31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130,881,720.55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240306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24进出06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20,263,243.84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240314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24进出14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20,082,936.99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0.46</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6、报告期末按公允价值占基金资产净值比例大小排序的前十名资产支持证券投资明细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7、报告期末按公允价值占基金资产净值比例大小排序的前五名贵金属投资明细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8、报告期末按公允价值占基金资产净值比例大小排序的前五名权证投资明细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9、报告期末本基金投资的股指期货交易情况说明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 报告期末本基金投资的股指期货持仓和损益明细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 本基金投资股指期货的投资政策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10、报告期末本基金投资的国债期货交易情况说明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 本期国债期货投资政策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 报告期末本基金投资的国债期货持仓和损益明细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 本期国债期货投资评价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11、投资组合报告附注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11.2 基金投资的前十名股票是否超出基金合同规定的备选股票库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基金投资的前十名股票中，没有超出基金合同规定的备选股票库之外的股票。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11.3 其他资产构成</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2,191,313.51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36,906,852.81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2,791,558.93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41,889,725.25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11.4 报告期末持有的处于转股期的可转换债券明细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11.5 报告期末前十名股票中存在流通受限情况的说明</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铂科新材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49,439,809.86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11.6 投资组合报告附注的其他文字描述部分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209535109"/>
      <w:r>
        <w:rPr>
          <w:rFonts w:ascii="Times New Roman" w:hAnsi="Times New Roman"/>
          <w:sz w:val="30"/>
        </w:rPr>
        <w:t>十一、基金的业绩</w:t>
      </w:r>
      <w:bookmarkEnd w:id="1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基金业绩截止日为2025年03月31日，所载财务数据未经审计师审计。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1、基金份额净值增长率及其与同期业绩比较基准收益率的比较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（1）交银先进制造混合A</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37.48%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38.24%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75.57%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57.94%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0.68%</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23.09%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36.92%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19.97%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-12.87%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46.73%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53.95%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28.79%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33.76%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2011年度（自基金合同生效日起至2011年12月31日）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（2）交银先进制造混合C</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2022年度（2022年1月25日至2022年12月31日））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0.56%</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1、本基金业绩比较基准自2015年10月1日起，由“75%×申银万国装备制造指数收益率+25%×中信标普全债指数收益率”变更为“75%×申银万国装备制造指数收益率+25%×中证综合债券指数收益率”。详情见本基金管理人于2015年9月28日发布的《交银施罗德基金管理有限公司关于旗下部分基金业绩比较基准变更并修改基金合同相关内容的公告》。 　2、本基金业绩比较基准自2018年3月21日起，由“75%×申银万国装备制造指数收益率+25%×中证综合债券指数收益率”变更为“60%×沪深300指数收益率+40%×中证综合债券指数收益率”。详情见本基金管理人于2018年3月21日发布的《交银施罗德基金管理有限公司关于交银施罗德先进制造混合型证券投资基金基金份额持有人大会表决结果暨决议生效的公告》。 　3、本基金业绩比较基准自2022年1月24日起，由“60%×沪深300指数收益率+40%×中证综合债券指数收益率”变更为“沪深300指数收益率×55%+恒生指数收益率×5%+中证综合债券指数收益率×40%”。详情见本基金管理人于2022年1月24日发布的《交银施罗德基金管理有限公司关于交银施罗德先进制造混合型证券投资基金基金份额持有人大会（二次召开）表决结果暨决议生效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交银施罗德先进制造混合型证券投资基金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份额累计净值增长率与业绩比较基准收益率的历史走势对比图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（2011年6月22日至2025年03月31日）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（1）交银先进制造混合A</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drawing>
          <wp:inline distT="0" distB="0" distL="114300" distR="114300">
            <wp:extent cx="5581650" cy="3409950"/>
            <wp:effectExtent l="0" t="0" r="11430" b="3810"/>
            <wp:docPr id="5"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21256610242020828"/>
                    <pic:cNvPicPr>
                      <a:picLocks noChangeAspect="1"/>
                    </pic:cNvPicPr>
                  </pic:nvPicPr>
                  <pic:blipFill>
                    <a:blip r:embed="rId13"/>
                    <a:stretch>
                      <a:fillRect/>
                    </a:stretch>
                  </pic:blipFill>
                  <pic:spPr>
                    <a:xfrm>
                      <a:off x="0" y="0"/>
                      <a:ext cx="5581650" cy="340995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（2）交银先进制造混合C</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drawing>
          <wp:inline distT="0" distB="0" distL="114300" distR="114300">
            <wp:extent cx="5581650" cy="3409950"/>
            <wp:effectExtent l="0" t="0" r="11430" b="3810"/>
            <wp:docPr id="6"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521256610242020828"/>
                    <pic:cNvPicPr>
                      <a:picLocks noChangeAspect="1"/>
                    </pic:cNvPicPr>
                  </pic:nvPicPr>
                  <pic:blipFill>
                    <a:blip r:embed="rId14"/>
                    <a:stretch>
                      <a:fillRect/>
                    </a:stretch>
                  </pic:blipFill>
                  <pic:spPr>
                    <a:xfrm>
                      <a:off x="0" y="0"/>
                      <a:ext cx="5581650" cy="340995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2、本基金自2022年1月24日起，开始销售C类份额，投资者提交的申购申请于2022年1月25日被确认并将有效份额登记在册。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209535110"/>
      <w:r>
        <w:rPr>
          <w:rFonts w:ascii="Times New Roman" w:hAnsi="Times New Roman"/>
          <w:sz w:val="30"/>
        </w:rPr>
        <w:t>十二、基金的财产</w:t>
      </w:r>
      <w:bookmarkEnd w:id="14"/>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（一）基金资产总值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基金资产总值是指基金拥有的各类有价证券、股指期货合约、银行存款本息、基金应收款项以及其他资产的价值总和。</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基金资产净值是指基金资产总值减去基金负债后的金额。</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（三）基金财产的账户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财产以基金名义开立银行存款账户，以基金托管人的名义开立证券交易清算资金的结算备付金账户，以基金托管人和本基金联名的方式开立基金证券账户，以本基金的名义开立银行间债券托管账户，基金托管人协助开立股指期货业务相关账户及交易编码。开立的基金专用账户与基金管理人、基金托管人、基金销售机构和注册登记机构自有的财产账户以及其他基金财产账户相独立。</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（四）基金财产的处分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独立于基金管理人、基金托管人和基金销售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基金财产的债权，不得与基金管理人、基金托管人固有财产的债务相抵销；不同基金财产的债权债务，不得相互抵销。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209535111"/>
      <w:r>
        <w:rPr>
          <w:rFonts w:ascii="Times New Roman" w:hAnsi="Times New Roman"/>
          <w:sz w:val="30"/>
        </w:rPr>
        <w:t>十三、基金资产的估值</w:t>
      </w:r>
      <w:bookmarkEnd w:id="15"/>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（一）估值目的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基金资产的估值目的是客观、准确地反映基金资产是否保值、增值，并为基金份额提供计价依据。</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（二）估值日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本基金的估值日为相关的证券/期货交易场所的正常交易日，以及国家法律法规规定需要对外披露基金净值的非交易日。</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（三）估值对象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基金所拥有的股票、债券、衍生工具和其它投资等持续以公允价值计量的金融资产及负债。</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（四）估值原则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基金管理人在确定相关金融资产和金融负债的公允价值时，应符合《企业会计准则》、监管部门有关规定。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1、证券交易所上市的有价证券的估值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（2）交易所上市交易或挂牌转让的固定收益品种（另有规定的除外），选取估值日第三方估值机构提供的相应品种当日的估值净价进行估值；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（4）交易所上市实行全价交易的债券（可转债除外），选取第三方估值机构提供的估值全价减去估值全价中所含的债券（税后）应收利息得到的净价进行估值；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（5）交易所上市不存在活跃市场的有价证券，采用估值技术确定公允价值。交易所市场挂牌转让的资产支持证券，采用估值技术确定公允价值；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2、处于未上市期间的有价证券应区分如下情况处理：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（2）首次公开发行未上市的股票和债券，采用估值技术确定公允价值，在估值技术难以可靠计量公允价值的情况下，按成本估值；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5、同一证券同时在两个或两个以上市场交易的，按证券所处的市场分别估值。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估值计算中涉及港币对人民币汇率的，将依据下列信息提供机构所提供的汇率为基准：当日中国人民银行或其授权机构公布的人民币汇率中间价。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6、当发生大额申购或赎回情形时，基金管理人可以采用摆动定价机制，以确保基金估值的公平性。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7、本基金投资存托凭证的估值核算依照境内上市交易的股票执行。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8、如有确凿证据表明按上述方法进行估值不能客观反映其公允价值的，基金管理人可根据具体情况与基金托管人商定后，按最能反映公允价值的价格估值。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9、相关法律法规以及监管部门有强制规定的，从其规定。如有新增事项，按国家最新规定估值。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（六）估值程序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基金管理人于每个工作日计算基金资产净值及基金份额净值，并按规定公告。如遇特殊情况，经履行适当程序，可以适当延迟计算或公告。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（七）估值错误的处理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基金合同的当事人应按照以下约定处理：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1、估值错误类型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2、估值错误处理原则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（4）估值错误调整采用尽量恢复至假设未发生估值错误的正确情形的方式。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（5）按法律法规规定的其他原则处理估值错误。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3、估值错误处理程序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估值错误被发现后，有关的当事人应当及时进行处理，处理的程序如下：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（1）查明估值错误发生的原因，列明所有的当事人，并根据估值错误发生的原因确定估值错误的责任方；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（2）根据估值错误处理原则或当事人协商的方法对因估值错误造成的损失进行评估；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（3）根据估值错误处理原则或当事人协商的方法由估值错误的责任方进行更正和赔偿损失；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4、基金份额净值估值错误处理的方法如下：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（3）前述内容如法律法规或监管机关另有规定的，从其规定处理。</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（八）暂停估值的情形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1、基金投资所涉及的证券、期货交易市场遇法定节假日或因其他原因暂停营业时；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2、因不可抗力致使基金管理人、基金托管人无法准确评估基金资产价值时；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4、法律法规、中国证监会和基金合同认定的其它情形。</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（九）基金净值的确认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Pr>
          <w:rFonts w:hint="eastAsia" w:ascii="宋体" w:hAnsi="宋体"/>
          <w:b/>
          <w:kern w:val="0"/>
          <w:sz w:val="24"/>
        </w:rPr>
        <w:t>（十）特殊情形的处理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1、基金管理人或基金托管人按估值方法的第8项进行估值时，所造成的误差不作为基金资产估值错误处理。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（十一）实施侧袋机制期间的基金资产估值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209535112"/>
      <w:r>
        <w:rPr>
          <w:rFonts w:ascii="Times New Roman" w:hAnsi="Times New Roman"/>
          <w:sz w:val="30"/>
        </w:rPr>
        <w:t>十四、基金的收益与分配</w:t>
      </w:r>
      <w:bookmarkEnd w:id="16"/>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（一）基金利润的构成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（二）基金可供分配利润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基金可供分配利润指截至收益分配基准日基金未分配利润与未分配利润中已实现收益的孰低数。</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（三）基金收益分配原则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本基金收益分配应遵循下列原则：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1、由于本基金A类基金份额不收取销售服务费，C类基金份额收取销售服务费，各基金份额类别对应的可供分配利润将有所不同；本基金同一基金份额类别的每一基金份额享有同等分配权；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3、基金收益分配后任一类基金份额净值不能低于面值；即基金收益分配基准日的任一类基金份额净值减去每单位该类基金份额收益分配金额后不能低于面值；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收益分配方式分为两种：现金分红与红利再投资，基金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5、法律法规或监管机构另有规定的从其规定。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（四）收益分配方案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基金收益分配方案中应载明基金收益分配基准日可供分配利润、基金收益分配对象、分配时间、分配数额及比例、分配方式等内容。</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（五）收益分配方案的确定、公告与实施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1、本基金收益分配方案由基金管理人拟定、由基金托管人核实后确定，依照《信息披露办法》的有关规定在规定媒介公告。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划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3、法律法规或监管机关另有规定的，从其规定。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（六）收益分配中发生的费用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注册登记机构可将基金份额持有人的现金红利自动转为相应类别的基金份额。红利再投资的计算方法，依照《业务规则》执行。</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（七）收益分配方式的修改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投资者可至销售机构办理收益分配方式的修改，投资者对不同的交易账户可设置不同的收益分配方式。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投资者同一日多次申报分红方式变更的，按照《业务规则》执行，最终确认的分红方式以基金注册登记机构记录为准。</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（八）实施侧袋机制期间的收益分配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本基金实施侧袋机制的，侧袋账户不进行收益分配。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209535113"/>
      <w:r>
        <w:rPr>
          <w:rFonts w:ascii="Times New Roman" w:hAnsi="Times New Roman"/>
          <w:sz w:val="30"/>
        </w:rPr>
        <w:t>十五、基金的费用与税收</w:t>
      </w:r>
      <w:bookmarkEnd w:id="17"/>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（一）基金费用的种类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3、基金合同生效后的信息披露费用；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4、基金份额持有人大会费用；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5、基金合同生效后与基金有关的会计师费、律师费、仲裁费和诉讼费；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6、基金的证券/期货交易费用；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7、基金财产拨划支付的银行费用；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8、基金财产投资运营过程中的增值税；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9、基金的开户费用、账户维护费用；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10、因投资港股通标的股票而产生的各项合理费用；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11、本基金从C类基金份额的基金财产中计提的销售服务费；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12、按照国家有关规定和基金合同约定可以在基金财产中列支的其他费用。</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（二）基金费用计提方法、计提标准和支付方式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1、与基金运作有关的费用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在通常情况下，基金管理费按前一日基金资产净值的1.2%年费率计提。计算方法如下：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H＝E×年管理费率÷当年天数，本基金年管理费率为1.2%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在通常情况下，基金托管费按前一日基金资产净值的0.2%年费率计提。计算方法如下：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H＝E×年托管费率÷当年天数，本基金年托管费率为0.2%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（3）C类基金份额的销售服务费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本基金A类基金份额不收取销售服务费，C类基金份额的销售服务费按前一日C类基金资产净值的0.4%年费率计提。计算方法如下：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H＝E×0.4%÷当年天数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H为C类基金份额每日应计提的销售服务费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E为C类基金份额前一日基金资产净值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销售服务费每日计提，按月支付。由基金管理人向基金托管人发送销售服务费划付指令，经基金托管人复核后于次月首日起3个工作日内从基金财产中一次性支付给基金管理人，由基金管理人代付给销售机构。若遇法定节假日、休息日或不可抗力致使无法按时支付的，顺延至最近可支付日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C类基金份额的销售服务费将专门用于本基金的市场推广、销售与基金份额持有人服务。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（4）上述“（一）基金费用的种类”中3到10项、第12项费用由基金托管人根据其他有关法律法规及相应协议的规定，按费用支出金额支付，列入或摊入当期基金费用。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2、与基金销售有关的费用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本基金赎回费的费率水平、计算公式和收取方式详见“基金份额的申购与赎回”一章。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（3）转换费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本基金转换费的费率水平、计算公式和收取方式详见“基金的转换”一章。</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（三）不列入基金费用的项目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（四）实施侧袋机制期间的基金费用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本基金实施侧袋机制的，与侧袋账户有关的费用可以从侧袋账户中列支，但应待侧袋账户资产变现后方可列支，有关费用可酌情收取或减免，但不得收取管理费，详见招募说明书“侧袋机制”部分的规定。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（五）基金税收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基金和基金份额持有人根据国家法律法规的规定，履行纳税义务。基金需缴纳的增值税，以基金管理人为纳税人，按照税务机关的要求进行核算，从基金财产中支付。</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209535114"/>
      <w:r>
        <w:rPr>
          <w:rFonts w:ascii="Times New Roman" w:hAnsi="Times New Roman"/>
          <w:sz w:val="30"/>
        </w:rPr>
        <w:t>十六、基金的会计与审计</w:t>
      </w:r>
      <w:bookmarkEnd w:id="18"/>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（一）基金会计政策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1、基金管理人为本基金的会计责任方；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2、本基金的会计年度为公历每年的1月1日至12月31日；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3、本基金的会计核算以人民币为记账本位币，以人民币元为记账单位；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4、会计制度执行国家有关的会计制度；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5、本基金独立建账、独立核算；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6、基金管理人及基金托管人分别保留完整的会计账目、凭证并进行日常的会计核算，按照有关规定编制基金会计报表；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7、基金托管人定期与基金管理人就基金的会计核算、报表编制等进行核对并书面确认。</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（二）基金的审计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1、基金管理人聘请符合《中华人民共和国证券法》规定的会计师事务所及其注册会计师对本基金年度财务报表及其他规定事项进行审计。会计师事务所及其注册会计师与基金管理人、基金托管人相互独立。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2、会计师事务所更换经办注册会计师时，应事先征得基金管理人同意。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3、基金管理人认为有充足理由更换会计师事务所，须通报基金托管人。更换会计师事务所需按照《信息披露办法》的有关规定在规定媒介公告。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209535115"/>
      <w:r>
        <w:rPr>
          <w:rFonts w:ascii="Times New Roman" w:hAnsi="Times New Roman"/>
          <w:sz w:val="30"/>
        </w:rPr>
        <w:t>十七、基金的信息披露</w:t>
      </w:r>
      <w:bookmarkEnd w:id="1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（一）本基金的信息披露应符合《基金法》、《运作办法》、《信息披露办法》、《流动性规定》、基金合同及其他有关规定。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（二）信息披露义务人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（三）本基金信息披露义务人在承诺公开披露的基金信息时，不得有下列行为：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2、对证券投资业绩进行预测；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4、诋毁其他基金管理人、基金托管人或者基金销售机构；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5、登载任何自然人、法人和非法人组织的祝贺性、恭维性或推荐性的文字；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本基金公开披露的信息采用阿拉伯数字；除特别说明外，货币单位为人民币元。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（五）公开披露的基金信息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公开披露的基金信息包括：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1、招募说明书、基金合同、托管协议、基金产品资料概要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基金经中国证监会准予变更注册后，基金管理人根据《信息披露办法》的规定将招募说明书、基金合同登载在规定网站上；基金管理人、基金托管人应当将基金合同、托管协议登载在网站上。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《基金合同》生效后，在开始办理基金份额申购或者赎回前，基金管理人应当至少每周在规定网站分别披露一次A类基金份额和C类基金份额所对应的基金份额净值和基金份额累计净值。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开始办理基金份额申购或者赎回后，基金管理人应当在不晚于每个开放日的次日，通过规定网站、销售机构网站或者营业网点分别披露开放日的A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基金管理人应当在不晚于半年度和年度最后一日的次日，在规定网站披露半年度和年度最后一日A类基金份额和C类基金份额所对应的基金份额净值和基金份额累计净值。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4、基金定期报告，包括基金年度报告、基金中期报告和基金季度报告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5、临时报告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本基金发生重大事件，有关信息披露义务人应当在2日内编制临时报告书，并登载在规定报刊和规定网站上。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（1）基金份额持有人大会的召开及决定的事项；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（2）《基金合同》终止、基金清算；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（3）转换基金运作方式、基金合并；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（4）更换基金管理人、基金托管人、基金份额登记机构，基金改聘会计师事务所；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（6）基金管理人、基金托管人的法定名称、住所发生变更；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（8）基金募集期延长或提前结束募集；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（11）涉及基金财产、基金管理业务、基金托管业务的诉讼或仲裁；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（14）基金收益分配事项；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（15）管理费、托管费、销售服务费、申购费、赎回费等费用计提标准、计提方式和费率发生变更；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（16）任一类基金份额净值计价错误达该类基金份额净值百分之零点五；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（17）本基金开始办理申购、赎回；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（18）本基金发生巨额赎回并延期办理；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（19）本基金连续发生巨额赎回并暂停接受赎回申请或延缓支付赎回款项；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（20）本基金暂停接受申购、赎回申请或重新接受申购、赎回申请；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（21）本基金采用摆动定价机制进行估值；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（22）发生涉及基金申购、赎回事项调整或潜在影响投资者赎回等重大事项时；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（24）本基金连续30个工作日、40个工作日、45个工作日出现基金份额持有人数量不满200人或者基金资产净值低于5000万元情形的；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6、澄清公告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基金份额持有人大会决定的事项，应当依法报中国证监会备案，并予以公告。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8、实施侧袋机制期间的信息披露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10、基金投资股指期货情况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11、基金投资资产支持证券情况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12、基金投资流通受限证券情况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流通受限证券，基金管理人应在基金投资非公开发行股票后两个交易日内，在中国证监会规定媒介披露所投资非公开发行股票的名称、数量、总成本、账面价值，以及总成本和账面价值占基金资产净值的比例、锁定期等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13、基金投资港股通标的股票情况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基金应当在季度报告、中期报告、年度报告等定期报告和招募说明书（更新）等文件中披露港股通标的股票的投资情况。法律法规或中国证监会另有规定的，从其规定。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14、中国证监会规定的其他信息。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（六）信息披露事务管理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（七）信息披露文件的存放与查阅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（八）本基金信息披露事项以法律法规规定及本章节约定的内容为准。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209535116"/>
      <w:r>
        <w:rPr>
          <w:rFonts w:ascii="Times New Roman" w:hAnsi="Times New Roman"/>
          <w:sz w:val="30"/>
        </w:rPr>
        <w:t>十八、侧袋机制</w:t>
      </w:r>
      <w:bookmarkEnd w:id="20"/>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（一）侧袋机制的实施条件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（二）实施侧袋机制期间基金份额的申购与赎回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（三）实施侧袋机制期间的基金投资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基金管理人不得在侧袋账户中进行除特定资产处置变现以外的其他投资操作。</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（四）实施侧袋机制期间的基金估值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（五）实施侧袋账户期间的基金费用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1、本基金实施侧袋机制的，管理费和托管费按主袋账户基金资产净值作为基数计提。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（六）侧袋账户中特定资产的处置变现和支付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（七）侧袋机制的信息披露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3、定期报告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209535117"/>
      <w:r>
        <w:rPr>
          <w:rFonts w:ascii="Times New Roman" w:hAnsi="Times New Roman"/>
          <w:sz w:val="30"/>
        </w:rPr>
        <w:t>十九、风险揭示</w:t>
      </w:r>
      <w:bookmarkEnd w:id="21"/>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者将可能无法及时赎回持有的全部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分为股票型基金、混合型基金、债券型基金、货币市场基金等不同类型，投资者投资不同类型的基金将获得不同的收益预期，也将承担不同程度的风险。一般来说，基金的收益预期越高，投资者承担的风险也越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基金份额持有人须了解并承受以下风险：</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（二）管理风险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属于开放式基金，在基金的所有开放日，基金管理人都有义务接受投资者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1、本基金的申购、赎回安排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2、投资市场、行业及资产的流动性风险评估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股票、港股通标的股票、债券和货币市场工具等），同时本基金基于分散投资的原则在行业和个券方面未有高集中度的特征，综合评估在正常市场环境下本基金的流动性风险适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3、巨额赎回情形下的流动性风险管理措施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（1）巨额赎回的场外处理方式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1)全额赎回：当基金管理人认为有能力支付基金投资者的赎回申请时，按正常赎回程序执行。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下一开放日的基金份额净值为基础计算赎回金额，并以此类推，直到全部赎回为止。如基金投资者在提交赎回申请时未作明确选择，投资者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（2）巨额赎回的场内处理方式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巨额赎回业务的场内处理，按照上海证券交易所及中国证券登记结算有限责任公司的有关规定办理。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暂停赎回：连续2日以上(含本数)发生巨额赎回，如基金管理人认为有必要，可暂停接受基金的赎回申请；已经确认成功的赎回申请可以延缓支付赎回款项，但不得超过20个工作日，并应当在规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4、实施备用的流动性风险管理工具的情形、程序及对投资者的潜在影响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本基金在面临大规模赎回的情况下有可能因为无法变现造成流动性风险。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（四）信用风险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（五）本基金投资策略所特有的风险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1、本基金属于混合型基金，将维持较高的股票持仓比例。如果股票市场出现整体下跌，本基金的净值表现将受到影响。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以先进制造相关行业的上市公司为重点投资对象。在选股策略上本基金特有的风险主要来自两个方面：一是先进制造有关行业板块的表现可能与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3、本基金可投资港股通标的股票，会面临港股通机制下因投资环境、投资标的、市场制度以及交易规则等差异带来的特有风险，具体如下：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（1）港股交易失败风险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（2）汇率风险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（3）境外市场的风险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2）香港市场交易规则有别于内地A 股市场规则，此外，在“内地与香港股票市场交易互联互通机制”下参与香港股票投资还将面临包括但不限于如下特殊风险：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a）香港市场实行T+0 回转交易机制（即当日买入的股票，在交收前可以于当日卖出），且证券交易价格并无涨跌幅上下限的规定，因此每日涨跌幅空间相对较大，可能表现出比A股更为剧烈的股价波动；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香港出现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（4）本基金可根据投资策略需要或不同配置地市场环境的变化，选择将部分基金资产投资于港股或选择不将基金资产投资于港股，基金资产并非必然投资港股。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以上所述因素可能会给本基金投资带来特殊交易风险。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4、基金合同提前终止风险。连续50个工作日出现基金份额持有人数量不满200人或者基金资产净值低于5000万元情形的，基金合同终止，不需召开基金份额持有人大会。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5、本基金可投资创业板股票，创业板个股上市后的前五个交易日不设价格涨跌幅限制，第六个交易日开始涨跌幅限制比例为20%。</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（六）投资资产支持证券的特定风险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（七）投资股指期货的特定风险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（2）流动性风险是指由于股指期货合约无法及时变现所带来的风险。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（5）信用风险是指期货经纪公司违约而产生损失的风险。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（八）投资流通受限证券的特定风险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（九）投资科创板股票的特定风险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（3）退市风险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（4）系统性风险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（5）政策风险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（十）投资存托凭证的特定风险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（十一）本基金法律文件风险收益特征表述与销售机构基金风险评价可能不一致的风险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（十二）其他风险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1、因技术因素而产生的风险，如电脑系统不可靠产生的风险；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2、因基金业务快速发展，在制度建设、人员配备、内控制度建立等方面的不完善产生的风险；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3、因人为因素而产生的风险、如内幕交易、欺诈行为等产生的风险；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4、对主要业务人员如基金经理的依赖而可能产生的风险；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5、因业务竞争压力可能产生的风险；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6、战争、自然灾害等不可抗力可能导致基金财产的损失，影响基金收益水平，从而带来风险；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209535118"/>
      <w:r>
        <w:rPr>
          <w:rFonts w:ascii="Times New Roman" w:hAnsi="Times New Roman"/>
          <w:sz w:val="30"/>
        </w:rPr>
        <w:t>二十、基金合同的变更、终止与基金财产的清算</w:t>
      </w:r>
      <w:bookmarkEnd w:id="22"/>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按照法律法规或基金合同的规定，对基金合同的变更应当召开基金份额持有人大会的，基金合同变更的内容经基金份额持有人大会决议通过后生效，并依法报中国证监会备案，并自决议生效之日起2日内在规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2.但出现下列情况时，可不经基金份额持有人大会决议，由基金管理人和基金托管人同意变更后公布经修订的基金合同，并报中国证监会备案：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(1)在法律法规和基金合同规定的范围内调整基金的申购费率、调低赎回费率及销售服务费率、变更或增加收费方式；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(2)因相应的法律法规发生变动必须对基金合同进行修改；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(3)基金合同的修改不涉及基金合同当事人权利义务关系发生重大变化；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(4)基金合同的修改对基金份额持有人利益无实质性不利影响；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(5)按照法律法规或基金合同规定不需召开基金份额持有人大会的其他情形。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（二）基金合同的终止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2、基金管理人职责终止，而在6个月内没有新的基金管理人承接的；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3、基金托管人职责终止，而在6个月内没有新的基金托管人承接的；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4、连续50个工作日出现基金份额持有人数量不满200人或者基金资产净值低于5000万元情形的，基金合同终止，不需召开基金份额持有人大会；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5、基金合同、相关法律法规和中国证监会规定的其他情况。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（1）自出现《基金合同》终止事由之日起30个工作日内，成立基金清算小组，基金清算小组在中国证监会的监督下进行基金清算。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（2）基金清算小组成员由基金管理人、基金托管人、符合《中华人民共和国证券法》规定的注册会计师、律师以及中国证监会指定的人员组成。基金清算小组可以聘用必要的工作人员。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（3）基金清算小组负责基金财产的保管、清理、估价、变现和分配。基金清算小组可以依法进行必要的民事活动。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（1）基金合同终止时，由基金清算小组统一接管基金财产；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（3）对基金财产进行估价和变现；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（7）将基金清算结果报告中国证监会；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（8）公布基金清算报告；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清算费用是指基金清算小组在进行基金清算过程中发生的所有合理费用，清算费用由基金清算小组优先从基金财产中支付。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4、基金财产按下列顺序清偿：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（1）支付清算费用；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（2）交纳所欠税款；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（3）清偿基金债务；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基金财产未按前款（1）－（3）项规定清偿前，不分配给基金份额持有人。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清算过程中的有关重大事项须及时公告；基金财产清算结果经会计师事务所审计，律师事务所出具法律意见书后，由基金财产清算小组报中国证监会备案并公告。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基金财产清算账册及有关文件由基金托管人保存不低于法律法规规定的最低期限。</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209535119"/>
      <w:r>
        <w:rPr>
          <w:rFonts w:ascii="Times New Roman" w:hAnsi="Times New Roman"/>
          <w:sz w:val="30"/>
        </w:rPr>
        <w:t>二十一、基金合同的内容摘要</w:t>
      </w:r>
      <w:bookmarkEnd w:id="2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（一）基金合同当事人的权利与义务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根据《基金法》、《运作办法》及其他有关规定，基金管理人的权利包括但不限于：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（1）自本基金合同生效之日起，依照有关法律法规和本基金合同的规定独立运用基金财产；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（2）依照本基金合同获得基金管理人报酬以及法律法规规定或中国证监会批准的其他收入；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（3）依照有关规定为基金的利益行使因基金财产投资于证券所产生的权利；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（4）在符合有关法律法规和本基金合同的前提下，制订和调整有关基金认购、申购、赎回、转换、转托管等业务的规则，决定基金的除调高托管费和管理费之外的费率结构和收费方式；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（6）在基金合同约定的范围内，拒绝或暂停受理申购、赎回和转换申请；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（7）自行担任注册登记机构或选择、更换注册登记机构，并对注册登记机构的代理行为进行必要的监督和检查；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（8）选择、更换基金销售机构，对基金销售机构的相关行为进行监督和处理；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（9）在基金托管人更换时，提名新的基金托管人；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（11）选择、更换律师事务所、会计师事务所、证券/期货经纪商或其他为基金提供服务的外部机构；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（12）根据国家有关规定，在法律法规允许的前提下，为基金的利益依法为基金融资、融券；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（13）法律法规规定的其他权利。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根据《基金法》、《运作办法》及其他有关规定，基金管理人的义务包括但不限于：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（1）依法募集资金，办理或者委托经由证监会认定的其他机构办理基金份额的发售、申购、赎回和注册登记事宜；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（3）自基金合同生效之日起，以诚实信用、勤勉尽责的原则管理和运用基金财产；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（5）建立健全内部风险控制、监察与稽核、财务管理及人事管理等制度，保证所管理的基金财产和基金管理人的财产相互独立，对所管理的不同基金财产分别管理，分别记账，进行证券投资；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（7）依法接受基金托管人的监督；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（9）采取适当合理的措施使计算基金份额认购、申购、赎回价格的方法符合基金合同等法律文件的规定；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（10）按规定受理基金份额的申购和赎回申请，及时、足额支付赎回款项；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（13）严格按照《基金法》、基金合同及其他有关规定，履行信息披露及报告义务；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（19）组织并参加基金财产清算小组，参与基金财产的保管、清理、估价、变现和分配；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（20）因违反基金合同导致基金财产的损失或损害基金份额持有人合法权益，应当承担赔偿责任，其赔偿责任不因其退任而免除；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（21）基金托管人违反基金合同造成基金财产损失时，应为基金份额持有人利益向基金托管人追偿；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（22）按规定向基金托管人提供基金份额持有人名册资料；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（23）建立并保存基金份额持有人名册；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（24）面临解散、依法被撤销或者被依法宣告破产时，及时报告中国证监会并通知基金托管人；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（26）不从事任何有损基金及其他基金合同当事人合法权益的活动；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（27）依照法律法规为基金的利益对被投资公司行使股东权利，为基金的利益行使因基金财产投资于证券所产生的权利，不谋求对上市公司的控股和直接管理；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（28）法律法规、基金合同规定的以及中国证监会要求的其他义务。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根据《基金法》、《运作办法》及其他有关规定，基金托管人的权利包括但不限于：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（1）获得基金托管费；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（2）监督基金管理人对本基金的投资运作；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（3）自本基金合同生效之日起，依法保管基金财产；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（4）在基金管理人更换时，提名新任基金管理人；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（7）按规定取得基金份额持有人名册；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（8）法律法规规定的其他权利。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根据《基金法》、《运作办法》及其他有关规定，基金托管人的义务包括但不限于：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（1）以诚实信用、勤勉尽责的原则持有并安全保管基金财产；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（2）设立专门的基金托管部，具有符合要求的营业场所，配备足够的、合格的熟悉基金托管业务的专职人员，负责基金财产托管事宜；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（4）除依据《基金法》、基金合同及其他有关规定外，不得为自己及任何第三人谋取利益，不得委托第三人托管基金财产；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（5）保管由基金管理人代表基金签订的与基金有关的重大合同及有关凭证；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（6）按规定开设基金财产的资金账户和证券账户，协助开立股指期货业务相关账户及交易编码、为基金办理证券、期货交易资金清算；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（7）保守基金商业秘密。除《基金法》、基金合同及其他有关规定另有规定外，在基金信息公开披露前应予保密，不得向他人泄露；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（9）保存基金托管业务活动的记录、账册、报表和其他相关资料不低于法律法规规定的最低期限；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（10）按照基金合同的约定，根据基金管理人的投资指令，及时办理清算、交割事宜；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（11）办理与基金托管业务活动有关的信息披露事项；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（12）复核、审查基金管理人计算的基金资产净值、基金份额净值和基金份额申购、赎回价格；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（13）按照规定监督基金管理人的投资运作；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（14）按规定制作相关账册并与基金管理人核对；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（15）依据基金管理人的指令或有关规定向基金份额持有人支付基金收益和赎回款项；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（16）按照规定召集基金份额持有人大会或配合基金管理人、基金份额持有人依法自行召集基金份额持有人大会；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（17）因违反基金合同导致基金财产损失，应承担赔偿责任，其赔偿责任不因其退任而免除；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（18）按规定监督基金管理人按照法律法规规定和基金合同履行其义务，基金管理人因违反基金合同造成基金财产损失时，应为基金向基金管理人追偿；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（19）根据本基金合同和托管协议规定建立并保存基金份额持有人名册；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（20）参加基金财产清算组，参与基金财产的保管、清理、估价、变现和分配；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（21）面临解散、依法被撤销、破产或者由接管人接管其资产时，及时报告中国证监会和银行业监督管理机构，并通知基金管理人；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（23）法律法规、基金合同规定的以及中国证监会要求的其他义务。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同一类别的每份基金份额具有同等的合法权益。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根据《基金法》、《运作办法》及其他有关法律法规的规定，基金份额持有人的权利包括但不限于：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（1）分享基金财产收益；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（2）参与分配清算后的剩余基金财产；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（3）依法转让或者申请赎回其持有的基金份额；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（4）按照规定要求召开基金份额持有人大会或者召集基金份额持有人大会；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（6）查阅或者复制公开披露的基金信息资料；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（8）对基金管理人、基金托管人、基金服务机构损害其合法权益的行为依法提起诉讼；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（9）法律法规和基金合同规定的其他权利。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根据《基金法》、《运作办法》及其他有关法律法规的规定，基金份额持有人的义务包括但不限于：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（1）遵守法律法规、基金合同及其他有关规定；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（2）缴纳基金认购、申购款项及法律法规、基金合同和招募说明书规定的费用；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（3）在持有的基金份额范围内，承担基金亏损或者基金合同终止的有限责任；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（4）不从事任何有损基金及其他基金份额持有人合法权益的活动；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（5）执行生效的基金份额持有人大会决议；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（6）返还在基金交易过程中因任何原因，自基金管理人、基金托管人、基金销售机构或其他基金份额持有人处获得的不当得利；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（7）法律法规和基金合同规定的其他义务。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4、本基金合同当事人各方的权利义务以本基金合同为依据，不因基金账户名称而有所改变。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1、基金份额持有人大会由基金份额持有人组成，基金份额持有人的合法授权代表有权代表基金份额持有人出席会议并表决。基金份额持有人持有的每一基金份额拥有平等的投票权。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本基金份额持有人大会不设日常机构。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当出现或需要决定下列事由之一的，经基金管理人、基金托管人或单独或合计持有基金份额10%以上（“以上”含本数，下同）的基金份额持有人（以基金管理人收到提议当日的基金份额计算，下同）提议时，应当召开基金份额持有人大会，法律法规和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（1）终止基金合同，基金合同另有规定的除外；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（2）转换基金运作方式；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（3）变更基金类别；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（4）变更基金投资目标、投资范围或投资策略；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（5）变更基金份额持有人大会议事程序；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（6）更换基金管理人、基金托管人；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（7）调整基金管理人、基金托管人的报酬标准或提高销售服务费率；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（8）本基金与其他基金的合并；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（9）对基金合同当事人权利、义务产生重大影响，需召开基金份额持有人大会的变更基金合同等其他事项；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（10）法律法规、基金合同或中国证监会规定的其他情形。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在法律法规和本基金合同规定的范围内且对基金份额持有人利益无实质性不利影响的情况下，出现以下情形之一的，可由基金管理人和基金托管人协商后修改，不需召开基金份额持有人大会：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（1）调整基金的申购费率、调低赎回费率及销售服务费率、变更或增加收费方式；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（2）调整基金份额类别设置、对基金份额分类办法及规则进行调整；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（3）因相应的法律法规发生变动必须对基金合同进行修改；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（4）基金合同的修改不涉及本基金合同当事人权利义务关系发生重大变化；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（5）基金合同的修改对基金份额持有人利益无实质性不利影响；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（6）按照法律法规或本基金合同规定不需召开基金份额持有人大会的其他情形。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3、召集人和召集方式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代表基金份额10%以上的基金份额持有人就同一事项要求召开基金份额持有人大会，而基金管理人、基金托管人都不召集的，单独或合计代表基金份额10%以上的基金份额持有人有权自行召集基金份额持有人大会，但应当至少提前30日向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4、召开基金份额持有人大会的通知时间、通知内容、通知方式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召集人（以下简称“召集人”）负责选择确定开会时间、地点、方式和权益登记日。召开基金份额持有人大会，召集人必须于会议召开日前30日在规定媒介公告。基金份额持有人大会通知须至少载明以下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（1）会议召开的时间、地点和出席方式；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（2）会议拟审议的主要事项；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（3）会议形式；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（5）有权出席基金份额持有人大会的基金份额持有人的权益登记日；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（7）表决方式；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（8）会务常设联系人姓名、电话；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（9）出席会议者必须准备的文件和必须履行的手续；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（10）召集人需要通知的其他事项。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用通讯方式开会并进行表决的情况下，由召集人决定通讯方式和表决方式，并在会议通知中说明本次基金份额持有人大会所采取的具体通讯方式、委托的公证机关及其联系方式和联系人、表决意见的寄交的截止时间和收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计票和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5、基金份额持有人出席会议的方式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1）基金份额持有人大会的召开方式包括现场开会、通讯方式开会或法律法规和监管机关允许的其他方式。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2）会议的召开方式由会议召集人确定。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3）现场开会由基金份额持有人本人出席或通过授权委托证明委派其代理人出席，现场开会时基金管理人和基金托管人的授权代表应当出席，基金管理人或基金托管人拒不派代表出席的，不影响表决效力。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4）通讯方式开会指按照本基金合同的相关规定以通讯方式开会的表决方式进行表决。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（2）召开基金份额持有人大会的条件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在同时符合以下条件时，现场会议方可举行：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①经核对、汇总，到会者出示的在权益登记日持有基金份额的凭证显示，全部有效凭证所对应的基金份额应占权益登记日基金总份额的50%以上（含50%，下同）；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在同时符合以下条件时，通讯会议方可举行：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①召集人按本基金合同规定公布会议通知后，在2个工作日内连续公布相关提示性公告；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召集人在基金托管人（如果基金托管人为召集人，则为基金管理人；以下称为“监督人”）和公证机关的监督下按照会议通知规定的方式收取和统计基金份额持有人的表决意见，监督人经通知拒不参加收取和统计表决意见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③本人直接出具表决意见或授权他人代表出具表决意见的基金份额持有人所代表的基金份额应占权益登记日基金总份额的50%以上；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④直接出具表决意见的基金份额持有人或受托代表他人出具表决意见的代表，同时提交的持有基金份额的凭证和受托出席会议者出具的委托人持有基金份额的凭证和授权委托证明等文件符合法律法规、基金合同和会议通知的规定，并与注册登记机构记录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⑤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在法律法规或监管机构允许的情况下，经会议通知载明，基金份额持有人也可以采用网络、电话或其他方式进行表决，或者采用网络、电话或其他方式授权他人代为出席会议并表决。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6、议事内容与程序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（1）议事内容及提案权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1）议事内容为本基金合同规定的召开基金份额持有人大会事由所涉及的内容以及会议召集人认为需提交基金份额持有人大会讨论的其他事项。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召集人对于临时提案应当在大会召开日前30日公告。否则，会议的召开日期应当顺延并保证至少与临时提案公告日期有30日的间隔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3）对于基金份额持有人提交的提案（包括临时提案），大会召集人应当按照以下原则对提案进行审核：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持有人大会的召集人发出召开会议的通知后，如果需要对原有提案进行修改，应当最迟在基金份额持有人大会召开日前30日公告。否则，会议的召开日期应当顺延并保证至少与公告日期有30日的间隔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召集人应当制作出席会议人员的签名册。签名册载明参加会议人员姓名（或单位名称）、身份证号码、持有或代表有表决权的基金份额、委托人姓名（或单位名称）等事项。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2）通讯方式开会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表决开会的方式下，首先由召集人提前30日公布提案，在所通知的表决截止日期后2个工作日内在公证机构监督下由召集人统计全部有效表决并形成决议。如监督人经通知但拒绝到场监督，则在公正机关监督下形成的决议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（3）基金份额持有人大会不得对未事先公告的议事内容进行表决。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7、决议形成的条件、表决方式、程序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（1）基金份额持有人所持每一基金份额享有平等的表决权。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（2）基金份额持有人大会决议分为一般决议和特别决议：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1）一般决议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一般决议须经出席会议的基金份额持有人及其代理人所持表决权的50%以上通过方为有效，除下列2）所规定的须以特别决议通过事项以外的其他事项均以一般决议的方式通过；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特别决议须经出席会议的基金份额持有人及代理人所持表决权的三分之二以上通过方为有效；更换基金管理人、更换基金托管人、转换基金运作方式、终止基金合同、本基金与其他基金合并（就上述情形，法律法规、《基金合同》和中国证监会另有规定的除外）必须以特别决议通过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（3）基金份额持有人大会决定的事项，应当依法报中国证监会备案，并予以公告。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表决意见的基金份额持有人所代表的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（5）基金份额持有人大会采取记名方式进行投票表决。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2）监票人应当在基金份额持有人表决后立即进行清点，由大会主持人当场公布计票结果。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4）计票过程应由公证机关予以公证。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（2）通讯方式开会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9、基金份额持有人大会决议的生效与公告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（1）基金份额持有人大会决定的事项自表决通过之日起生效，召集人应当自通过之日起5日内报中国证监会备案。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（2）生效的基金份额持有人大会决议对全体基金份额持有人、基金管理人、基金托管人均有约束力。基金管理人、基金托管人和基金份额持有人应当执行生效的基金份额持有人大会的决定。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（3）基金份额持有人大会决议应自生效之日起2日内在规定媒介上公告。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（4）如果采用通讯方式进行表决，在公告基金份额持有人大会决议时，必须将公证书全文、公证机关、公证员姓名等一同公告。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10、实施侧袋机制期间基金份额持有人大会的特殊约定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（1）基金份额持有人行使提议权、召集权、提名权所需单独或合计代表相关基金份额10%以上（含10%）；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（6）一般决议须经参加大会的基金份额持有人或其代理人所持表决权的二分之一以上（含二分之一）通过；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同一主侧袋账户内的每份基金份额具有平等的表决权。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（三）基金合同的变更与终止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按照法律法规或本基金合同的规定，对基金合同的变更应当召开基金份额持有人大会的，基金合同变更的内容经基金份额持有人大会决议通过后生效，并应依法报中国证监会备案，并自决议生效之日起2日内在规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（2）但出现下列情况时，可不经基金份额持有人大会决议，由基金管理人和基金托管人同意变更后公布经修订的基金合同，并报中国证监会备案：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1）在法律法规和本基金合同规定的范围内调整基金的申购费率、调低赎回费率及销售服务费率、变更或增加收费方式；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2）因相应的法律法规发生变动必须对基金合同进行修改；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3）基金合同的修改不涉及本基金合同当事人权利义务关系发生重大变化；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4）基金合同的修改对基金份额持有人利益无实质性不利影响；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5）按照法律法规或本基金合同规定不需召开基金份额持有人大会的其他情形。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2、本基金合同的终止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有下列情形之一的，本基金合同应当终止：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（2）基金管理人职责终止，而在6个月内没有新的基金管理人承接的；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（3）基金托管人职责终止，而在6个月内没有新的基金托管人承接的；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连续50个工作日出现基金份额持有人数量不满200人或者基金资产净值低于5000万元情形的，基金合同终止，不需召开基金份额持有人大会；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（5）基金合同、相关法律法规和中国证监会规定的其他情况。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（四）争议的处理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本基金合同适用中华人民共和国法律（不含港澳台地区法律）并从其解释。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（五）基金合同存放及投资者取得基金合同的方式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本基金合同正本一式六份，除上报相关监管部门两份外，基金管理人和基金托管人各持有两份。每份均具有同等的法律效力。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本基金合同可印制成册，供基金投资者在基金管理人、基金托管人、销售机构和注册登记机构办公场所查阅。基金合同条款及内容应以基金合同正本为准。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209535120"/>
      <w:r>
        <w:rPr>
          <w:rFonts w:ascii="Times New Roman" w:hAnsi="Times New Roman"/>
          <w:sz w:val="30"/>
        </w:rPr>
        <w:t>二十二、托管协议的内容摘要</w:t>
      </w:r>
      <w:bookmarkEnd w:id="2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（一）托管协议当事人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成立日期：2005年8月4日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批准设立机关及批准设立文号：中国证监会证监基金字[2005]128号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经营范围：基金募集、基金销售、资产管理和中国证监会许可的其它业务。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邮政编码：100031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法定代表人：谷澍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成立时间：2009年1月15日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基金托管资格批准文号：中国证监会证监基字[1998]23号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注册资本：34,998,303.4万元人民币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（二）基金托管人对基金管理人的业务监督和核查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国内依法发行上市的股票（含创业板、科创板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的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如法律法规或监管机构以后允许本基金投资其他品种，基金管理人在履行适当程序后，可以将其纳入投资范围。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配置比例为股票资产（含存托凭证）占基金资产的50%-95%（其中投资于港股通标的股票的比例占股票资产的0%-50%），投资于先进制造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（1）股票资产（含存托凭证）占基金资产的50%-95%（其中投资于港股通标的股票的比例占股票资产的0%-50%），投资于先进制造主题相关证券的比例不低于非现金基金资产的80%；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（3）本基金持有一家公司发行的证券（同一家公司在内地和香港同时上市的A+H 股合计计算），其市值不超过基金资产净值的10%；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（4）本基金管理人管理的、且由本基金托管人托管的全部基金持有一家公司发行的证券（同一家公司在内地和香港同时上市的A+H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（8）本基金投资于同一原始权益人的各类资产支持证券的比例，不得超过基金资产净值的10%；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（11）本基金管理人管理的、且由本基金托管人托管的全部基金投资于同一原始权益人的各类资产支持证券，不得超过其各类资产支持证券合计规模的10%；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（15）当本基金投资股指期货时，则：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1）本基金在任何交易日日终，持有的买入股指期货合约价值，不得超过基金资产净值的10%；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3）本基金在任何交易日日终，持有的卖出股指期货合约价值不得超过基金持有的股票总市值的20%；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（19）本基金的基金资产总值不得超过基金资产净值的140%；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（20）本基金投资存托凭证的比例限制依照境内上市交易的股票执行；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第（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投资的监督和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则本基金投资不再受相关限制。基金托管人对基金投资的监督和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根据有关法律法规的规定及基金合同的约定，对本协议第十五条第（九）项基金投资禁止行为进行监督。根据法律法规有关基金从事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5、基金托管人根据有关法律法规的规定及基金合同的约定，对基金管理人投资银行存款进行监督。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基金投资银行存款的，基金管理人应根据法律法规的规定及基金合同的约定，建立投资制度、审慎选择存款银行，做好风险控制；并按照基金托管人的要求配合基金托管人完成相关业务办理。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7、基金托管人根据有关法律法规的规定及基金合同的约定，对基金投资流通受限证券进行监督。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（1）基金投资流通受限证券，应遵守《关于基金投资非公开发行股票等流通受限证券有关问题的通知》等有关法律法规规定。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（4）在投资流通受限证券之前，基金管理人应至少提前一个交易日向基金托管人提供有关流通受限证券的相关信息，具体应当包括但不限于如下文件（如有）：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应保证基金投资的流通受限证券登记存管在本基金名下，并确保基金托管人能够正常查询。因基金管理人原因产生的流通受限证券登记存管问题，造成基金财产的损失或基金托管人无法安全保管基金财产的责任与损失，由基金管理人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（三）基金管理人对基金托管人的业务核查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等投资所需账户、协助开立股指期货业务相关账户及交易编码、复核基金管理人计算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（四）基金财产保管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1、基金财产保管的原则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（1）基金财产应独立于基金管理人、基金托管人的固有财产。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（3）基金托管人按照规定开设基金财产的资金账户和证券账户，协助开立股指期货业务相关账户及交易编码。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（4）基金托管人对所托管的不同基金财产分别设置账户，确保基金财产的完整与独立。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（7）除依据法律法规和基金合同的规定外，基金托管人不得委托第三人托管基金财产。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2、基金募集期间及募集资金的验资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交银施罗德先进制造股票证券投资基金经中国证监会证监许可[2011]639号核准募集，基金管理人为交银施罗德基金管理有限公司，基金托管人为中国农业银行股份有限公司。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先进制造股票证券投资基金自2011年5月23日至2011年6月17日进行公开募集，并于2011年6月22日获得中国证监会的书面确认，《交银施罗德先进制造股票证券投资基金基金合同》自该日起生效。具体募集情况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普华永道中天会计师事务所（特殊普通合伙）验资，本次募集的有效净认购金额为1,917,255,974.38元人民币，折合基金份额1,917,255,974.38份；认购款项在基金验资确认日之前产生的银行利息共计430,117.38元人民币，折合基金份额430,117.38份。本次募集所有资金已于2011年6月22日全额划入该基金在基金托管人中国农业银行股份有限公司开立的交银施罗德先进制造股票证券投资基金托管专户。该基金按照每份基金份额面值1.00 元人民币计算，募集期间募集资金及其利息结转的基金份额共计1,917,686,091.76份。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3、基金的银行账户的开立和管理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（1）基金托管人应负责本基金的资金账户的开设和管理。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（4）基金托管资金账户的开立和管理应符合相关法律法规的有关规定。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（5）在符合法律法规规定的条件下，基金托管人可以通过基金托管人专用账户办理基金资产的支付。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4、基金证券账户的开立和管理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5、债券托管专户的开设和管理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6、其他账户的开立和管理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（1）因业务发展需要而开立的其他账户，可以根据法律法规和基金合同的规定，在基金管理人和基金托管人商议后由基金托管人负责开立。新账户按有关规则使用并管理。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（2）法律法规等有关规定对相关账户的开立和管理另有规定的，从其规定办理。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7、基金财产投资的有关有价凭证等的保管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投资的有关实物证券、银行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8、与基金财产有关的重大合同的保管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（五）基金资产净值计算和会计复核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1、基金资产净值的计算及复核程序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基金资产净值是指基金资产总值减去负债后的金额。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类基金份额的基金份额净值是按照每个工作日闭市后，该类基金份额的基金资产净值除以当日该类基金份额的余额数量计算。基金份额净值的计算，精确到0.0001元，小数点后第五位四舍五入，由此产生的误差计入基金财产。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每工作日计算基金资产净值及基金份额净值，并按规定公告。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（2）复核程序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基金管理人每工作日对基金资产进行估值后，将基金份额净值结果发送基金托管人，经基金托管人复核无误后，由基金管理人依据基金合同和有关法律法规的规定对外公布。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2、基金资产估值方法和特殊情形的处理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基金所拥有的股票、债券、衍生工具和其它投资等持续以公允价值计量的金融资产及负债。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1）证券交易所上市的有价证券的估值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②交易所上市交易或挂牌转让的固定收益品种（另有规定的除外），选取估值日第三方估值机构提供的相应品种当日的估值净价进行估值；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④交易所上市实行全价交易的债券（可转债除外），选取第三方估值机构提供的估值全价减去估值全价中所含的债券（税后）应收利息得到的净价进行估值；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⑤交易所上市不存在活跃市场的有价证券，采用估值技术确定公允价值。交易所市场挂牌转让的资产支持证券，采用估值技术确定公允价值；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2）处于未上市期间的有价证券应区分如下情况处理：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①送股、转增股、配股和公开增发的新股，按估值日在证券交易所挂牌的同一股票的估值方法估值；该日无交易的，以最近一日的市价（收盘价）估值；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②首次公开发行未上市的股票和债券，采用估值技术确定公允价值，在估值技术难以可靠计量公允价值的情况下，按成本估值；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5）同一证券同时在两个或两个以上市场交易的，按证券所处的市场分别估值。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估值计算中涉及港币对人民币汇率的，将依据下列信息提供机构所提供的汇率为基准：当日中国人民银行或其授权机构公布的人民币汇率中间价。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6）当发生大额申购或赎回情形时，基金管理人可以采用摆动定价机制，以确保基金估值的公平性。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7）本基金投资存托凭证的估值核算依照境内上市交易的股票执行。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8）如有确凿证据表明按上述方法进行估值不能客观反映其公允价值的，基金管理人可根据具体情况与基金托管人商定后，按最能反映公允价值的价格估值。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9）相关法律法规以及监管部门有强制规定的，从其规定。如有新增事项，按国家最新规定估值。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1）基金管理人、基金托管人按估值方法的第8）项进行估值时，所造成的误差不作为基金份额净值错误处理。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3、基金份额净值错误的处理方式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或超过基金份额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（4）前述内容如法律法规或监管机关另有规定的，从其规定处理。如果行业有通行做法，双方当事人应本着平等和保护基金份额持有人利益的原则进行协商。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4、暂停估值与公告基金份额净值的情形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（1）基金投资所涉及的证券、期货交易市场遇法定节假日或因其他原因暂停营业时；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（2）因不可抗力致使基金管理人、基金托管人无法准确评估基金资产价值时；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（4）法律法规、中国证监会和基金合同认定的其他情形。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按国家有关部门规定的会计制度执行。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6、基金账册的建立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7、基金财务报表与报告的编制和复核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（1）财务报表的编制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内编制完毕并予以公告；年度报告在会计年度结束后三个月内编制完毕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（2）报表复核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（六）基金份额持有人名册的保管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本协议适用中华人民共和国法律（不含港澳台地区法律）并从其解释。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（八）托管协议的变更与终止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1、托管协议的变更程序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本协议双方当事人经协商一致，可以对协议进行修改。修改后的新协议，其内容不得与基金合同的规定有任何冲突。基金托管协议的变更报应报中国证监会备案。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2、基金托管协议终止的情形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（2）基金托管人解散、依法被撤销、破产或由其他基金托管人接管基金资产；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（3）基金管理人解散、依法被撤销、破产或由其他基金管理人接管基金管理权；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（4）发生法律法规或基金合同规定的终止事项。</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209535121"/>
      <w:r>
        <w:rPr>
          <w:rFonts w:ascii="Times New Roman" w:hAnsi="Times New Roman"/>
          <w:sz w:val="30"/>
        </w:rPr>
        <w:t>二十三、对基金份额持有人的服务</w:t>
      </w:r>
      <w:bookmarkEnd w:id="2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（一）持有人交易资料的寄送服务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1、每次交易结束后，投资人可在T+2个工作日后通过销售机构的网点查询和打印确认单。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（二）网上直销服务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本公司暂不开展网上直销后端A类基金份额的申购业务，通过转托管转入网上直销账户的后端收费模式的A类基金份额只能办理赎回业务。通过网上直销交易平台办理本基金前端A类基金份额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在条件成熟的时候，本基金管理人将根据基金网上直销业务的发展状况，适时调整可用于网上直销交易平台的银行卡种类，敬请投资者留意相关公告。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（三）信息咨询、查询服务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投资者可以拨打本基金管理人客户服务电话投诉直销机构的人员和服务。</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（四）基金红利再投资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时，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基金份额，并免收申购费用。</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本基金可开通定期定额投资计划，具体实施方法请参见相关公告。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服务联系方式：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基金管理人的互联网地址及电子信箱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电子信箱：services@jysld.com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投资者也可登录本基金管理人网站，直接提出有关本基金的问题和建议。</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w:t>
      </w:r>
      <w:r>
        <w:rPr>
          <w:rFonts w:hint="eastAsia" w:ascii="宋体" w:hAnsi="宋体"/>
          <w:kern w:val="0"/>
          <w:sz w:val="24"/>
        </w:rPr>
        <w:t>如本招募说明书存在任何您/贵机构无法理解的内容，请通过上述方式联系基金管理人。请确保投资前，您/贵机构已经全面理解了本招募说明书。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209535122"/>
      <w:r>
        <w:rPr>
          <w:rFonts w:ascii="Times New Roman" w:hAnsi="Times New Roman"/>
          <w:sz w:val="30"/>
        </w:rPr>
        <w:t>二十四、其他应披露事项</w:t>
      </w:r>
      <w:bookmarkEnd w:id="2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基金合同如有未尽事宜，由基金合同当事人各方按有关法律法规协商解决。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本招募说明书更新期间基金披露的其他重要事项</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交银施罗德先进制造混合型证券投资基金(更新)招募说明书(2024年第1号)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交银施罗德先进制造混合型证券投资基金（A类份额）基金产品资料概要更新(2024年第1号)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交银施罗德先进制造混合型证券投资基金（C类份额）基金产品资料概要更新(2024年第1号)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交银施罗德基金管理有限公司关于增加东方证券股份有限公司为旗下基金的销售机构的公告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交银施罗德先进制造混合型证券投资基金2024年第2季度报告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交银施罗德基金管理有限公司旗下全部基金2024年第二季度报告提示性公告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交银施罗德基金管理有限公司关于董事长离任及代任董事长（法定代表人）的公告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交银施罗德先进制造混合型证券投资基金2024年中期报告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交银施罗德基金管理有限公司旗下全部基金2024年中期报告提示性公告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交银施罗德先进制造混合型证券投资基金2024年第3季度报告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交银施罗德基金管理有限公司关于董事长（法定代表人）任职的公告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交银施罗德基金管理有限公司关于旗下基金改聘会计师事务所的公告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2024-12-03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交银施罗德基金管理有限公司关于增加东莞证券股份有限公司为旗下基金的销售机构的公告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2024-12-27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交银施罗德基金管理有限公司关于增加国金证券股份有限公司为旗下基金的销售机构的公告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2025-01-10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交银施罗德先进制造混合型证券投资基金2024年第4季度报告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2025-01-21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2025-01-21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2025-02-26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交银施罗德先进制造混合型证券投资基金2024年年度报告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2025-03-28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交银施罗德基金管理有限公司旗下公募基金通过证券公司交易及佣金支付情况公告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2025-03-31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交银施罗德先进制造混合型证券投资基金2025年第1季度报告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2025-04-21</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209535123"/>
      <w:r>
        <w:rPr>
          <w:rFonts w:ascii="Times New Roman" w:hAnsi="Times New Roman"/>
          <w:sz w:val="30"/>
        </w:rPr>
        <w:t>二十五、招募说明书的存放及查阅方式</w:t>
      </w:r>
      <w:bookmarkEnd w:id="2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募说明书存放在基金管理人、基金托管人和基金销售机构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8" w:name="_Toc209535124"/>
      <w:r>
        <w:rPr>
          <w:rFonts w:ascii="Times New Roman" w:hAnsi="Times New Roman"/>
          <w:sz w:val="30"/>
        </w:rPr>
        <w:t>二十六、备查文件</w:t>
      </w:r>
      <w:bookmarkEnd w:id="2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以下备查文件存放在基金管理人的办公场所，在办公时间可供免费查阅。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（一）中国证监会核准交银施罗德先进制造股票证券投资基金募集的文件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（二）中国证监会准予交银施罗德先进制造混合型证券投资基金变更注册的文件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（三）《交银施罗德先进制造混合型证券投资基金基金合同》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（四）《交银施罗德先进制造混合型证券投资基金托管协议》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（五）基金管理人业务资格批件、营业执照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（六）基金托管人业务资格批件、营业执照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（七）关于申请募集交银施罗德先进制造股票证券投资基金之法律意见书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（八）关于申请变更注册交银施罗德先进制造混合型证券投资基金的法律意见书</w:t>
      </w:r>
    </w:p>
    <w:sectPr>
      <w:footerReference r:id="rId10"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27432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5</w:t>
                          </w:r>
                          <w:r>
                            <w:rPr>
                              <w:rFonts w:ascii="Times New Roman" w:hAnsi="Times New Roman"/>
                              <w:kern w:val="0"/>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2.6pt;height:11pt;width:21.6pt;mso-position-horizontal-relative:page;mso-position-vertical-relative:page;z-index:-251655168;mso-width-relative:page;mso-height-relative:page;" filled="f" stroked="f" coordsize="21600,21600" o:allowincell="f" o:gfxdata="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GJMnfaAAAADQEAAA8AAAAAAAAAAQAgAAAAIgAAAGRycy9kb3ducmV2LnhtbFBL&#10;AQIUABQAAAAIAIdO4kBBM/oSuwEAAHEDAAAOAAAAAAAAAAEAIAAAACkBAABkcnMvZTJvRG9jLnht&#10;bFBLBQYAAAAABgAGAFkBAABWBQ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5</w:t>
                    </w:r>
                    <w:r>
                      <w:rPr>
                        <w:rFonts w:ascii="Times New Roman" w:hAnsi="Times New Roman"/>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233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42545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29</w:t>
                          </w:r>
                          <w:r>
                            <w:rPr>
                              <w:rFonts w:ascii="Times New Roman" w:hAnsi="Times New Roman"/>
                              <w:kern w:val="0"/>
                              <w:sz w:val="18"/>
                              <w:szCs w:val="18"/>
                            </w:rPr>
                            <w:fldChar w:fldCharType="end"/>
                          </w:r>
                        </w:p>
                      </w:txbxContent>
                    </wps:txbx>
                    <wps:bodyPr lIns="0" tIns="0" rIns="0" bIns="0" upright="1"/>
                  </wps:wsp>
                </a:graphicData>
              </a:graphic>
            </wp:anchor>
          </w:drawing>
        </mc:Choice>
        <mc:Fallback>
          <w:pict>
            <v:shape id="文本框 20" o:spid="_x0000_s1026" o:spt="202" type="#_x0000_t202" style="position:absolute;left:0pt;margin-left:291.25pt;margin-top:773.85pt;height:11pt;width:33.5pt;mso-position-horizontal-relative:page;mso-position-vertical-relative:page;z-index:-251654144;mso-width-relative:page;mso-height-relative:page;" filled="f" stroked="f" coordsize="21600,21600" o:allowincell="f" o:gfxdata="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SPu+NoAAAANAQAADwAAAAAAAAABACAAAAAiAAAAZHJzL2Rvd25yZXYueG1sUEsB&#10;AhQAFAAAAAgAh07iQLEOzyW6AQAAcgMAAA4AAAAAAAAAAQAgAAAAKQEAAGRycy9lMm9Eb2MueG1s&#10;UEsFBgAAAAAGAAYAWQEAAFUFA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29</w:t>
                    </w:r>
                    <w:r>
                      <w:rPr>
                        <w:rFonts w:ascii="Times New Roman" w:hAnsi="Times New Roman"/>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pPr>
      <w:pStyle w:val="9"/>
      <w:jc w:val="right"/>
      <w:rPr>
        <w:rFonts w:ascii="宋体" w:hAnsi="宋体"/>
      </w:rPr>
    </w:pPr>
    <w:r>
      <w:rPr>
        <w:rFonts w:hint="eastAsia" w:ascii="宋体" w:hAnsi="宋体"/>
      </w:rPr>
      <w:t>交银施罗德先进制造混合型证券投资基金招募说明书更新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pPr>
      <w:pStyle w:val="9"/>
      <w:jc w:val="right"/>
      <w:rPr>
        <w:rFonts w:ascii="宋体" w:hAnsi="宋体"/>
      </w:rPr>
    </w:pPr>
    <w:r>
      <w:rPr>
        <w:rFonts w:hint="eastAsia" w:ascii="宋体" w:hAnsi="宋体"/>
      </w:rPr>
      <w:t>交银施罗德先进制造混合型证券投资基金招募说明书更新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pPr>
      <w:pStyle w:val="9"/>
      <w:jc w:val="right"/>
      <w:rPr>
        <w:rFonts w:ascii="宋体" w:hAnsi="宋体"/>
      </w:rPr>
    </w:pPr>
    <w:r>
      <w:rPr>
        <w:rFonts w:hint="eastAsia" w:ascii="宋体" w:hAnsi="宋体"/>
      </w:rPr>
      <w:t>交银施罗德先进制造混合型证券投资基金招募说明书更新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26237"/>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170C"/>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0717"/>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2659C"/>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2FF"/>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34A"/>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87C20"/>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5417A44"/>
    <w:rsid w:val="0F3C5B53"/>
    <w:rsid w:val="1A113708"/>
    <w:rsid w:val="30276510"/>
    <w:rsid w:val="4AB1497C"/>
    <w:rsid w:val="4B022BD4"/>
    <w:rsid w:val="4D1D7C72"/>
    <w:rsid w:val="4D8212ED"/>
    <w:rsid w:val="573E69F0"/>
    <w:rsid w:val="70873D8B"/>
    <w:rsid w:val="7B6C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sz w:val="18"/>
      <w:szCs w:val="18"/>
    </w:rPr>
  </w:style>
  <w:style w:type="paragraph" w:styleId="6">
    <w:name w:val="annotation text"/>
    <w:basedOn w:val="1"/>
    <w:link w:val="31"/>
    <w:unhideWhenUsed/>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36"/>
    <w:unhideWhenUsed/>
    <w:qFormat/>
    <w:uiPriority w:val="99"/>
    <w:pPr>
      <w:tabs>
        <w:tab w:val="center" w:pos="4153"/>
        <w:tab w:val="right" w:pos="8306"/>
      </w:tabs>
      <w:snapToGrid w:val="0"/>
      <w:jc w:val="left"/>
    </w:pPr>
    <w:rPr>
      <w:kern w:val="0"/>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ind w:left="480" w:leftChars="200"/>
    </w:pPr>
  </w:style>
  <w:style w:type="paragraph" w:styleId="13">
    <w:name w:val="annotation subject"/>
    <w:basedOn w:val="6"/>
    <w:next w:val="6"/>
    <w:link w:val="32"/>
    <w:unhideWhenUsed/>
    <w:qFormat/>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qFormat/>
    <w:uiPriority w:val="0"/>
    <w:rPr>
      <w:rFonts w:ascii="Cambria" w:hAnsi="Cambria"/>
      <w:b/>
      <w:kern w:val="28"/>
      <w:sz w:val="24"/>
      <w:szCs w:val="32"/>
    </w:rPr>
  </w:style>
  <w:style w:type="character" w:customStyle="1" w:styleId="30">
    <w:name w:val="txtcontent11"/>
    <w:qFormat/>
    <w:uiPriority w:val="0"/>
    <w:rPr>
      <w:rFonts w:hint="default" w:ascii="ˎ̥" w:hAnsi="ˎ̥"/>
      <w:color w:val="000000"/>
      <w:sz w:val="21"/>
      <w:szCs w:val="21"/>
    </w:rPr>
  </w:style>
  <w:style w:type="character" w:customStyle="1" w:styleId="31">
    <w:name w:val="批注文字 字符"/>
    <w:link w:val="6"/>
    <w:qFormat/>
    <w:uiPriority w:val="0"/>
    <w:rPr>
      <w:kern w:val="2"/>
      <w:sz w:val="21"/>
      <w:szCs w:val="22"/>
    </w:rPr>
  </w:style>
  <w:style w:type="character" w:customStyle="1" w:styleId="32">
    <w:name w:val="批注主题 字符"/>
    <w:link w:val="13"/>
    <w:semiHidden/>
    <w:qFormat/>
    <w:uiPriority w:val="99"/>
    <w:rPr>
      <w:b/>
      <w:bCs/>
      <w:kern w:val="2"/>
      <w:sz w:val="21"/>
      <w:szCs w:val="22"/>
    </w:rPr>
  </w:style>
  <w:style w:type="character" w:customStyle="1" w:styleId="33">
    <w:name w:val="页眉 字符"/>
    <w:link w:val="9"/>
    <w:qFormat/>
    <w:uiPriority w:val="99"/>
    <w:rPr>
      <w:sz w:val="18"/>
      <w:szCs w:val="18"/>
    </w:rPr>
  </w:style>
  <w:style w:type="character" w:customStyle="1" w:styleId="34">
    <w:name w:val="副标题 字符"/>
    <w:link w:val="11"/>
    <w:qFormat/>
    <w:uiPriority w:val="0"/>
    <w:rPr>
      <w:rFonts w:ascii="Cambria" w:hAnsi="Cambria" w:cs="Times New Roman"/>
      <w:b/>
      <w:bCs/>
      <w:kern w:val="28"/>
      <w:sz w:val="32"/>
      <w:szCs w:val="32"/>
    </w:rPr>
  </w:style>
  <w:style w:type="character" w:customStyle="1" w:styleId="35">
    <w:name w:val="文档结构图 字符"/>
    <w:link w:val="5"/>
    <w:semiHidden/>
    <w:qFormat/>
    <w:uiPriority w:val="99"/>
    <w:rPr>
      <w:rFonts w:ascii="宋体"/>
      <w:kern w:val="2"/>
      <w:sz w:val="18"/>
      <w:szCs w:val="18"/>
    </w:rPr>
  </w:style>
  <w:style w:type="character" w:customStyle="1" w:styleId="36">
    <w:name w:val="页脚 字符"/>
    <w:link w:val="8"/>
    <w:qFormat/>
    <w:uiPriority w:val="99"/>
    <w:rPr>
      <w:sz w:val="18"/>
      <w:szCs w:val="18"/>
    </w:rPr>
  </w:style>
  <w:style w:type="character" w:customStyle="1" w:styleId="37">
    <w:name w:val="标题 2 字符"/>
    <w:link w:val="3"/>
    <w:semiHidden/>
    <w:qFormat/>
    <w:uiPriority w:val="9"/>
    <w:rPr>
      <w:rFonts w:ascii="Cambria" w:hAnsi="Cambria" w:eastAsia="宋体" w:cs="Times New Roman"/>
      <w:b/>
      <w:bCs/>
      <w:kern w:val="2"/>
      <w:sz w:val="32"/>
      <w:szCs w:val="32"/>
    </w:rPr>
  </w:style>
  <w:style w:type="character" w:customStyle="1" w:styleId="38">
    <w:name w:val="标题 4 字符"/>
    <w:link w:val="4"/>
    <w:semiHidden/>
    <w:qFormat/>
    <w:uiPriority w:val="9"/>
    <w:rPr>
      <w:rFonts w:ascii="Cambria" w:hAnsi="Cambria" w:eastAsia="宋体" w:cs="Times New Roman"/>
      <w:b/>
      <w:bCs/>
      <w:kern w:val="2"/>
      <w:sz w:val="28"/>
      <w:szCs w:val="28"/>
    </w:rPr>
  </w:style>
  <w:style w:type="character" w:customStyle="1" w:styleId="39">
    <w:name w:val="标题 1 字符"/>
    <w:link w:val="2"/>
    <w:qFormat/>
    <w:uiPriority w:val="9"/>
    <w:rPr>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181</Pages>
  <Words>18973</Words>
  <Characters>108149</Characters>
  <Lines>901</Lines>
  <Paragraphs>253</Paragraphs>
  <TotalTime>64</TotalTime>
  <ScaleCrop>false</ScaleCrop>
  <LinksUpToDate>false</LinksUpToDate>
  <CharactersWithSpaces>126869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2025-09-23T07:51:00Z</dcterms:created>
  <dc:creator>系统用户</dc:creator>
  <cp:lastModifiedBy>喻秋燕</cp:lastModifiedBy>
  <cp:lastPrinted>2013-02-18T03:10:00Z</cp:lastPrinted>
  <dcterms:modified xsi:type="dcterms:W3CDTF">2025-10-22T01:36:21Z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39571A5EB57842ACA755FBE4904DC3C8</vt:lpwstr>
  </property>
</Properties>
</file>