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color w:val="000000"/>
          <w:sz w:val="28"/>
        </w:rPr>
        <w:t>版本号：【20250513TG0015】</w:t>
      </w:r>
    </w:p>
    <w:p>
      <w:pPr>
        <w:spacing w:after="156" w:line="500" w:lineRule="exact"/>
        <w:rPr>
          <w:rFonts w:ascii="宋体"/>
          <w:b/>
          <w:bCs/>
          <w:sz w:val="48"/>
          <w:szCs w:val="48"/>
        </w:rPr>
      </w:pPr>
    </w:p>
    <w:p>
      <w:pPr>
        <w:spacing w:after="156" w:line="500" w:lineRule="exact"/>
        <w:jc w:val="center"/>
        <w:rPr>
          <w:rFonts w:ascii="宋体"/>
          <w:b/>
          <w:bCs/>
          <w:sz w:val="48"/>
          <w:szCs w:val="48"/>
        </w:rPr>
      </w:pPr>
      <w:r>
        <w:rPr>
          <w:rFonts w:ascii="宋体" w:hAnsi="宋体"/>
          <w:sz w:val="44"/>
        </w:rPr>
        <w:drawing>
          <wp:anchor distT="0" distB="0" distL="114300" distR="114300" simplePos="0" relativeHeight="251659264" behindDoc="0" locked="0" layoutInCell="1" allowOverlap="1">
            <wp:simplePos x="0" y="0"/>
            <wp:positionH relativeFrom="column">
              <wp:posOffset>420370</wp:posOffset>
            </wp:positionH>
            <wp:positionV relativeFrom="paragraph">
              <wp:posOffset>657225</wp:posOffset>
            </wp:positionV>
            <wp:extent cx="4343400" cy="571500"/>
            <wp:effectExtent l="0" t="0" r="0" b="0"/>
            <wp:wrapTopAndBottom/>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343400" cy="571500"/>
                    </a:xfrm>
                    <a:prstGeom prst="rect">
                      <a:avLst/>
                    </a:prstGeom>
                    <a:noFill/>
                    <a:ln>
                      <a:noFill/>
                    </a:ln>
                  </pic:spPr>
                </pic:pic>
              </a:graphicData>
            </a:graphic>
          </wp:anchor>
        </w:drawing>
      </w:r>
    </w:p>
    <w:p>
      <w:pPr>
        <w:spacing w:after="156" w:line="500" w:lineRule="exact"/>
        <w:jc w:val="center"/>
        <w:rPr>
          <w:rFonts w:ascii="宋体"/>
          <w:b/>
          <w:bCs/>
          <w:sz w:val="48"/>
          <w:szCs w:val="48"/>
        </w:rPr>
      </w:pPr>
    </w:p>
    <w:p>
      <w:pPr>
        <w:spacing w:after="156" w:line="500" w:lineRule="exact"/>
        <w:jc w:val="center"/>
        <w:rPr>
          <w:rFonts w:ascii="宋体"/>
          <w:b/>
          <w:bCs/>
          <w:sz w:val="48"/>
          <w:szCs w:val="48"/>
        </w:rPr>
      </w:pPr>
    </w:p>
    <w:p>
      <w:pPr>
        <w:spacing w:after="156" w:line="360" w:lineRule="auto"/>
        <w:jc w:val="center"/>
        <w:rPr>
          <w:rFonts w:ascii="宋体" w:hAnsi="宋体"/>
          <w:b/>
          <w:bCs/>
          <w:sz w:val="48"/>
          <w:szCs w:val="48"/>
        </w:rPr>
      </w:pPr>
      <w:r>
        <w:rPr>
          <w:rFonts w:hint="eastAsia"/>
          <w:b/>
          <w:sz w:val="48"/>
        </w:rPr>
        <w:t>交银施罗德中证港股通央企红利指数型</w:t>
      </w:r>
      <w:r>
        <w:rPr>
          <w:rFonts w:hint="eastAsia" w:ascii="宋体" w:hAnsi="宋体"/>
          <w:b/>
          <w:bCs/>
          <w:sz w:val="48"/>
          <w:szCs w:val="48"/>
        </w:rPr>
        <w:t>证券投资基金</w:t>
      </w:r>
    </w:p>
    <w:p>
      <w:pPr>
        <w:spacing w:after="156" w:line="360" w:lineRule="auto"/>
        <w:jc w:val="center"/>
        <w:rPr>
          <w:rFonts w:ascii="宋体" w:hAnsi="宋体"/>
          <w:b/>
          <w:bCs/>
          <w:sz w:val="48"/>
          <w:szCs w:val="48"/>
        </w:rPr>
      </w:pPr>
      <w:r>
        <w:rPr>
          <w:rFonts w:ascii="宋体" w:hAnsi="宋体"/>
          <w:b/>
          <w:bCs/>
          <w:sz w:val="48"/>
          <w:szCs w:val="48"/>
        </w:rPr>
        <w:t>托管协议</w:t>
      </w:r>
    </w:p>
    <w:p>
      <w:pPr>
        <w:spacing w:after="156" w:line="500" w:lineRule="exact"/>
        <w:jc w:val="center"/>
        <w:rPr>
          <w:rFonts w:ascii="宋体"/>
          <w:bCs/>
          <w:sz w:val="44"/>
          <w:szCs w:val="44"/>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rPr>
          <w:rFonts w:ascii="宋体"/>
          <w:b/>
          <w:sz w:val="30"/>
          <w:szCs w:val="30"/>
        </w:rPr>
      </w:pPr>
    </w:p>
    <w:p>
      <w:pPr>
        <w:spacing w:after="156" w:line="500" w:lineRule="exact"/>
        <w:ind w:left="1028" w:leftChars="514"/>
        <w:rPr>
          <w:rFonts w:ascii="宋体"/>
          <w:b/>
          <w:bCs/>
          <w:sz w:val="36"/>
          <w:szCs w:val="36"/>
        </w:rPr>
      </w:pPr>
      <w:r>
        <w:rPr>
          <w:rFonts w:ascii="宋体" w:hAnsi="宋体"/>
          <w:b/>
          <w:bCs/>
          <w:sz w:val="36"/>
          <w:szCs w:val="36"/>
        </w:rPr>
        <w:t>基金管理人：</w:t>
      </w:r>
      <w:r>
        <w:rPr>
          <w:rFonts w:hint="eastAsia" w:ascii="宋体" w:hAnsi="宋体"/>
          <w:b/>
          <w:bCs/>
          <w:sz w:val="36"/>
          <w:szCs w:val="36"/>
        </w:rPr>
        <w:t>交银施罗德</w:t>
      </w:r>
      <w:r>
        <w:rPr>
          <w:rFonts w:ascii="宋体" w:hAnsi="宋体"/>
          <w:b/>
          <w:bCs/>
          <w:sz w:val="36"/>
          <w:szCs w:val="36"/>
        </w:rPr>
        <w:t>基金管理有限公司</w:t>
      </w:r>
    </w:p>
    <w:p>
      <w:pPr>
        <w:ind w:left="1028" w:leftChars="514"/>
        <w:rPr>
          <w:rFonts w:ascii="宋体" w:hAnsi="宋体"/>
          <w:b/>
          <w:bCs/>
          <w:sz w:val="36"/>
          <w:szCs w:val="36"/>
        </w:rPr>
      </w:pPr>
      <w:r>
        <w:rPr>
          <w:rFonts w:ascii="宋体" w:hAnsi="宋体"/>
          <w:b/>
          <w:bCs/>
          <w:sz w:val="36"/>
          <w:szCs w:val="36"/>
        </w:rPr>
        <w:t>基金托管人：</w:t>
      </w:r>
      <w:r>
        <w:rPr>
          <w:rFonts w:hint="eastAsia" w:ascii="宋体" w:hAnsi="宋体"/>
          <w:b/>
          <w:bCs/>
          <w:sz w:val="36"/>
          <w:szCs w:val="36"/>
        </w:rPr>
        <w:t>中信建投证券股份有限公司</w:t>
      </w:r>
    </w:p>
    <w:p>
      <w:pPr>
        <w:ind w:left="1028" w:leftChars="514"/>
        <w:rPr>
          <w:rFonts w:ascii="宋体" w:hAnsi="宋体"/>
          <w:b/>
          <w:bCs/>
          <w:sz w:val="36"/>
          <w:szCs w:val="36"/>
        </w:rPr>
      </w:pPr>
    </w:p>
    <w:p>
      <w:pPr>
        <w:ind w:left="1028" w:leftChars="514"/>
      </w:pPr>
    </w:p>
    <w:p>
      <w:pPr>
        <w:jc w:val="center"/>
        <w:sectPr>
          <w:footerReference r:id="rId6" w:type="first"/>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pPr>
      <w:r>
        <w:t xml:space="preserve"> </w:t>
      </w:r>
      <w:r>
        <w:rPr>
          <w:rFonts w:hint="eastAsia" w:ascii="宋体"/>
          <w:b/>
          <w:bCs/>
          <w:sz w:val="30"/>
        </w:rPr>
        <w:t>二零二五年十月</w:t>
      </w:r>
    </w:p>
    <w:p>
      <w:pPr>
        <w:spacing w:before="312" w:after="156" w:line="360" w:lineRule="auto"/>
        <w:jc w:val="center"/>
        <w:rPr>
          <w:rFonts w:ascii="宋体"/>
          <w:b/>
          <w:sz w:val="44"/>
          <w:szCs w:val="44"/>
        </w:rPr>
      </w:pPr>
      <w:r>
        <w:rPr>
          <w:rFonts w:ascii="宋体" w:hAnsi="宋体"/>
          <w:b/>
          <w:sz w:val="44"/>
          <w:szCs w:val="44"/>
        </w:rPr>
        <w:t>目  录</w:t>
      </w:r>
    </w:p>
    <w:p>
      <w:pPr>
        <w:pStyle w:val="25"/>
        <w:rPr>
          <w:rFonts w:asciiTheme="minorHAnsi" w:hAnsiTheme="minorHAnsi" w:eastAsiaTheme="minorEastAsia" w:cstheme="minorBidi"/>
          <w:b w:val="0"/>
          <w:caps w:val="0"/>
          <w:kern w:val="2"/>
          <w:sz w:val="21"/>
          <w:szCs w:val="22"/>
        </w:rPr>
      </w:pPr>
      <w:r>
        <w:rPr>
          <w:rStyle w:val="41"/>
          <w:rFonts w:ascii="宋体" w:hAnsi="宋体"/>
          <w:bCs/>
          <w:color w:val="auto"/>
          <w:sz w:val="32"/>
          <w:szCs w:val="32"/>
        </w:rPr>
        <w:fldChar w:fldCharType="begin"/>
      </w:r>
      <w:r>
        <w:rPr>
          <w:rStyle w:val="41"/>
          <w:rFonts w:ascii="宋体" w:hAnsi="宋体"/>
          <w:bCs/>
          <w:color w:val="auto"/>
          <w:sz w:val="32"/>
          <w:szCs w:val="32"/>
        </w:rPr>
        <w:instrText xml:space="preserve">TOC \h \z \t "标题 1,1" </w:instrText>
      </w:r>
      <w:r>
        <w:rPr>
          <w:rStyle w:val="41"/>
          <w:rFonts w:ascii="宋体" w:hAnsi="宋体"/>
          <w:bCs/>
          <w:color w:val="auto"/>
          <w:sz w:val="32"/>
          <w:szCs w:val="32"/>
        </w:rPr>
        <w:fldChar w:fldCharType="separate"/>
      </w:r>
      <w:r>
        <w:fldChar w:fldCharType="begin"/>
      </w:r>
      <w:r>
        <w:instrText xml:space="preserve"> HYPERLINK \l "_Toc196312611" </w:instrText>
      </w:r>
      <w:r>
        <w:fldChar w:fldCharType="separate"/>
      </w:r>
      <w:r>
        <w:rPr>
          <w:rStyle w:val="41"/>
          <w:color w:val="auto"/>
        </w:rPr>
        <w:t>一、基金托管协议当事人</w:t>
      </w:r>
      <w:r>
        <w:tab/>
      </w:r>
      <w:r>
        <w:fldChar w:fldCharType="begin"/>
      </w:r>
      <w:r>
        <w:instrText xml:space="preserve"> PAGEREF _Toc196312611 \h </w:instrText>
      </w:r>
      <w:r>
        <w:fldChar w:fldCharType="separate"/>
      </w:r>
      <w:r>
        <w:t>3</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"_Toc196312612" </w:instrText>
      </w:r>
      <w:r>
        <w:fldChar w:fldCharType="separate"/>
      </w:r>
      <w:r>
        <w:rPr>
          <w:rStyle w:val="41"/>
          <w:color w:val="auto"/>
        </w:rPr>
        <w:t>二、基金托管协议的依据、目的和原则</w:t>
      </w:r>
      <w:r>
        <w:tab/>
      </w:r>
      <w:r>
        <w:fldChar w:fldCharType="begin"/>
      </w:r>
      <w:r>
        <w:instrText xml:space="preserve"> PAGEREF _Toc196312612 \h </w:instrText>
      </w:r>
      <w:r>
        <w:fldChar w:fldCharType="separate"/>
      </w:r>
      <w:r>
        <w:t>3</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"_Toc196312613" </w:instrText>
      </w:r>
      <w:r>
        <w:fldChar w:fldCharType="separate"/>
      </w:r>
      <w:r>
        <w:rPr>
          <w:rStyle w:val="41"/>
          <w:color w:val="auto"/>
        </w:rPr>
        <w:t>三、基金托管人对基金管理人的业务监督和核查</w:t>
      </w:r>
      <w:r>
        <w:tab/>
      </w:r>
      <w:r>
        <w:fldChar w:fldCharType="begin"/>
      </w:r>
      <w:r>
        <w:instrText xml:space="preserve"> PAGEREF _Toc196312613 \h </w:instrText>
      </w:r>
      <w:r>
        <w:fldChar w:fldCharType="separate"/>
      </w:r>
      <w:r>
        <w:t>4</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"_Toc196312614" </w:instrText>
      </w:r>
      <w:r>
        <w:fldChar w:fldCharType="separate"/>
      </w:r>
      <w:r>
        <w:rPr>
          <w:rStyle w:val="41"/>
          <w:color w:val="auto"/>
        </w:rPr>
        <w:t>四、基金管理人对基金托管人的业务核查</w:t>
      </w:r>
      <w:r>
        <w:tab/>
      </w:r>
      <w:r>
        <w:fldChar w:fldCharType="begin"/>
      </w:r>
      <w:r>
        <w:instrText xml:space="preserve"> PAGEREF _Toc196312614 \h </w:instrText>
      </w:r>
      <w:r>
        <w:fldChar w:fldCharType="separate"/>
      </w:r>
      <w:r>
        <w:t>12</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"_Toc196312615" </w:instrText>
      </w:r>
      <w:r>
        <w:fldChar w:fldCharType="separate"/>
      </w:r>
      <w:r>
        <w:rPr>
          <w:rStyle w:val="41"/>
          <w:color w:val="auto"/>
        </w:rPr>
        <w:t>五、基金财产的保管</w:t>
      </w:r>
      <w:r>
        <w:tab/>
      </w:r>
      <w:r>
        <w:fldChar w:fldCharType="begin"/>
      </w:r>
      <w:r>
        <w:instrText xml:space="preserve"> PAGEREF _Toc196312615 \h </w:instrText>
      </w:r>
      <w:r>
        <w:fldChar w:fldCharType="separate"/>
      </w:r>
      <w:r>
        <w:t>12</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"_Toc196312616" </w:instrText>
      </w:r>
      <w:r>
        <w:fldChar w:fldCharType="separate"/>
      </w:r>
      <w:r>
        <w:rPr>
          <w:rStyle w:val="41"/>
          <w:color w:val="auto"/>
        </w:rPr>
        <w:t>六、指令的发送、确认和执行</w:t>
      </w:r>
      <w:r>
        <w:tab/>
      </w:r>
      <w:r>
        <w:fldChar w:fldCharType="begin"/>
      </w:r>
      <w:r>
        <w:instrText xml:space="preserve"> PAGEREF _Toc196312616 \h </w:instrText>
      </w:r>
      <w:r>
        <w:fldChar w:fldCharType="separate"/>
      </w:r>
      <w:r>
        <w:t>16</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"_Toc196312617" </w:instrText>
      </w:r>
      <w:r>
        <w:fldChar w:fldCharType="separate"/>
      </w:r>
      <w:r>
        <w:rPr>
          <w:rStyle w:val="41"/>
          <w:color w:val="auto"/>
        </w:rPr>
        <w:t>七、交易及清算交收安排</w:t>
      </w:r>
      <w:r>
        <w:tab/>
      </w:r>
      <w:r>
        <w:fldChar w:fldCharType="begin"/>
      </w:r>
      <w:r>
        <w:instrText xml:space="preserve"> PAGEREF _Toc196312617 \h </w:instrText>
      </w:r>
      <w:r>
        <w:fldChar w:fldCharType="separate"/>
      </w:r>
      <w:r>
        <w:t>18</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"_Toc196312618" </w:instrText>
      </w:r>
      <w:r>
        <w:fldChar w:fldCharType="separate"/>
      </w:r>
      <w:r>
        <w:rPr>
          <w:rStyle w:val="41"/>
          <w:color w:val="auto"/>
        </w:rPr>
        <w:t>八、基金资产净值计算和会计核算</w:t>
      </w:r>
      <w:r>
        <w:tab/>
      </w:r>
      <w:r>
        <w:fldChar w:fldCharType="begin"/>
      </w:r>
      <w:r>
        <w:instrText xml:space="preserve"> PAGEREF _Toc196312618 \h </w:instrText>
      </w:r>
      <w:r>
        <w:fldChar w:fldCharType="separate"/>
      </w:r>
      <w:r>
        <w:t>22</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"_Toc196312619" </w:instrText>
      </w:r>
      <w:r>
        <w:fldChar w:fldCharType="separate"/>
      </w:r>
      <w:r>
        <w:rPr>
          <w:rStyle w:val="41"/>
          <w:color w:val="auto"/>
        </w:rPr>
        <w:t>九、基金收益分配</w:t>
      </w:r>
      <w:r>
        <w:tab/>
      </w:r>
      <w:r>
        <w:fldChar w:fldCharType="begin"/>
      </w:r>
      <w:r>
        <w:instrText xml:space="preserve"> PAGEREF _Toc196312619 \h </w:instrText>
      </w:r>
      <w:r>
        <w:fldChar w:fldCharType="separate"/>
      </w:r>
      <w:r>
        <w:t>28</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"_Toc196312620" </w:instrText>
      </w:r>
      <w:r>
        <w:fldChar w:fldCharType="separate"/>
      </w:r>
      <w:r>
        <w:rPr>
          <w:rStyle w:val="41"/>
          <w:color w:val="auto"/>
        </w:rPr>
        <w:t>十、基金信息披露</w:t>
      </w:r>
      <w:r>
        <w:tab/>
      </w:r>
      <w:r>
        <w:fldChar w:fldCharType="begin"/>
      </w:r>
      <w:r>
        <w:instrText xml:space="preserve"> PAGEREF _Toc196312620 \h </w:instrText>
      </w:r>
      <w:r>
        <w:fldChar w:fldCharType="separate"/>
      </w:r>
      <w:r>
        <w:t>29</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"_Toc196312621" </w:instrText>
      </w:r>
      <w:r>
        <w:fldChar w:fldCharType="separate"/>
      </w:r>
      <w:r>
        <w:rPr>
          <w:rStyle w:val="41"/>
          <w:color w:val="auto"/>
        </w:rPr>
        <w:t>十一、基金费用</w:t>
      </w:r>
      <w:r>
        <w:tab/>
      </w:r>
      <w:r>
        <w:fldChar w:fldCharType="begin"/>
      </w:r>
      <w:r>
        <w:instrText xml:space="preserve"> PAGEREF _Toc196312621 \h </w:instrText>
      </w:r>
      <w:r>
        <w:fldChar w:fldCharType="separate"/>
      </w:r>
      <w:r>
        <w:t>31</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"_Toc196312622" </w:instrText>
      </w:r>
      <w:r>
        <w:fldChar w:fldCharType="separate"/>
      </w:r>
      <w:r>
        <w:rPr>
          <w:rStyle w:val="41"/>
          <w:color w:val="auto"/>
        </w:rPr>
        <w:t>十二、基金份额持有人名册的保管</w:t>
      </w:r>
      <w:r>
        <w:tab/>
      </w:r>
      <w:r>
        <w:fldChar w:fldCharType="begin"/>
      </w:r>
      <w:r>
        <w:instrText xml:space="preserve"> PAGEREF _Toc196312622 \h </w:instrText>
      </w:r>
      <w:r>
        <w:fldChar w:fldCharType="separate"/>
      </w:r>
      <w:r>
        <w:t>32</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"_Toc196312623" </w:instrText>
      </w:r>
      <w:r>
        <w:fldChar w:fldCharType="separate"/>
      </w:r>
      <w:r>
        <w:rPr>
          <w:rStyle w:val="41"/>
          <w:color w:val="auto"/>
        </w:rPr>
        <w:t>十三、基金有关文件档案的保存</w:t>
      </w:r>
      <w:r>
        <w:tab/>
      </w:r>
      <w:r>
        <w:fldChar w:fldCharType="begin"/>
      </w:r>
      <w:r>
        <w:instrText xml:space="preserve"> PAGEREF _Toc196312623 \h </w:instrText>
      </w:r>
      <w:r>
        <w:fldChar w:fldCharType="separate"/>
      </w:r>
      <w:r>
        <w:t>33</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"_Toc196312624" </w:instrText>
      </w:r>
      <w:r>
        <w:fldChar w:fldCharType="separate"/>
      </w:r>
      <w:r>
        <w:rPr>
          <w:rStyle w:val="41"/>
          <w:color w:val="auto"/>
        </w:rPr>
        <w:t>十四、基金管理人和基金托管人的更换</w:t>
      </w:r>
      <w:r>
        <w:tab/>
      </w:r>
      <w:r>
        <w:fldChar w:fldCharType="begin"/>
      </w:r>
      <w:r>
        <w:instrText xml:space="preserve"> PAGEREF _Toc196312624 \h </w:instrText>
      </w:r>
      <w:r>
        <w:fldChar w:fldCharType="separate"/>
      </w:r>
      <w:r>
        <w:t>33</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"_Toc196312625" </w:instrText>
      </w:r>
      <w:r>
        <w:fldChar w:fldCharType="separate"/>
      </w:r>
      <w:r>
        <w:rPr>
          <w:rStyle w:val="41"/>
          <w:color w:val="auto"/>
        </w:rPr>
        <w:t>十五、禁止行为</w:t>
      </w:r>
      <w:r>
        <w:tab/>
      </w:r>
      <w:r>
        <w:fldChar w:fldCharType="begin"/>
      </w:r>
      <w:r>
        <w:instrText xml:space="preserve"> PAGEREF _Toc196312625 \h </w:instrText>
      </w:r>
      <w:r>
        <w:fldChar w:fldCharType="separate"/>
      </w:r>
      <w:r>
        <w:t>36</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"_Toc196312626" </w:instrText>
      </w:r>
      <w:r>
        <w:fldChar w:fldCharType="separate"/>
      </w:r>
      <w:r>
        <w:rPr>
          <w:rStyle w:val="41"/>
          <w:color w:val="auto"/>
        </w:rPr>
        <w:t>十六、基金托管协议的变更、终止与基金财产的清算</w:t>
      </w:r>
      <w:r>
        <w:tab/>
      </w:r>
      <w:r>
        <w:fldChar w:fldCharType="begin"/>
      </w:r>
      <w:r>
        <w:instrText xml:space="preserve"> PAGEREF _Toc196312626 \h </w:instrText>
      </w:r>
      <w:r>
        <w:fldChar w:fldCharType="separate"/>
      </w:r>
      <w:r>
        <w:t>37</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"_Toc196312627" </w:instrText>
      </w:r>
      <w:r>
        <w:fldChar w:fldCharType="separate"/>
      </w:r>
      <w:r>
        <w:rPr>
          <w:rStyle w:val="41"/>
          <w:color w:val="auto"/>
        </w:rPr>
        <w:t>十七、违约责任</w:t>
      </w:r>
      <w:r>
        <w:tab/>
      </w:r>
      <w:r>
        <w:fldChar w:fldCharType="begin"/>
      </w:r>
      <w:r>
        <w:instrText xml:space="preserve"> PAGEREF _Toc196312627 \h </w:instrText>
      </w:r>
      <w:r>
        <w:fldChar w:fldCharType="separate"/>
      </w:r>
      <w:r>
        <w:t>38</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"_Toc196312628" </w:instrText>
      </w:r>
      <w:r>
        <w:fldChar w:fldCharType="separate"/>
      </w:r>
      <w:r>
        <w:rPr>
          <w:rStyle w:val="41"/>
          <w:color w:val="auto"/>
        </w:rPr>
        <w:t>十八、争议解决方式</w:t>
      </w:r>
      <w:r>
        <w:tab/>
      </w:r>
      <w:r>
        <w:fldChar w:fldCharType="begin"/>
      </w:r>
      <w:r>
        <w:instrText xml:space="preserve"> PAGEREF _Toc196312628 \h </w:instrText>
      </w:r>
      <w:r>
        <w:fldChar w:fldCharType="separate"/>
      </w:r>
      <w:r>
        <w:t>40</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"_Toc196312629" </w:instrText>
      </w:r>
      <w:r>
        <w:fldChar w:fldCharType="separate"/>
      </w:r>
      <w:r>
        <w:rPr>
          <w:rStyle w:val="41"/>
          <w:color w:val="auto"/>
        </w:rPr>
        <w:t>十九、基金托管协议的效力</w:t>
      </w:r>
      <w:r>
        <w:tab/>
      </w:r>
      <w:r>
        <w:fldChar w:fldCharType="begin"/>
      </w:r>
      <w:r>
        <w:instrText xml:space="preserve"> PAGEREF _Toc196312629 \h </w:instrText>
      </w:r>
      <w:r>
        <w:fldChar w:fldCharType="separate"/>
      </w:r>
      <w:r>
        <w:t>40</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"_Toc196312630" </w:instrText>
      </w:r>
      <w:r>
        <w:fldChar w:fldCharType="separate"/>
      </w:r>
      <w:r>
        <w:rPr>
          <w:rStyle w:val="41"/>
          <w:color w:val="auto"/>
        </w:rPr>
        <w:t>二十、其他事项</w:t>
      </w:r>
      <w:r>
        <w:tab/>
      </w:r>
      <w:r>
        <w:fldChar w:fldCharType="begin"/>
      </w:r>
      <w:r>
        <w:instrText xml:space="preserve"> PAGEREF _Toc196312630 \h </w:instrText>
      </w:r>
      <w:r>
        <w:fldChar w:fldCharType="separate"/>
      </w:r>
      <w:r>
        <w:t>41</w:t>
      </w:r>
      <w:r>
        <w:fldChar w:fldCharType="end"/>
      </w:r>
      <w:r>
        <w:fldChar w:fldCharType="end"/>
      </w:r>
    </w:p>
    <w:p>
      <w:pPr>
        <w:pStyle w:val="25"/>
        <w:rPr>
          <w:rFonts w:asciiTheme="minorHAnsi" w:hAnsiTheme="minorHAnsi" w:eastAsiaTheme="minorEastAsia" w:cstheme="minorBidi"/>
          <w:b w:val="0"/>
          <w:caps w:val="0"/>
          <w:kern w:val="2"/>
          <w:sz w:val="21"/>
          <w:szCs w:val="22"/>
        </w:rPr>
      </w:pPr>
      <w:r>
        <w:fldChar w:fldCharType="begin"/>
      </w:r>
      <w:r>
        <w:instrText xml:space="preserve"> HYPERLINK \l "_Toc196312631" </w:instrText>
      </w:r>
      <w:r>
        <w:fldChar w:fldCharType="separate"/>
      </w:r>
      <w:r>
        <w:rPr>
          <w:rStyle w:val="41"/>
          <w:color w:val="auto"/>
        </w:rPr>
        <w:t>二十一、基金托管协议的签订</w:t>
      </w:r>
      <w:r>
        <w:tab/>
      </w:r>
      <w:r>
        <w:fldChar w:fldCharType="begin"/>
      </w:r>
      <w:r>
        <w:instrText xml:space="preserve"> PAGEREF _Toc196312631 \h </w:instrText>
      </w:r>
      <w:r>
        <w:fldChar w:fldCharType="separate"/>
      </w:r>
      <w:r>
        <w:t>41</w:t>
      </w:r>
      <w:r>
        <w:fldChar w:fldCharType="end"/>
      </w:r>
      <w:r>
        <w:fldChar w:fldCharType="end"/>
      </w:r>
    </w:p>
    <w:p>
      <w:pPr>
        <w:tabs>
          <w:tab w:val="right" w:leader="dot" w:pos="8296"/>
        </w:tabs>
        <w:spacing w:line="360" w:lineRule="auto"/>
        <w:ind w:firstLine="640" w:firstLineChars="200"/>
        <w:rPr>
          <w:rStyle w:val="41"/>
          <w:rFonts w:ascii="宋体"/>
          <w:bCs/>
          <w:color w:val="auto"/>
        </w:rPr>
      </w:pPr>
      <w:r>
        <w:rPr>
          <w:rStyle w:val="41"/>
          <w:rFonts w:ascii="宋体" w:hAnsi="宋体"/>
          <w:bCs/>
          <w:color w:val="auto"/>
          <w:sz w:val="32"/>
          <w:szCs w:val="32"/>
        </w:rPr>
        <w:fldChar w:fldCharType="end"/>
      </w:r>
      <w:r>
        <w:br w:type="page"/>
      </w:r>
      <w:bookmarkStart w:id="0" w:name="_Toc125892432"/>
      <w:bookmarkStart w:id="1" w:name="_Toc523829992"/>
      <w:bookmarkStart w:id="2" w:name="_Toc22454432"/>
    </w:p>
    <w:p>
      <w:pPr>
        <w:tabs>
          <w:tab w:val="right" w:leader="dot" w:pos="8296"/>
        </w:tabs>
        <w:spacing w:line="360" w:lineRule="auto"/>
        <w:ind w:firstLine="480" w:firstLineChars="200"/>
        <w:rPr>
          <w:rFonts w:ascii="宋体"/>
          <w:sz w:val="24"/>
        </w:rPr>
      </w:pPr>
      <w:r>
        <w:rPr>
          <w:rFonts w:ascii="宋体" w:hAnsi="宋体"/>
          <w:sz w:val="24"/>
        </w:rPr>
        <w:t>鉴于交银施罗德基金管理有限公司系一家依照中国法律合法成立并有效存续的有限公司，拟募集</w:t>
      </w:r>
      <w:r>
        <w:rPr>
          <w:rFonts w:hint="eastAsia" w:ascii="宋体" w:hAnsi="宋体"/>
          <w:sz w:val="24"/>
        </w:rPr>
        <w:t>注册交银施罗德中证港股通央企红利指数型证券投资基金</w:t>
      </w:r>
      <w:r>
        <w:rPr>
          <w:rFonts w:ascii="宋体" w:hAnsi="宋体"/>
          <w:sz w:val="24"/>
        </w:rPr>
        <w:t>（以下简称“本基金”或“基金”）；</w:t>
      </w:r>
      <w:bookmarkEnd w:id="0"/>
    </w:p>
    <w:p>
      <w:pPr>
        <w:spacing w:line="360" w:lineRule="auto"/>
        <w:ind w:firstLine="480" w:firstLineChars="200"/>
        <w:rPr>
          <w:rFonts w:ascii="宋体"/>
          <w:sz w:val="24"/>
        </w:rPr>
      </w:pPr>
      <w:bookmarkStart w:id="3" w:name="_Toc125892433"/>
      <w:r>
        <w:rPr>
          <w:rFonts w:ascii="宋体" w:hAnsi="宋体"/>
          <w:sz w:val="24"/>
        </w:rPr>
        <w:t>鉴于</w:t>
      </w:r>
      <w:r>
        <w:rPr>
          <w:rFonts w:hint="eastAsia" w:ascii="宋体" w:hAnsi="宋体"/>
          <w:sz w:val="24"/>
        </w:rPr>
        <w:t>中信建投证券股份有限公司</w:t>
      </w:r>
      <w:r>
        <w:rPr>
          <w:rFonts w:ascii="宋体" w:hAnsi="宋体"/>
          <w:sz w:val="24"/>
        </w:rPr>
        <w:t>系一家依照中国法律合法成立并有效存续的</w:t>
      </w:r>
      <w:r>
        <w:rPr>
          <w:rFonts w:hint="eastAsia" w:ascii="宋体" w:hAnsi="宋体"/>
          <w:sz w:val="24"/>
        </w:rPr>
        <w:t>证券公司</w:t>
      </w:r>
      <w:r>
        <w:rPr>
          <w:rFonts w:ascii="宋体" w:hAnsi="宋体"/>
          <w:sz w:val="24"/>
        </w:rPr>
        <w:t>，按照相关法律法规的规定具备担任基金托管人的资格和能力；</w:t>
      </w:r>
      <w:bookmarkEnd w:id="3"/>
      <w:bookmarkStart w:id="129" w:name="_GoBack"/>
      <w:bookmarkEnd w:id="129"/>
    </w:p>
    <w:p>
      <w:pPr>
        <w:spacing w:line="360" w:lineRule="auto"/>
        <w:ind w:firstLine="480" w:firstLineChars="200"/>
        <w:rPr>
          <w:rFonts w:ascii="宋体"/>
          <w:sz w:val="24"/>
        </w:rPr>
      </w:pPr>
      <w:bookmarkStart w:id="4" w:name="_Toc125892434"/>
      <w:r>
        <w:rPr>
          <w:rFonts w:ascii="宋体" w:hAnsi="宋体"/>
          <w:sz w:val="24"/>
        </w:rPr>
        <w:t>鉴于交银施罗德基金管理有限公司拟担任</w:t>
      </w:r>
      <w:r>
        <w:rPr>
          <w:rFonts w:hint="eastAsia" w:ascii="宋体" w:hAnsi="宋体"/>
          <w:sz w:val="24"/>
        </w:rPr>
        <w:t>交银施罗德中证港股通央企红利指数型证券投资基金</w:t>
      </w:r>
      <w:r>
        <w:rPr>
          <w:rFonts w:ascii="宋体" w:hAnsi="宋体"/>
          <w:sz w:val="24"/>
        </w:rPr>
        <w:t>的基金管理人，</w:t>
      </w:r>
      <w:r>
        <w:rPr>
          <w:rFonts w:hint="eastAsia" w:ascii="宋体" w:hAnsi="宋体"/>
          <w:sz w:val="24"/>
        </w:rPr>
        <w:t>中信建投证券股份有限公司</w:t>
      </w:r>
      <w:r>
        <w:rPr>
          <w:rFonts w:ascii="宋体" w:hAnsi="宋体"/>
          <w:sz w:val="24"/>
        </w:rPr>
        <w:t>拟担任</w:t>
      </w:r>
      <w:r>
        <w:rPr>
          <w:rFonts w:hint="eastAsia" w:ascii="宋体" w:hAnsi="宋体"/>
          <w:sz w:val="24"/>
        </w:rPr>
        <w:t>交银施罗德中证港股通央企红利指数型证券投资基金</w:t>
      </w:r>
      <w:r>
        <w:rPr>
          <w:rFonts w:ascii="宋体" w:hAnsi="宋体"/>
          <w:sz w:val="24"/>
        </w:rPr>
        <w:t>的基金托管人；</w:t>
      </w:r>
      <w:bookmarkEnd w:id="4"/>
    </w:p>
    <w:p>
      <w:pPr>
        <w:spacing w:line="360" w:lineRule="auto"/>
        <w:ind w:firstLine="480" w:firstLineChars="200"/>
        <w:rPr>
          <w:rFonts w:ascii="宋体"/>
          <w:sz w:val="24"/>
        </w:rPr>
      </w:pPr>
      <w:bookmarkStart w:id="5" w:name="_Toc125892435"/>
      <w:r>
        <w:rPr>
          <w:rFonts w:ascii="宋体" w:hAnsi="宋体"/>
          <w:sz w:val="24"/>
        </w:rPr>
        <w:t>为明确</w:t>
      </w:r>
      <w:r>
        <w:rPr>
          <w:rFonts w:hint="eastAsia" w:ascii="宋体" w:hAnsi="宋体"/>
          <w:sz w:val="24"/>
        </w:rPr>
        <w:t>交银施罗德中证港股通央企红利指数型证券投资基金</w:t>
      </w:r>
      <w:r>
        <w:rPr>
          <w:rFonts w:ascii="宋体" w:hAnsi="宋体"/>
          <w:sz w:val="24"/>
        </w:rPr>
        <w:t>的基金管理人和基金托管人之间的权利义务关系，特制订本协议；</w:t>
      </w:r>
      <w:bookmarkEnd w:id="5"/>
    </w:p>
    <w:p>
      <w:pPr>
        <w:spacing w:line="360" w:lineRule="auto"/>
        <w:ind w:firstLine="480" w:firstLineChars="200"/>
        <w:rPr>
          <w:rFonts w:ascii="宋体"/>
          <w:sz w:val="24"/>
        </w:rPr>
      </w:pPr>
      <w:bookmarkStart w:id="6" w:name="_Toc125892436"/>
      <w:r>
        <w:rPr>
          <w:rFonts w:ascii="宋体" w:hAnsi="宋体"/>
          <w:sz w:val="24"/>
        </w:rPr>
        <w:t>除非文义另有所指，本协议的所有术语与《</w:t>
      </w:r>
      <w:r>
        <w:rPr>
          <w:rFonts w:hint="eastAsia" w:ascii="宋体" w:hAnsi="宋体"/>
          <w:sz w:val="24"/>
        </w:rPr>
        <w:t>交银施罗德中证港股通央企红利指数型证券投资基金</w:t>
      </w:r>
      <w:r>
        <w:rPr>
          <w:rFonts w:ascii="宋体" w:hAnsi="宋体"/>
          <w:sz w:val="24"/>
        </w:rPr>
        <w:t>基金合同》（以下简称《基金合同》</w:t>
      </w:r>
      <w:r>
        <w:rPr>
          <w:rFonts w:hint="eastAsia" w:ascii="宋体" w:hAnsi="宋体"/>
          <w:sz w:val="24"/>
        </w:rPr>
        <w:t>或基金合同</w:t>
      </w:r>
      <w:r>
        <w:rPr>
          <w:rFonts w:ascii="宋体" w:hAnsi="宋体"/>
          <w:sz w:val="24"/>
        </w:rPr>
        <w:t>）中定义的相应术语具有相同的含义。若有抵触应以《基金合同》为准，并依其条款解释。</w:t>
      </w:r>
      <w:bookmarkEnd w:id="6"/>
      <w:bookmarkStart w:id="7" w:name="_Toc125892437"/>
    </w:p>
    <w:p>
      <w:pPr>
        <w:pStyle w:val="2"/>
        <w:rPr>
          <w:color w:val="auto"/>
        </w:rPr>
      </w:pPr>
      <w:r>
        <w:br w:type="page"/>
      </w:r>
      <w:bookmarkStart w:id="8" w:name="_Toc196312611"/>
      <w:r>
        <w:rPr>
          <w:color w:val="auto"/>
        </w:rPr>
        <w:t>一、基金托管协议当事人</w:t>
      </w:r>
      <w:bookmarkEnd w:id="1"/>
      <w:bookmarkEnd w:id="2"/>
      <w:bookmarkEnd w:id="7"/>
      <w:bookmarkEnd w:id="8"/>
    </w:p>
    <w:p>
      <w:pPr>
        <w:tabs>
          <w:tab w:val="left" w:pos="3780"/>
        </w:tabs>
        <w:autoSpaceDE w:val="0"/>
        <w:autoSpaceDN w:val="0"/>
        <w:spacing w:before="156" w:after="156" w:line="360" w:lineRule="auto"/>
        <w:outlineLvl w:val="0"/>
        <w:rPr>
          <w:rFonts w:ascii="宋体"/>
          <w:b/>
          <w:bCs/>
          <w:sz w:val="24"/>
        </w:rPr>
      </w:pPr>
      <w:bookmarkStart w:id="9" w:name="_Toc77662992"/>
      <w:bookmarkStart w:id="10" w:name="_Toc22454433"/>
      <w:r>
        <w:rPr>
          <w:rFonts w:ascii="宋体" w:hAnsi="宋体"/>
          <w:b/>
          <w:bCs/>
          <w:sz w:val="24"/>
        </w:rPr>
        <w:t>（一）基金管理人</w:t>
      </w:r>
      <w:bookmarkEnd w:id="9"/>
      <w:bookmarkEnd w:id="10"/>
    </w:p>
    <w:p>
      <w:pPr>
        <w:spacing w:line="360" w:lineRule="auto"/>
        <w:ind w:firstLine="480"/>
        <w:rPr>
          <w:rFonts w:ascii="宋体"/>
          <w:sz w:val="24"/>
        </w:rPr>
      </w:pPr>
      <w:r>
        <w:rPr>
          <w:rFonts w:ascii="宋体" w:hAnsi="宋体"/>
          <w:sz w:val="24"/>
        </w:rPr>
        <w:t>名称：交银施罗德基金管理有限公司</w:t>
      </w:r>
    </w:p>
    <w:p>
      <w:pPr>
        <w:spacing w:line="360" w:lineRule="auto"/>
        <w:ind w:firstLine="480"/>
        <w:rPr>
          <w:rFonts w:ascii="宋体"/>
          <w:sz w:val="24"/>
        </w:rPr>
      </w:pPr>
      <w:r>
        <w:rPr>
          <w:rFonts w:ascii="宋体" w:hAnsi="宋体"/>
          <w:sz w:val="24"/>
        </w:rPr>
        <w:t>住所：</w:t>
      </w:r>
      <w:r>
        <w:rPr>
          <w:rFonts w:ascii="宋体"/>
          <w:sz w:val="24"/>
        </w:rPr>
        <w:t xml:space="preserve"> </w:t>
      </w:r>
      <w:r>
        <w:rPr>
          <w:rFonts w:hint="eastAsia" w:ascii="宋体"/>
          <w:sz w:val="24"/>
        </w:rPr>
        <w:t>中国（上海）自由贸易试验区银城中路188号交通银行大楼二层（裙）</w:t>
      </w:r>
    </w:p>
    <w:p>
      <w:pPr>
        <w:tabs>
          <w:tab w:val="left" w:pos="2200"/>
        </w:tabs>
        <w:spacing w:line="360" w:lineRule="auto"/>
        <w:ind w:firstLine="480"/>
        <w:rPr>
          <w:rFonts w:ascii="宋体"/>
          <w:sz w:val="24"/>
        </w:rPr>
      </w:pPr>
      <w:r>
        <w:rPr>
          <w:rFonts w:ascii="宋体" w:hAnsi="宋体"/>
          <w:sz w:val="24"/>
        </w:rPr>
        <w:t>办公地址：</w:t>
      </w:r>
      <w:r>
        <w:rPr>
          <w:rFonts w:hint="eastAsia" w:ascii="宋体" w:hAnsi="宋体"/>
          <w:sz w:val="24"/>
        </w:rPr>
        <w:t>上海市浦东新区世纪大道8号国金中心二期21-22楼</w:t>
      </w:r>
      <w:r>
        <w:rPr>
          <w:rFonts w:ascii="宋体" w:hAnsi="宋体"/>
          <w:sz w:val="24"/>
        </w:rPr>
        <w:tab/>
      </w:r>
    </w:p>
    <w:p>
      <w:pPr>
        <w:spacing w:line="360" w:lineRule="auto"/>
        <w:ind w:firstLine="480"/>
        <w:rPr>
          <w:sz w:val="24"/>
        </w:rPr>
      </w:pPr>
      <w:r>
        <w:rPr>
          <w:rFonts w:ascii="宋体" w:hAnsi="宋体"/>
          <w:sz w:val="24"/>
        </w:rPr>
        <w:t>法定代表人：</w:t>
      </w:r>
      <w:r>
        <w:rPr>
          <w:rFonts w:hint="eastAsia" w:ascii="宋体" w:hAnsi="宋体"/>
          <w:sz w:val="24"/>
        </w:rPr>
        <w:t>张宏良</w:t>
      </w:r>
    </w:p>
    <w:p>
      <w:pPr>
        <w:spacing w:line="360" w:lineRule="auto"/>
        <w:ind w:firstLine="480"/>
        <w:rPr>
          <w:rFonts w:ascii="宋体"/>
          <w:sz w:val="24"/>
        </w:rPr>
      </w:pPr>
      <w:r>
        <w:rPr>
          <w:rFonts w:ascii="宋体" w:hAnsi="宋体"/>
          <w:sz w:val="24"/>
        </w:rPr>
        <w:t>成立时间：</w:t>
      </w:r>
      <w:r>
        <w:rPr>
          <w:rFonts w:hint="eastAsia" w:ascii="宋体"/>
          <w:sz w:val="24"/>
        </w:rPr>
        <w:t>2005年8月4日</w:t>
      </w:r>
    </w:p>
    <w:p>
      <w:pPr>
        <w:spacing w:line="360" w:lineRule="auto"/>
        <w:ind w:firstLine="480"/>
        <w:rPr>
          <w:rFonts w:ascii="宋体"/>
          <w:sz w:val="24"/>
        </w:rPr>
      </w:pPr>
      <w:r>
        <w:rPr>
          <w:rFonts w:ascii="宋体" w:hAnsi="宋体"/>
          <w:sz w:val="24"/>
        </w:rPr>
        <w:t>批准设立机关及批准设立文号：</w:t>
      </w:r>
      <w:r>
        <w:rPr>
          <w:rFonts w:hint="eastAsia" w:ascii="宋体"/>
          <w:sz w:val="24"/>
        </w:rPr>
        <w:t>中国证监会证监基金字[2005]128号</w:t>
      </w:r>
    </w:p>
    <w:p>
      <w:pPr>
        <w:spacing w:line="360" w:lineRule="auto"/>
        <w:ind w:firstLine="480"/>
        <w:rPr>
          <w:sz w:val="24"/>
        </w:rPr>
      </w:pPr>
      <w:r>
        <w:rPr>
          <w:rFonts w:ascii="宋体" w:hAnsi="宋体"/>
          <w:sz w:val="24"/>
        </w:rPr>
        <w:t>注册资本：</w:t>
      </w:r>
      <w:r>
        <w:rPr>
          <w:rFonts w:hint="eastAsia" w:ascii="宋体" w:hAnsi="宋体"/>
          <w:sz w:val="24"/>
        </w:rPr>
        <w:t>2亿元人民币</w:t>
      </w:r>
      <w:r>
        <w:rPr>
          <w:sz w:val="24"/>
        </w:rPr>
        <w:t xml:space="preserve"> </w:t>
      </w:r>
    </w:p>
    <w:p>
      <w:pPr>
        <w:spacing w:line="360" w:lineRule="auto"/>
        <w:ind w:firstLine="480"/>
        <w:rPr>
          <w:rFonts w:ascii="宋体"/>
          <w:sz w:val="24"/>
        </w:rPr>
      </w:pPr>
      <w:r>
        <w:rPr>
          <w:rFonts w:ascii="宋体" w:hAnsi="宋体"/>
          <w:sz w:val="24"/>
        </w:rPr>
        <w:t>组织形式：</w:t>
      </w:r>
      <w:r>
        <w:rPr>
          <w:rFonts w:hint="eastAsia" w:ascii="宋体" w:hAnsi="宋体"/>
          <w:sz w:val="24"/>
        </w:rPr>
        <w:t>有限责任公司</w:t>
      </w:r>
      <w:r>
        <w:rPr>
          <w:rFonts w:ascii="宋体"/>
          <w:sz w:val="24"/>
        </w:rPr>
        <w:t xml:space="preserve"> </w:t>
      </w:r>
    </w:p>
    <w:p>
      <w:pPr>
        <w:spacing w:line="360" w:lineRule="auto"/>
        <w:ind w:firstLine="480" w:firstLineChars="200"/>
        <w:rPr>
          <w:rFonts w:ascii="宋体"/>
          <w:sz w:val="24"/>
        </w:rPr>
      </w:pPr>
      <w:r>
        <w:rPr>
          <w:rFonts w:ascii="宋体" w:hAnsi="宋体"/>
          <w:sz w:val="24"/>
        </w:rPr>
        <w:t>存续期间：</w:t>
      </w:r>
      <w:r>
        <w:rPr>
          <w:rFonts w:hint="eastAsia" w:ascii="宋体"/>
          <w:sz w:val="24"/>
        </w:rPr>
        <w:t>持续经营</w:t>
      </w:r>
    </w:p>
    <w:p>
      <w:pPr>
        <w:tabs>
          <w:tab w:val="left" w:pos="3780"/>
        </w:tabs>
        <w:autoSpaceDE w:val="0"/>
        <w:autoSpaceDN w:val="0"/>
        <w:spacing w:before="156" w:after="156" w:line="360" w:lineRule="auto"/>
        <w:outlineLvl w:val="0"/>
        <w:rPr>
          <w:rFonts w:ascii="宋体"/>
          <w:b/>
          <w:bCs/>
          <w:sz w:val="24"/>
        </w:rPr>
      </w:pPr>
      <w:bookmarkStart w:id="11" w:name="_Toc77662993"/>
      <w:bookmarkStart w:id="12" w:name="_Toc22454434"/>
      <w:r>
        <w:rPr>
          <w:rFonts w:ascii="宋体" w:hAnsi="宋体"/>
          <w:b/>
          <w:bCs/>
          <w:sz w:val="24"/>
        </w:rPr>
        <w:t>（二）基金托管人</w:t>
      </w:r>
      <w:bookmarkEnd w:id="11"/>
      <w:bookmarkEnd w:id="12"/>
    </w:p>
    <w:p>
      <w:pPr>
        <w:spacing w:line="360" w:lineRule="auto"/>
        <w:ind w:firstLine="480" w:firstLineChars="200"/>
        <w:rPr>
          <w:rFonts w:ascii="宋体" w:hAnsi="宋体" w:cs="宋体"/>
          <w:sz w:val="24"/>
          <w:szCs w:val="24"/>
        </w:rPr>
      </w:pPr>
      <w:r>
        <w:rPr>
          <w:rFonts w:ascii="宋体" w:hAnsi="宋体" w:cs="宋体"/>
          <w:sz w:val="24"/>
          <w:szCs w:val="24"/>
        </w:rPr>
        <w:t>名称：中信建投证券股份有限公司</w:t>
      </w:r>
    </w:p>
    <w:p>
      <w:pPr>
        <w:spacing w:line="360" w:lineRule="auto"/>
        <w:ind w:firstLine="480" w:firstLineChars="200"/>
        <w:rPr>
          <w:rFonts w:ascii="宋体" w:hAnsi="宋体" w:cs="宋体"/>
          <w:sz w:val="24"/>
          <w:szCs w:val="24"/>
        </w:rPr>
      </w:pPr>
      <w:r>
        <w:rPr>
          <w:rFonts w:ascii="宋体" w:hAnsi="宋体" w:cs="宋体"/>
          <w:sz w:val="24"/>
          <w:szCs w:val="24"/>
        </w:rPr>
        <w:t>住所：北京市朝阳区安立路66号4号楼</w:t>
      </w:r>
    </w:p>
    <w:p>
      <w:pPr>
        <w:spacing w:line="360" w:lineRule="auto"/>
        <w:ind w:firstLine="480" w:firstLineChars="200"/>
        <w:rPr>
          <w:rFonts w:ascii="宋体" w:hAnsi="宋体" w:cs="宋体"/>
          <w:sz w:val="24"/>
          <w:szCs w:val="24"/>
        </w:rPr>
      </w:pPr>
      <w:r>
        <w:rPr>
          <w:rFonts w:ascii="宋体" w:hAnsi="宋体" w:cs="宋体"/>
          <w:sz w:val="24"/>
          <w:szCs w:val="24"/>
        </w:rPr>
        <w:t>法定代表人：</w:t>
      </w:r>
      <w:r>
        <w:rPr>
          <w:rFonts w:hint="eastAsia" w:ascii="宋体" w:hAnsi="宋体" w:cs="宋体"/>
          <w:sz w:val="24"/>
          <w:szCs w:val="24"/>
        </w:rPr>
        <w:t>刘成</w:t>
      </w:r>
    </w:p>
    <w:p>
      <w:pPr>
        <w:spacing w:line="360" w:lineRule="auto"/>
        <w:ind w:firstLine="480" w:firstLineChars="200"/>
        <w:rPr>
          <w:rFonts w:ascii="宋体" w:hAnsi="宋体" w:cs="宋体"/>
          <w:sz w:val="24"/>
          <w:szCs w:val="24"/>
        </w:rPr>
      </w:pPr>
      <w:r>
        <w:rPr>
          <w:rFonts w:ascii="宋体" w:hAnsi="宋体" w:cs="宋体"/>
          <w:sz w:val="24"/>
          <w:szCs w:val="24"/>
        </w:rPr>
        <w:t>成立时间：2005年11月2日</w:t>
      </w:r>
    </w:p>
    <w:p>
      <w:pPr>
        <w:spacing w:line="360" w:lineRule="auto"/>
        <w:ind w:firstLine="480" w:firstLineChars="200"/>
        <w:rPr>
          <w:rFonts w:ascii="宋体" w:hAnsi="宋体" w:cs="宋体"/>
          <w:sz w:val="24"/>
          <w:szCs w:val="24"/>
        </w:rPr>
      </w:pPr>
      <w:r>
        <w:rPr>
          <w:rFonts w:ascii="宋体" w:hAnsi="宋体" w:cs="宋体"/>
          <w:sz w:val="24"/>
          <w:szCs w:val="24"/>
        </w:rPr>
        <w:t>批准设立机关和批准设立文号：证监会、证监机构字[2005]112号</w:t>
      </w:r>
    </w:p>
    <w:p>
      <w:pPr>
        <w:spacing w:line="360" w:lineRule="auto"/>
        <w:ind w:firstLine="480" w:firstLineChars="200"/>
        <w:rPr>
          <w:rFonts w:ascii="宋体" w:hAnsi="宋体" w:cs="宋体"/>
          <w:sz w:val="24"/>
          <w:szCs w:val="24"/>
        </w:rPr>
      </w:pPr>
      <w:r>
        <w:rPr>
          <w:rFonts w:ascii="宋体" w:hAnsi="宋体" w:cs="宋体"/>
          <w:sz w:val="24"/>
          <w:szCs w:val="24"/>
        </w:rPr>
        <w:t>组织形式：股份有限公司</w:t>
      </w:r>
    </w:p>
    <w:p>
      <w:pPr>
        <w:spacing w:line="360" w:lineRule="auto"/>
        <w:ind w:firstLine="480" w:firstLineChars="200"/>
        <w:rPr>
          <w:rFonts w:ascii="宋体" w:hAnsi="宋体" w:cs="宋体"/>
          <w:sz w:val="24"/>
          <w:szCs w:val="24"/>
        </w:rPr>
      </w:pPr>
      <w:r>
        <w:rPr>
          <w:rFonts w:ascii="宋体" w:hAnsi="宋体" w:cs="宋体"/>
          <w:sz w:val="24"/>
          <w:szCs w:val="24"/>
        </w:rPr>
        <w:t>注册资本：</w:t>
      </w:r>
      <w:r>
        <w:rPr>
          <w:rFonts w:hint="eastAsia"/>
          <w:sz w:val="24"/>
          <w:szCs w:val="24"/>
        </w:rPr>
        <w:t>人民币77.57亿元</w:t>
      </w:r>
    </w:p>
    <w:p>
      <w:pPr>
        <w:spacing w:line="360" w:lineRule="auto"/>
        <w:ind w:firstLine="480" w:firstLineChars="200"/>
        <w:rPr>
          <w:rFonts w:ascii="宋体" w:hAnsi="宋体" w:cs="宋体"/>
          <w:sz w:val="24"/>
          <w:szCs w:val="24"/>
        </w:rPr>
      </w:pPr>
      <w:r>
        <w:rPr>
          <w:rFonts w:ascii="宋体" w:hAnsi="宋体" w:cs="宋体"/>
          <w:sz w:val="24"/>
          <w:szCs w:val="24"/>
        </w:rPr>
        <w:t>存续期间：持续经营</w:t>
      </w:r>
    </w:p>
    <w:p>
      <w:pPr>
        <w:spacing w:line="360" w:lineRule="auto"/>
        <w:ind w:firstLine="480" w:firstLineChars="200"/>
        <w:rPr>
          <w:rFonts w:ascii="宋体"/>
          <w:sz w:val="24"/>
        </w:rPr>
      </w:pPr>
      <w:r>
        <w:rPr>
          <w:rFonts w:ascii="宋体" w:hAnsi="宋体" w:cs="宋体"/>
          <w:sz w:val="24"/>
          <w:szCs w:val="24"/>
        </w:rPr>
        <w:t>基金托管资格批文及文号：证监许可【2015】219号</w:t>
      </w:r>
    </w:p>
    <w:p>
      <w:pPr>
        <w:pStyle w:val="2"/>
        <w:rPr>
          <w:color w:val="auto"/>
        </w:rPr>
      </w:pPr>
      <w:bookmarkStart w:id="13" w:name="_Toc466788852"/>
      <w:bookmarkStart w:id="14" w:name="_Toc196312612"/>
      <w:bookmarkStart w:id="15" w:name="_Toc22454435"/>
      <w:bookmarkStart w:id="16" w:name="_Toc125892438"/>
      <w:bookmarkStart w:id="17" w:name="_Toc523829993"/>
      <w:r>
        <w:rPr>
          <w:color w:val="auto"/>
        </w:rPr>
        <w:t>二、基金托管协议的依据、目的和原则</w:t>
      </w:r>
      <w:bookmarkEnd w:id="13"/>
      <w:bookmarkEnd w:id="14"/>
      <w:bookmarkEnd w:id="15"/>
      <w:bookmarkEnd w:id="16"/>
      <w:bookmarkEnd w:id="17"/>
    </w:p>
    <w:p>
      <w:pPr>
        <w:spacing w:line="360" w:lineRule="auto"/>
        <w:ind w:firstLine="480" w:firstLineChars="200"/>
        <w:rPr>
          <w:rFonts w:ascii="宋体" w:hAnsi="宋体"/>
          <w:sz w:val="24"/>
        </w:rPr>
      </w:pPr>
      <w:r>
        <w:rPr>
          <w:rFonts w:hint="eastAsia" w:ascii="宋体" w:hAnsi="宋体"/>
          <w:sz w:val="24"/>
        </w:rPr>
        <w:t>（一）依据</w:t>
      </w:r>
    </w:p>
    <w:p>
      <w:pPr>
        <w:spacing w:line="360" w:lineRule="auto"/>
        <w:ind w:firstLine="480" w:firstLineChars="200"/>
        <w:jc w:val="both"/>
        <w:rPr>
          <w:rFonts w:ascii="宋体"/>
          <w:sz w:val="24"/>
        </w:rPr>
      </w:pPr>
      <w:r>
        <w:rPr>
          <w:rFonts w:ascii="宋体" w:hAnsi="宋体"/>
          <w:sz w:val="24"/>
        </w:rPr>
        <w:t>本协议依据《中华人民共和国证券投资基金法》（以下简称《基金法》）、《公开募集证券投资基金销售机构监督管理办法》、《公开募集证券投资基金运作管理办法》（以下简称《运作办法》）、《公开募集证券投资基金信息披露管理办法》（以下简称《信息披露办法》）、《公开募集开放式证券投资基金流动性风险管理规定》（以下简称《流动性风险管理规定》）、《公开募集证券投资基金运作指引第3号——指数基金指引》、《基金合同》及其他有关规定订立。</w:t>
      </w:r>
    </w:p>
    <w:p>
      <w:pPr>
        <w:spacing w:line="360" w:lineRule="auto"/>
        <w:ind w:firstLine="480" w:firstLineChars="200"/>
        <w:rPr>
          <w:rFonts w:ascii="宋体" w:hAnsi="宋体"/>
          <w:sz w:val="24"/>
        </w:rPr>
      </w:pPr>
      <w:r>
        <w:rPr>
          <w:rFonts w:hint="eastAsia" w:ascii="宋体" w:hAnsi="宋体"/>
          <w:sz w:val="24"/>
        </w:rPr>
        <w:t>（二）目的</w:t>
      </w:r>
    </w:p>
    <w:p>
      <w:pPr>
        <w:spacing w:line="360" w:lineRule="auto"/>
        <w:ind w:firstLine="480" w:firstLineChars="200"/>
        <w:rPr>
          <w:rFonts w:ascii="宋体"/>
          <w:sz w:val="24"/>
        </w:rPr>
      </w:pPr>
      <w:r>
        <w:rPr>
          <w:rFonts w:ascii="宋体" w:hAnsi="宋体"/>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pPr>
        <w:spacing w:line="360" w:lineRule="auto"/>
        <w:ind w:firstLine="480" w:firstLineChars="200"/>
        <w:rPr>
          <w:rFonts w:ascii="宋体" w:hAnsi="宋体"/>
          <w:sz w:val="24"/>
        </w:rPr>
      </w:pPr>
      <w:r>
        <w:rPr>
          <w:rFonts w:hint="eastAsia" w:ascii="宋体" w:hAnsi="宋体"/>
          <w:sz w:val="24"/>
        </w:rPr>
        <w:t>（三）原则</w:t>
      </w:r>
    </w:p>
    <w:p>
      <w:pPr>
        <w:spacing w:line="360" w:lineRule="auto"/>
        <w:ind w:firstLine="480" w:firstLineChars="200"/>
        <w:rPr>
          <w:rFonts w:ascii="宋体" w:hAnsi="宋体"/>
          <w:sz w:val="24"/>
        </w:rPr>
      </w:pPr>
      <w:r>
        <w:rPr>
          <w:rFonts w:ascii="宋体" w:hAnsi="宋体"/>
          <w:sz w:val="24"/>
        </w:rPr>
        <w:t>基金管理人和基金托管人遵循平等自愿、诚实信用、充分保护投资者合法利益的原则，经协商一致，签订本协议。</w:t>
      </w:r>
    </w:p>
    <w:p>
      <w:pPr>
        <w:spacing w:line="360" w:lineRule="auto"/>
        <w:ind w:firstLine="480" w:firstLineChars="200"/>
        <w:rPr>
          <w:rFonts w:ascii="宋体"/>
          <w:sz w:val="24"/>
        </w:rPr>
      </w:pPr>
      <w:r>
        <w:rPr>
          <w:rFonts w:hint="eastAsia" w:ascii="宋体"/>
          <w:sz w:val="24"/>
        </w:rPr>
        <w:t>（四）解释</w:t>
      </w:r>
    </w:p>
    <w:p>
      <w:pPr>
        <w:spacing w:line="360" w:lineRule="auto"/>
        <w:ind w:firstLine="480" w:firstLineChars="200"/>
        <w:rPr>
          <w:rFonts w:ascii="宋体"/>
          <w:sz w:val="24"/>
        </w:rPr>
      </w:pPr>
      <w:r>
        <w:rPr>
          <w:rFonts w:hint="eastAsia" w:ascii="宋体"/>
          <w:sz w:val="24"/>
        </w:rPr>
        <w:t>除非本协议另有约定，本协议所有术语与《基金合同》的相应术语具有相同含义；若有抵触应以《基金合同》为准，并依其条款解释。</w:t>
      </w:r>
    </w:p>
    <w:p>
      <w:pPr>
        <w:spacing w:line="360" w:lineRule="auto"/>
        <w:ind w:firstLine="480" w:firstLineChars="200"/>
        <w:rPr>
          <w:rFonts w:ascii="宋体"/>
          <w:sz w:val="24"/>
        </w:rPr>
      </w:pPr>
      <w:r>
        <w:rPr>
          <w:rFonts w:hint="eastAsia" w:ascii="宋体"/>
          <w:sz w:val="24"/>
        </w:rPr>
        <w:t>（五）若本基金实施侧袋机制的，侧袋机制实施期间的相关安排见基金合同和招募说明书的规定。</w:t>
      </w:r>
    </w:p>
    <w:p>
      <w:pPr>
        <w:pStyle w:val="2"/>
        <w:rPr>
          <w:rFonts w:hAnsi="宋体"/>
          <w:b w:val="0"/>
          <w:bCs/>
          <w:color w:val="auto"/>
        </w:rPr>
      </w:pPr>
      <w:bookmarkStart w:id="18" w:name="_Toc466788853"/>
      <w:bookmarkStart w:id="19" w:name="_Toc125892439"/>
      <w:bookmarkStart w:id="20" w:name="_Toc523829994"/>
      <w:bookmarkStart w:id="21" w:name="_Toc196312613"/>
      <w:bookmarkStart w:id="22" w:name="_Toc22454436"/>
      <w:r>
        <w:rPr>
          <w:color w:val="auto"/>
        </w:rPr>
        <w:t>三、基金托管人对基金管理人</w:t>
      </w:r>
      <w:bookmarkEnd w:id="18"/>
      <w:r>
        <w:rPr>
          <w:color w:val="auto"/>
        </w:rPr>
        <w:t>的业务监督和核查</w:t>
      </w:r>
      <w:bookmarkEnd w:id="19"/>
      <w:bookmarkEnd w:id="20"/>
      <w:bookmarkEnd w:id="21"/>
      <w:bookmarkEnd w:id="22"/>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（一）基金托管人对基金管理人的投资行为行使监督权</w:t>
      </w:r>
    </w:p>
    <w:p>
      <w:pPr>
        <w:tabs>
          <w:tab w:val="left" w:pos="3780"/>
        </w:tabs>
        <w:autoSpaceDE w:val="0"/>
        <w:autoSpaceDN w:val="0"/>
        <w:spacing w:before="156" w:after="156" w:line="360" w:lineRule="auto"/>
        <w:ind w:firstLine="470" w:firstLineChars="196"/>
        <w:outlineLvl w:val="0"/>
        <w:rPr>
          <w:rFonts w:ascii="宋体"/>
          <w:b/>
          <w:bCs/>
          <w:sz w:val="24"/>
        </w:rPr>
      </w:pPr>
      <w:r>
        <w:rPr>
          <w:rFonts w:ascii="宋体" w:hAnsi="宋体"/>
          <w:b/>
          <w:bCs/>
          <w:sz w:val="24"/>
        </w:rPr>
        <w:t>1.基金托管人根据有关法律法规的规定及《基金合同》和本协议的约定，对基金的投资范围、投资对象进行监督。</w:t>
      </w:r>
    </w:p>
    <w:p>
      <w:pPr>
        <w:tabs>
          <w:tab w:val="left" w:pos="3780"/>
        </w:tabs>
        <w:autoSpaceDE w:val="0"/>
        <w:autoSpaceDN w:val="0"/>
        <w:spacing w:before="156" w:after="156" w:line="360" w:lineRule="auto"/>
        <w:ind w:firstLine="470" w:firstLineChars="196"/>
        <w:outlineLvl w:val="0"/>
        <w:rPr>
          <w:rStyle w:val="222"/>
          <w:rFonts w:ascii="宋体" w:hAnsi="宋体" w:cs="宋体"/>
          <w:sz w:val="24"/>
          <w:szCs w:val="24"/>
        </w:rPr>
      </w:pPr>
      <w:r>
        <w:rPr>
          <w:rStyle w:val="222"/>
          <w:rFonts w:hint="eastAsia" w:ascii="宋体" w:hAnsi="宋体" w:cs="宋体"/>
          <w:sz w:val="24"/>
          <w:szCs w:val="24"/>
        </w:rPr>
        <w:t>本基金的投资范围为具有良好流动性的金融工具，包括中证港股通央企红利指数的成份股（含存托凭证）及备选成份股（含存托凭证）、其他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tabs>
          <w:tab w:val="left" w:pos="3780"/>
        </w:tabs>
        <w:autoSpaceDE w:val="0"/>
        <w:autoSpaceDN w:val="0"/>
        <w:spacing w:before="156" w:after="156" w:line="360" w:lineRule="auto"/>
        <w:ind w:firstLine="470" w:firstLineChars="196"/>
        <w:outlineLvl w:val="0"/>
        <w:rPr>
          <w:rStyle w:val="222"/>
          <w:rFonts w:ascii="宋体" w:hAnsi="宋体" w:cs="宋体"/>
          <w:sz w:val="24"/>
          <w:szCs w:val="24"/>
        </w:rPr>
      </w:pPr>
      <w:r>
        <w:rPr>
          <w:rStyle w:val="222"/>
          <w:rFonts w:hint="eastAsia" w:ascii="宋体" w:hAnsi="宋体" w:cs="宋体"/>
          <w:sz w:val="24"/>
          <w:szCs w:val="24"/>
        </w:rPr>
        <w:t>本基金可根据法律法规的规定参与融资及转融通证券出借业务。未来在法律法规允许的前提下，本基金可根据相关法律法规规定参与融券业务。</w:t>
      </w:r>
    </w:p>
    <w:p>
      <w:pPr>
        <w:tabs>
          <w:tab w:val="left" w:pos="3780"/>
        </w:tabs>
        <w:autoSpaceDE w:val="0"/>
        <w:autoSpaceDN w:val="0"/>
        <w:spacing w:before="156" w:after="156" w:line="360" w:lineRule="auto"/>
        <w:ind w:firstLine="470" w:firstLineChars="196"/>
        <w:outlineLvl w:val="0"/>
        <w:rPr>
          <w:rStyle w:val="222"/>
          <w:rFonts w:ascii="宋体" w:hAnsi="宋体" w:cs="宋体"/>
          <w:sz w:val="24"/>
          <w:szCs w:val="24"/>
        </w:rPr>
      </w:pPr>
      <w:r>
        <w:rPr>
          <w:rStyle w:val="222"/>
          <w:rFonts w:hint="eastAsia" w:ascii="宋体" w:hAnsi="宋体" w:cs="宋体"/>
          <w:sz w:val="24"/>
          <w:szCs w:val="24"/>
        </w:rPr>
        <w:t>如法律法规或监管机构以后允许基金投资其他品种，基金管理人在履行适当程序后，可以将其纳入投资范围。</w:t>
      </w:r>
    </w:p>
    <w:p>
      <w:pPr>
        <w:tabs>
          <w:tab w:val="left" w:pos="3780"/>
        </w:tabs>
        <w:autoSpaceDE w:val="0"/>
        <w:autoSpaceDN w:val="0"/>
        <w:spacing w:before="156" w:after="156" w:line="360" w:lineRule="auto"/>
        <w:ind w:firstLine="470" w:firstLineChars="196"/>
        <w:outlineLvl w:val="0"/>
        <w:rPr>
          <w:rStyle w:val="222"/>
          <w:rFonts w:ascii="宋体" w:hAnsi="宋体" w:cs="宋体"/>
          <w:sz w:val="24"/>
          <w:szCs w:val="24"/>
        </w:rPr>
      </w:pPr>
      <w:r>
        <w:rPr>
          <w:rStyle w:val="222"/>
          <w:rFonts w:hint="eastAsia" w:ascii="宋体" w:hAnsi="宋体" w:cs="宋体"/>
          <w:sz w:val="24"/>
          <w:szCs w:val="24"/>
        </w:rPr>
        <w:t>基金的投资组合比例为：本基金投资于中证港股通央企红利指数成份股（含存托凭证）及备选成份股（含存托凭证）的比例不低于基金资产净值的90%且不低于非现金基金资产的80%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tabs>
          <w:tab w:val="left" w:pos="3780"/>
        </w:tabs>
        <w:autoSpaceDE w:val="0"/>
        <w:autoSpaceDN w:val="0"/>
        <w:spacing w:before="156" w:after="156" w:line="360" w:lineRule="auto"/>
        <w:ind w:firstLine="352" w:firstLineChars="147"/>
        <w:outlineLvl w:val="0"/>
        <w:rPr>
          <w:rStyle w:val="222"/>
          <w:rFonts w:ascii="宋体" w:hAnsi="宋体" w:cs="宋体"/>
          <w:sz w:val="24"/>
          <w:szCs w:val="24"/>
        </w:rPr>
      </w:pPr>
      <w:r>
        <w:rPr>
          <w:rStyle w:val="222"/>
          <w:rFonts w:hint="eastAsia" w:ascii="宋体" w:hAnsi="宋体" w:cs="宋体"/>
          <w:sz w:val="24"/>
          <w:szCs w:val="24"/>
        </w:rPr>
        <w:t>如果法律法规或中国证监会变更投资品种的投资比例限制，基金管理人在履行适当程序后，可以调整上述投资品种的投资比例。</w:t>
      </w:r>
    </w:p>
    <w:p>
      <w:pPr>
        <w:tabs>
          <w:tab w:val="left" w:pos="3780"/>
        </w:tabs>
        <w:autoSpaceDE w:val="0"/>
        <w:autoSpaceDN w:val="0"/>
        <w:spacing w:before="156" w:after="156" w:line="360" w:lineRule="auto"/>
        <w:ind w:firstLine="352" w:firstLineChars="147"/>
        <w:outlineLvl w:val="0"/>
        <w:rPr>
          <w:rFonts w:ascii="宋体"/>
          <w:b/>
          <w:bCs/>
          <w:sz w:val="24"/>
        </w:rPr>
      </w:pPr>
      <w:r>
        <w:rPr>
          <w:rFonts w:ascii="宋体" w:hAnsi="宋体"/>
          <w:b/>
          <w:bCs/>
          <w:sz w:val="24"/>
        </w:rPr>
        <w:t>2.基金托管人根据有关法律法规的规定及《基金合同》和本协议的约定，对基金投资、融资比例进行监督。</w:t>
      </w:r>
    </w:p>
    <w:p>
      <w:pPr>
        <w:tabs>
          <w:tab w:val="left" w:pos="1260"/>
        </w:tabs>
        <w:spacing w:line="336" w:lineRule="auto"/>
        <w:ind w:firstLine="480" w:firstLineChars="200"/>
        <w:rPr>
          <w:rFonts w:ascii="宋体"/>
          <w:sz w:val="24"/>
        </w:rPr>
      </w:pPr>
      <w:r>
        <w:rPr>
          <w:rFonts w:ascii="宋体" w:hAnsi="宋体"/>
          <w:sz w:val="24"/>
        </w:rPr>
        <w:t>根据《基金合同》的约定，本基金投资组合比例应符合以下规定：</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（1）本基金投资于中证港股通央企红利指数成份股（含存托凭证）及备选成份股（含存托凭证）的比例不低于基金资产净值的90%且不低于非现金基金资产的80%；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（3）本基金投资于同一原始权益人的各类资产支持证券的比例，不得超过基金资产净值的10％；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（4）本基金持有的全部资产支持证券，其市值不得超过基金资产净值的20％；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（5）本基金持有的同一（指同一信用级别）资产支持证券的比例，不得超过该资产支持证券规模的10％；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（6）本基金管理人管理的全部基金投资于同一原始权益人的各类资产支持证券，不得超过其各类资产支持证券合计规模的10％；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（7）本基金应投资于信用级别评级为BBB以上（含BBB）的资产支持证券。基金持有资产支持证券期间，如果其信用等级下降、不再符合投资标准，应在评级报告发布之日起3个月内予以全部卖出；</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（8）基金财产参与股票发行申购，本基金所申报的金额不超过本基金的总资产，本基金所申报的股票数量不超过拟发行股票公司本次发行股票的总量；</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9）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（10）本基金与私募类证券资管产品及中国证监会认定的其他主体为交易对手开展逆回购交易的，可接受质押品的资质要求应当与基金合同约定的投资范围保持一致；</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（11）本基金资产总值不超过基金资产净值的140%；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（12）本基金参与股指期货交易，则：</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1）本基金在任何交易日日终，持有的买入股指期货合约价值，不得超过基金资产净值的10%；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3）本基金在任何交易日日终，持有的卖出股指期货合约价值不得超过基金持有的股票总市值的20%；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4）本基金所持有的股票市值和买入、卖出股指期货合约价值，合计（轧差计算）应当符合基金合同关于股票投资比例的有关约定；</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5）本基金在任何交易日内交易（不包括平仓）的股指期货合约的成交金额不得超过上一交易日基金资产净值的20%；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（13）本基金参与融资业务后，每个交易日日终，本基金持有的融资买入股票与其他有价证券市值之和，不得超过基金资产净值的95%；</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（14）本基金参与转融通证券出借业务，需遵守下列投资限制：</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1）出借证券资产不得超过基金资产净值的30%，出借期限在10个交易日以上的出借证券应纳入《流动性风险管理规定》所述流动性受限证券的范围；</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2）参与出借业务的单只证券不得超过本基金持有该证券总量的50%；</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3）最近6个月内日均基金资产净值不得低于2亿元；</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4）证券出借的平均剩余期限不得超过30天，平均剩余期限按照市值加权平均计算；</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因证券市场波动、上市公司合并、基金规模变动等基金管理人之外的因素致使基金投资不符合上述规定的，基金管理人不得新增出借业务；</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（15）本基金投资存托凭证的比例限制依照境内上市交易的股票执行；</w:t>
      </w:r>
    </w:p>
    <w:p>
      <w:pPr>
        <w:pStyle w:val="219"/>
        <w:spacing w:line="360" w:lineRule="auto"/>
        <w:ind w:firstLine="480"/>
        <w:rPr>
          <w:rStyle w:val="222"/>
          <w:rFonts w:ascii="宋体" w:hAnsi="宋体" w:cs="宋体"/>
          <w:sz w:val="24"/>
          <w:szCs w:val="24"/>
        </w:rPr>
      </w:pPr>
      <w:r>
        <w:rPr>
          <w:rStyle w:val="222"/>
          <w:rFonts w:hint="eastAsia" w:ascii="宋体" w:hAnsi="宋体" w:cs="宋体"/>
          <w:sz w:val="24"/>
          <w:szCs w:val="24"/>
        </w:rPr>
        <w:t>（16）法律法规及中国证监会规定的和《基金合同》约定的其他投资限制。</w:t>
      </w:r>
    </w:p>
    <w:p>
      <w:pPr>
        <w:pStyle w:val="219"/>
        <w:spacing w:line="360" w:lineRule="auto"/>
        <w:ind w:firstLine="480"/>
        <w:rPr>
          <w:rFonts w:ascii="宋体" w:hAnsi="宋体" w:cs="宋体"/>
          <w:sz w:val="24"/>
          <w:szCs w:val="24"/>
        </w:rPr>
      </w:pPr>
      <w:r>
        <w:rPr>
          <w:rFonts w:hint="eastAsia" w:ascii="宋体" w:hAnsi="宋体" w:cs="宋体"/>
          <w:sz w:val="24"/>
          <w:szCs w:val="24"/>
        </w:rPr>
        <w:t>除上述（2）、（7）、（9）、（10）、（14）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pPr>
        <w:pStyle w:val="219"/>
        <w:spacing w:line="360" w:lineRule="auto"/>
        <w:ind w:firstLine="480"/>
        <w:rPr>
          <w:rFonts w:ascii="宋体" w:hAnsi="宋体" w:cs="宋体"/>
          <w:sz w:val="24"/>
          <w:szCs w:val="24"/>
        </w:rPr>
      </w:pPr>
      <w:r>
        <w:rPr>
          <w:rFonts w:hint="eastAsia" w:ascii="宋体" w:hAnsi="宋体" w:cs="宋体"/>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pStyle w:val="219"/>
        <w:spacing w:line="360" w:lineRule="auto"/>
        <w:ind w:firstLine="480"/>
        <w:rPr>
          <w:rFonts w:ascii="宋体" w:hAnsi="宋体" w:cs="宋体"/>
          <w:sz w:val="24"/>
          <w:szCs w:val="24"/>
        </w:rPr>
      </w:pPr>
      <w:r>
        <w:rPr>
          <w:rFonts w:hint="eastAsia" w:ascii="宋体" w:hAnsi="宋体" w:cs="宋体"/>
          <w:sz w:val="24"/>
          <w:szCs w:val="24"/>
        </w:rPr>
        <w:t>法律法规或监管部门取消或变更上述限制，如适用于本基金，基金管理人在履行适当程序后，则本基金投资不再受相关限制或以变更后的规定为准。</w:t>
      </w:r>
    </w:p>
    <w:p>
      <w:pPr>
        <w:tabs>
          <w:tab w:val="left" w:pos="1260"/>
        </w:tabs>
        <w:spacing w:line="336" w:lineRule="auto"/>
        <w:ind w:firstLine="480" w:firstLineChars="200"/>
        <w:rPr>
          <w:rFonts w:ascii="宋体" w:hAnsi="宋体"/>
          <w:sz w:val="24"/>
        </w:rPr>
      </w:pPr>
      <w:r>
        <w:rPr>
          <w:rFonts w:ascii="宋体" w:hAnsi="宋体"/>
          <w:sz w:val="24"/>
        </w:rPr>
        <w:t>基金托管人依照上述规定对本基金的投资组合限制及调整期限进行监督。</w:t>
      </w:r>
    </w:p>
    <w:p>
      <w:pPr>
        <w:spacing w:line="360" w:lineRule="auto"/>
        <w:ind w:firstLine="480" w:firstLineChars="200"/>
        <w:rPr>
          <w:rFonts w:ascii="宋体"/>
          <w:b/>
          <w:bCs/>
          <w:sz w:val="24"/>
        </w:rPr>
      </w:pPr>
      <w:r>
        <w:rPr>
          <w:rFonts w:ascii="宋体" w:hAnsi="宋体"/>
          <w:b/>
          <w:bCs/>
          <w:sz w:val="24"/>
        </w:rPr>
        <w:t>3.基金托管人</w:t>
      </w:r>
      <w:bookmarkStart w:id="23" w:name="OLE_LINK1"/>
      <w:r>
        <w:rPr>
          <w:rFonts w:ascii="宋体" w:hAnsi="宋体"/>
          <w:b/>
          <w:bCs/>
          <w:sz w:val="24"/>
        </w:rPr>
        <w:t>根据有关法律法规的规定及基金合同和本协议的约定，</w:t>
      </w:r>
      <w:bookmarkEnd w:id="23"/>
      <w:r>
        <w:rPr>
          <w:rFonts w:ascii="宋体" w:hAnsi="宋体"/>
          <w:b/>
          <w:bCs/>
          <w:sz w:val="24"/>
        </w:rPr>
        <w:t>对基金投资禁止行为进行监督。基金财产不得用于下列投资或者活动。</w:t>
      </w:r>
    </w:p>
    <w:p>
      <w:pPr>
        <w:pStyle w:val="219"/>
        <w:spacing w:line="360" w:lineRule="auto"/>
        <w:ind w:firstLine="480"/>
        <w:rPr>
          <w:rFonts w:ascii="宋体" w:hAnsi="宋体" w:cs="宋体"/>
          <w:sz w:val="24"/>
          <w:szCs w:val="24"/>
        </w:rPr>
      </w:pPr>
      <w:r>
        <w:rPr>
          <w:rStyle w:val="222"/>
          <w:rFonts w:ascii="宋体" w:hAnsi="宋体" w:cs="宋体"/>
          <w:sz w:val="24"/>
          <w:szCs w:val="24"/>
        </w:rPr>
        <w:t>（1）承销证券；</w:t>
      </w:r>
    </w:p>
    <w:p>
      <w:pPr>
        <w:pStyle w:val="219"/>
        <w:spacing w:line="360" w:lineRule="auto"/>
        <w:ind w:firstLine="480"/>
        <w:rPr>
          <w:rFonts w:ascii="宋体" w:hAnsi="宋体" w:cs="宋体"/>
          <w:sz w:val="24"/>
          <w:szCs w:val="24"/>
        </w:rPr>
      </w:pPr>
      <w:r>
        <w:rPr>
          <w:rStyle w:val="222"/>
          <w:rFonts w:ascii="宋体" w:hAnsi="宋体" w:cs="宋体"/>
          <w:sz w:val="24"/>
          <w:szCs w:val="24"/>
        </w:rPr>
        <w:t>（2）违反规定向他人贷款或者提供担保；</w:t>
      </w:r>
    </w:p>
    <w:p>
      <w:pPr>
        <w:pStyle w:val="219"/>
        <w:spacing w:line="360" w:lineRule="auto"/>
        <w:ind w:firstLine="480"/>
        <w:rPr>
          <w:rFonts w:ascii="宋体" w:hAnsi="宋体" w:cs="宋体"/>
          <w:sz w:val="24"/>
          <w:szCs w:val="24"/>
        </w:rPr>
      </w:pPr>
      <w:r>
        <w:rPr>
          <w:rStyle w:val="222"/>
          <w:rFonts w:ascii="宋体" w:hAnsi="宋体" w:cs="宋体"/>
          <w:sz w:val="24"/>
          <w:szCs w:val="24"/>
        </w:rPr>
        <w:t>（3）从事承担无限责任的投资；</w:t>
      </w:r>
    </w:p>
    <w:p>
      <w:pPr>
        <w:pStyle w:val="219"/>
        <w:spacing w:line="360" w:lineRule="auto"/>
        <w:ind w:firstLine="480"/>
        <w:rPr>
          <w:rFonts w:ascii="宋体" w:hAnsi="宋体" w:cs="宋体"/>
          <w:sz w:val="24"/>
          <w:szCs w:val="24"/>
        </w:rPr>
      </w:pPr>
      <w:r>
        <w:rPr>
          <w:rStyle w:val="222"/>
          <w:rFonts w:ascii="宋体" w:hAnsi="宋体" w:cs="宋体"/>
          <w:sz w:val="24"/>
          <w:szCs w:val="24"/>
        </w:rPr>
        <w:t>（4）买卖其他基金份额，但是中国证监会另有规定的除外；</w:t>
      </w:r>
    </w:p>
    <w:p>
      <w:pPr>
        <w:pStyle w:val="219"/>
        <w:spacing w:line="360" w:lineRule="auto"/>
        <w:ind w:firstLine="480"/>
        <w:rPr>
          <w:rFonts w:ascii="宋体" w:hAnsi="宋体" w:cs="宋体"/>
          <w:sz w:val="24"/>
          <w:szCs w:val="24"/>
        </w:rPr>
      </w:pPr>
      <w:r>
        <w:rPr>
          <w:rStyle w:val="222"/>
          <w:rFonts w:ascii="宋体" w:hAnsi="宋体" w:cs="宋体"/>
          <w:sz w:val="24"/>
          <w:szCs w:val="24"/>
        </w:rPr>
        <w:t>（5）向其基金管理人、基金托管人出资；</w:t>
      </w:r>
    </w:p>
    <w:p>
      <w:pPr>
        <w:pStyle w:val="219"/>
        <w:spacing w:line="360" w:lineRule="auto"/>
        <w:ind w:firstLine="480"/>
        <w:rPr>
          <w:rFonts w:ascii="宋体" w:hAnsi="宋体" w:cs="宋体"/>
          <w:sz w:val="24"/>
          <w:szCs w:val="24"/>
        </w:rPr>
      </w:pPr>
      <w:r>
        <w:rPr>
          <w:rStyle w:val="222"/>
          <w:rFonts w:ascii="宋体" w:hAnsi="宋体" w:cs="宋体"/>
          <w:sz w:val="24"/>
          <w:szCs w:val="24"/>
        </w:rPr>
        <w:t>（6）从事内幕交易、操纵证券交易价格及其他不正当的证券交易活动；</w:t>
      </w:r>
    </w:p>
    <w:p>
      <w:pPr>
        <w:pStyle w:val="219"/>
        <w:spacing w:line="360" w:lineRule="auto"/>
        <w:ind w:firstLine="480"/>
        <w:rPr>
          <w:rFonts w:ascii="宋体" w:hAnsi="宋体" w:cs="宋体"/>
          <w:sz w:val="24"/>
          <w:szCs w:val="24"/>
        </w:rPr>
      </w:pPr>
      <w:r>
        <w:rPr>
          <w:rStyle w:val="222"/>
          <w:rFonts w:ascii="宋体" w:hAnsi="宋体" w:cs="宋体"/>
          <w:sz w:val="24"/>
          <w:szCs w:val="24"/>
        </w:rPr>
        <w:t>（7）法律、行政法规和中国证监会规定禁止的其他活动。</w:t>
      </w:r>
    </w:p>
    <w:p>
      <w:pPr>
        <w:pStyle w:val="219"/>
        <w:spacing w:line="360" w:lineRule="auto"/>
        <w:ind w:firstLine="480"/>
        <w:rPr>
          <w:rFonts w:ascii="宋体" w:hAnsi="宋体" w:cs="宋体"/>
          <w:sz w:val="24"/>
          <w:szCs w:val="24"/>
        </w:rPr>
      </w:pPr>
      <w:r>
        <w:rPr>
          <w:rFonts w:ascii="宋体" w:hAnsi="宋体" w:cs="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tabs>
          <w:tab w:val="left" w:pos="1260"/>
        </w:tabs>
        <w:spacing w:line="360" w:lineRule="auto"/>
        <w:ind w:firstLine="480" w:firstLineChars="200"/>
        <w:rPr>
          <w:rFonts w:ascii="宋体" w:hAnsi="宋体" w:cs="宋体"/>
          <w:sz w:val="24"/>
          <w:szCs w:val="24"/>
        </w:rPr>
      </w:pPr>
      <w:r>
        <w:rPr>
          <w:rFonts w:hint="eastAsia" w:ascii="宋体" w:hAnsi="宋体" w:cs="宋体"/>
          <w:sz w:val="24"/>
          <w:szCs w:val="24"/>
        </w:rPr>
        <w:t>如法律、行政法规或监管部门取消或变更上述规定，如适用于本基金，基金管理人在履行适当程序后，本基金可不受上述规定的限制或以变更后的规定为准。</w:t>
      </w:r>
    </w:p>
    <w:p>
      <w:pPr>
        <w:tabs>
          <w:tab w:val="left" w:pos="1260"/>
        </w:tabs>
        <w:spacing w:line="360" w:lineRule="auto"/>
        <w:ind w:firstLine="480" w:firstLineChars="200"/>
        <w:rPr>
          <w:rFonts w:ascii="宋体"/>
          <w:sz w:val="24"/>
        </w:rPr>
      </w:pPr>
      <w:r>
        <w:rPr>
          <w:rFonts w:ascii="宋体" w:hAnsi="宋体"/>
          <w:sz w:val="24"/>
        </w:rPr>
        <w:t>在基金合同生效后，基金管理人和基金托管人应相互提供与本机构有控股关系的股东或者与本机构有其他重大利害关系的公司名单，以上名单发生变化的，应及时予以更新并通知对方。</w:t>
      </w:r>
    </w:p>
    <w:p>
      <w:pPr>
        <w:tabs>
          <w:tab w:val="left" w:pos="3780"/>
        </w:tabs>
        <w:autoSpaceDE w:val="0"/>
        <w:autoSpaceDN w:val="0"/>
        <w:spacing w:before="156" w:after="156" w:line="360" w:lineRule="auto"/>
        <w:ind w:firstLine="480" w:firstLineChars="200"/>
        <w:outlineLvl w:val="0"/>
        <w:rPr>
          <w:rFonts w:ascii="宋体"/>
          <w:b/>
          <w:bCs/>
          <w:sz w:val="24"/>
        </w:rPr>
      </w:pPr>
      <w:bookmarkStart w:id="24" w:name="OLE_LINK2"/>
      <w:bookmarkStart w:id="25" w:name="OLE_LINK4"/>
      <w:r>
        <w:rPr>
          <w:rFonts w:ascii="宋体" w:hAnsi="宋体"/>
          <w:b/>
          <w:bCs/>
          <w:sz w:val="24"/>
        </w:rPr>
        <w:t>4.基金托管人根据有关法律法规的规定及基金合同和本协议的约定，对基金管理人参与银行间债券市场进行监督。</w:t>
      </w:r>
      <w:bookmarkEnd w:id="24"/>
      <w:bookmarkEnd w:id="25"/>
    </w:p>
    <w:p>
      <w:pPr>
        <w:tabs>
          <w:tab w:val="left" w:pos="1260"/>
        </w:tabs>
        <w:spacing w:line="360" w:lineRule="auto"/>
        <w:ind w:firstLine="480" w:firstLineChars="200"/>
        <w:rPr>
          <w:rFonts w:ascii="宋体" w:hAnsi="宋体"/>
          <w:sz w:val="24"/>
        </w:rPr>
      </w:pPr>
      <w:r>
        <w:rPr>
          <w:rFonts w:hint="eastAsia" w:ascii="宋体" w:hAnsi="宋体"/>
          <w:sz w:val="24"/>
        </w:rPr>
        <w:t>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如基金管理人未提供银行间债券市场交易对手名单，则视为交易对手名单包括全市场所有机构。</w:t>
      </w:r>
    </w:p>
    <w:p>
      <w:pPr>
        <w:tabs>
          <w:tab w:val="left" w:pos="1260"/>
        </w:tabs>
        <w:spacing w:line="360" w:lineRule="auto"/>
        <w:ind w:firstLine="480" w:firstLineChars="200"/>
        <w:rPr>
          <w:rFonts w:ascii="宋体" w:hAnsi="宋体"/>
          <w:sz w:val="24"/>
        </w:rPr>
      </w:pPr>
      <w:r>
        <w:rPr>
          <w:rFonts w:hint="eastAsia" w:ascii="宋体" w:hAnsi="宋体"/>
          <w:sz w:val="24"/>
        </w:rPr>
        <w:t>基金管理人对银行间债券市场交易对手名单及结算方式进行更新，应及时通知基金托管人，新名单自基金托管人确认后生效，新名单生效前已与本次剔除的交易对手所进行但尚未结算的交易，仍应按照原协议进行结算。如基金管理人根据市场情况需要临时调整银行间债券市场交易对手名单及结算方式的，应向基金托管人说明理由，并在与交易对手发生交易前与基金托管人确认，双方共同协商解决。如果基金托管人发现基金管理人与不在名单内的银行间市场交易对手进行交易，应及时提醒基金管理人，经提醒后基金管理人仍未改正的，基金托管人不承担由此造成的相应损失和责任。</w:t>
      </w:r>
    </w:p>
    <w:p>
      <w:pPr>
        <w:tabs>
          <w:tab w:val="left" w:pos="1260"/>
        </w:tabs>
        <w:spacing w:line="360" w:lineRule="auto"/>
        <w:ind w:firstLine="480" w:firstLineChars="200"/>
        <w:rPr>
          <w:rFonts w:ascii="宋体" w:hAnsi="宋体"/>
          <w:sz w:val="24"/>
        </w:rPr>
      </w:pPr>
      <w:r>
        <w:rPr>
          <w:rFonts w:hint="eastAsia" w:ascii="宋体" w:hAnsi="宋体"/>
          <w:sz w:val="24"/>
        </w:rPr>
        <w:t>基金管理人负责对交易对手的资信控制和交易方式进行控制，按银行间债券市场的交易规则进行交易，并负责处理因交易对手不履行合同而造成的纠纷，基金托管人不承担由此造成的相应法律责任及损失，但基金托管人应提供必要的配合和协助。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相应损失和责任。</w:t>
      </w:r>
    </w:p>
    <w:p>
      <w:pPr>
        <w:tabs>
          <w:tab w:val="left" w:pos="3780"/>
        </w:tabs>
        <w:autoSpaceDE w:val="0"/>
        <w:autoSpaceDN w:val="0"/>
        <w:spacing w:before="156" w:after="156" w:line="360" w:lineRule="auto"/>
        <w:ind w:firstLine="480" w:firstLineChars="200"/>
        <w:outlineLvl w:val="0"/>
        <w:rPr>
          <w:rFonts w:ascii="宋体"/>
          <w:b/>
          <w:bCs/>
          <w:sz w:val="24"/>
        </w:rPr>
      </w:pPr>
      <w:r>
        <w:rPr>
          <w:rFonts w:ascii="宋体" w:hAnsi="宋体"/>
          <w:b/>
          <w:bCs/>
          <w:sz w:val="24"/>
        </w:rPr>
        <w:t>5.基金托管人根据有关法律法规的规定及基金合同和本协议的约定，对基金管理人银行存款业务进行监督。</w:t>
      </w:r>
    </w:p>
    <w:p>
      <w:pPr>
        <w:tabs>
          <w:tab w:val="left" w:pos="1260"/>
        </w:tabs>
        <w:spacing w:line="360" w:lineRule="auto"/>
        <w:ind w:firstLine="480" w:firstLineChars="200"/>
        <w:rPr>
          <w:rFonts w:ascii="宋体"/>
          <w:sz w:val="24"/>
        </w:rPr>
      </w:pPr>
      <w:r>
        <w:rPr>
          <w:rFonts w:ascii="宋体" w:hAnsi="宋体"/>
          <w:sz w:val="24"/>
        </w:rPr>
        <w:t>本基金投资银行存款应符合如下规定：</w:t>
      </w:r>
    </w:p>
    <w:p>
      <w:pPr>
        <w:tabs>
          <w:tab w:val="left" w:pos="1260"/>
        </w:tabs>
        <w:spacing w:line="360" w:lineRule="auto"/>
        <w:ind w:firstLine="480" w:firstLineChars="200"/>
        <w:rPr>
          <w:rFonts w:ascii="宋体" w:hAnsi="宋体"/>
          <w:sz w:val="24"/>
        </w:rPr>
      </w:pPr>
      <w:r>
        <w:rPr>
          <w:rFonts w:ascii="宋体" w:hAnsi="宋体"/>
          <w:sz w:val="24"/>
        </w:rPr>
        <w:t>（1）基金管理人、基金托管人应当与存款银行建立对账机制，确保基金银行存款业务账目及核算的真实、准确。</w:t>
      </w:r>
    </w:p>
    <w:p>
      <w:pPr>
        <w:tabs>
          <w:tab w:val="left" w:pos="1260"/>
        </w:tabs>
        <w:spacing w:line="360" w:lineRule="auto"/>
        <w:ind w:firstLine="480" w:firstLineChars="200"/>
        <w:rPr>
          <w:rFonts w:ascii="宋体"/>
          <w:sz w:val="24"/>
        </w:rPr>
      </w:pPr>
      <w:r>
        <w:rPr>
          <w:rFonts w:ascii="宋体" w:hAnsi="宋体"/>
          <w:sz w:val="24"/>
        </w:rPr>
        <w:t>（2）基金托管人应加强对基金银行存款业务的监督与核查，严格审查、复核相关协议、账户资料、投资指令、存款证实书等有关文件，切实履行托管职责。</w:t>
      </w:r>
    </w:p>
    <w:p>
      <w:pPr>
        <w:tabs>
          <w:tab w:val="left" w:pos="1260"/>
        </w:tabs>
        <w:spacing w:line="360" w:lineRule="auto"/>
        <w:ind w:firstLine="480" w:firstLineChars="200"/>
        <w:rPr>
          <w:rFonts w:ascii="宋体"/>
          <w:sz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pPr>
        <w:tabs>
          <w:tab w:val="left" w:pos="1260"/>
        </w:tabs>
        <w:spacing w:line="360" w:lineRule="auto"/>
        <w:ind w:firstLine="480" w:firstLineChars="200"/>
        <w:rPr>
          <w:rFonts w:ascii="宋体"/>
          <w:b/>
          <w:sz w:val="24"/>
        </w:rPr>
      </w:pPr>
      <w:r>
        <w:rPr>
          <w:rFonts w:ascii="宋体" w:hAnsi="宋体"/>
          <w:b/>
          <w:sz w:val="24"/>
        </w:rPr>
        <w:t>6.基金托管人对基金投资流通受限证券的监督。</w:t>
      </w:r>
    </w:p>
    <w:p>
      <w:pPr>
        <w:spacing w:before="156" w:line="360" w:lineRule="auto"/>
        <w:ind w:left="105" w:firstLine="480" w:firstLineChars="200"/>
        <w:rPr>
          <w:rFonts w:ascii="宋体"/>
          <w:sz w:val="24"/>
        </w:rPr>
      </w:pPr>
      <w:r>
        <w:rPr>
          <w:rFonts w:ascii="宋体" w:hAnsi="宋体"/>
          <w:sz w:val="24"/>
        </w:rPr>
        <w:t>（1）基金投资流通受限证券</w:t>
      </w:r>
      <w:r>
        <w:rPr>
          <w:rFonts w:hint="eastAsia" w:ascii="宋体" w:hAnsi="宋体"/>
          <w:sz w:val="24"/>
        </w:rPr>
        <w:t>，</w:t>
      </w:r>
      <w:r>
        <w:rPr>
          <w:rFonts w:ascii="宋体" w:hAnsi="宋体"/>
          <w:sz w:val="24"/>
        </w:rPr>
        <w:t>应遵守《关于基金投资非公开发行股票等流通受限证券有关问题的通知》等有关法律法规规定。</w:t>
      </w:r>
    </w:p>
    <w:p>
      <w:pPr>
        <w:spacing w:before="156" w:line="360" w:lineRule="auto"/>
        <w:ind w:left="105" w:firstLine="480" w:firstLineChars="200"/>
        <w:rPr>
          <w:sz w:val="24"/>
        </w:rPr>
      </w:pPr>
      <w:r>
        <w:rPr>
          <w:rFonts w:ascii="宋体" w:hAnsi="宋体"/>
          <w:sz w:val="24"/>
        </w:rPr>
        <w:t>（2）流通受限证券与上文所述的流动性受限资产的范围并不完全一致</w:t>
      </w:r>
      <w:r>
        <w:rPr>
          <w:rFonts w:hint="eastAsia" w:ascii="宋体" w:hAnsi="宋体"/>
          <w:sz w:val="24"/>
        </w:rPr>
        <w:t>，</w:t>
      </w:r>
      <w:r>
        <w:rPr>
          <w:rFonts w:ascii="宋体" w:hAnsi="宋体"/>
          <w:sz w:val="24"/>
        </w:rPr>
        <w:t>包括由</w:t>
      </w:r>
      <w:r>
        <w:rPr>
          <w:rFonts w:hint="eastAsia" w:ascii="宋体" w:hAnsi="宋体"/>
          <w:sz w:val="24"/>
        </w:rPr>
        <w:t>相关法律法规</w:t>
      </w:r>
      <w:r>
        <w:rPr>
          <w:rFonts w:ascii="宋体" w:hAnsi="宋体"/>
          <w:sz w:val="24"/>
        </w:rPr>
        <w:t>规范的非公开发行股票、公开发行股票网下配售部分等在发行时明确一定期限锁定期的可交易证券</w:t>
      </w:r>
      <w:r>
        <w:rPr>
          <w:rFonts w:hint="eastAsia" w:ascii="宋体" w:hAnsi="宋体"/>
          <w:sz w:val="24"/>
        </w:rPr>
        <w:t>，</w:t>
      </w:r>
      <w:r>
        <w:rPr>
          <w:rFonts w:ascii="宋体" w:hAnsi="宋体"/>
          <w:sz w:val="24"/>
        </w:rPr>
        <w:t>不包括由于发布重大消息或其他原因而临时停牌的证券、已发行未上市证券、回购交易中的质押券等流通受限证券。</w:t>
      </w:r>
    </w:p>
    <w:p>
      <w:pPr>
        <w:spacing w:before="156" w:line="360" w:lineRule="auto"/>
        <w:ind w:firstLine="480" w:firstLineChars="200"/>
        <w:rPr>
          <w:sz w:val="24"/>
        </w:rPr>
      </w:pPr>
      <w:r>
        <w:rPr>
          <w:rFonts w:ascii="宋体" w:hAnsi="宋体"/>
          <w:sz w:val="24"/>
        </w:rPr>
        <w:t>（3）基金管理人应在基金首次投资流通受限证券前</w:t>
      </w:r>
      <w:r>
        <w:rPr>
          <w:rFonts w:hint="eastAsia" w:ascii="宋体" w:hAnsi="宋体"/>
          <w:sz w:val="24"/>
        </w:rPr>
        <w:t>，</w:t>
      </w:r>
      <w:r>
        <w:rPr>
          <w:rFonts w:ascii="宋体" w:hAnsi="宋体"/>
          <w:sz w:val="24"/>
        </w:rPr>
        <w:t>向基金托管人提供经基金管理人董事会批准的有关基金投资流通受限证券的投资决策流程、风险控制制度。基金投资非公开发行股票</w:t>
      </w:r>
      <w:r>
        <w:rPr>
          <w:rFonts w:hint="eastAsia" w:ascii="宋体" w:hAnsi="宋体"/>
          <w:sz w:val="24"/>
        </w:rPr>
        <w:t>，</w:t>
      </w:r>
      <w:r>
        <w:rPr>
          <w:rFonts w:ascii="宋体" w:hAnsi="宋体"/>
          <w:sz w:val="24"/>
        </w:rPr>
        <w:t>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w:t>
      </w:r>
      <w:r>
        <w:rPr>
          <w:rFonts w:hint="eastAsia" w:ascii="宋体" w:hAnsi="宋体"/>
          <w:sz w:val="24"/>
        </w:rPr>
        <w:t>，</w:t>
      </w:r>
      <w:r>
        <w:rPr>
          <w:rFonts w:ascii="宋体" w:hAnsi="宋体"/>
          <w:sz w:val="24"/>
        </w:rPr>
        <w:t>保证基金托管人有足够的时间进行审核。基金托管人应在收到上述资料后两个工作日内</w:t>
      </w:r>
      <w:r>
        <w:rPr>
          <w:rFonts w:hint="eastAsia" w:ascii="宋体" w:hAnsi="宋体"/>
          <w:sz w:val="24"/>
        </w:rPr>
        <w:t>，</w:t>
      </w:r>
      <w:r>
        <w:rPr>
          <w:rFonts w:ascii="宋体" w:hAnsi="宋体"/>
          <w:sz w:val="24"/>
        </w:rPr>
        <w:t>以书面或其他双方认可的方式确认收到上述资料。</w:t>
      </w:r>
    </w:p>
    <w:p>
      <w:pPr>
        <w:spacing w:before="156" w:line="360" w:lineRule="auto"/>
        <w:ind w:left="105" w:firstLine="480" w:firstLineChars="200"/>
        <w:rPr>
          <w:sz w:val="24"/>
        </w:rPr>
      </w:pPr>
      <w:r>
        <w:rPr>
          <w:rFonts w:ascii="宋体" w:hAnsi="宋体"/>
          <w:sz w:val="24"/>
        </w:rPr>
        <w:t>（4）基金投资流通受限证券前</w:t>
      </w:r>
      <w:r>
        <w:rPr>
          <w:rFonts w:hint="eastAsia" w:ascii="宋体" w:hAnsi="宋体"/>
          <w:sz w:val="24"/>
        </w:rPr>
        <w:t>，</w:t>
      </w:r>
      <w:r>
        <w:rPr>
          <w:rFonts w:ascii="宋体" w:hAnsi="宋体"/>
          <w:sz w:val="24"/>
        </w:rPr>
        <w:t>基金管理人应向基金托管人提供符合法律法规要求的有关书面信息</w:t>
      </w:r>
      <w:r>
        <w:rPr>
          <w:rFonts w:hint="eastAsia" w:ascii="宋体" w:hAnsi="宋体"/>
          <w:sz w:val="24"/>
        </w:rPr>
        <w:t>，</w:t>
      </w:r>
      <w:r>
        <w:rPr>
          <w:rFonts w:ascii="宋体" w:hAnsi="宋体"/>
          <w:sz w:val="24"/>
        </w:rPr>
        <w:t>包括但不限于拟发行证券主体的中国证监会批准文件、发行证券数量、发行价格、锁定期</w:t>
      </w:r>
      <w:r>
        <w:rPr>
          <w:rFonts w:hint="eastAsia" w:ascii="宋体" w:hAnsi="宋体"/>
          <w:sz w:val="24"/>
        </w:rPr>
        <w:t>，</w:t>
      </w:r>
      <w:r>
        <w:rPr>
          <w:rFonts w:ascii="宋体" w:hAnsi="宋体"/>
          <w:sz w:val="24"/>
        </w:rPr>
        <w:t>基金拟认购的数量、价格、总成本、总成本占基金资产净值的比例、已持有流通受限证券市值占</w:t>
      </w:r>
      <w:r>
        <w:rPr>
          <w:rFonts w:hint="eastAsia" w:ascii="宋体" w:hAnsi="宋体"/>
          <w:sz w:val="24"/>
        </w:rPr>
        <w:t>基金</w:t>
      </w:r>
      <w:r>
        <w:rPr>
          <w:rFonts w:ascii="宋体" w:hAnsi="宋体"/>
          <w:sz w:val="24"/>
        </w:rPr>
        <w:t>资产净值的比例、资金划付时间等。基金管理人应保证上述信息的真实、完整</w:t>
      </w:r>
      <w:r>
        <w:rPr>
          <w:rFonts w:hint="eastAsia" w:ascii="宋体" w:hAnsi="宋体"/>
          <w:sz w:val="24"/>
        </w:rPr>
        <w:t>，</w:t>
      </w:r>
      <w:r>
        <w:rPr>
          <w:rFonts w:ascii="宋体" w:hAnsi="宋体"/>
          <w:sz w:val="24"/>
        </w:rPr>
        <w:t>并应至少于拟执行投资指令前两个工作日将上述信息书面发至基金托管人</w:t>
      </w:r>
      <w:r>
        <w:rPr>
          <w:rFonts w:hint="eastAsia" w:ascii="宋体" w:hAnsi="宋体"/>
          <w:sz w:val="24"/>
        </w:rPr>
        <w:t>，</w:t>
      </w:r>
      <w:r>
        <w:rPr>
          <w:rFonts w:ascii="宋体" w:hAnsi="宋体"/>
          <w:sz w:val="24"/>
        </w:rPr>
        <w:t>保证基金托管人有足够的时间进行审核。</w:t>
      </w:r>
    </w:p>
    <w:p>
      <w:pPr>
        <w:spacing w:before="156" w:line="360" w:lineRule="auto"/>
        <w:ind w:left="105" w:firstLine="480" w:firstLineChars="200"/>
        <w:rPr>
          <w:sz w:val="24"/>
        </w:rPr>
      </w:pPr>
      <w:r>
        <w:rPr>
          <w:rFonts w:ascii="宋体" w:hAnsi="宋体"/>
          <w:sz w:val="24"/>
        </w:rPr>
        <w:t>（5）基金托管人应对基金管理人提供的有关书面信息进行审核，基金托管人认为上述资料可能导致基金投资出现风险的</w:t>
      </w:r>
      <w:r>
        <w:rPr>
          <w:rFonts w:hint="eastAsia" w:ascii="宋体" w:hAnsi="宋体"/>
          <w:sz w:val="24"/>
        </w:rPr>
        <w:t>，</w:t>
      </w:r>
      <w:r>
        <w:rPr>
          <w:rFonts w:ascii="宋体" w:hAnsi="宋体"/>
          <w:sz w:val="24"/>
        </w:rPr>
        <w:t>有权要求基金管理人在投资流通受限证券前就该风险的消除或防范措施进行补充书面说明</w:t>
      </w:r>
      <w:r>
        <w:rPr>
          <w:rFonts w:hint="eastAsia" w:ascii="宋体" w:hAnsi="宋体"/>
          <w:sz w:val="24"/>
        </w:rPr>
        <w:t>，</w:t>
      </w:r>
      <w:r>
        <w:rPr>
          <w:rFonts w:ascii="宋体" w:hAnsi="宋体"/>
          <w:sz w:val="24"/>
        </w:rPr>
        <w:t>并保留查看基金管理人风险管理部门就基金投资流通受限证券出具的风险评估报告等</w:t>
      </w:r>
      <w:r>
        <w:rPr>
          <w:rFonts w:hint="eastAsia" w:ascii="宋体" w:hAnsi="宋体"/>
          <w:sz w:val="24"/>
        </w:rPr>
        <w:t>必要</w:t>
      </w:r>
      <w:r>
        <w:rPr>
          <w:rFonts w:ascii="宋体" w:hAnsi="宋体"/>
          <w:sz w:val="24"/>
        </w:rPr>
        <w:t>备查资料的权利。否则</w:t>
      </w:r>
      <w:r>
        <w:rPr>
          <w:rFonts w:hint="eastAsia" w:ascii="宋体" w:hAnsi="宋体"/>
          <w:sz w:val="24"/>
        </w:rPr>
        <w:t>，</w:t>
      </w:r>
      <w:r>
        <w:rPr>
          <w:rFonts w:ascii="宋体" w:hAnsi="宋体"/>
          <w:sz w:val="24"/>
        </w:rPr>
        <w:t>基金托管人有权拒绝执行有关指令。因拒绝执行该指令造成基金财产损失的</w:t>
      </w:r>
      <w:r>
        <w:rPr>
          <w:rFonts w:hint="eastAsia" w:ascii="宋体" w:hAnsi="宋体"/>
          <w:sz w:val="24"/>
        </w:rPr>
        <w:t>，</w:t>
      </w:r>
      <w:r>
        <w:rPr>
          <w:rFonts w:ascii="宋体" w:hAnsi="宋体"/>
          <w:sz w:val="24"/>
        </w:rPr>
        <w:t>基金托管人不承担责任</w:t>
      </w:r>
      <w:r>
        <w:rPr>
          <w:rFonts w:hint="eastAsia" w:ascii="宋体" w:hAnsi="宋体"/>
          <w:sz w:val="24"/>
        </w:rPr>
        <w:t>，</w:t>
      </w:r>
      <w:r>
        <w:rPr>
          <w:rFonts w:ascii="宋体" w:hAnsi="宋体"/>
          <w:sz w:val="24"/>
        </w:rPr>
        <w:t>并有权报告中国证监会。</w:t>
      </w:r>
    </w:p>
    <w:p>
      <w:pPr>
        <w:tabs>
          <w:tab w:val="left" w:pos="1260"/>
        </w:tabs>
        <w:spacing w:before="156" w:line="360" w:lineRule="auto"/>
        <w:ind w:firstLine="480" w:firstLineChars="200"/>
        <w:rPr>
          <w:rFonts w:ascii="宋体"/>
          <w:b/>
          <w:sz w:val="24"/>
        </w:rPr>
      </w:pPr>
      <w:r>
        <w:rPr>
          <w:rFonts w:ascii="宋体" w:hAnsi="宋体"/>
          <w:sz w:val="24"/>
        </w:rPr>
        <w:t>如基金管理人和基金托管人无法达成一致</w:t>
      </w:r>
      <w:r>
        <w:rPr>
          <w:rFonts w:hint="eastAsia" w:ascii="宋体" w:hAnsi="宋体"/>
          <w:sz w:val="24"/>
        </w:rPr>
        <w:t>，</w:t>
      </w:r>
      <w:r>
        <w:rPr>
          <w:rFonts w:ascii="宋体" w:hAnsi="宋体"/>
          <w:sz w:val="24"/>
        </w:rPr>
        <w:t>应及时上报中国证监会请求解决。如果基金托管人切实履行监督职责</w:t>
      </w:r>
      <w:r>
        <w:rPr>
          <w:rFonts w:hint="eastAsia" w:ascii="宋体" w:hAnsi="宋体"/>
          <w:sz w:val="24"/>
        </w:rPr>
        <w:t>，</w:t>
      </w:r>
      <w:r>
        <w:rPr>
          <w:rFonts w:ascii="宋体" w:hAnsi="宋体"/>
          <w:sz w:val="24"/>
        </w:rPr>
        <w:t>则不承担责任。</w:t>
      </w:r>
    </w:p>
    <w:p>
      <w:pPr>
        <w:tabs>
          <w:tab w:val="left" w:pos="3780"/>
        </w:tabs>
        <w:autoSpaceDE w:val="0"/>
        <w:autoSpaceDN w:val="0"/>
        <w:spacing w:before="156" w:after="156" w:line="360" w:lineRule="auto"/>
        <w:ind w:firstLine="480" w:firstLineChars="200"/>
        <w:outlineLvl w:val="0"/>
        <w:rPr>
          <w:rFonts w:ascii="宋体" w:hAnsi="宋体"/>
          <w:b/>
          <w:bCs/>
          <w:sz w:val="24"/>
        </w:rPr>
      </w:pPr>
      <w:r>
        <w:rPr>
          <w:rFonts w:ascii="宋体" w:hAnsi="宋体"/>
          <w:b/>
          <w:bCs/>
          <w:sz w:val="24"/>
        </w:rPr>
        <w:t>7.基金管理人运用基金财产参与转融通证券出借业务，应当遵守审慎经营原则，配备技术系统和专业人员，制定科学合理的投资策略和风险管理制度，完善业务流程，有效防范和控制风险，基金托管人将对基金参与出借业务进行监督和复核</w:t>
      </w:r>
      <w:r>
        <w:rPr>
          <w:rFonts w:hint="eastAsia" w:ascii="宋体" w:hAnsi="宋体"/>
          <w:b/>
          <w:bCs/>
          <w:sz w:val="24"/>
        </w:rPr>
        <w:t>。</w:t>
      </w:r>
    </w:p>
    <w:p>
      <w:pPr>
        <w:tabs>
          <w:tab w:val="left" w:pos="3780"/>
        </w:tabs>
        <w:autoSpaceDE w:val="0"/>
        <w:autoSpaceDN w:val="0"/>
        <w:spacing w:before="156" w:after="156" w:line="360" w:lineRule="auto"/>
        <w:ind w:firstLine="480" w:firstLineChars="200"/>
        <w:outlineLvl w:val="0"/>
        <w:rPr>
          <w:rFonts w:ascii="宋体" w:hAnsi="宋体"/>
          <w:b/>
          <w:bCs/>
          <w:sz w:val="24"/>
        </w:rPr>
      </w:pPr>
      <w:r>
        <w:rPr>
          <w:rFonts w:ascii="宋体" w:hAnsi="宋体"/>
          <w:b/>
          <w:bCs/>
          <w:sz w:val="24"/>
        </w:rPr>
        <w:t>8.基金托管人根据法律法规的规定及《基金合同》和本协议的约定，对基金投资其他方面进行监督。</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（二）基金托管人应根据有关法律法规的规定及《基金合同》的约定，对基金资产净值计算、</w:t>
      </w:r>
      <w:r>
        <w:rPr>
          <w:rFonts w:hint="eastAsia" w:ascii="宋体" w:hAnsi="宋体"/>
          <w:b/>
          <w:bCs/>
          <w:sz w:val="24"/>
        </w:rPr>
        <w:t>各类</w:t>
      </w:r>
      <w:r>
        <w:rPr>
          <w:rFonts w:ascii="宋体" w:hAnsi="宋体"/>
          <w:b/>
          <w:bCs/>
          <w:sz w:val="24"/>
        </w:rPr>
        <w:t>基金份额净值计算、应收资金到账、基金费用开支及收入确认、基金收益分配、相关信息披露、基金宣传推介材料中登载基金业绩表现数据等进行监督和核查。</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pPr>
        <w:tabs>
          <w:tab w:val="left" w:pos="1260"/>
        </w:tabs>
        <w:spacing w:line="360" w:lineRule="auto"/>
        <w:ind w:firstLine="480" w:firstLineChars="200"/>
        <w:rPr>
          <w:rFonts w:ascii="宋体"/>
          <w:sz w:val="24"/>
        </w:rPr>
      </w:pPr>
      <w:r>
        <w:rPr>
          <w:rFonts w:ascii="宋体" w:hAnsi="宋体"/>
          <w:sz w:val="24"/>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pPr>
        <w:tabs>
          <w:tab w:val="left" w:pos="1260"/>
        </w:tabs>
        <w:spacing w:line="360" w:lineRule="auto"/>
        <w:ind w:firstLine="480" w:firstLineChars="200"/>
        <w:rPr>
          <w:rFonts w:ascii="宋体"/>
          <w:sz w:val="24"/>
        </w:rPr>
      </w:pPr>
      <w:r>
        <w:rPr>
          <w:rFonts w:ascii="宋体" w:hAnsi="宋体"/>
          <w:sz w:val="24"/>
        </w:rPr>
        <w:t>基金托管人发现基金管理人有重大违规行为，应立即报告中国证监会，同时通知基金管理人在限期内纠正。</w:t>
      </w:r>
    </w:p>
    <w:p>
      <w:pPr>
        <w:tabs>
          <w:tab w:val="left" w:pos="1260"/>
        </w:tabs>
        <w:spacing w:line="360" w:lineRule="auto"/>
        <w:ind w:firstLine="480" w:firstLineChars="200"/>
        <w:rPr>
          <w:rFonts w:ascii="宋体"/>
          <w:sz w:val="24"/>
        </w:rPr>
      </w:pPr>
      <w:r>
        <w:rPr>
          <w:rFonts w:ascii="宋体" w:hAnsi="宋体"/>
          <w:sz w:val="24"/>
        </w:rPr>
        <w:t>基金托管人发现基金管理人的指令违反法律、行政法规和其他有关规定，或者违反《基金合同》约定的，应当拒绝执行，立即通知基金管理人，并按规定向中国证监会报告。</w:t>
      </w:r>
    </w:p>
    <w:p>
      <w:pPr>
        <w:tabs>
          <w:tab w:val="left" w:pos="1260"/>
        </w:tabs>
        <w:spacing w:line="360" w:lineRule="auto"/>
        <w:ind w:firstLine="480" w:firstLineChars="200"/>
        <w:rPr>
          <w:rFonts w:ascii="宋体"/>
          <w:sz w:val="24"/>
        </w:rPr>
      </w:pPr>
      <w:r>
        <w:rPr>
          <w:rFonts w:ascii="宋体" w:hAnsi="宋体"/>
          <w:sz w:val="24"/>
        </w:rPr>
        <w:t>基金托管人发现基金管理人依据交易程序已经生效的指令违反法律、行政法规和其他有关规定，或者违反《基金合同》约定的，应当立即通知基金管理人，并按规定向中国证监会报告。</w:t>
      </w:r>
      <w:bookmarkStart w:id="26" w:name="_Toc125892440"/>
    </w:p>
    <w:p>
      <w:pPr>
        <w:pStyle w:val="2"/>
        <w:rPr>
          <w:color w:val="auto"/>
        </w:rPr>
      </w:pPr>
      <w:bookmarkStart w:id="27" w:name="_Toc196312614"/>
      <w:r>
        <w:rPr>
          <w:color w:val="auto"/>
        </w:rPr>
        <w:t>四、基金管理人对基金托管人的业务核查</w:t>
      </w:r>
      <w:bookmarkEnd w:id="26"/>
      <w:bookmarkEnd w:id="27"/>
    </w:p>
    <w:p>
      <w:pPr>
        <w:tabs>
          <w:tab w:val="left" w:pos="1260"/>
        </w:tabs>
        <w:spacing w:line="360" w:lineRule="auto"/>
        <w:ind w:firstLine="480" w:firstLineChars="200"/>
        <w:rPr>
          <w:rFonts w:ascii="宋体"/>
          <w:sz w:val="24"/>
        </w:rPr>
      </w:pPr>
      <w:r>
        <w:rPr>
          <w:rFonts w:ascii="宋体" w:hAnsi="宋体"/>
          <w:sz w:val="24"/>
        </w:rPr>
        <w:t>根据《基金法》及其他有关法规、《基金合同》和本协议规定，基金管理人对基金托管人履行托管职责的情况进行核查，核查事项包括但不限于基金托管人是否安全保管基金财产、开立基金财产的</w:t>
      </w:r>
      <w:bookmarkStart w:id="28" w:name="_Hlk181866620"/>
      <w:r>
        <w:rPr>
          <w:rFonts w:ascii="宋体" w:hAnsi="宋体"/>
          <w:sz w:val="24"/>
        </w:rPr>
        <w:t>资金账户、证券账户及债券托管账户</w:t>
      </w:r>
      <w:bookmarkEnd w:id="28"/>
      <w:r>
        <w:rPr>
          <w:rFonts w:ascii="宋体" w:hAnsi="宋体"/>
          <w:sz w:val="24"/>
        </w:rPr>
        <w:t>等投资所需账户，是否及时、准确复核基金管理人计算的基金资产净值和</w:t>
      </w:r>
      <w:r>
        <w:rPr>
          <w:rFonts w:hint="eastAsia" w:ascii="宋体" w:hAnsi="宋体"/>
          <w:sz w:val="24"/>
        </w:rPr>
        <w:t>各类</w:t>
      </w:r>
      <w:r>
        <w:rPr>
          <w:rFonts w:ascii="宋体" w:hAnsi="宋体"/>
          <w:sz w:val="24"/>
        </w:rPr>
        <w:t>基金份额净值，是否根据基金管理人指令办理清算交收，是否按照法规规定和《基金合同》规定进行相关信息披露和监督基金投资运作等行为。</w:t>
      </w:r>
    </w:p>
    <w:p>
      <w:pPr>
        <w:tabs>
          <w:tab w:val="left" w:pos="1260"/>
        </w:tabs>
        <w:spacing w:line="360" w:lineRule="auto"/>
        <w:ind w:firstLine="480" w:firstLineChars="200"/>
        <w:rPr>
          <w:rFonts w:ascii="宋体"/>
          <w:sz w:val="24"/>
        </w:rPr>
      </w:pPr>
      <w:r>
        <w:rPr>
          <w:rFonts w:ascii="宋体" w:hAnsi="宋体"/>
          <w:sz w:val="24"/>
        </w:rPr>
        <w:t>基金管理人定期和不定期地对基金托管人保管的基金资产进行核查。基金托管人应积极配合基金管理人的核查行为，包括但不限于：提交相关资料以供基金管理人核查</w:t>
      </w:r>
      <w:r>
        <w:rPr>
          <w:rFonts w:hint="eastAsia" w:ascii="宋体" w:hAnsi="宋体"/>
          <w:sz w:val="24"/>
        </w:rPr>
        <w:t>基金</w:t>
      </w:r>
      <w:r>
        <w:rPr>
          <w:rFonts w:ascii="宋体" w:hAnsi="宋体"/>
          <w:sz w:val="24"/>
        </w:rPr>
        <w:t>财产的完整性和真实性，在规定时间内答复并改正。</w:t>
      </w:r>
    </w:p>
    <w:p>
      <w:pPr>
        <w:tabs>
          <w:tab w:val="left" w:pos="1260"/>
        </w:tabs>
        <w:spacing w:line="360" w:lineRule="auto"/>
        <w:ind w:firstLine="480" w:firstLineChars="200"/>
        <w:rPr>
          <w:rFonts w:ascii="宋体"/>
          <w:sz w:val="24"/>
        </w:rPr>
      </w:pPr>
      <w:r>
        <w:rPr>
          <w:rFonts w:ascii="宋体" w:hAnsi="宋体"/>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pPr>
        <w:tabs>
          <w:tab w:val="left" w:pos="1260"/>
        </w:tabs>
        <w:spacing w:line="360" w:lineRule="auto"/>
        <w:ind w:firstLine="480" w:firstLineChars="200"/>
        <w:rPr>
          <w:rFonts w:ascii="宋体"/>
          <w:sz w:val="24"/>
        </w:rPr>
      </w:pPr>
      <w:r>
        <w:rPr>
          <w:rFonts w:ascii="宋体" w:hAnsi="宋体"/>
          <w:sz w:val="24"/>
        </w:rPr>
        <w:t>基金管理人发现基金托管人有重大违规行为，应立即报告中国证监会，同时通知基金托管人在限期内纠正。</w:t>
      </w:r>
    </w:p>
    <w:p>
      <w:pPr>
        <w:pStyle w:val="2"/>
        <w:rPr>
          <w:color w:val="auto"/>
        </w:rPr>
      </w:pPr>
      <w:bookmarkStart w:id="29" w:name="_Toc22454437"/>
      <w:bookmarkStart w:id="30" w:name="_Toc125892441"/>
      <w:bookmarkStart w:id="31" w:name="_Toc523829995"/>
      <w:bookmarkStart w:id="32" w:name="_Toc196312615"/>
      <w:bookmarkStart w:id="33" w:name="_Toc466788854"/>
      <w:r>
        <w:rPr>
          <w:color w:val="auto"/>
        </w:rPr>
        <w:t>五、基金财产的保管</w:t>
      </w:r>
      <w:bookmarkEnd w:id="29"/>
      <w:bookmarkEnd w:id="30"/>
      <w:bookmarkEnd w:id="31"/>
      <w:bookmarkEnd w:id="32"/>
      <w:bookmarkEnd w:id="33"/>
    </w:p>
    <w:p>
      <w:pPr>
        <w:tabs>
          <w:tab w:val="left" w:pos="3780"/>
        </w:tabs>
        <w:autoSpaceDE w:val="0"/>
        <w:autoSpaceDN w:val="0"/>
        <w:spacing w:before="156" w:after="156" w:line="360" w:lineRule="auto"/>
        <w:outlineLvl w:val="0"/>
        <w:rPr>
          <w:rFonts w:ascii="宋体"/>
          <w:b/>
          <w:bCs/>
          <w:sz w:val="24"/>
        </w:rPr>
      </w:pPr>
      <w:bookmarkStart w:id="34" w:name="_Toc37159173"/>
      <w:bookmarkStart w:id="35" w:name="_Toc77662997"/>
      <w:r>
        <w:rPr>
          <w:rFonts w:ascii="宋体" w:hAnsi="宋体"/>
          <w:b/>
          <w:bCs/>
          <w:sz w:val="24"/>
        </w:rPr>
        <w:t>（一）基金财产保管的原则</w:t>
      </w:r>
      <w:bookmarkEnd w:id="34"/>
      <w:bookmarkEnd w:id="35"/>
    </w:p>
    <w:p>
      <w:pPr>
        <w:tabs>
          <w:tab w:val="left" w:pos="1260"/>
        </w:tabs>
        <w:spacing w:line="360" w:lineRule="auto"/>
        <w:ind w:firstLine="480" w:firstLineChars="200"/>
        <w:rPr>
          <w:rFonts w:ascii="宋体"/>
          <w:sz w:val="24"/>
        </w:rPr>
      </w:pPr>
      <w:r>
        <w:rPr>
          <w:rFonts w:ascii="宋体" w:hAnsi="宋体"/>
          <w:sz w:val="24"/>
        </w:rPr>
        <w:t>1.基金托管人应安全保管基金财产，未经基金管理人的指令，不得自行运用、处分、分配基金的任何资产，非因基金财产本身承担的债务，不得对基金财产强制执行。</w:t>
      </w:r>
    </w:p>
    <w:p>
      <w:pPr>
        <w:tabs>
          <w:tab w:val="left" w:pos="1260"/>
        </w:tabs>
        <w:spacing w:line="360" w:lineRule="auto"/>
        <w:ind w:firstLine="480" w:firstLineChars="200"/>
        <w:rPr>
          <w:rFonts w:ascii="宋体"/>
          <w:sz w:val="24"/>
        </w:rPr>
      </w:pPr>
      <w:r>
        <w:rPr>
          <w:rFonts w:ascii="宋体" w:hAnsi="宋体"/>
          <w:sz w:val="24"/>
        </w:rPr>
        <w:t>2.基金财产应独立于基金管理人、基金托管人</w:t>
      </w:r>
      <w:r>
        <w:rPr>
          <w:rFonts w:hint="eastAsia" w:ascii="宋体" w:hAnsi="宋体"/>
          <w:sz w:val="24"/>
        </w:rPr>
        <w:t>、证券经纪机构</w:t>
      </w:r>
      <w:r>
        <w:rPr>
          <w:rFonts w:ascii="宋体" w:hAnsi="宋体"/>
          <w:sz w:val="24"/>
        </w:rPr>
        <w:t>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pPr>
        <w:tabs>
          <w:tab w:val="left" w:pos="1260"/>
        </w:tabs>
        <w:spacing w:line="360" w:lineRule="auto"/>
        <w:ind w:firstLine="480" w:firstLineChars="200"/>
        <w:rPr>
          <w:rFonts w:ascii="宋体"/>
          <w:sz w:val="24"/>
        </w:rPr>
      </w:pPr>
      <w:r>
        <w:rPr>
          <w:rFonts w:ascii="宋体" w:hAnsi="宋体"/>
          <w:sz w:val="24"/>
        </w:rPr>
        <w:t>3.基金托管人按照规定开立基金财产的资金账户、证券账户和债券托管账户等投资所需账户</w:t>
      </w:r>
      <w:r>
        <w:rPr>
          <w:spacing w:val="-4"/>
          <w:sz w:val="24"/>
        </w:rPr>
        <w:t>，基金管理人和基金托管人按照规定</w:t>
      </w:r>
      <w:r>
        <w:rPr>
          <w:rFonts w:ascii="宋体" w:hAnsi="宋体"/>
          <w:sz w:val="24"/>
        </w:rPr>
        <w:t>开立期货资金账户。</w:t>
      </w:r>
    </w:p>
    <w:p>
      <w:pPr>
        <w:tabs>
          <w:tab w:val="left" w:pos="1260"/>
        </w:tabs>
        <w:spacing w:line="360" w:lineRule="auto"/>
        <w:ind w:firstLine="480" w:firstLineChars="200"/>
        <w:rPr>
          <w:rFonts w:ascii="宋体"/>
          <w:sz w:val="24"/>
        </w:rPr>
      </w:pPr>
      <w:r>
        <w:rPr>
          <w:rFonts w:ascii="宋体" w:hAnsi="宋体"/>
          <w:sz w:val="24"/>
        </w:rPr>
        <w:t>4.基金托管人对所托管的不同基金财产分别设置账户，与基金托管人的其他业务和其他基金的托管业务实行严格的分账管理，独立核算，确保基金财产的完整和独立。</w:t>
      </w:r>
    </w:p>
    <w:p>
      <w:pPr>
        <w:tabs>
          <w:tab w:val="left" w:pos="1260"/>
        </w:tabs>
        <w:spacing w:line="360" w:lineRule="auto"/>
        <w:ind w:firstLine="480" w:firstLineChars="200"/>
        <w:rPr>
          <w:rFonts w:ascii="宋体" w:hAnsi="宋体"/>
          <w:sz w:val="24"/>
        </w:rPr>
      </w:pPr>
      <w:r>
        <w:rPr>
          <w:rFonts w:ascii="宋体" w:hAnsi="宋体"/>
          <w:sz w:val="24"/>
        </w:rPr>
        <w:t>5.对于因为基金投资产生的应收资产和基金申购过程中产生的应收资产，应由基金管理人负责与有关当事人确定到账日期并通知基金托管人，到账日基金资产没有到达基金银行存款账户（即资金账户，下同）的，基金托管人应及时通知基金管理人采取措施进行催收。由此给基金造成损失的，基金管理人应负责向有关当事人追偿基金的损失。</w:t>
      </w:r>
      <w:bookmarkStart w:id="36" w:name="_Toc37159174"/>
      <w:bookmarkStart w:id="37" w:name="_Toc77662998"/>
      <w:r>
        <w:rPr>
          <w:rFonts w:ascii="宋体" w:hAnsi="宋体"/>
          <w:sz w:val="24"/>
        </w:rPr>
        <w:t>基金托管人对此不承担责任。</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（二）基金募集资产的验证</w:t>
      </w:r>
      <w:bookmarkEnd w:id="36"/>
      <w:bookmarkEnd w:id="37"/>
    </w:p>
    <w:p>
      <w:pPr>
        <w:tabs>
          <w:tab w:val="left" w:pos="1260"/>
        </w:tabs>
        <w:spacing w:line="360" w:lineRule="auto"/>
        <w:ind w:firstLine="480" w:firstLineChars="200"/>
        <w:rPr>
          <w:rFonts w:ascii="宋体"/>
          <w:sz w:val="24"/>
        </w:rPr>
      </w:pPr>
      <w:r>
        <w:rPr>
          <w:rFonts w:hint="eastAsia" w:ascii="宋体" w:hAnsi="宋体"/>
          <w:sz w:val="24"/>
        </w:rPr>
        <w:t>基金募集期满或基金停止募集时，募集的基金份额总额、基金募集金额、基金份额持有人人数符合《基金法》、《运作办法》、基金合同等有关规定后，</w:t>
      </w:r>
      <w:r>
        <w:rPr>
          <w:rFonts w:ascii="宋体" w:hAnsi="宋体"/>
          <w:sz w:val="24"/>
        </w:rPr>
        <w:t>基金募集期届满或基金提前结束募集之日起10日内，由基金管理人聘请符合《中华人民共和国证券法》规定的会计师事务所进行验资，出具验资报告，出具的验资报告应由参加验资的2名以上（含2名）中国注册会计师签字</w:t>
      </w:r>
      <w:r>
        <w:rPr>
          <w:rFonts w:hint="eastAsia" w:ascii="宋体" w:hAnsi="宋体"/>
          <w:sz w:val="24"/>
        </w:rPr>
        <w:t>方为</w:t>
      </w:r>
      <w:r>
        <w:rPr>
          <w:rFonts w:ascii="宋体" w:hAnsi="宋体"/>
          <w:sz w:val="24"/>
        </w:rPr>
        <w:t>有效。验资完成，基金管理人应将属于基金财产的全部资金划入基金托管人开立的基金银行存款账户，基金托管人在收到资金当日出具相关证明文件。</w:t>
      </w:r>
      <w:bookmarkStart w:id="38" w:name="_Toc77663000"/>
      <w:bookmarkStart w:id="39" w:name="_Toc37159176"/>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（三）基金的银行存款账户的开立和管理</w:t>
      </w:r>
      <w:bookmarkEnd w:id="38"/>
      <w:bookmarkEnd w:id="39"/>
    </w:p>
    <w:p>
      <w:pPr>
        <w:tabs>
          <w:tab w:val="left" w:pos="1260"/>
        </w:tabs>
        <w:spacing w:line="360" w:lineRule="auto"/>
        <w:ind w:firstLine="480" w:firstLineChars="200"/>
        <w:rPr>
          <w:rFonts w:ascii="宋体" w:hAnsi="宋体"/>
          <w:sz w:val="24"/>
        </w:rPr>
      </w:pPr>
      <w:r>
        <w:rPr>
          <w:rFonts w:hint="eastAsia" w:ascii="宋体" w:hAnsi="宋体"/>
          <w:sz w:val="24"/>
        </w:rPr>
        <w:t>1.基金托管人应负责本基金的银行存款账户的开设和管理。</w:t>
      </w:r>
    </w:p>
    <w:p>
      <w:pPr>
        <w:tabs>
          <w:tab w:val="left" w:pos="1260"/>
        </w:tabs>
        <w:spacing w:line="360" w:lineRule="auto"/>
        <w:ind w:firstLine="480" w:firstLineChars="200"/>
        <w:rPr>
          <w:rFonts w:ascii="宋体" w:hAnsi="宋体"/>
          <w:sz w:val="24"/>
        </w:rPr>
      </w:pPr>
      <w:r>
        <w:rPr>
          <w:rFonts w:hint="eastAsia" w:ascii="宋体" w:hAnsi="宋体"/>
          <w:sz w:val="24"/>
        </w:rPr>
        <w:t>2.基金托管人以本基金的名义开设本基金的银行存款账户，账户名称以实际开立为准。本基金的银行预留印鉴由基金托管人保管和使用。本基金的一切货币收支活动，包括但不限于投资、支付赎回金额、支付基金收益，均需通过本基金的银行存款账户进行。</w:t>
      </w:r>
    </w:p>
    <w:p>
      <w:pPr>
        <w:tabs>
          <w:tab w:val="left" w:pos="1260"/>
        </w:tabs>
        <w:spacing w:line="360" w:lineRule="auto"/>
        <w:ind w:firstLine="480" w:firstLineChars="200"/>
        <w:rPr>
          <w:rFonts w:ascii="宋体" w:hAnsi="宋体"/>
          <w:sz w:val="24"/>
        </w:rPr>
      </w:pPr>
      <w:r>
        <w:rPr>
          <w:rFonts w:hint="eastAsia" w:ascii="宋体" w:hAnsi="宋体"/>
          <w:sz w:val="24"/>
        </w:rPr>
        <w:t>3.本基金银行存款账户的开立和使用，限于满足开展本基金业务的需要。基金托管人和基金管理人不得假借本基金的名义开立其他任何银行存款账户；亦不得使用本基金的银行存款账户进行本基金业务以外的活动。</w:t>
      </w:r>
    </w:p>
    <w:p>
      <w:pPr>
        <w:tabs>
          <w:tab w:val="left" w:pos="1260"/>
        </w:tabs>
        <w:spacing w:line="360" w:lineRule="auto"/>
        <w:ind w:firstLine="480" w:firstLineChars="200"/>
        <w:rPr>
          <w:rFonts w:ascii="宋体" w:hAnsi="宋体"/>
          <w:sz w:val="24"/>
        </w:rPr>
      </w:pPr>
      <w:r>
        <w:rPr>
          <w:rFonts w:hint="eastAsia" w:ascii="宋体" w:hAnsi="宋体"/>
          <w:sz w:val="24"/>
        </w:rPr>
        <w:t>4.基金银行存款账户的管理应符合法律法规的有关规定。</w:t>
      </w:r>
    </w:p>
    <w:p>
      <w:pPr>
        <w:tabs>
          <w:tab w:val="left" w:pos="3780"/>
        </w:tabs>
        <w:autoSpaceDE w:val="0"/>
        <w:autoSpaceDN w:val="0"/>
        <w:spacing w:before="156" w:after="156" w:line="360" w:lineRule="auto"/>
        <w:outlineLvl w:val="0"/>
        <w:rPr>
          <w:rFonts w:ascii="宋体"/>
          <w:b/>
          <w:bCs/>
          <w:sz w:val="24"/>
        </w:rPr>
      </w:pPr>
      <w:bookmarkStart w:id="40" w:name="_Toc77663001"/>
      <w:bookmarkStart w:id="41" w:name="_Toc37159177"/>
      <w:r>
        <w:rPr>
          <w:rFonts w:ascii="宋体" w:hAnsi="宋体"/>
          <w:b/>
          <w:bCs/>
          <w:sz w:val="24"/>
        </w:rPr>
        <w:t>（四）基金证券账户、证券</w:t>
      </w:r>
      <w:r>
        <w:rPr>
          <w:rFonts w:hint="eastAsia" w:ascii="宋体" w:hAnsi="宋体"/>
          <w:b/>
          <w:bCs/>
          <w:sz w:val="24"/>
        </w:rPr>
        <w:t>交易</w:t>
      </w:r>
      <w:r>
        <w:rPr>
          <w:rFonts w:ascii="宋体" w:hAnsi="宋体"/>
          <w:b/>
          <w:bCs/>
          <w:sz w:val="24"/>
        </w:rPr>
        <w:t>资金账户的开立和管理</w:t>
      </w:r>
      <w:bookmarkEnd w:id="40"/>
      <w:bookmarkEnd w:id="41"/>
    </w:p>
    <w:p>
      <w:pPr>
        <w:tabs>
          <w:tab w:val="left" w:pos="1260"/>
        </w:tabs>
        <w:spacing w:line="360" w:lineRule="auto"/>
        <w:ind w:firstLine="480" w:firstLineChars="200"/>
        <w:rPr>
          <w:rFonts w:ascii="宋体" w:hAnsi="宋体"/>
          <w:sz w:val="24"/>
        </w:rPr>
      </w:pPr>
      <w:bookmarkStart w:id="42" w:name="_Toc125892442"/>
      <w:bookmarkStart w:id="43" w:name="_Toc466788855"/>
      <w:bookmarkStart w:id="44" w:name="_Toc523829996"/>
      <w:r>
        <w:rPr>
          <w:rFonts w:ascii="宋体" w:hAnsi="宋体"/>
          <w:sz w:val="24"/>
        </w:rPr>
        <w:t>1.基金托管人应当代表本基金，以基金托管人和本基金联名的方式在中国证券登记结算有限责任公司开设证券账户。</w:t>
      </w:r>
    </w:p>
    <w:p>
      <w:pPr>
        <w:tabs>
          <w:tab w:val="left" w:pos="1260"/>
        </w:tabs>
        <w:spacing w:line="360" w:lineRule="auto"/>
        <w:ind w:firstLine="480" w:firstLineChars="200"/>
        <w:rPr>
          <w:rFonts w:ascii="宋体" w:hAnsi="宋体"/>
          <w:sz w:val="24"/>
        </w:rPr>
      </w:pPr>
      <w:r>
        <w:rPr>
          <w:rFonts w:ascii="宋体" w:hAnsi="宋体"/>
          <w:sz w:val="24"/>
        </w:rPr>
        <w:t>2.基金证券账户资产的管理和运用由基金管理人负责。</w:t>
      </w:r>
    </w:p>
    <w:p>
      <w:pPr>
        <w:tabs>
          <w:tab w:val="left" w:pos="1260"/>
        </w:tabs>
        <w:spacing w:line="360" w:lineRule="auto"/>
        <w:ind w:firstLine="480" w:firstLineChars="200"/>
        <w:rPr>
          <w:rFonts w:ascii="宋体" w:hAnsi="宋体"/>
          <w:bCs/>
          <w:sz w:val="24"/>
        </w:rPr>
      </w:pPr>
      <w:r>
        <w:rPr>
          <w:rFonts w:ascii="宋体" w:hAnsi="宋体"/>
          <w:sz w:val="24"/>
        </w:rPr>
        <w:t>3.</w:t>
      </w:r>
      <w:r>
        <w:rPr>
          <w:rFonts w:hint="eastAsia" w:ascii="宋体" w:hAnsi="宋体"/>
          <w:bCs/>
          <w:sz w:val="24"/>
        </w:rPr>
        <w:t>本基金采用“第三方存管”</w:t>
      </w:r>
      <w:r>
        <w:rPr>
          <w:rFonts w:ascii="宋体" w:hAnsi="宋体"/>
          <w:bCs/>
          <w:sz w:val="24"/>
        </w:rPr>
        <w:t>+</w:t>
      </w:r>
      <w:r>
        <w:rPr>
          <w:rFonts w:hint="eastAsia" w:ascii="宋体" w:hAnsi="宋体"/>
          <w:bCs/>
          <w:sz w:val="24"/>
        </w:rPr>
        <w:t>“托管”模式存管证券交易结算资金，基金管理人负责在证券经纪商开设基金证券交易资金账户，并通知基金托管人与开立的基金托管账户建立第三方存管关系，同时三方存管的银证转账密码应及时通知基金托管人并由其掌握，</w:t>
      </w:r>
      <w:r>
        <w:rPr>
          <w:rFonts w:ascii="宋体" w:hAnsi="宋体"/>
          <w:bCs/>
          <w:sz w:val="24"/>
        </w:rPr>
        <w:t>在基金运作期间不得变更基金证券交易资金账户与托管账户之间的三方存管关系，未经</w:t>
      </w:r>
      <w:r>
        <w:rPr>
          <w:rFonts w:hint="eastAsia" w:ascii="宋体" w:hAnsi="宋体"/>
          <w:bCs/>
          <w:sz w:val="24"/>
        </w:rPr>
        <w:t>基金</w:t>
      </w:r>
      <w:r>
        <w:rPr>
          <w:rFonts w:ascii="宋体" w:hAnsi="宋体"/>
          <w:bCs/>
          <w:sz w:val="24"/>
        </w:rPr>
        <w:t>托管人同意，不得对该</w:t>
      </w:r>
      <w:r>
        <w:rPr>
          <w:rFonts w:hint="eastAsia" w:ascii="宋体" w:hAnsi="宋体"/>
          <w:bCs/>
          <w:sz w:val="24"/>
        </w:rPr>
        <w:t>证券交易</w:t>
      </w:r>
      <w:r>
        <w:rPr>
          <w:rFonts w:ascii="宋体" w:hAnsi="宋体"/>
          <w:bCs/>
          <w:sz w:val="24"/>
        </w:rPr>
        <w:t>资金账户项下的证券资产进行转托管和撤</w:t>
      </w:r>
      <w:r>
        <w:rPr>
          <w:rFonts w:hint="eastAsia" w:ascii="宋体" w:hAnsi="宋体"/>
          <w:bCs/>
          <w:sz w:val="24"/>
        </w:rPr>
        <w:t>销</w:t>
      </w:r>
      <w:r>
        <w:rPr>
          <w:rFonts w:ascii="宋体" w:hAnsi="宋体"/>
          <w:bCs/>
          <w:sz w:val="24"/>
        </w:rPr>
        <w:t>指定。</w:t>
      </w:r>
    </w:p>
    <w:p>
      <w:pPr>
        <w:tabs>
          <w:tab w:val="left" w:pos="1260"/>
        </w:tabs>
        <w:spacing w:line="360" w:lineRule="auto"/>
        <w:ind w:firstLine="480" w:firstLineChars="200"/>
        <w:rPr>
          <w:rFonts w:ascii="宋体" w:hAnsi="宋体"/>
          <w:sz w:val="24"/>
        </w:rPr>
      </w:pPr>
      <w:r>
        <w:rPr>
          <w:rFonts w:ascii="宋体" w:hAnsi="宋体"/>
          <w:sz w:val="24"/>
        </w:rPr>
        <w:t>4.由基金托管人持基金管理人与证券经纪机构签订的三方存管相关协议办理证券</w:t>
      </w:r>
      <w:r>
        <w:rPr>
          <w:rFonts w:hint="eastAsia" w:ascii="宋体" w:hAnsi="宋体"/>
          <w:sz w:val="24"/>
        </w:rPr>
        <w:t>交易</w:t>
      </w:r>
      <w:r>
        <w:rPr>
          <w:rFonts w:ascii="宋体" w:hAnsi="宋体"/>
          <w:sz w:val="24"/>
        </w:rPr>
        <w:t>资金账户与本基金银行存款账户的银证签约手续，未经基金托管人书面同意，基金管理人不得将银证签约的指定银行结算账户（即本基金银行存款账户）变更为其他账户，否则，因此引起的法律后果及给本基金造成的损失全部由基金管理人承担。</w:t>
      </w:r>
    </w:p>
    <w:p>
      <w:pPr>
        <w:tabs>
          <w:tab w:val="left" w:pos="1260"/>
        </w:tabs>
        <w:spacing w:line="360" w:lineRule="auto"/>
        <w:ind w:firstLine="480" w:firstLineChars="200"/>
        <w:rPr>
          <w:rFonts w:ascii="宋体" w:hAnsi="宋体"/>
          <w:sz w:val="24"/>
        </w:rPr>
      </w:pPr>
      <w:r>
        <w:rPr>
          <w:rFonts w:ascii="宋体" w:hAnsi="宋体"/>
          <w:sz w:val="24"/>
        </w:rPr>
        <w:t>5.本基金证券账户和证券</w:t>
      </w:r>
      <w:r>
        <w:rPr>
          <w:rFonts w:hint="eastAsia" w:ascii="宋体" w:hAnsi="宋体"/>
          <w:sz w:val="24"/>
        </w:rPr>
        <w:t>交易</w:t>
      </w:r>
      <w:r>
        <w:rPr>
          <w:rFonts w:ascii="宋体" w:hAnsi="宋体"/>
          <w:sz w:val="24"/>
        </w:rPr>
        <w:t>资金账户的开立和使用，限于满足开展本基金业务的需要。基金托管人和基金管理人不得出借或未经另一方同意擅自转让本基金的证券账户和证券</w:t>
      </w:r>
      <w:r>
        <w:rPr>
          <w:rFonts w:hint="eastAsia" w:ascii="宋体" w:hAnsi="宋体"/>
          <w:sz w:val="24"/>
        </w:rPr>
        <w:t>交易</w:t>
      </w:r>
      <w:r>
        <w:rPr>
          <w:rFonts w:ascii="宋体" w:hAnsi="宋体"/>
          <w:sz w:val="24"/>
        </w:rPr>
        <w:t>资金账户；亦不得使用本基金的证券账户和证券</w:t>
      </w:r>
      <w:r>
        <w:rPr>
          <w:rFonts w:hint="eastAsia" w:ascii="宋体" w:hAnsi="宋体"/>
          <w:sz w:val="24"/>
        </w:rPr>
        <w:t>交易</w:t>
      </w:r>
      <w:r>
        <w:rPr>
          <w:rFonts w:ascii="宋体" w:hAnsi="宋体"/>
          <w:sz w:val="24"/>
        </w:rPr>
        <w:t>资金账户进行本基金业务以外的活动。</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（五）债券托管账户的开立和管理</w:t>
      </w:r>
    </w:p>
    <w:p>
      <w:pPr>
        <w:tabs>
          <w:tab w:val="left" w:pos="1260"/>
        </w:tabs>
        <w:spacing w:line="360" w:lineRule="auto"/>
        <w:ind w:firstLine="480" w:firstLineChars="200"/>
        <w:rPr>
          <w:rFonts w:ascii="宋体"/>
          <w:sz w:val="24"/>
        </w:rPr>
      </w:pPr>
      <w:r>
        <w:rPr>
          <w:rFonts w:ascii="宋体" w:hAnsi="宋体"/>
          <w:sz w:val="24"/>
        </w:rPr>
        <w:t>1.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金的清算。</w:t>
      </w:r>
      <w:r>
        <w:rPr>
          <w:rFonts w:ascii="宋体" w:hAnsi="宋体"/>
          <w:sz w:val="24"/>
          <w:szCs w:val="21"/>
        </w:rPr>
        <w:t>基金管理人负责申请基金进入全国银行间同业拆借市场进行交易，由基金管理人在中国外汇交易中心开设同业拆借市场交易</w:t>
      </w:r>
      <w:r>
        <w:rPr>
          <w:rFonts w:ascii="宋体" w:hAnsi="宋体"/>
          <w:sz w:val="24"/>
        </w:rPr>
        <w:t>账户</w:t>
      </w:r>
      <w:r>
        <w:rPr>
          <w:rFonts w:ascii="宋体" w:hAnsi="宋体"/>
          <w:sz w:val="24"/>
          <w:szCs w:val="21"/>
        </w:rPr>
        <w:t>。</w:t>
      </w:r>
    </w:p>
    <w:p>
      <w:pPr>
        <w:tabs>
          <w:tab w:val="left" w:pos="1260"/>
        </w:tabs>
        <w:spacing w:line="360" w:lineRule="auto"/>
        <w:ind w:firstLine="480" w:firstLineChars="200"/>
        <w:rPr>
          <w:rFonts w:ascii="宋体" w:hAnsi="宋体"/>
          <w:sz w:val="24"/>
        </w:rPr>
      </w:pPr>
      <w:r>
        <w:rPr>
          <w:rFonts w:ascii="宋体" w:hAnsi="宋体"/>
          <w:sz w:val="24"/>
        </w:rPr>
        <w:t>2.基金管理人代表基金签订全国银行间债券市场债券回购主协议，协议正本由基金管理人保存。</w:t>
      </w:r>
    </w:p>
    <w:p>
      <w:pPr>
        <w:tabs>
          <w:tab w:val="left" w:pos="3780"/>
        </w:tabs>
        <w:autoSpaceDE w:val="0"/>
        <w:autoSpaceDN w:val="0"/>
        <w:spacing w:before="156" w:after="156" w:line="360" w:lineRule="auto"/>
        <w:outlineLvl w:val="0"/>
        <w:rPr>
          <w:rFonts w:ascii="宋体" w:hAnsi="宋体"/>
          <w:b/>
          <w:bCs/>
          <w:sz w:val="24"/>
        </w:rPr>
      </w:pPr>
      <w:r>
        <w:rPr>
          <w:rFonts w:ascii="宋体" w:hAnsi="宋体"/>
          <w:b/>
          <w:bCs/>
          <w:sz w:val="24"/>
        </w:rPr>
        <w:t>（六）</w:t>
      </w:r>
      <w:bookmarkStart w:id="45" w:name="_Toc17996120"/>
      <w:r>
        <w:rPr>
          <w:rFonts w:ascii="宋体" w:hAnsi="宋体"/>
          <w:b/>
          <w:bCs/>
          <w:sz w:val="24"/>
        </w:rPr>
        <w:t>期货相关账户的开立和管理</w:t>
      </w:r>
      <w:bookmarkEnd w:id="45"/>
    </w:p>
    <w:p>
      <w:pPr>
        <w:spacing w:line="360" w:lineRule="auto"/>
        <w:ind w:firstLine="480" w:firstLineChars="200"/>
        <w:rPr>
          <w:rFonts w:ascii="宋体" w:hAnsi="宋体"/>
          <w:sz w:val="24"/>
        </w:rPr>
      </w:pPr>
      <w:r>
        <w:rPr>
          <w:rFonts w:ascii="宋体" w:hAnsi="宋体"/>
          <w:sz w:val="24"/>
        </w:rPr>
        <w:t>基金管理人、基金托管人应当按照相关规定开立期货资金账户，在中国金融期货交易所获取交易编码。期货资金账户名称及交易编码对应名称应按照有关规定设立。</w:t>
      </w:r>
    </w:p>
    <w:p>
      <w:pPr>
        <w:tabs>
          <w:tab w:val="left" w:pos="3780"/>
        </w:tabs>
        <w:autoSpaceDE w:val="0"/>
        <w:autoSpaceDN w:val="0"/>
        <w:spacing w:before="156" w:after="156" w:line="360" w:lineRule="auto"/>
        <w:outlineLvl w:val="0"/>
        <w:rPr>
          <w:rFonts w:ascii="宋体" w:hAnsi="宋体"/>
          <w:b/>
          <w:bCs/>
          <w:sz w:val="24"/>
        </w:rPr>
      </w:pPr>
      <w:r>
        <w:rPr>
          <w:rFonts w:ascii="宋体" w:hAnsi="宋体"/>
          <w:b/>
          <w:bCs/>
          <w:sz w:val="24"/>
        </w:rPr>
        <w:t>（七）</w:t>
      </w:r>
      <w:bookmarkStart w:id="46" w:name="_Toc17996121"/>
      <w:r>
        <w:rPr>
          <w:rFonts w:ascii="宋体" w:hAnsi="宋体"/>
          <w:b/>
          <w:bCs/>
          <w:sz w:val="24"/>
        </w:rPr>
        <w:t>基金投资银行存款账户的开立和管理</w:t>
      </w:r>
      <w:bookmarkEnd w:id="46"/>
    </w:p>
    <w:p>
      <w:pPr>
        <w:spacing w:line="360" w:lineRule="auto"/>
        <w:ind w:firstLine="464" w:firstLineChars="200"/>
        <w:rPr>
          <w:spacing w:val="-4"/>
          <w:sz w:val="24"/>
        </w:rPr>
      </w:pPr>
      <w:r>
        <w:rPr>
          <w:spacing w:val="-4"/>
          <w:sz w:val="24"/>
        </w:rPr>
        <w:t>存款账户必须以基金名义开立，账户名称为基金名称，存款账户开户文件上加盖预留印鉴（须包括基金托管人印章）及基金管理人公章。</w:t>
      </w:r>
    </w:p>
    <w:p>
      <w:pPr>
        <w:spacing w:line="360" w:lineRule="auto"/>
        <w:ind w:firstLine="464" w:firstLineChars="200"/>
        <w:rPr>
          <w:spacing w:val="-4"/>
          <w:sz w:val="24"/>
        </w:rPr>
      </w:pPr>
      <w:r>
        <w:rPr>
          <w:spacing w:val="-4"/>
          <w:sz w:val="24"/>
        </w:rPr>
        <w:t>本基金投资银行存款时，基金管理人应当与存款银行签订具体存款协议/存款确认单据，明确存款的类型、期限、利率、金额、账号、对账方式、支取方式、</w:t>
      </w:r>
      <w:r>
        <w:rPr>
          <w:spacing w:val="6"/>
          <w:sz w:val="24"/>
        </w:rPr>
        <w:t>存款到期指定收款账户</w:t>
      </w:r>
      <w:r>
        <w:rPr>
          <w:spacing w:val="-4"/>
          <w:sz w:val="24"/>
        </w:rPr>
        <w:t>等细则。</w:t>
      </w:r>
    </w:p>
    <w:p>
      <w:pPr>
        <w:spacing w:line="360" w:lineRule="auto"/>
        <w:ind w:firstLine="464" w:firstLineChars="200"/>
        <w:rPr>
          <w:spacing w:val="-4"/>
          <w:sz w:val="24"/>
        </w:rPr>
      </w:pPr>
      <w:r>
        <w:rPr>
          <w:spacing w:val="-4"/>
          <w:sz w:val="24"/>
        </w:rPr>
        <w:t>为防范特殊情况下的流动性风险，存款协议中应当约定提前支取条款。</w:t>
      </w:r>
    </w:p>
    <w:p>
      <w:pPr>
        <w:tabs>
          <w:tab w:val="left" w:pos="3780"/>
        </w:tabs>
        <w:autoSpaceDE w:val="0"/>
        <w:autoSpaceDN w:val="0"/>
        <w:spacing w:before="156" w:after="156" w:line="360" w:lineRule="auto"/>
        <w:outlineLvl w:val="0"/>
        <w:rPr>
          <w:rFonts w:ascii="宋体" w:hAnsi="宋体"/>
          <w:b/>
          <w:bCs/>
          <w:sz w:val="24"/>
        </w:rPr>
      </w:pPr>
      <w:r>
        <w:rPr>
          <w:rFonts w:ascii="宋体" w:hAnsi="宋体"/>
          <w:b/>
          <w:bCs/>
          <w:sz w:val="24"/>
        </w:rPr>
        <w:t>（八）其他账户的开立和管理</w:t>
      </w:r>
    </w:p>
    <w:p>
      <w:pPr>
        <w:pStyle w:val="20"/>
      </w:pPr>
      <w: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（九）基金财产投资的有关实物证券、银行存款定期存单等有价凭证的保管</w:t>
      </w:r>
    </w:p>
    <w:p>
      <w:pPr>
        <w:tabs>
          <w:tab w:val="left" w:pos="1260"/>
        </w:tabs>
        <w:spacing w:line="360" w:lineRule="auto"/>
        <w:ind w:firstLine="480" w:firstLineChars="200"/>
        <w:rPr>
          <w:rFonts w:ascii="宋体"/>
          <w:sz w:val="24"/>
        </w:rPr>
      </w:pPr>
      <w:r>
        <w:rPr>
          <w:rFonts w:ascii="宋体" w:hAnsi="宋体"/>
          <w:sz w:val="24"/>
        </w:rPr>
        <w:t>实物证券由基金托管人存放于基金托管人的保管库。实物证券的购买和转让，由基金托管人根据基金管理人的指令办理。基金托管人对由基金托管人以外机构实际有效控制的本基金资产不承担保管责任。</w:t>
      </w:r>
    </w:p>
    <w:p>
      <w:pPr>
        <w:tabs>
          <w:tab w:val="left" w:pos="1260"/>
        </w:tabs>
        <w:spacing w:line="360" w:lineRule="auto"/>
        <w:ind w:firstLine="480" w:firstLineChars="200"/>
        <w:rPr>
          <w:rFonts w:ascii="宋体" w:hAnsi="宋体"/>
          <w:sz w:val="24"/>
        </w:rPr>
      </w:pPr>
      <w:r>
        <w:rPr>
          <w:rFonts w:ascii="宋体" w:hAnsi="宋体"/>
          <w:sz w:val="24"/>
        </w:rPr>
        <w:t>银行存款定期存单等有价凭证由基金托管人负责保管。</w:t>
      </w:r>
    </w:p>
    <w:p>
      <w:pPr>
        <w:spacing w:line="360" w:lineRule="auto"/>
        <w:ind w:firstLine="480" w:firstLineChars="200"/>
        <w:rPr>
          <w:spacing w:val="-4"/>
          <w:sz w:val="24"/>
        </w:rPr>
      </w:pPr>
      <w:r>
        <w:rPr>
          <w:rFonts w:ascii="宋体" w:hAnsi="宋体"/>
          <w:sz w:val="24"/>
        </w:rPr>
        <w:t>基金托管人只负责对存款证实书进行保管，不负责对存款证实书真伪的辨别，不承担存款证实书对应存款的本金及收益的安全保管责任。</w:t>
      </w:r>
    </w:p>
    <w:p>
      <w:pPr>
        <w:tabs>
          <w:tab w:val="left" w:pos="3780"/>
        </w:tabs>
        <w:autoSpaceDE w:val="0"/>
        <w:autoSpaceDN w:val="0"/>
        <w:spacing w:before="156" w:after="156" w:line="360" w:lineRule="auto"/>
        <w:outlineLvl w:val="0"/>
        <w:rPr>
          <w:rFonts w:ascii="宋体"/>
          <w:b/>
          <w:bCs/>
          <w:sz w:val="24"/>
        </w:rPr>
      </w:pPr>
      <w:bookmarkStart w:id="47" w:name="_Toc37159180"/>
      <w:bookmarkStart w:id="48" w:name="_Toc77663004"/>
      <w:r>
        <w:rPr>
          <w:rFonts w:ascii="宋体" w:hAnsi="宋体"/>
          <w:b/>
          <w:bCs/>
          <w:sz w:val="24"/>
        </w:rPr>
        <w:t>（十）与基金财产有关的重大合同的保管</w:t>
      </w:r>
      <w:bookmarkEnd w:id="47"/>
      <w:bookmarkEnd w:id="48"/>
    </w:p>
    <w:p>
      <w:pPr>
        <w:tabs>
          <w:tab w:val="left" w:pos="1260"/>
        </w:tabs>
        <w:spacing w:line="360" w:lineRule="auto"/>
        <w:ind w:firstLine="480" w:firstLineChars="200"/>
        <w:rPr>
          <w:rFonts w:ascii="宋体"/>
          <w:sz w:val="24"/>
        </w:rPr>
      </w:pPr>
      <w:r>
        <w:rPr>
          <w:rFonts w:ascii="宋体" w:hAnsi="宋体"/>
          <w:sz w:val="24"/>
        </w:rPr>
        <w:t>由基金管理人代表基金签署的与基金有关的重大合同的原件分别由基金托管人、基金管理人保管，相关业务程序另有限制除外。除本协议另有规定外，基金管理人在代表基金签署与基金有关的重大合同时应尽可能保证基金一方持有二份以上的正本，以便基金管理人和基金托管人至少各持有一份正本的原件，基金管理人应及时将正本送达基金托管人处。合同的保管期限按照国家有关规定执行。</w:t>
      </w:r>
    </w:p>
    <w:p>
      <w:pPr>
        <w:tabs>
          <w:tab w:val="left" w:pos="1260"/>
        </w:tabs>
        <w:spacing w:line="360" w:lineRule="auto"/>
        <w:ind w:firstLine="480" w:firstLineChars="200"/>
        <w:rPr>
          <w:rFonts w:ascii="宋体"/>
          <w:sz w:val="24"/>
        </w:rPr>
      </w:pPr>
      <w:r>
        <w:rPr>
          <w:rFonts w:ascii="宋体" w:hAnsi="宋体"/>
          <w:sz w:val="24"/>
        </w:rPr>
        <w:t>对于无法取得二份以上的正本的，基金管理人应向基金托管人提供加盖授权业务章的合同传真件，未经双方协商或未在合同约定范围内，合同原件不得转移。</w:t>
      </w:r>
    </w:p>
    <w:p>
      <w:pPr>
        <w:pStyle w:val="2"/>
        <w:rPr>
          <w:color w:val="auto"/>
        </w:rPr>
      </w:pPr>
      <w:bookmarkStart w:id="49" w:name="_Toc196312616"/>
      <w:r>
        <w:rPr>
          <w:color w:val="auto"/>
        </w:rPr>
        <w:t>六、指令的发送、确认和执行</w:t>
      </w:r>
      <w:bookmarkEnd w:id="42"/>
      <w:bookmarkEnd w:id="43"/>
      <w:bookmarkEnd w:id="44"/>
      <w:bookmarkEnd w:id="49"/>
    </w:p>
    <w:p>
      <w:pPr>
        <w:tabs>
          <w:tab w:val="left" w:pos="1260"/>
        </w:tabs>
        <w:spacing w:line="360" w:lineRule="auto"/>
        <w:ind w:firstLine="480"/>
        <w:rPr>
          <w:rFonts w:ascii="宋体" w:hAnsi="宋体"/>
          <w:sz w:val="24"/>
        </w:rPr>
      </w:pPr>
      <w:r>
        <w:rPr>
          <w:rFonts w:ascii="宋体" w:hAnsi="宋体"/>
          <w:sz w:val="24"/>
        </w:rPr>
        <w:t>基金管理人在运用基金财产时向基金托管人发送场外资金划拨及其他款项收付指令，基金托管人执行基金管理人的指令、办理基金名下的资金往来等有关事项。基金管理人发送指令应采用电子传真、邮件、电子指令或双方认可的其他方式。</w:t>
      </w:r>
    </w:p>
    <w:p>
      <w:pPr>
        <w:tabs>
          <w:tab w:val="left" w:pos="3780"/>
        </w:tabs>
        <w:autoSpaceDE w:val="0"/>
        <w:autoSpaceDN w:val="0"/>
        <w:spacing w:before="156" w:after="156" w:line="360" w:lineRule="auto"/>
        <w:outlineLvl w:val="0"/>
        <w:rPr>
          <w:rFonts w:ascii="宋体"/>
          <w:b/>
          <w:bCs/>
          <w:sz w:val="24"/>
        </w:rPr>
      </w:pPr>
      <w:bookmarkStart w:id="50" w:name="_Toc77663006"/>
      <w:r>
        <w:rPr>
          <w:rFonts w:ascii="宋体" w:hAnsi="宋体"/>
          <w:b/>
          <w:bCs/>
          <w:sz w:val="24"/>
        </w:rPr>
        <w:t>（一）基金管理人对发送指令人员的书面授权</w:t>
      </w:r>
      <w:bookmarkEnd w:id="50"/>
    </w:p>
    <w:p>
      <w:pPr>
        <w:tabs>
          <w:tab w:val="left" w:pos="1260"/>
        </w:tabs>
        <w:spacing w:line="360" w:lineRule="auto"/>
        <w:ind w:firstLine="480" w:firstLineChars="200"/>
        <w:rPr>
          <w:rFonts w:ascii="宋体"/>
          <w:sz w:val="24"/>
        </w:rPr>
      </w:pPr>
      <w:r>
        <w:rPr>
          <w:rFonts w:ascii="宋体" w:hAnsi="宋体"/>
          <w:sz w:val="24"/>
        </w:rPr>
        <w:t>基金管理人应事先书面通知（以下简称“授权通知”）基金托管人有权发送指令的人员名单、签字样本、预留印鉴和启用日期，注明相应的权限，并规定基金管理人向基金托管人发送指令时基金托管人确认有权发送人员（以下简称“被授权人”）身份的方法。基金管理人向基金托管人发出的授权通知应加盖公章。基金管理人发出授权通知后，以电话形式向基金托管人确认，授权通知自其上面注明的启用日期开始生效，在此后三个工作日内基金管理人应将授权通知的正本</w:t>
      </w:r>
      <w:r>
        <w:rPr>
          <w:rFonts w:hint="eastAsia" w:ascii="宋体" w:hAnsi="宋体"/>
          <w:sz w:val="24"/>
        </w:rPr>
        <w:t>寄送</w:t>
      </w:r>
      <w:r>
        <w:rPr>
          <w:rFonts w:ascii="宋体" w:hAnsi="宋体"/>
          <w:sz w:val="24"/>
        </w:rPr>
        <w:t>基金托管人。</w:t>
      </w:r>
      <w:r>
        <w:rPr>
          <w:rFonts w:hint="eastAsia" w:ascii="宋体" w:hAnsi="宋体"/>
          <w:sz w:val="24"/>
        </w:rPr>
        <w:t>基金管理人应确保授权通知正本与扫描件的一致性。</w:t>
      </w:r>
    </w:p>
    <w:p>
      <w:pPr>
        <w:tabs>
          <w:tab w:val="left" w:pos="1260"/>
        </w:tabs>
        <w:spacing w:line="360" w:lineRule="auto"/>
        <w:ind w:firstLine="480" w:firstLineChars="200"/>
        <w:rPr>
          <w:rFonts w:ascii="宋体"/>
          <w:sz w:val="24"/>
        </w:rPr>
      </w:pPr>
      <w:r>
        <w:rPr>
          <w:rFonts w:hint="eastAsia" w:ascii="宋体" w:hAnsi="宋体"/>
          <w:sz w:val="24"/>
        </w:rPr>
        <w:t>基金托管人收到授权通知后，将签字和印鉴与预留样本核对无误后，应在收到授权通知当日电话向基金管理人确认。</w:t>
      </w:r>
    </w:p>
    <w:p>
      <w:pPr>
        <w:tabs>
          <w:tab w:val="left" w:pos="1260"/>
        </w:tabs>
        <w:spacing w:line="360" w:lineRule="auto"/>
        <w:ind w:firstLine="480" w:firstLineChars="200"/>
        <w:rPr>
          <w:rFonts w:ascii="宋体"/>
          <w:sz w:val="24"/>
        </w:rPr>
      </w:pPr>
      <w:r>
        <w:rPr>
          <w:rFonts w:ascii="宋体" w:hAnsi="宋体"/>
          <w:sz w:val="24"/>
        </w:rPr>
        <w:t>基金管理人和基金托管人对授权文件负有保密义务，其内容不得向授权人、被授权人及相关操作人员以外的任何人泄露。</w:t>
      </w:r>
      <w:bookmarkStart w:id="51" w:name="_Toc77663007"/>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（二）指令的内容</w:t>
      </w:r>
      <w:bookmarkEnd w:id="51"/>
    </w:p>
    <w:p>
      <w:pPr>
        <w:tabs>
          <w:tab w:val="left" w:pos="1260"/>
        </w:tabs>
        <w:spacing w:line="360" w:lineRule="auto"/>
        <w:ind w:firstLine="480" w:firstLineChars="200"/>
        <w:rPr>
          <w:rFonts w:ascii="宋体"/>
          <w:sz w:val="24"/>
        </w:rPr>
      </w:pPr>
      <w:r>
        <w:rPr>
          <w:rFonts w:ascii="宋体" w:hAnsi="宋体"/>
          <w:sz w:val="24"/>
        </w:rPr>
        <w:t>指令是基金管理人在运用基金资产时，向基金托管人发出的资金划拨及其他款项收付的指令。</w:t>
      </w:r>
      <w:bookmarkStart w:id="52" w:name="_Toc77663008"/>
      <w:r>
        <w:rPr>
          <w:rFonts w:ascii="宋体" w:hAnsi="宋体"/>
          <w:sz w:val="24"/>
        </w:rPr>
        <w:t>指令应写明款项事由、支付时间、到账时间、金额、收款账户、大额支付号等执行支付所需内容，加盖预留印鉴</w:t>
      </w:r>
      <w:r>
        <w:rPr>
          <w:rFonts w:hint="eastAsia" w:ascii="宋体" w:hAnsi="宋体"/>
          <w:sz w:val="24"/>
        </w:rPr>
        <w:t>并由被授权人签字或签章</w:t>
      </w:r>
      <w:r>
        <w:rPr>
          <w:rFonts w:ascii="宋体" w:hAnsi="宋体"/>
          <w:sz w:val="24"/>
        </w:rPr>
        <w:t>。</w:t>
      </w:r>
    </w:p>
    <w:p>
      <w:pPr>
        <w:tabs>
          <w:tab w:val="left" w:pos="1260"/>
        </w:tabs>
        <w:spacing w:line="360" w:lineRule="auto"/>
        <w:rPr>
          <w:rFonts w:ascii="宋体"/>
          <w:b/>
          <w:bCs/>
          <w:sz w:val="24"/>
        </w:rPr>
      </w:pPr>
      <w:r>
        <w:rPr>
          <w:rFonts w:ascii="宋体" w:hAnsi="宋体"/>
          <w:b/>
          <w:bCs/>
          <w:sz w:val="24"/>
        </w:rPr>
        <w:t>（三）指令的发送、确认和执行</w:t>
      </w:r>
      <w:bookmarkEnd w:id="52"/>
      <w:r>
        <w:rPr>
          <w:rFonts w:ascii="宋体" w:hAnsi="宋体"/>
          <w:b/>
          <w:bCs/>
          <w:sz w:val="24"/>
        </w:rPr>
        <w:t>的时间和程序</w:t>
      </w:r>
    </w:p>
    <w:p>
      <w:pPr>
        <w:spacing w:line="360" w:lineRule="auto"/>
        <w:ind w:firstLine="420"/>
        <w:rPr>
          <w:rFonts w:ascii="宋体" w:hAnsi="宋体"/>
          <w:sz w:val="24"/>
        </w:rPr>
      </w:pPr>
      <w:r>
        <w:rPr>
          <w:rFonts w:ascii="宋体" w:hAnsi="宋体"/>
          <w:sz w:val="24"/>
        </w:rPr>
        <w:t>基金管理人应按照《基金法》及其他有关法规、《基金合同》和本协议的规定，在其合法的经营权限和交易权限内发送指令，被授权人应按照其授权权限发送指令。指令由“授权通知”确定的被授权人代表基金管理人向基金托管人发送。发送后基金管理人及时通过电话与基金托管人确认指令内容。基金管理人必须在15:00之前向基金托管人发送付款指令并确保基金银行</w:t>
      </w:r>
      <w:r>
        <w:rPr>
          <w:rFonts w:hint="eastAsia" w:ascii="宋体" w:hAnsi="宋体"/>
          <w:sz w:val="24"/>
        </w:rPr>
        <w:t>存款</w:t>
      </w:r>
      <w:r>
        <w:rPr>
          <w:rFonts w:ascii="宋体" w:hAnsi="宋体"/>
          <w:sz w:val="24"/>
        </w:rPr>
        <w:t>账户有足够的资金余额，15:00之后发送付款指令或截止15:00时账户资金不足的，基金托管人不能保证在当日完成划付</w:t>
      </w:r>
      <w:r>
        <w:rPr>
          <w:rFonts w:hint="eastAsia" w:ascii="宋体" w:hAnsi="宋体"/>
          <w:sz w:val="24"/>
        </w:rPr>
        <w:t>，但应尽力配合</w:t>
      </w:r>
      <w:r>
        <w:rPr>
          <w:rFonts w:ascii="宋体" w:hAnsi="宋体"/>
          <w:sz w:val="24"/>
        </w:rPr>
        <w:t>。对基金管理人在没有充足资金的情况下向基金托管人发出的指令，基金托管人可不予执行，并立即通知基金管理人，基金托管人不承担因为不执行该指令而造成损失的责任。如基金管理人要求当天某一时点到账，必须至少提前2个工作小时向基金托管人发送付款指令并与基金托管人电话确认。基金管理人指令传输及确认不及时或账户资金不足，未能留出足够的执行时间，致使指令未能及时执行的，基金托管人不承担由此导致的损失。对于被授权人发出的指令，基金管理人不得否认其效力。基金托管人依照“授权通知”规定的方法确认指令的有效后，方可执行指令。</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（四）基金管理人发送错误指令的情形和处理程序</w:t>
      </w:r>
    </w:p>
    <w:p>
      <w:pPr>
        <w:tabs>
          <w:tab w:val="left" w:pos="1260"/>
        </w:tabs>
        <w:spacing w:line="360" w:lineRule="auto"/>
        <w:ind w:firstLine="480" w:firstLineChars="200"/>
        <w:rPr>
          <w:rFonts w:ascii="宋体"/>
          <w:sz w:val="24"/>
        </w:rPr>
      </w:pPr>
      <w:r>
        <w:rPr>
          <w:rFonts w:ascii="宋体" w:hAnsi="宋体"/>
          <w:sz w:val="24"/>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（五）基金托管人依照法律法规暂缓、拒绝执行指令的情形和处理程序</w:t>
      </w:r>
    </w:p>
    <w:p>
      <w:pPr>
        <w:tabs>
          <w:tab w:val="left" w:pos="1260"/>
        </w:tabs>
        <w:spacing w:line="360" w:lineRule="auto"/>
        <w:ind w:firstLine="480" w:firstLineChars="200"/>
        <w:rPr>
          <w:rFonts w:ascii="宋体"/>
          <w:sz w:val="24"/>
        </w:rPr>
      </w:pPr>
      <w:r>
        <w:rPr>
          <w:rFonts w:ascii="宋体" w:hAnsi="宋体"/>
          <w:sz w:val="24"/>
        </w:rPr>
        <w:t>基金托管人在对基金场外投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造成的损失由基金管理人承担。</w:t>
      </w:r>
    </w:p>
    <w:p>
      <w:pPr>
        <w:tabs>
          <w:tab w:val="left" w:pos="1260"/>
        </w:tabs>
        <w:spacing w:line="360" w:lineRule="auto"/>
        <w:ind w:firstLine="480" w:firstLineChars="200"/>
        <w:rPr>
          <w:rFonts w:ascii="宋体"/>
          <w:sz w:val="24"/>
        </w:rPr>
      </w:pPr>
      <w:r>
        <w:rPr>
          <w:rFonts w:ascii="宋体" w:hAnsi="宋体"/>
          <w:sz w:val="24"/>
        </w:rPr>
        <w:t>基金托管人在对基金场外投资指令进行审核时，如发现投资指令有可能违反法律法规、《基金合同》、本协议的规定，应暂缓执行指令，通知基金管理人改正。如果基金管理人拒不改正，基金托管人有权向中国证监会报告。</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（六）基金托管人未按照基金管理人指令执行的处理方法</w:t>
      </w:r>
    </w:p>
    <w:p>
      <w:pPr>
        <w:tabs>
          <w:tab w:val="left" w:pos="1260"/>
        </w:tabs>
        <w:spacing w:line="360" w:lineRule="auto"/>
        <w:ind w:firstLine="480" w:firstLineChars="200"/>
        <w:rPr>
          <w:rFonts w:ascii="宋体"/>
          <w:sz w:val="24"/>
        </w:rPr>
      </w:pPr>
      <w:r>
        <w:rPr>
          <w:rFonts w:ascii="宋体" w:hAnsi="宋体"/>
          <w:sz w:val="24"/>
        </w:rPr>
        <w:t>基金托管人由于自身原因造成未按照基金管理人发送的正常指令执行，应在发现后及时采取措施予以弥补，给基金份额持有人造成损失的，对由此造成的直接经济损失负赔偿责任。</w:t>
      </w:r>
      <w:bookmarkStart w:id="53" w:name="_Toc77663009"/>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（七）被授权人</w:t>
      </w:r>
      <w:bookmarkEnd w:id="53"/>
      <w:r>
        <w:rPr>
          <w:rFonts w:ascii="宋体" w:hAnsi="宋体"/>
          <w:b/>
          <w:bCs/>
          <w:sz w:val="24"/>
        </w:rPr>
        <w:t>的更换</w:t>
      </w:r>
    </w:p>
    <w:p>
      <w:pPr>
        <w:tabs>
          <w:tab w:val="left" w:pos="1260"/>
        </w:tabs>
        <w:spacing w:line="360" w:lineRule="auto"/>
        <w:ind w:firstLine="480" w:firstLineChars="200"/>
        <w:rPr>
          <w:rFonts w:ascii="宋体"/>
          <w:sz w:val="24"/>
        </w:rPr>
      </w:pPr>
      <w:r>
        <w:rPr>
          <w:rFonts w:ascii="宋体" w:hAnsi="宋体"/>
          <w:sz w:val="24"/>
        </w:rPr>
        <w:t>基金管理人撤换被授权人或改变被授权人的权限，必须提前至少三个工作日，使用</w:t>
      </w:r>
      <w:r>
        <w:rPr>
          <w:rFonts w:hint="eastAsia" w:ascii="宋体" w:hAnsi="宋体"/>
          <w:sz w:val="24"/>
        </w:rPr>
        <w:t>邮件或</w:t>
      </w:r>
      <w:r>
        <w:rPr>
          <w:rFonts w:ascii="宋体" w:hAnsi="宋体"/>
          <w:sz w:val="24"/>
        </w:rPr>
        <w:t>传真向基金托管人发出加盖公章的被授权人变更通知，注明启用日期，同时电话通知基金托管人。被授权人变更通知自其上面注明的启用日期起开始生效。基金管理人对授权通知的内容的修改自启用日期起生效。基金管理人在此后三个工作日内将被授权人变更通知的正本送交基金托管人。</w:t>
      </w:r>
      <w:r>
        <w:rPr>
          <w:rFonts w:hint="eastAsia" w:ascii="宋体" w:hAnsi="宋体"/>
          <w:sz w:val="24"/>
        </w:rPr>
        <w:t>基金管理人应确保授权通知正本与扫描件的一致性。</w:t>
      </w:r>
    </w:p>
    <w:p>
      <w:pPr>
        <w:tabs>
          <w:tab w:val="left" w:pos="1260"/>
        </w:tabs>
        <w:spacing w:line="360" w:lineRule="auto"/>
        <w:ind w:firstLine="480" w:firstLineChars="200"/>
        <w:rPr>
          <w:rFonts w:ascii="宋体"/>
          <w:sz w:val="24"/>
        </w:rPr>
      </w:pPr>
      <w:r>
        <w:rPr>
          <w:rFonts w:ascii="宋体" w:hAnsi="宋体"/>
          <w:sz w:val="24"/>
        </w:rPr>
        <w:t>如果基金管理人已经撤销或更改对指令发送人员的授权，并且书面通知基金托管人，则对于在变更通知的启用日期后该指令发送人员无权发送的指令，或超权限发送的指令，基金管理人不承担责任。</w:t>
      </w:r>
    </w:p>
    <w:p>
      <w:pPr>
        <w:pStyle w:val="2"/>
        <w:rPr>
          <w:color w:val="auto"/>
        </w:rPr>
      </w:pPr>
      <w:bookmarkStart w:id="54" w:name="_Toc523829997"/>
      <w:bookmarkStart w:id="55" w:name="_Toc466788856"/>
      <w:bookmarkStart w:id="56" w:name="_Toc125892443"/>
      <w:bookmarkStart w:id="57" w:name="_Toc22454451"/>
      <w:bookmarkStart w:id="58" w:name="_Toc196312617"/>
      <w:r>
        <w:rPr>
          <w:color w:val="auto"/>
        </w:rPr>
        <w:t>七、交易及清算交收安排</w:t>
      </w:r>
      <w:bookmarkEnd w:id="54"/>
      <w:bookmarkEnd w:id="55"/>
      <w:bookmarkEnd w:id="56"/>
      <w:bookmarkEnd w:id="57"/>
      <w:bookmarkEnd w:id="58"/>
    </w:p>
    <w:p>
      <w:pPr>
        <w:tabs>
          <w:tab w:val="left" w:pos="3780"/>
        </w:tabs>
        <w:autoSpaceDE w:val="0"/>
        <w:autoSpaceDN w:val="0"/>
        <w:spacing w:before="156" w:after="156" w:line="360" w:lineRule="auto"/>
        <w:outlineLvl w:val="0"/>
        <w:rPr>
          <w:rFonts w:ascii="宋体"/>
          <w:b/>
          <w:bCs/>
          <w:sz w:val="24"/>
        </w:rPr>
      </w:pPr>
      <w:bookmarkStart w:id="59" w:name="_Toc22454452"/>
      <w:bookmarkStart w:id="60" w:name="_Toc77663011"/>
      <w:bookmarkStart w:id="61" w:name="_Toc77663012"/>
      <w:r>
        <w:rPr>
          <w:rFonts w:ascii="宋体" w:hAnsi="宋体"/>
          <w:b/>
          <w:bCs/>
          <w:sz w:val="24"/>
        </w:rPr>
        <w:t>（一）选择代理证券、期货买卖的证券、期货经纪机构的标准和程序</w:t>
      </w:r>
      <w:bookmarkEnd w:id="59"/>
      <w:bookmarkEnd w:id="60"/>
    </w:p>
    <w:p>
      <w:pPr>
        <w:tabs>
          <w:tab w:val="left" w:pos="1260"/>
        </w:tabs>
        <w:spacing w:line="360" w:lineRule="auto"/>
        <w:ind w:firstLine="480" w:firstLineChars="200"/>
        <w:rPr>
          <w:rFonts w:ascii="宋体" w:hAnsi="宋体"/>
          <w:sz w:val="24"/>
        </w:rPr>
      </w:pPr>
      <w:r>
        <w:rPr>
          <w:rFonts w:ascii="宋体" w:hAnsi="宋体"/>
          <w:sz w:val="24"/>
        </w:rPr>
        <w:t>基金管理人负责选择代理本基金证券交易所证券买卖的证券经纪机构。基金管理人、基金托管人、证券经纪机构三方签署证券经纪服务协议。基金管理人应及时将基金交易单元号、佣金费率等基本信息以及变更情况及时以书面形式通知基金托管人，并在法定信息披露公告中披露相关内容。</w:t>
      </w:r>
    </w:p>
    <w:p>
      <w:pPr>
        <w:tabs>
          <w:tab w:val="left" w:pos="1260"/>
        </w:tabs>
        <w:spacing w:line="360" w:lineRule="auto"/>
        <w:ind w:firstLine="480" w:firstLineChars="200"/>
        <w:rPr>
          <w:rFonts w:ascii="宋体"/>
          <w:sz w:val="24"/>
        </w:rPr>
      </w:pPr>
      <w:r>
        <w:rPr>
          <w:rFonts w:ascii="宋体"/>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tabs>
          <w:tab w:val="left" w:pos="3780"/>
        </w:tabs>
        <w:autoSpaceDE w:val="0"/>
        <w:autoSpaceDN w:val="0"/>
        <w:spacing w:before="156" w:after="156" w:line="360" w:lineRule="auto"/>
        <w:outlineLvl w:val="0"/>
        <w:rPr>
          <w:rFonts w:ascii="宋体" w:hAnsi="宋体"/>
          <w:b/>
          <w:bCs/>
          <w:sz w:val="24"/>
        </w:rPr>
      </w:pPr>
      <w:r>
        <w:rPr>
          <w:rFonts w:ascii="宋体" w:hAnsi="宋体"/>
          <w:b/>
          <w:bCs/>
          <w:sz w:val="24"/>
        </w:rPr>
        <w:t>（二）基金投资证券后的清算</w:t>
      </w:r>
      <w:bookmarkEnd w:id="61"/>
      <w:r>
        <w:rPr>
          <w:rFonts w:ascii="宋体" w:hAnsi="宋体"/>
          <w:b/>
          <w:bCs/>
          <w:sz w:val="24"/>
        </w:rPr>
        <w:t>交收安排</w:t>
      </w:r>
    </w:p>
    <w:p>
      <w:pPr>
        <w:tabs>
          <w:tab w:val="left" w:pos="1260"/>
        </w:tabs>
        <w:spacing w:line="360" w:lineRule="auto"/>
        <w:ind w:firstLine="480" w:firstLineChars="200"/>
        <w:rPr>
          <w:rFonts w:ascii="宋体"/>
          <w:sz w:val="24"/>
        </w:rPr>
      </w:pPr>
      <w:r>
        <w:rPr>
          <w:rFonts w:ascii="宋体" w:hAnsi="宋体"/>
          <w:sz w:val="24"/>
        </w:rPr>
        <w:t>1.资金划拨</w:t>
      </w:r>
    </w:p>
    <w:p>
      <w:pPr>
        <w:tabs>
          <w:tab w:val="left" w:pos="1260"/>
        </w:tabs>
        <w:spacing w:line="360" w:lineRule="auto"/>
        <w:ind w:firstLine="480" w:firstLineChars="200"/>
        <w:rPr>
          <w:rFonts w:ascii="宋体" w:hAnsi="宋体"/>
          <w:sz w:val="24"/>
        </w:rPr>
      </w:pPr>
      <w:r>
        <w:rPr>
          <w:rFonts w:ascii="宋体" w:hAnsi="宋体"/>
          <w:sz w:val="24"/>
        </w:rPr>
        <w:t>对于基金管理人的资金划拨指令，基金托管人在复核无误后应在规定期限内执行，不得延误。基金管理人应保证基金托管人在执行基金管理人发送的资金划拨指令时，基金银行存款账户或</w:t>
      </w:r>
      <w:r>
        <w:rPr>
          <w:rFonts w:hint="eastAsia" w:ascii="宋体" w:hAnsi="宋体"/>
          <w:sz w:val="24"/>
        </w:rPr>
        <w:t>证券交易</w:t>
      </w:r>
      <w:r>
        <w:rPr>
          <w:rFonts w:ascii="宋体" w:hAnsi="宋体"/>
          <w:sz w:val="24"/>
        </w:rPr>
        <w:t>资金账户上有充足的资金。基金的资金头寸不足时，基金托管人有权拒绝基金管理人发送的划款指令。基金管理人在发送划款指令时应充分考虑基金托管人的划款处理时间和在途时间。在基金资金头寸充足的情况下，基金托管人对基金管理人符合法律法规、《基金合同》、本协议的指令不得拖延或拒绝执行。对超头寸的划款指令，基金托管人有权止付但应及时电话通知基金管理人，由此造成的损失由基金管理人承担。</w:t>
      </w:r>
    </w:p>
    <w:p>
      <w:pPr>
        <w:tabs>
          <w:tab w:val="left" w:pos="1260"/>
        </w:tabs>
        <w:spacing w:line="360" w:lineRule="auto"/>
        <w:ind w:firstLine="480" w:firstLineChars="200"/>
        <w:rPr>
          <w:rFonts w:ascii="宋体" w:hAnsi="宋体"/>
          <w:sz w:val="24"/>
        </w:rPr>
      </w:pPr>
      <w:r>
        <w:rPr>
          <w:rFonts w:ascii="宋体" w:hAnsi="宋体"/>
          <w:sz w:val="24"/>
        </w:rPr>
        <w:t>2.结算方式</w:t>
      </w:r>
    </w:p>
    <w:p>
      <w:pPr>
        <w:tabs>
          <w:tab w:val="left" w:pos="1260"/>
        </w:tabs>
        <w:spacing w:line="360" w:lineRule="auto"/>
        <w:ind w:firstLine="480" w:firstLineChars="200"/>
        <w:rPr>
          <w:rFonts w:ascii="宋体" w:hAnsi="宋体"/>
          <w:sz w:val="24"/>
        </w:rPr>
      </w:pPr>
      <w:r>
        <w:rPr>
          <w:rFonts w:ascii="宋体" w:hAnsi="宋体"/>
          <w:sz w:val="24"/>
        </w:rPr>
        <w:t>支付结算以转账形式进行。如中国人民银行有更快捷、安全、可行的结算方式，基金托管人可根据需要进行调整。</w:t>
      </w:r>
    </w:p>
    <w:p>
      <w:pPr>
        <w:tabs>
          <w:tab w:val="left" w:pos="1260"/>
        </w:tabs>
        <w:spacing w:line="360" w:lineRule="auto"/>
        <w:ind w:firstLine="480"/>
        <w:rPr>
          <w:rFonts w:ascii="宋体" w:hAnsi="宋体"/>
          <w:sz w:val="24"/>
        </w:rPr>
      </w:pPr>
      <w:bookmarkStart w:id="62" w:name="_Toc523829999"/>
      <w:bookmarkStart w:id="63" w:name="_Toc466788858"/>
      <w:r>
        <w:rPr>
          <w:rFonts w:ascii="宋体" w:hAnsi="宋体"/>
          <w:sz w:val="24"/>
        </w:rPr>
        <w:t>3.证券交易所资金结算</w:t>
      </w:r>
    </w:p>
    <w:p>
      <w:pPr>
        <w:spacing w:line="360" w:lineRule="auto"/>
        <w:ind w:firstLine="480" w:firstLineChars="200"/>
        <w:rPr>
          <w:rFonts w:ascii="宋体" w:hAnsi="宋体"/>
          <w:sz w:val="24"/>
        </w:rPr>
      </w:pPr>
      <w:r>
        <w:rPr>
          <w:rFonts w:ascii="宋体" w:hAnsi="宋体"/>
          <w:sz w:val="24"/>
        </w:rPr>
        <w:t>本基金的证券交易所证券交易资金结算模式为券商结算模式。证券经纪机构负责根据中国证券登记结算有限责任公司（以下简称中国结算）的相关规则，作为结算参与人与中国结算办理本基金投资于证券交易所证券交易及非交易涉及的证券资金的清算交收。基金管理人应遵守有关登记结算机构制定的相关业务规则和规定，该等规则和规定自动成为本条款约定的内容。</w:t>
      </w:r>
    </w:p>
    <w:p>
      <w:pPr>
        <w:tabs>
          <w:tab w:val="left" w:pos="1260"/>
        </w:tabs>
        <w:spacing w:line="360" w:lineRule="auto"/>
        <w:ind w:firstLine="480" w:firstLineChars="200"/>
        <w:rPr>
          <w:rFonts w:ascii="宋体" w:hAnsi="宋体"/>
          <w:sz w:val="24"/>
        </w:rPr>
      </w:pPr>
      <w:r>
        <w:rPr>
          <w:rFonts w:ascii="宋体" w:hAnsi="宋体"/>
          <w:sz w:val="24"/>
        </w:rPr>
        <w:t>基金管理人、基金托管人和证券经纪机构就本基金参与证券交易所证券交易的具体事项另行签订协议，明确三方在本基金参与证券交易所证券买卖中的各类证券交易、证券交收及相关资金交收过程中的职责和义务。证券经纪机构负责证券</w:t>
      </w:r>
      <w:r>
        <w:rPr>
          <w:rFonts w:hint="eastAsia" w:ascii="宋体" w:hAnsi="宋体"/>
          <w:sz w:val="24"/>
        </w:rPr>
        <w:t>交易</w:t>
      </w:r>
      <w:r>
        <w:rPr>
          <w:rFonts w:ascii="宋体" w:hAnsi="宋体"/>
          <w:sz w:val="24"/>
        </w:rPr>
        <w:t>资金账户的资金安全和完整，并承担因证券经纪机构原因导致本基金清算交收业务无法完成给本基金造成的损失；若由于基金管理人的投资行为造成基金投资清算困难和风险的，由基金管理人负责解决，由此给</w:t>
      </w:r>
      <w:r>
        <w:rPr>
          <w:rFonts w:ascii="宋体" w:hAnsi="宋体" w:cs="宋体"/>
          <w:sz w:val="24"/>
        </w:rPr>
        <w:t>本基金</w:t>
      </w:r>
      <w:r>
        <w:rPr>
          <w:rFonts w:ascii="宋体" w:hAnsi="宋体"/>
          <w:sz w:val="24"/>
        </w:rPr>
        <w:t>造成的损失由基金管理人承担。</w:t>
      </w:r>
    </w:p>
    <w:p>
      <w:pPr>
        <w:tabs>
          <w:tab w:val="left" w:pos="1260"/>
        </w:tabs>
        <w:spacing w:line="360" w:lineRule="auto"/>
        <w:ind w:firstLine="480"/>
        <w:rPr>
          <w:rFonts w:ascii="宋体" w:hAnsi="宋体"/>
          <w:sz w:val="24"/>
        </w:rPr>
      </w:pPr>
      <w:r>
        <w:rPr>
          <w:rFonts w:ascii="宋体" w:hAnsi="宋体"/>
          <w:sz w:val="24"/>
        </w:rPr>
        <w:t>基金管理人应根据证券交易的资金需求，向基金托管人发送银证/证银转账指令，将资金从本基金银行存款账户划至证券</w:t>
      </w:r>
      <w:r>
        <w:rPr>
          <w:rFonts w:hint="eastAsia" w:ascii="宋体" w:hAnsi="宋体"/>
          <w:sz w:val="24"/>
        </w:rPr>
        <w:t>交易</w:t>
      </w:r>
      <w:r>
        <w:rPr>
          <w:rFonts w:ascii="宋体" w:hAnsi="宋体"/>
          <w:sz w:val="24"/>
        </w:rPr>
        <w:t>资金账户，或将资金从证券</w:t>
      </w:r>
      <w:r>
        <w:rPr>
          <w:rFonts w:hint="eastAsia" w:ascii="宋体" w:hAnsi="宋体"/>
          <w:sz w:val="24"/>
        </w:rPr>
        <w:t>交易</w:t>
      </w:r>
      <w:r>
        <w:rPr>
          <w:rFonts w:ascii="宋体" w:hAnsi="宋体"/>
          <w:sz w:val="24"/>
        </w:rPr>
        <w:t>资金账户划至本基金银行存款账户。基金托管人对基金管理人的指令根据本协议约定核对无误后，通过银证转账方式执行指令。</w:t>
      </w:r>
    </w:p>
    <w:p>
      <w:pPr>
        <w:tabs>
          <w:tab w:val="left" w:pos="1260"/>
        </w:tabs>
        <w:spacing w:line="360" w:lineRule="auto"/>
        <w:ind w:firstLine="480"/>
        <w:rPr>
          <w:rFonts w:ascii="宋体" w:hAnsi="宋体"/>
          <w:sz w:val="24"/>
        </w:rPr>
      </w:pPr>
      <w:r>
        <w:rPr>
          <w:rFonts w:ascii="宋体" w:hAnsi="宋体"/>
          <w:sz w:val="24"/>
        </w:rPr>
        <w:t>4.场外交易资金结算</w:t>
      </w:r>
    </w:p>
    <w:p>
      <w:pPr>
        <w:tabs>
          <w:tab w:val="left" w:pos="1260"/>
        </w:tabs>
        <w:spacing w:line="360" w:lineRule="auto"/>
        <w:ind w:firstLine="480" w:firstLineChars="200"/>
        <w:rPr>
          <w:rFonts w:ascii="宋体" w:hAnsi="宋体"/>
          <w:sz w:val="24"/>
        </w:rPr>
      </w:pPr>
      <w:r>
        <w:rPr>
          <w:rFonts w:ascii="宋体" w:hAnsi="宋体"/>
          <w:sz w:val="24"/>
        </w:rPr>
        <w:t>本基金场外证券投资的清算交割，由基金托管人根据基金管理人的指令通过登记结算机构办理。如因基金托管人的自身原因在清算上造成基金资产的损失，应由基金托管人负责赔偿基金的损失；如果因为基金管理人的投资运作行为而造成基金投资清算困难和风险的，基金托管人发现后应立即通知基金管理人，由基金管理人负责解决，基金托管人应给予必要的配合，由此给基金托管人、本基金造成的损失由基金管理人承担。</w:t>
      </w:r>
    </w:p>
    <w:p>
      <w:pPr>
        <w:tabs>
          <w:tab w:val="left" w:pos="3780"/>
        </w:tabs>
        <w:autoSpaceDE w:val="0"/>
        <w:autoSpaceDN w:val="0"/>
        <w:spacing w:before="156" w:after="156" w:line="360" w:lineRule="auto"/>
        <w:outlineLvl w:val="0"/>
        <w:rPr>
          <w:rFonts w:ascii="宋体" w:hAnsi="宋体"/>
          <w:b/>
          <w:bCs/>
          <w:sz w:val="24"/>
        </w:rPr>
      </w:pPr>
      <w:bookmarkStart w:id="64" w:name="_Toc77663013"/>
      <w:r>
        <w:rPr>
          <w:rFonts w:ascii="宋体" w:hAnsi="宋体"/>
          <w:b/>
          <w:bCs/>
          <w:sz w:val="24"/>
        </w:rPr>
        <w:t>（三）基金投资期货后的清算交收安排</w:t>
      </w:r>
    </w:p>
    <w:p>
      <w:pPr>
        <w:spacing w:line="360" w:lineRule="auto"/>
        <w:ind w:firstLine="480" w:firstLineChars="200"/>
        <w:rPr>
          <w:rFonts w:ascii="宋体" w:hAnsi="宋体"/>
          <w:sz w:val="24"/>
        </w:rPr>
      </w:pPr>
      <w:r>
        <w:rPr>
          <w:rFonts w:ascii="宋体" w:hAnsi="宋体"/>
          <w:sz w:val="24"/>
        </w:rPr>
        <w:t>本基金</w:t>
      </w:r>
      <w:r>
        <w:rPr>
          <w:spacing w:val="-4"/>
          <w:sz w:val="24"/>
        </w:rPr>
        <w:t>通过</w:t>
      </w:r>
      <w:r>
        <w:rPr>
          <w:rFonts w:ascii="宋体" w:hAnsi="宋体"/>
          <w:sz w:val="24"/>
        </w:rPr>
        <w:t>期货经纪机构</w:t>
      </w:r>
      <w:r>
        <w:rPr>
          <w:spacing w:val="-4"/>
          <w:sz w:val="24"/>
        </w:rPr>
        <w:t>进行的交易</w:t>
      </w:r>
      <w:r>
        <w:rPr>
          <w:rFonts w:ascii="宋体" w:hAnsi="宋体"/>
          <w:sz w:val="24"/>
        </w:rPr>
        <w:t>由期货经纪机构作为结算参与人代理本基金进行结算，</w:t>
      </w:r>
      <w:r>
        <w:rPr>
          <w:rFonts w:ascii="宋体"/>
          <w:sz w:val="24"/>
        </w:rPr>
        <w:t>并承担由期货经纪机构原因造成的正常结算、交收业务无法完成的责任</w:t>
      </w:r>
      <w:r>
        <w:rPr>
          <w:rFonts w:ascii="宋体" w:hAnsi="宋体"/>
          <w:sz w:val="24"/>
        </w:rPr>
        <w:t>。</w:t>
      </w:r>
    </w:p>
    <w:p>
      <w:pPr>
        <w:spacing w:line="360" w:lineRule="auto"/>
        <w:ind w:firstLine="480" w:firstLineChars="200"/>
        <w:rPr>
          <w:rFonts w:ascii="宋体" w:hAnsi="宋体"/>
          <w:sz w:val="24"/>
        </w:rPr>
      </w:pPr>
      <w:r>
        <w:rPr>
          <w:rFonts w:ascii="宋体" w:hAnsi="宋体"/>
          <w:sz w:val="24"/>
        </w:rPr>
        <w:t>基金管理人、基金托管人和期货经纪机构可就基金参与期货交易的具体事项另行签订协议，明确三方在基金参与期货交易中的账户开立、资金划拨、期货交易、交易费用、数据传输，以及风险控制与监督等方面的职责和义务。</w:t>
      </w:r>
    </w:p>
    <w:p>
      <w:pPr>
        <w:spacing w:line="360" w:lineRule="auto"/>
        <w:ind w:firstLine="480" w:firstLineChars="200"/>
        <w:rPr>
          <w:rFonts w:ascii="宋体" w:hAnsi="宋体"/>
          <w:b/>
          <w:bCs/>
          <w:sz w:val="24"/>
        </w:rPr>
      </w:pPr>
      <w:r>
        <w:rPr>
          <w:rFonts w:ascii="宋体" w:hAnsi="宋体"/>
          <w:sz w:val="24"/>
        </w:rPr>
        <w:t>基金管理人应责成其选择的期货公司对发送的数据的准确性、完整性、真实性负责。由于交易结算报告的记载事项出现与实际交易结果和权益不符造成本产品估值计算错误的，应由基金管理人负责向数据发送方追偿，基金托管人不承担责任。</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（四）基金管理人与基金托管人进行资金、证券账目和交易记录的核对</w:t>
      </w:r>
      <w:bookmarkEnd w:id="64"/>
    </w:p>
    <w:p>
      <w:pPr>
        <w:tabs>
          <w:tab w:val="left" w:pos="1260"/>
        </w:tabs>
        <w:spacing w:line="360" w:lineRule="auto"/>
        <w:ind w:firstLine="480" w:firstLineChars="200"/>
        <w:rPr>
          <w:rFonts w:ascii="宋体" w:hAnsi="宋体"/>
          <w:sz w:val="24"/>
        </w:rPr>
      </w:pPr>
      <w:r>
        <w:rPr>
          <w:rFonts w:ascii="宋体" w:hAnsi="宋体"/>
          <w:sz w:val="24"/>
        </w:rPr>
        <w:t>对基金的交易记录，由基金管理人按日进行核对。对外披露基金份额净值之前，必须保证当天所有实际交易记录与基金会计账簿上的交易记录完全一致。</w:t>
      </w:r>
    </w:p>
    <w:p>
      <w:pPr>
        <w:tabs>
          <w:tab w:val="left" w:pos="1260"/>
        </w:tabs>
        <w:spacing w:line="360" w:lineRule="auto"/>
        <w:ind w:firstLine="480" w:firstLineChars="200"/>
        <w:rPr>
          <w:rFonts w:ascii="宋体"/>
          <w:sz w:val="24"/>
        </w:rPr>
      </w:pPr>
      <w:r>
        <w:rPr>
          <w:rFonts w:ascii="宋体" w:hAnsi="宋体"/>
          <w:sz w:val="24"/>
        </w:rPr>
        <w:t>如果交易记录与会计账簿记录不一致，造成基金会计核算不完整或不真实，由此导致的损失由基金的会计责任方承担。基金管理人每一交易日以双方认可的方式在当日全部交易结束后，将编制的基金资金、证券账目传送给基金托管人，基金托管人按日进行账目核对。</w:t>
      </w:r>
    </w:p>
    <w:p>
      <w:pPr>
        <w:tabs>
          <w:tab w:val="left" w:pos="1260"/>
        </w:tabs>
        <w:spacing w:line="360" w:lineRule="auto"/>
        <w:ind w:firstLine="480" w:firstLineChars="200"/>
        <w:rPr>
          <w:rFonts w:ascii="宋体"/>
          <w:sz w:val="24"/>
        </w:rPr>
      </w:pPr>
      <w:r>
        <w:rPr>
          <w:rFonts w:ascii="宋体" w:hAnsi="宋体"/>
          <w:sz w:val="24"/>
        </w:rPr>
        <w:t>对实物券账目，相关各方定期进行账实核对。</w:t>
      </w:r>
    </w:p>
    <w:p>
      <w:pPr>
        <w:tabs>
          <w:tab w:val="left" w:pos="1260"/>
        </w:tabs>
        <w:spacing w:line="360" w:lineRule="auto"/>
        <w:ind w:firstLine="480" w:firstLineChars="200"/>
        <w:rPr>
          <w:rFonts w:ascii="宋体"/>
          <w:b/>
          <w:bCs/>
          <w:sz w:val="24"/>
        </w:rPr>
      </w:pPr>
      <w:r>
        <w:rPr>
          <w:rFonts w:ascii="宋体" w:hAnsi="宋体"/>
          <w:sz w:val="24"/>
        </w:rPr>
        <w:t>基金托管人应定期核对证券账户中的证券数量和种类。</w:t>
      </w:r>
    </w:p>
    <w:p>
      <w:pPr>
        <w:tabs>
          <w:tab w:val="left" w:pos="1260"/>
        </w:tabs>
        <w:spacing w:line="360" w:lineRule="auto"/>
        <w:ind w:firstLine="480" w:firstLineChars="200"/>
        <w:rPr>
          <w:rFonts w:ascii="宋体" w:hAnsi="宋体"/>
          <w:sz w:val="24"/>
        </w:rPr>
      </w:pPr>
      <w:r>
        <w:rPr>
          <w:rFonts w:ascii="宋体" w:hAnsi="宋体"/>
          <w:sz w:val="24"/>
        </w:rPr>
        <w:t>双方可协商采用电子对账方式进行账目核对。</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（五）</w:t>
      </w:r>
      <w:r>
        <w:rPr>
          <w:rFonts w:hint="eastAsia" w:ascii="宋体" w:hAnsi="宋体"/>
          <w:b/>
          <w:bCs/>
          <w:sz w:val="24"/>
        </w:rPr>
        <w:t>申购、赎回、转换开放式基金的资金清算和数据传递的时间、程序及托管协议当事人的责任界定</w:t>
      </w:r>
    </w:p>
    <w:p>
      <w:pPr>
        <w:tabs>
          <w:tab w:val="left" w:pos="1260"/>
        </w:tabs>
        <w:spacing w:line="360" w:lineRule="auto"/>
        <w:ind w:firstLine="480" w:firstLineChars="200"/>
        <w:rPr>
          <w:rFonts w:ascii="宋体"/>
          <w:sz w:val="24"/>
        </w:rPr>
      </w:pPr>
      <w:r>
        <w:rPr>
          <w:rFonts w:hint="eastAsia" w:ascii="宋体" w:hAnsi="宋体"/>
          <w:sz w:val="24"/>
        </w:rPr>
        <w:t>1</w:t>
      </w:r>
      <w:r>
        <w:rPr>
          <w:rFonts w:ascii="宋体" w:hAnsi="宋体"/>
          <w:sz w:val="24"/>
        </w:rPr>
        <w:t>.</w:t>
      </w:r>
      <w:r>
        <w:rPr>
          <w:rFonts w:hint="eastAsia" w:ascii="宋体" w:hAnsi="宋体"/>
          <w:sz w:val="24"/>
        </w:rPr>
        <w:t>基金份额申购、赎回的确认，清算由基金管理人指定的登记机构负责。</w:t>
      </w:r>
    </w:p>
    <w:p>
      <w:pPr>
        <w:tabs>
          <w:tab w:val="left" w:pos="1260"/>
        </w:tabs>
        <w:spacing w:line="360" w:lineRule="auto"/>
        <w:ind w:firstLine="480" w:firstLineChars="200"/>
        <w:rPr>
          <w:rFonts w:ascii="宋体"/>
          <w:sz w:val="24"/>
        </w:rPr>
      </w:pPr>
      <w:r>
        <w:rPr>
          <w:rFonts w:hint="eastAsia" w:ascii="宋体" w:hAnsi="宋体"/>
          <w:sz w:val="24"/>
        </w:rPr>
        <w:t>2</w:t>
      </w:r>
      <w:r>
        <w:rPr>
          <w:rFonts w:ascii="宋体" w:hAnsi="宋体"/>
          <w:sz w:val="24"/>
        </w:rPr>
        <w:t>.</w:t>
      </w:r>
      <w:r>
        <w:rPr>
          <w:rFonts w:hint="eastAsia" w:ascii="宋体" w:hAnsi="宋体"/>
          <w:sz w:val="24"/>
        </w:rPr>
        <w:t>基金管理人应将每个开放日的申购、赎回、转换开放式基金的数据传送给基金托管人。基金管理人应对传递的申购、赎回、转换开放式基金的数据真实性、准确性、完整性负责。基金托管人应及时查收申购资金的到账情况并根据基金管理人指令及时划付赎回及转换款项。</w:t>
      </w:r>
    </w:p>
    <w:p>
      <w:pPr>
        <w:tabs>
          <w:tab w:val="left" w:pos="1260"/>
        </w:tabs>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基金托管账户与“基金清算账户”间的资金结算遵循“全额清算、净额交收”的原则，每日按照托管账户应收资金与应付资金的差额来确定托管账户净应收额或净应付额，以此确定资金交收额。</w:t>
      </w:r>
    </w:p>
    <w:p>
      <w:pPr>
        <w:tabs>
          <w:tab w:val="left" w:pos="1260"/>
        </w:tabs>
        <w:spacing w:line="360" w:lineRule="auto"/>
        <w:ind w:firstLine="480" w:firstLineChars="200"/>
        <w:rPr>
          <w:rFonts w:ascii="宋体"/>
          <w:sz w:val="24"/>
        </w:rPr>
      </w:pPr>
      <w:r>
        <w:rPr>
          <w:rFonts w:hint="eastAsia" w:ascii="宋体" w:hAnsi="宋体"/>
          <w:sz w:val="24"/>
        </w:rPr>
        <w:t>4</w:t>
      </w:r>
      <w:r>
        <w:rPr>
          <w:rFonts w:ascii="宋体" w:hAnsi="宋体"/>
          <w:sz w:val="24"/>
        </w:rPr>
        <w:t>.</w:t>
      </w:r>
      <w:r>
        <w:rPr>
          <w:rFonts w:hint="eastAsia" w:ascii="宋体" w:hAnsi="宋体"/>
          <w:sz w:val="24"/>
        </w:rPr>
        <w:t>基金管理人应在与有关当事人约定的到账日期前将申购净额（不包含申购费）划至托管账户。如申购净额未能如期到账，基金托管人应及时通知基金管理人采取措施进行催收，由此给基金造成损失的，由责任方承担。基金管理人负责向责任方追偿基金的损失。</w:t>
      </w:r>
    </w:p>
    <w:p>
      <w:pPr>
        <w:tabs>
          <w:tab w:val="left" w:pos="1260"/>
        </w:tabs>
        <w:spacing w:line="360" w:lineRule="auto"/>
        <w:ind w:firstLine="480" w:firstLineChars="200"/>
        <w:rPr>
          <w:rFonts w:ascii="宋体"/>
          <w:sz w:val="24"/>
        </w:rPr>
      </w:pPr>
      <w:r>
        <w:rPr>
          <w:rFonts w:hint="eastAsia" w:ascii="宋体" w:hAnsi="宋体"/>
          <w:sz w:val="24"/>
        </w:rPr>
        <w:t>5</w:t>
      </w:r>
      <w:r>
        <w:rPr>
          <w:rFonts w:ascii="宋体" w:hAnsi="宋体"/>
          <w:sz w:val="24"/>
        </w:rPr>
        <w:t>.</w:t>
      </w:r>
      <w:r>
        <w:rPr>
          <w:rFonts w:hint="eastAsia" w:ascii="宋体" w:hAnsi="宋体"/>
          <w:sz w:val="24"/>
        </w:rPr>
        <w:t>基金管理人应</w:t>
      </w:r>
      <w:bookmarkStart w:id="65" w:name="_Hlk191497229"/>
      <w:r>
        <w:rPr>
          <w:rFonts w:hint="eastAsia" w:ascii="宋体" w:hAnsi="宋体"/>
          <w:sz w:val="24"/>
        </w:rPr>
        <w:t>在与有关当事人约定的到账日期</w:t>
      </w:r>
      <w:bookmarkEnd w:id="65"/>
      <w:r>
        <w:rPr>
          <w:rFonts w:hint="eastAsia" w:ascii="宋体" w:hAnsi="宋体"/>
          <w:sz w:val="24"/>
        </w:rPr>
        <w:t>前向基金托管人发送赎回及转换资金的划拨指令。基金托管人依据划款指令在交收日1</w:t>
      </w:r>
      <w:r>
        <w:rPr>
          <w:rFonts w:ascii="宋体" w:hAnsi="宋体"/>
          <w:sz w:val="24"/>
        </w:rPr>
        <w:t>2</w:t>
      </w:r>
      <w:r>
        <w:rPr>
          <w:rFonts w:hint="eastAsia" w:ascii="宋体" w:hAnsi="宋体"/>
          <w:sz w:val="24"/>
        </w:rPr>
        <w:t>点前将赎回净额（包含赎回产生的应付费用）划至基金管理人指定账户。基金管理人应及时通知基金托管人划付。若赎回金额未能如期划拨，由此造成的损失，由责任方承担。基金管理人负责向责任方追偿基金的损失。</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（六）基金收益分配的清算交收安排</w:t>
      </w:r>
    </w:p>
    <w:p>
      <w:pPr>
        <w:tabs>
          <w:tab w:val="left" w:pos="1260"/>
        </w:tabs>
        <w:spacing w:line="360" w:lineRule="auto"/>
        <w:ind w:firstLine="480" w:firstLineChars="200"/>
        <w:rPr>
          <w:rFonts w:ascii="宋体" w:hAnsi="宋体"/>
          <w:sz w:val="24"/>
        </w:rPr>
      </w:pPr>
      <w:r>
        <w:rPr>
          <w:rFonts w:ascii="宋体" w:hAnsi="宋体"/>
          <w:sz w:val="24"/>
        </w:rPr>
        <w:t>1.基金管理人决定收益分配方案并通知基金托管人，经基金托管人复核后依照《信息披露办法》的有关规定在规定媒介公告。</w:t>
      </w:r>
    </w:p>
    <w:p>
      <w:pPr>
        <w:tabs>
          <w:tab w:val="left" w:pos="1260"/>
        </w:tabs>
        <w:spacing w:line="360" w:lineRule="auto"/>
        <w:ind w:firstLine="480" w:firstLineChars="200"/>
        <w:rPr>
          <w:rFonts w:ascii="宋体" w:hAnsi="宋体"/>
          <w:sz w:val="24"/>
        </w:rPr>
      </w:pPr>
      <w:r>
        <w:rPr>
          <w:rFonts w:ascii="宋体" w:hAnsi="宋体"/>
          <w:sz w:val="24"/>
        </w:rPr>
        <w:t>2.基金托管人和基金管理人对基金收益分配进行账务处理并核对后，基金管理人应及时向基金托管人发送分发现金红利的划款指令，基金托管人依据划款指令在指定划付日及时将资金划至基金管理人指定账户。</w:t>
      </w:r>
    </w:p>
    <w:p>
      <w:pPr>
        <w:tabs>
          <w:tab w:val="left" w:pos="1260"/>
        </w:tabs>
        <w:spacing w:line="360" w:lineRule="auto"/>
        <w:ind w:firstLine="480" w:firstLineChars="200"/>
        <w:rPr>
          <w:rFonts w:ascii="宋体"/>
          <w:sz w:val="24"/>
        </w:rPr>
      </w:pPr>
      <w:r>
        <w:rPr>
          <w:rFonts w:ascii="宋体" w:hAnsi="宋体"/>
          <w:sz w:val="24"/>
        </w:rPr>
        <w:t>3.基金管理人在下达分红款支付指令时，应给基金托管人留出必需的划款时间。</w:t>
      </w:r>
      <w:bookmarkStart w:id="66" w:name="_Toc125892444"/>
    </w:p>
    <w:p>
      <w:pPr>
        <w:pStyle w:val="2"/>
        <w:rPr>
          <w:color w:val="auto"/>
        </w:rPr>
      </w:pPr>
      <w:bookmarkStart w:id="67" w:name="_Toc196312618"/>
      <w:r>
        <w:rPr>
          <w:color w:val="auto"/>
        </w:rPr>
        <w:t>八、基金资产净值计算和会计核算</w:t>
      </w:r>
      <w:bookmarkEnd w:id="62"/>
      <w:bookmarkEnd w:id="63"/>
      <w:bookmarkEnd w:id="66"/>
      <w:bookmarkEnd w:id="67"/>
    </w:p>
    <w:p>
      <w:pPr>
        <w:tabs>
          <w:tab w:val="left" w:pos="3780"/>
        </w:tabs>
        <w:autoSpaceDE w:val="0"/>
        <w:autoSpaceDN w:val="0"/>
        <w:spacing w:before="156" w:after="156" w:line="360" w:lineRule="auto"/>
        <w:outlineLvl w:val="0"/>
        <w:rPr>
          <w:rFonts w:ascii="宋体"/>
          <w:b/>
          <w:bCs/>
          <w:sz w:val="24"/>
        </w:rPr>
      </w:pPr>
      <w:bookmarkStart w:id="68" w:name="_Toc77663017"/>
      <w:r>
        <w:rPr>
          <w:rFonts w:ascii="宋体" w:hAnsi="宋体"/>
          <w:b/>
          <w:bCs/>
          <w:sz w:val="24"/>
        </w:rPr>
        <w:t>（一）基金资产净值及基金份额净值的计算与复核</w:t>
      </w:r>
      <w:bookmarkEnd w:id="68"/>
    </w:p>
    <w:p>
      <w:pPr>
        <w:autoSpaceDE w:val="0"/>
        <w:autoSpaceDN w:val="0"/>
        <w:spacing w:line="360" w:lineRule="auto"/>
        <w:ind w:firstLine="420"/>
        <w:rPr>
          <w:rFonts w:ascii="宋体"/>
          <w:sz w:val="24"/>
        </w:rPr>
      </w:pPr>
      <w:r>
        <w:rPr>
          <w:rFonts w:ascii="宋体" w:hAnsi="宋体"/>
          <w:sz w:val="24"/>
        </w:rPr>
        <w:t>基金资产净值是指基金资产总值减去基金负债后的价值。</w:t>
      </w:r>
    </w:p>
    <w:p>
      <w:pPr>
        <w:tabs>
          <w:tab w:val="left" w:pos="1260"/>
        </w:tabs>
        <w:spacing w:line="360" w:lineRule="auto"/>
        <w:ind w:firstLine="480" w:firstLineChars="200"/>
        <w:rPr>
          <w:rFonts w:ascii="宋体" w:hAnsi="宋体"/>
          <w:sz w:val="24"/>
        </w:rPr>
      </w:pPr>
      <w:r>
        <w:rPr>
          <w:rFonts w:hint="eastAsia" w:ascii="宋体" w:hAnsi="宋体"/>
          <w:sz w:val="24"/>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tabs>
          <w:tab w:val="left" w:pos="1260"/>
        </w:tabs>
        <w:spacing w:line="360" w:lineRule="auto"/>
        <w:ind w:firstLine="480" w:firstLineChars="200"/>
        <w:rPr>
          <w:rFonts w:ascii="宋体"/>
          <w:sz w:val="24"/>
        </w:rPr>
      </w:pPr>
      <w:r>
        <w:rPr>
          <w:rFonts w:ascii="宋体" w:hAnsi="宋体"/>
          <w:sz w:val="24"/>
        </w:rPr>
        <w:t>基金管理人应每</w:t>
      </w:r>
      <w:r>
        <w:rPr>
          <w:rFonts w:hint="eastAsia" w:ascii="宋体" w:hAnsi="宋体"/>
          <w:sz w:val="24"/>
        </w:rPr>
        <w:t>估值</w:t>
      </w:r>
      <w:r>
        <w:rPr>
          <w:rFonts w:ascii="宋体" w:hAnsi="宋体"/>
          <w:sz w:val="24"/>
        </w:rPr>
        <w:t>日对基金资产估值</w:t>
      </w:r>
      <w:r>
        <w:rPr>
          <w:rFonts w:hint="eastAsia" w:ascii="宋体" w:hAnsi="宋体"/>
          <w:sz w:val="24"/>
        </w:rPr>
        <w:t>，但基金管理人根据法律法规或本基金合同的规定暂停估值时除外</w:t>
      </w:r>
      <w:r>
        <w:rPr>
          <w:rFonts w:ascii="宋体" w:hAnsi="宋体"/>
          <w:sz w:val="24"/>
        </w:rPr>
        <w:t>。估值原则应符合《基金合同》、</w:t>
      </w:r>
      <w:r>
        <w:rPr>
          <w:rFonts w:ascii="宋体"/>
          <w:sz w:val="24"/>
        </w:rPr>
        <w:t>《中国证监会关于证券投资基金估值业务的指导意见》</w:t>
      </w:r>
      <w:r>
        <w:rPr>
          <w:rFonts w:ascii="宋体" w:hAnsi="宋体"/>
          <w:sz w:val="24"/>
        </w:rPr>
        <w:t>及其他法律、法规的规定。基金资产净值和基金份额净值由基金管理人负责计算，基金托管人负责进行复核。基金管理人应于每个</w:t>
      </w:r>
      <w:r>
        <w:rPr>
          <w:rFonts w:hint="eastAsia" w:ascii="宋体" w:hAnsi="宋体"/>
          <w:sz w:val="24"/>
        </w:rPr>
        <w:t>估值</w:t>
      </w:r>
      <w:r>
        <w:rPr>
          <w:rFonts w:ascii="宋体" w:hAnsi="宋体"/>
          <w:sz w:val="24"/>
        </w:rPr>
        <w:t>日交易结束后计算当日的基金资产净值和</w:t>
      </w:r>
      <w:r>
        <w:rPr>
          <w:rFonts w:hint="eastAsia" w:ascii="宋体" w:hAnsi="宋体"/>
          <w:sz w:val="24"/>
        </w:rPr>
        <w:t>各类</w:t>
      </w:r>
      <w:r>
        <w:rPr>
          <w:rFonts w:ascii="宋体" w:hAnsi="宋体"/>
          <w:sz w:val="24"/>
        </w:rPr>
        <w:t>基金份额净值并发送给基金托管人。基金托管人对净值计算结果复核确认后发送给基金管理人，由基金管理人对基金净值信息按约定予以公布。</w:t>
      </w:r>
    </w:p>
    <w:p>
      <w:pPr>
        <w:tabs>
          <w:tab w:val="left" w:pos="1260"/>
        </w:tabs>
        <w:spacing w:line="360" w:lineRule="auto"/>
        <w:ind w:firstLine="480" w:firstLineChars="200"/>
        <w:rPr>
          <w:rFonts w:ascii="宋体"/>
          <w:sz w:val="24"/>
        </w:rPr>
      </w:pPr>
      <w:r>
        <w:rPr>
          <w:rFonts w:ascii="宋体" w:hAnsi="宋体"/>
          <w:sz w:val="24"/>
        </w:rPr>
        <w:t>本基金按以下方法估值：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2、处于未上市期间的有价证券应区分如下情况处理：</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（1）送股、转增股、配股和公开增发的新股，按估值日在证券交易所挂牌的同一股票的估值方法估值；该日无交易的，以最近一日的市价（收盘价）估值；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（2）首次公开发行未上市的股票和债券，采用估值技术确定公允价值；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3、对于已上市或已挂牌转让的不含权固定收益品种（另有规定的除外），选取第三方估值基准服务机构提供的相应品种当日的估值全价进行估值。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4、对于已上市或已挂牌转让的含权固定收益品种（另有规定的除外），选取第三方估值基准服务机构提供的相应品种当日的唯一估值全价或推荐估值全价进行估值。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6、对于未上市或未挂牌转让且不存在活跃市场的固定收益品种，采用在当前情况下适用并且有足够可利用数据和其他信息支持的估值技术确定其公允价值。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7、本基金投资股指期货合约，一般以估值当日结算价进行估值，估值当日无结算价的，且最近交易日后经济环境未发生重大变化的，采用最近交易日结算价估值。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8、同一证券同时在两个或两个以上市场交易的，按证券所处的市场分别估值。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9、估值计算中涉及港币对人民币汇率的，将依据下列信息提供机构所提供的汇率为基准：当日中国人民银行或其授权机构公布的人民币与港币的中间价。</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10、对于因税收规定调整或其他原因导致本基金实际交纳税金与估算的应交税金有差异的，本基金将在相关税金调整日或实际支付日进行相应的会计处理。</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11、本基金投资存托凭证的估值核算依照境内上市交易的股票执行。</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12、基金参与融资和转融通证券出借业务的，应参照相关法律法规和中国证券投资基金业协会发布的相关规定进行估值。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13、如有确凿证据表明按上述方法进行估值不能客观反映其公允价值的，基金管理人可根据具体情况与基金托管人商定后，按最能反映公允价值的价格估值。</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14、当发生大额申购或赎回情形时，基金管理人可以采用摆动定价机制，以确保基金估值的公平性。</w:t>
      </w:r>
    </w:p>
    <w:p>
      <w:pPr>
        <w:pStyle w:val="219"/>
        <w:spacing w:line="360" w:lineRule="auto"/>
        <w:ind w:firstLine="480"/>
        <w:rPr>
          <w:rStyle w:val="223"/>
          <w:rFonts w:ascii="宋体" w:hAnsi="宋体" w:cs="宋体"/>
          <w:sz w:val="24"/>
          <w:szCs w:val="24"/>
        </w:rPr>
      </w:pPr>
      <w:r>
        <w:rPr>
          <w:rStyle w:val="223"/>
          <w:rFonts w:hint="eastAsia" w:ascii="宋体" w:hAnsi="宋体" w:cs="宋体"/>
          <w:sz w:val="24"/>
          <w:szCs w:val="24"/>
        </w:rPr>
        <w:t>15、相关法律法规以及监管部门有强制规定的，从其规定。如有新增事项，按国家最新规定估值。</w:t>
      </w:r>
    </w:p>
    <w:p>
      <w:pPr>
        <w:pStyle w:val="219"/>
        <w:spacing w:line="360" w:lineRule="auto"/>
        <w:ind w:firstLine="480"/>
        <w:rPr>
          <w:rFonts w:eastAsia="Times New Roman"/>
          <w:sz w:val="24"/>
          <w:szCs w:val="24"/>
        </w:rPr>
      </w:pPr>
      <w:r>
        <w:rPr>
          <w:rFonts w:ascii="宋体" w:hAnsi="宋体" w:cs="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pStyle w:val="219"/>
        <w:spacing w:line="360" w:lineRule="auto"/>
        <w:ind w:firstLine="480"/>
        <w:rPr>
          <w:rFonts w:eastAsia="Times New Roman"/>
          <w:sz w:val="24"/>
          <w:szCs w:val="24"/>
        </w:rPr>
      </w:pPr>
      <w:r>
        <w:rPr>
          <w:rFonts w:ascii="宋体" w:hAnsi="宋体" w:cs="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（二）净值差错处理</w:t>
      </w:r>
    </w:p>
    <w:p>
      <w:pPr>
        <w:autoSpaceDE w:val="0"/>
        <w:autoSpaceDN w:val="0"/>
        <w:spacing w:line="360" w:lineRule="auto"/>
        <w:ind w:firstLine="420"/>
        <w:rPr>
          <w:rFonts w:ascii="宋体" w:hAnsi="宋体"/>
          <w:sz w:val="24"/>
        </w:rPr>
      </w:pPr>
      <w:r>
        <w:rPr>
          <w:rFonts w:hint="eastAsia" w:ascii="宋体" w:hAnsi="宋体"/>
          <w:sz w:val="24"/>
        </w:rPr>
        <w:t>基金管理人和基金托管人将采取必要、适当、合理的措施确保基金资产估值的准确性、及时性。当基金份额净值小数点后4位以内（含第4位）发生估值错误时，视为基金份额净值错误。</w:t>
      </w:r>
    </w:p>
    <w:p>
      <w:pPr>
        <w:autoSpaceDE w:val="0"/>
        <w:autoSpaceDN w:val="0"/>
        <w:spacing w:line="360" w:lineRule="auto"/>
        <w:ind w:firstLine="420"/>
        <w:rPr>
          <w:rFonts w:ascii="宋体" w:hAnsi="宋体"/>
          <w:sz w:val="24"/>
        </w:rPr>
      </w:pPr>
      <w:r>
        <w:rPr>
          <w:rFonts w:hint="eastAsia" w:ascii="宋体" w:hAnsi="宋体"/>
          <w:sz w:val="24"/>
        </w:rPr>
        <w:t>《基金合同》的当事人应按照以下约定处理：</w:t>
      </w:r>
    </w:p>
    <w:p>
      <w:pPr>
        <w:autoSpaceDE w:val="0"/>
        <w:autoSpaceDN w:val="0"/>
        <w:spacing w:line="360" w:lineRule="auto"/>
        <w:ind w:firstLine="420"/>
        <w:rPr>
          <w:rFonts w:ascii="宋体" w:hAnsi="宋体"/>
          <w:sz w:val="24"/>
        </w:rPr>
      </w:pPr>
      <w:r>
        <w:rPr>
          <w:rFonts w:hint="eastAsia" w:ascii="宋体" w:hAnsi="宋体"/>
          <w:sz w:val="24"/>
        </w:rPr>
        <w:t>1、估值错误类型</w:t>
      </w:r>
    </w:p>
    <w:p>
      <w:pPr>
        <w:autoSpaceDE w:val="0"/>
        <w:autoSpaceDN w:val="0"/>
        <w:spacing w:line="360" w:lineRule="auto"/>
        <w:ind w:firstLine="420"/>
        <w:rPr>
          <w:rFonts w:ascii="宋体" w:hAnsi="宋体"/>
          <w:sz w:val="24"/>
        </w:rPr>
      </w:pPr>
      <w:r>
        <w:rPr>
          <w:rFonts w:hint="eastAsia"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spacing w:line="360" w:lineRule="auto"/>
        <w:ind w:firstLine="420"/>
        <w:rPr>
          <w:rFonts w:ascii="宋体" w:hAnsi="宋体"/>
          <w:sz w:val="24"/>
        </w:rPr>
      </w:pPr>
      <w:r>
        <w:rPr>
          <w:rFonts w:hint="eastAsia" w:ascii="宋体" w:hAnsi="宋体"/>
          <w:sz w:val="24"/>
        </w:rPr>
        <w:t>上述估值错误的主要类型包括但不限于：资料申报差错、数据传输差错、数据计算差错、系统故障差错、下达指令差错等。</w:t>
      </w:r>
    </w:p>
    <w:p>
      <w:pPr>
        <w:autoSpaceDE w:val="0"/>
        <w:autoSpaceDN w:val="0"/>
        <w:spacing w:line="360" w:lineRule="auto"/>
        <w:ind w:firstLine="420"/>
        <w:rPr>
          <w:rFonts w:ascii="宋体" w:hAnsi="宋体"/>
          <w:sz w:val="24"/>
        </w:rPr>
      </w:pPr>
      <w:r>
        <w:rPr>
          <w:rFonts w:hint="eastAsia" w:ascii="宋体" w:hAnsi="宋体"/>
          <w:sz w:val="24"/>
        </w:rPr>
        <w:t>对于因技术原因引起的差错，若系同行业现有技术水平无法预见、无法避免、无法抗拒，则属不可抗力，按照下述规定执行。</w:t>
      </w:r>
    </w:p>
    <w:p>
      <w:pPr>
        <w:autoSpaceDE w:val="0"/>
        <w:autoSpaceDN w:val="0"/>
        <w:spacing w:line="360" w:lineRule="auto"/>
        <w:ind w:firstLine="420"/>
        <w:rPr>
          <w:rFonts w:ascii="宋体" w:hAnsi="宋体"/>
          <w:sz w:val="24"/>
        </w:rPr>
      </w:pPr>
      <w:r>
        <w:rPr>
          <w:rFonts w:hint="eastAsia"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utoSpaceDE w:val="0"/>
        <w:autoSpaceDN w:val="0"/>
        <w:spacing w:line="360" w:lineRule="auto"/>
        <w:ind w:firstLine="420"/>
        <w:rPr>
          <w:rFonts w:ascii="宋体" w:hAnsi="宋体"/>
          <w:sz w:val="24"/>
        </w:rPr>
      </w:pPr>
      <w:r>
        <w:rPr>
          <w:rFonts w:hint="eastAsia" w:ascii="宋体" w:hAnsi="宋体"/>
          <w:sz w:val="24"/>
        </w:rPr>
        <w:t>2、估值错误处理原则</w:t>
      </w:r>
    </w:p>
    <w:p>
      <w:pPr>
        <w:autoSpaceDE w:val="0"/>
        <w:autoSpaceDN w:val="0"/>
        <w:spacing w:line="360" w:lineRule="auto"/>
        <w:ind w:firstLine="420"/>
        <w:rPr>
          <w:rFonts w:ascii="宋体" w:hAnsi="宋体"/>
          <w:sz w:val="24"/>
        </w:rPr>
      </w:pPr>
      <w:r>
        <w:rPr>
          <w:rFonts w:hint="eastAsia"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spacing w:line="360" w:lineRule="auto"/>
        <w:ind w:firstLine="420"/>
        <w:rPr>
          <w:rFonts w:ascii="宋体" w:hAnsi="宋体"/>
          <w:sz w:val="24"/>
        </w:rPr>
      </w:pPr>
      <w:r>
        <w:rPr>
          <w:rFonts w:hint="eastAsia" w:ascii="宋体" w:hAnsi="宋体"/>
          <w:sz w:val="24"/>
        </w:rPr>
        <w:t>（2）估值错误的责任方对有关当事人的直接损失负责，不对间接损失负责，并且仅对估值错误的有关直接当事人负责，不对第三方负责。</w:t>
      </w:r>
    </w:p>
    <w:p>
      <w:pPr>
        <w:autoSpaceDE w:val="0"/>
        <w:autoSpaceDN w:val="0"/>
        <w:spacing w:line="360" w:lineRule="auto"/>
        <w:ind w:firstLine="420"/>
        <w:rPr>
          <w:rFonts w:ascii="宋体" w:hAnsi="宋体"/>
          <w:sz w:val="24"/>
        </w:rPr>
      </w:pPr>
      <w:r>
        <w:rPr>
          <w:rFonts w:hint="eastAsia"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spacing w:line="360" w:lineRule="auto"/>
        <w:ind w:firstLine="420"/>
        <w:rPr>
          <w:rFonts w:ascii="宋体" w:hAnsi="宋体"/>
          <w:sz w:val="24"/>
        </w:rPr>
      </w:pPr>
      <w:r>
        <w:rPr>
          <w:rFonts w:hint="eastAsia" w:ascii="宋体" w:hAnsi="宋体"/>
          <w:sz w:val="24"/>
        </w:rPr>
        <w:t>（4）估值错误调整采用尽量恢复至假设未发生估值错误的正确情形的方式。</w:t>
      </w:r>
    </w:p>
    <w:p>
      <w:pPr>
        <w:autoSpaceDE w:val="0"/>
        <w:autoSpaceDN w:val="0"/>
        <w:spacing w:line="360" w:lineRule="auto"/>
        <w:ind w:firstLine="420"/>
        <w:rPr>
          <w:rFonts w:ascii="宋体" w:hAnsi="宋体"/>
          <w:sz w:val="24"/>
        </w:rPr>
      </w:pPr>
      <w:r>
        <w:rPr>
          <w:rFonts w:hint="eastAsia" w:ascii="宋体" w:hAnsi="宋体"/>
          <w:sz w:val="24"/>
        </w:rPr>
        <w:t>（5）按法律法规规定的其他原则处理估值错误。</w:t>
      </w:r>
    </w:p>
    <w:p>
      <w:pPr>
        <w:autoSpaceDE w:val="0"/>
        <w:autoSpaceDN w:val="0"/>
        <w:spacing w:line="360" w:lineRule="auto"/>
        <w:ind w:firstLine="420"/>
        <w:rPr>
          <w:rFonts w:ascii="宋体" w:hAnsi="宋体"/>
          <w:sz w:val="24"/>
        </w:rPr>
      </w:pPr>
      <w:r>
        <w:rPr>
          <w:rFonts w:hint="eastAsia" w:ascii="宋体" w:hAnsi="宋体"/>
          <w:sz w:val="24"/>
        </w:rPr>
        <w:t>3、估值错误处理程序</w:t>
      </w:r>
    </w:p>
    <w:p>
      <w:pPr>
        <w:autoSpaceDE w:val="0"/>
        <w:autoSpaceDN w:val="0"/>
        <w:spacing w:line="360" w:lineRule="auto"/>
        <w:ind w:firstLine="420"/>
        <w:rPr>
          <w:rFonts w:ascii="宋体" w:hAnsi="宋体"/>
          <w:sz w:val="24"/>
        </w:rPr>
      </w:pPr>
      <w:r>
        <w:rPr>
          <w:rFonts w:hint="eastAsia" w:ascii="宋体" w:hAnsi="宋体"/>
          <w:sz w:val="24"/>
        </w:rPr>
        <w:t>估值错误被发现后，有关的当事人应当及时进行处理，处理的程序如下：</w:t>
      </w:r>
    </w:p>
    <w:p>
      <w:pPr>
        <w:autoSpaceDE w:val="0"/>
        <w:autoSpaceDN w:val="0"/>
        <w:spacing w:line="360" w:lineRule="auto"/>
        <w:ind w:firstLine="420"/>
        <w:rPr>
          <w:rFonts w:ascii="宋体" w:hAnsi="宋体"/>
          <w:sz w:val="24"/>
        </w:rPr>
      </w:pPr>
      <w:r>
        <w:rPr>
          <w:rFonts w:hint="eastAsia" w:ascii="宋体" w:hAnsi="宋体"/>
          <w:sz w:val="24"/>
        </w:rPr>
        <w:t>（1）查明估值错误发生的原因，列明所有的当事人，并根据估值错误发生的原因确定估值错误的责任方；</w:t>
      </w:r>
    </w:p>
    <w:p>
      <w:pPr>
        <w:autoSpaceDE w:val="0"/>
        <w:autoSpaceDN w:val="0"/>
        <w:spacing w:line="360" w:lineRule="auto"/>
        <w:ind w:firstLine="420"/>
        <w:rPr>
          <w:rFonts w:ascii="宋体" w:hAnsi="宋体"/>
          <w:sz w:val="24"/>
        </w:rPr>
      </w:pPr>
      <w:r>
        <w:rPr>
          <w:rFonts w:hint="eastAsia" w:ascii="宋体" w:hAnsi="宋体"/>
          <w:sz w:val="24"/>
        </w:rPr>
        <w:t>（2）根据估值错误处理原则或当事人协商的方法对因估值错误造成的损失进行评估；</w:t>
      </w:r>
    </w:p>
    <w:p>
      <w:pPr>
        <w:autoSpaceDE w:val="0"/>
        <w:autoSpaceDN w:val="0"/>
        <w:spacing w:line="360" w:lineRule="auto"/>
        <w:ind w:firstLine="420"/>
        <w:rPr>
          <w:rFonts w:ascii="宋体" w:hAnsi="宋体"/>
          <w:sz w:val="24"/>
        </w:rPr>
      </w:pPr>
      <w:r>
        <w:rPr>
          <w:rFonts w:hint="eastAsia" w:ascii="宋体" w:hAnsi="宋体"/>
          <w:sz w:val="24"/>
        </w:rPr>
        <w:t>（3）根据估值错误处理原则或当事人协商的方法由估值错误的责任方进行更正和赔偿损失；</w:t>
      </w:r>
    </w:p>
    <w:p>
      <w:pPr>
        <w:autoSpaceDE w:val="0"/>
        <w:autoSpaceDN w:val="0"/>
        <w:spacing w:line="360" w:lineRule="auto"/>
        <w:ind w:firstLine="420"/>
        <w:rPr>
          <w:rFonts w:ascii="宋体" w:hAnsi="宋体"/>
          <w:sz w:val="24"/>
        </w:rPr>
      </w:pPr>
      <w:r>
        <w:rPr>
          <w:rFonts w:hint="eastAsia" w:ascii="宋体" w:hAnsi="宋体"/>
          <w:sz w:val="24"/>
        </w:rPr>
        <w:t>（4）根据估值错误处理的方法，需要修改基金登记机构交易数据的，由基金登记机构进行更正，并就估值错误的更正向有关当事人进行确认。</w:t>
      </w:r>
    </w:p>
    <w:p>
      <w:pPr>
        <w:autoSpaceDE w:val="0"/>
        <w:autoSpaceDN w:val="0"/>
        <w:spacing w:line="360" w:lineRule="auto"/>
        <w:ind w:firstLine="420"/>
        <w:rPr>
          <w:rFonts w:ascii="宋体" w:hAnsi="宋体"/>
          <w:sz w:val="24"/>
        </w:rPr>
      </w:pPr>
      <w:r>
        <w:rPr>
          <w:rFonts w:hint="eastAsia" w:ascii="宋体" w:hAnsi="宋体"/>
          <w:sz w:val="24"/>
        </w:rPr>
        <w:t>4、基金份额净值估值错误处理的方法如下：</w:t>
      </w:r>
    </w:p>
    <w:p>
      <w:pPr>
        <w:autoSpaceDE w:val="0"/>
        <w:autoSpaceDN w:val="0"/>
        <w:spacing w:line="360" w:lineRule="auto"/>
        <w:ind w:firstLine="420"/>
        <w:rPr>
          <w:rFonts w:ascii="宋体" w:hAnsi="宋体"/>
          <w:sz w:val="24"/>
        </w:rPr>
      </w:pPr>
      <w:r>
        <w:rPr>
          <w:rFonts w:hint="eastAsia" w:ascii="宋体" w:hAnsi="宋体"/>
          <w:sz w:val="24"/>
        </w:rPr>
        <w:t>（1）基金份额净值计算出现错误时，基金管理人应当立即予以纠正，通报基金托管人，并采取合理的措施防止损失进一步扩大。</w:t>
      </w:r>
    </w:p>
    <w:p>
      <w:pPr>
        <w:autoSpaceDE w:val="0"/>
        <w:autoSpaceDN w:val="0"/>
        <w:spacing w:line="360" w:lineRule="auto"/>
        <w:ind w:firstLine="420"/>
        <w:rPr>
          <w:rFonts w:ascii="宋体" w:hAnsi="宋体"/>
          <w:sz w:val="24"/>
        </w:rPr>
      </w:pPr>
      <w:r>
        <w:rPr>
          <w:rFonts w:hint="eastAsia" w:ascii="宋体" w:hAnsi="宋体"/>
          <w:sz w:val="24"/>
        </w:rPr>
        <w:t>（2）错误偏差达到该类基金份额净值的0.25%时，基金管理人应当通报基金托管人并报中国证监会备案；错误偏差达到该类基金份额净值的0.5%时，基金管理人应当公告，并报中国证监会备案。</w:t>
      </w:r>
    </w:p>
    <w:p>
      <w:pPr>
        <w:autoSpaceDE w:val="0"/>
        <w:autoSpaceDN w:val="0"/>
        <w:spacing w:line="360" w:lineRule="auto"/>
        <w:ind w:firstLine="420"/>
        <w:rPr>
          <w:rFonts w:ascii="宋体" w:hAnsi="宋体"/>
          <w:sz w:val="24"/>
        </w:rPr>
      </w:pPr>
      <w:r>
        <w:rPr>
          <w:rFonts w:hint="eastAsia" w:ascii="宋体" w:hAnsi="宋体"/>
          <w:sz w:val="24"/>
        </w:rPr>
        <w:t>（3）前述内容如法律法规或监管机关另有规定的，从其规定处理。</w:t>
      </w:r>
    </w:p>
    <w:p>
      <w:pPr>
        <w:spacing w:line="360" w:lineRule="auto"/>
        <w:ind w:firstLine="480" w:firstLineChars="200"/>
        <w:rPr>
          <w:bCs/>
          <w:sz w:val="24"/>
        </w:rPr>
      </w:pPr>
      <w:r>
        <w:rPr>
          <w:rFonts w:hint="eastAsia"/>
          <w:bCs/>
          <w:sz w:val="24"/>
        </w:rPr>
        <w:t>5、特殊情形的处理</w:t>
      </w:r>
    </w:p>
    <w:p>
      <w:pPr>
        <w:spacing w:line="360" w:lineRule="auto"/>
        <w:ind w:firstLine="480" w:firstLineChars="200"/>
        <w:rPr>
          <w:sz w:val="24"/>
        </w:rPr>
      </w:pPr>
      <w:r>
        <w:rPr>
          <w:rFonts w:hint="eastAsia"/>
          <w:sz w:val="24"/>
        </w:rPr>
        <w:t>（1）基金管理人或基金托管人按估值方法的第</w:t>
      </w:r>
      <w:r>
        <w:rPr>
          <w:bCs/>
          <w:sz w:val="24"/>
        </w:rPr>
        <w:t>1</w:t>
      </w:r>
      <w:r>
        <w:rPr>
          <w:rFonts w:hint="eastAsia"/>
          <w:bCs/>
          <w:sz w:val="24"/>
        </w:rPr>
        <w:t>3</w:t>
      </w:r>
      <w:r>
        <w:rPr>
          <w:rFonts w:hint="eastAsia"/>
          <w:sz w:val="24"/>
        </w:rPr>
        <w:t>项进行估值时，所造成的误差不作为基金资产估值错误处理。</w:t>
      </w:r>
    </w:p>
    <w:p>
      <w:pPr>
        <w:spacing w:line="360" w:lineRule="auto"/>
        <w:ind w:firstLine="480" w:firstLineChars="200"/>
        <w:rPr>
          <w:sz w:val="24"/>
        </w:rPr>
      </w:pPr>
      <w:r>
        <w:rPr>
          <w:rFonts w:hint="eastAsia"/>
          <w:sz w:val="24"/>
        </w:rPr>
        <w:t>（2）由于不可抗力</w:t>
      </w:r>
      <w:r>
        <w:rPr>
          <w:rFonts w:hint="eastAsia"/>
          <w:bCs/>
          <w:sz w:val="24"/>
        </w:rPr>
        <w:t>原因</w:t>
      </w:r>
      <w:r>
        <w:rPr>
          <w:rFonts w:hint="eastAsia"/>
          <w:sz w:val="24"/>
        </w:rPr>
        <w:t>，或</w:t>
      </w:r>
      <w:r>
        <w:rPr>
          <w:rFonts w:hint="eastAsia"/>
          <w:bCs/>
          <w:sz w:val="24"/>
        </w:rPr>
        <w:t>由于证券/</w:t>
      </w:r>
      <w:r>
        <w:rPr>
          <w:rFonts w:hint="eastAsia"/>
          <w:sz w:val="24"/>
        </w:rPr>
        <w:t>期货交易所、</w:t>
      </w:r>
      <w:r>
        <w:rPr>
          <w:rFonts w:hint="eastAsia"/>
          <w:bCs/>
          <w:sz w:val="24"/>
        </w:rPr>
        <w:t>证券/期货经纪机构、</w:t>
      </w:r>
      <w:r>
        <w:rPr>
          <w:rFonts w:hint="eastAsia"/>
          <w:sz w:val="24"/>
        </w:rPr>
        <w:t>登记结算</w:t>
      </w:r>
      <w:r>
        <w:rPr>
          <w:rFonts w:hint="eastAsia"/>
          <w:bCs/>
          <w:sz w:val="24"/>
        </w:rPr>
        <w:t>公司、指数编制机构</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pPr>
        <w:tabs>
          <w:tab w:val="left" w:pos="3780"/>
        </w:tabs>
        <w:autoSpaceDE w:val="0"/>
        <w:autoSpaceDN w:val="0"/>
        <w:spacing w:before="156" w:after="156" w:line="360" w:lineRule="auto"/>
        <w:outlineLvl w:val="0"/>
        <w:rPr>
          <w:rFonts w:ascii="宋体"/>
          <w:b/>
          <w:sz w:val="24"/>
        </w:rPr>
      </w:pPr>
      <w:r>
        <w:rPr>
          <w:rFonts w:ascii="宋体"/>
          <w:b/>
          <w:sz w:val="24"/>
        </w:rPr>
        <w:t>（三）基金</w:t>
      </w:r>
      <w:r>
        <w:rPr>
          <w:rFonts w:ascii="宋体" w:hAnsi="宋体"/>
          <w:b/>
          <w:bCs/>
          <w:sz w:val="24"/>
        </w:rPr>
        <w:t>会计制度</w:t>
      </w:r>
    </w:p>
    <w:p>
      <w:pPr>
        <w:autoSpaceDE w:val="0"/>
        <w:autoSpaceDN w:val="0"/>
        <w:spacing w:line="360" w:lineRule="auto"/>
        <w:ind w:firstLine="420"/>
        <w:rPr>
          <w:rFonts w:ascii="宋体"/>
          <w:sz w:val="24"/>
        </w:rPr>
      </w:pPr>
      <w:r>
        <w:rPr>
          <w:rFonts w:ascii="宋体"/>
          <w:sz w:val="24"/>
        </w:rPr>
        <w:t>按国家有关部门制定的会计制度执行。</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（四）基金账册的建立</w:t>
      </w:r>
    </w:p>
    <w:p>
      <w:pPr>
        <w:tabs>
          <w:tab w:val="left" w:pos="1260"/>
        </w:tabs>
        <w:spacing w:line="360" w:lineRule="auto"/>
        <w:ind w:firstLine="480" w:firstLineChars="200"/>
        <w:rPr>
          <w:rFonts w:ascii="宋体"/>
          <w:sz w:val="24"/>
        </w:rPr>
      </w:pPr>
      <w:r>
        <w:rPr>
          <w:rFonts w:ascii="宋体" w:hAnsi="宋体"/>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（五）会计数据和财务指标的核对</w:t>
      </w:r>
    </w:p>
    <w:p>
      <w:pPr>
        <w:tabs>
          <w:tab w:val="left" w:pos="1260"/>
        </w:tabs>
        <w:spacing w:line="360" w:lineRule="auto"/>
        <w:ind w:firstLine="480" w:firstLineChars="200"/>
        <w:rPr>
          <w:rFonts w:ascii="宋体"/>
          <w:sz w:val="24"/>
        </w:rPr>
      </w:pPr>
      <w:r>
        <w:rPr>
          <w:rFonts w:ascii="宋体" w:hAnsi="宋体"/>
          <w:sz w:val="24"/>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（六）基金定期报告的编制和复核</w:t>
      </w:r>
    </w:p>
    <w:p>
      <w:pPr>
        <w:pStyle w:val="219"/>
        <w:spacing w:line="360" w:lineRule="auto"/>
        <w:ind w:firstLine="480"/>
        <w:rPr>
          <w:sz w:val="24"/>
          <w:szCs w:val="24"/>
        </w:rPr>
      </w:pPr>
      <w:r>
        <w:rPr>
          <w:rFonts w:ascii="宋体" w:hAnsi="宋体"/>
          <w:sz w:val="24"/>
        </w:rPr>
        <w:t>基金财务报表由基金管理人和基金托管人每月分别独立编制。月度报表的编制，应于每月结束后5个工作日内完成。定期报告文件应按中国证监会的要求公告。季度报告的编制，应于每季度终了后15个工作日内完成；</w:t>
      </w:r>
      <w:r>
        <w:rPr>
          <w:sz w:val="24"/>
        </w:rPr>
        <w:t>基金招募说明书、基金产品资料概要的信息发生重大变更的，基金管理人应当在3个工作日内，更新基金招募说明书和基金产品资料概要并登载在规定网站上，</w:t>
      </w:r>
      <w:r>
        <w:rPr>
          <w:rFonts w:ascii="宋体" w:hAnsi="宋体"/>
          <w:sz w:val="24"/>
          <w:szCs w:val="24"/>
        </w:rPr>
        <w:t>基金产品资料概要</w:t>
      </w:r>
      <w:r>
        <w:rPr>
          <w:rFonts w:ascii="宋体" w:hAnsi="宋体"/>
          <w:sz w:val="24"/>
        </w:rPr>
        <w:t>还应</w:t>
      </w:r>
      <w:r>
        <w:rPr>
          <w:rFonts w:ascii="宋体" w:hAnsi="宋体"/>
          <w:sz w:val="24"/>
          <w:szCs w:val="24"/>
        </w:rPr>
        <w:t>登载在基金销售机构网站或营业网点</w:t>
      </w:r>
      <w:r>
        <w:rPr>
          <w:sz w:val="24"/>
        </w:rPr>
        <w:t>；基金招募说明书、基金产品资料概要的其他信息发生变更的，基金管理人至少每年更新一次。</w:t>
      </w:r>
      <w:r>
        <w:rPr>
          <w:rFonts w:ascii="宋体" w:hAnsi="宋体"/>
          <w:sz w:val="24"/>
          <w:szCs w:val="24"/>
        </w:rPr>
        <w:t>基金终止运作的，基金管理人不再更新</w:t>
      </w:r>
      <w:r>
        <w:rPr>
          <w:sz w:val="24"/>
        </w:rPr>
        <w:t>基金招募说明书、</w:t>
      </w:r>
      <w:r>
        <w:rPr>
          <w:rFonts w:ascii="宋体" w:hAnsi="宋体"/>
          <w:sz w:val="24"/>
          <w:szCs w:val="24"/>
        </w:rPr>
        <w:t>基金产品资料概要。</w:t>
      </w:r>
    </w:p>
    <w:p>
      <w:pPr>
        <w:tabs>
          <w:tab w:val="left" w:pos="1260"/>
        </w:tabs>
        <w:spacing w:line="360" w:lineRule="auto"/>
        <w:ind w:firstLine="480" w:firstLineChars="200"/>
        <w:rPr>
          <w:rFonts w:ascii="宋体"/>
          <w:sz w:val="24"/>
        </w:rPr>
      </w:pPr>
      <w:r>
        <w:rPr>
          <w:rFonts w:ascii="宋体" w:hAnsi="宋体"/>
          <w:sz w:val="24"/>
        </w:rPr>
        <w:t>中期报告在上半年结束之日起2个月内公告；年度报告在每年结束之日起3个月内公告。如果基金合同生效不足2个月的，基金管理人可以不编制当期季度报告、中期报告或者年度报告。</w:t>
      </w:r>
    </w:p>
    <w:p>
      <w:pPr>
        <w:tabs>
          <w:tab w:val="left" w:pos="1260"/>
        </w:tabs>
        <w:spacing w:line="360" w:lineRule="auto"/>
        <w:ind w:firstLine="480" w:firstLineChars="200"/>
        <w:rPr>
          <w:rFonts w:ascii="宋体"/>
          <w:sz w:val="24"/>
        </w:rPr>
      </w:pPr>
      <w:r>
        <w:rPr>
          <w:rFonts w:ascii="宋体" w:hAnsi="宋体"/>
          <w:sz w:val="24"/>
        </w:rPr>
        <w:t>基金管理人在月初3个工作日内完成上个月月度报表的编制，以约定方式将有关报表提供基金托管人；基金托管人收到后在2个工作日内进行复核，并将复核结果及时书面或以</w:t>
      </w:r>
      <w:r>
        <w:rPr>
          <w:rFonts w:hint="eastAsia" w:ascii="宋体" w:hAnsi="宋体"/>
          <w:sz w:val="24"/>
        </w:rPr>
        <w:t>电子方式等</w:t>
      </w:r>
      <w:r>
        <w:rPr>
          <w:rFonts w:ascii="宋体" w:hAnsi="宋体"/>
          <w:sz w:val="24"/>
        </w:rPr>
        <w:t>双方约定的其他方式通知基金管理人。对于季度报告、中期报告、年度报告、更新招募说明书、更新基金产品资料概要等，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中国证监会备案。</w:t>
      </w:r>
    </w:p>
    <w:p>
      <w:pPr>
        <w:tabs>
          <w:tab w:val="left" w:pos="1260"/>
        </w:tabs>
        <w:spacing w:line="360" w:lineRule="auto"/>
        <w:ind w:firstLine="480" w:firstLineChars="200"/>
        <w:rPr>
          <w:rFonts w:ascii="宋体"/>
          <w:sz w:val="24"/>
        </w:rPr>
      </w:pPr>
      <w:r>
        <w:rPr>
          <w:rFonts w:ascii="宋体" w:hAnsi="宋体"/>
          <w:sz w:val="24"/>
        </w:rPr>
        <w:t>基金托管人对上述报告复核完毕后，可以出具复核确认书（盖章）或以</w:t>
      </w:r>
      <w:r>
        <w:rPr>
          <w:rFonts w:hint="eastAsia" w:ascii="宋体" w:hAnsi="宋体"/>
          <w:sz w:val="24"/>
        </w:rPr>
        <w:t>电子方式等</w:t>
      </w:r>
      <w:r>
        <w:rPr>
          <w:rFonts w:ascii="宋体" w:hAnsi="宋体"/>
          <w:sz w:val="24"/>
        </w:rPr>
        <w:t>其他双方约定的方式确认，以备有权机构对相关文件审核检查。</w:t>
      </w:r>
      <w:bookmarkStart w:id="69" w:name="_Toc22454461"/>
      <w:bookmarkStart w:id="70" w:name="_Toc523830000"/>
      <w:bookmarkStart w:id="71" w:name="_Toc466788859"/>
      <w:bookmarkStart w:id="72" w:name="_Toc125892445"/>
    </w:p>
    <w:p>
      <w:pPr>
        <w:pStyle w:val="2"/>
        <w:rPr>
          <w:color w:val="auto"/>
        </w:rPr>
      </w:pPr>
      <w:bookmarkStart w:id="73" w:name="_Toc196312619"/>
      <w:r>
        <w:rPr>
          <w:color w:val="auto"/>
        </w:rPr>
        <w:t>九、基金收益分配</w:t>
      </w:r>
      <w:bookmarkEnd w:id="69"/>
      <w:bookmarkEnd w:id="70"/>
      <w:bookmarkEnd w:id="71"/>
      <w:bookmarkEnd w:id="72"/>
      <w:bookmarkEnd w:id="73"/>
    </w:p>
    <w:p>
      <w:pPr>
        <w:tabs>
          <w:tab w:val="left" w:pos="1260"/>
        </w:tabs>
        <w:spacing w:line="360" w:lineRule="auto"/>
        <w:ind w:firstLine="480" w:firstLineChars="200"/>
        <w:rPr>
          <w:rFonts w:ascii="宋体" w:hAnsi="宋体"/>
          <w:sz w:val="24"/>
        </w:rPr>
      </w:pPr>
      <w:r>
        <w:rPr>
          <w:rFonts w:hint="eastAsia" w:ascii="宋体" w:hAnsi="宋体"/>
          <w:sz w:val="24"/>
        </w:rPr>
        <w:t>（一）基金利润的构成</w:t>
      </w:r>
    </w:p>
    <w:p>
      <w:pPr>
        <w:tabs>
          <w:tab w:val="left" w:pos="1260"/>
        </w:tabs>
        <w:spacing w:line="360" w:lineRule="auto"/>
        <w:ind w:firstLine="480" w:firstLineChars="200"/>
        <w:rPr>
          <w:rFonts w:ascii="宋体" w:hAnsi="宋体"/>
          <w:sz w:val="24"/>
        </w:rPr>
      </w:pPr>
      <w:r>
        <w:rPr>
          <w:rFonts w:hint="eastAsia" w:ascii="宋体" w:hAnsi="宋体"/>
          <w:sz w:val="24"/>
        </w:rPr>
        <w:t>基金利润指基金利息收入、投资收益、公允价值变动收益和其他收入扣除相关费用后的余额，基金已实现收益指基金利润减去公允价值变动收益后的余额。</w:t>
      </w:r>
    </w:p>
    <w:p>
      <w:pPr>
        <w:tabs>
          <w:tab w:val="left" w:pos="1260"/>
        </w:tabs>
        <w:spacing w:line="360" w:lineRule="auto"/>
        <w:ind w:firstLine="480" w:firstLineChars="200"/>
        <w:rPr>
          <w:rFonts w:ascii="宋体" w:hAnsi="宋体"/>
          <w:sz w:val="24"/>
        </w:rPr>
      </w:pPr>
      <w:r>
        <w:rPr>
          <w:rFonts w:hint="eastAsia" w:ascii="宋体" w:hAnsi="宋体"/>
          <w:sz w:val="24"/>
        </w:rPr>
        <w:t>（二）基金可供分配利润</w:t>
      </w:r>
    </w:p>
    <w:p>
      <w:pPr>
        <w:tabs>
          <w:tab w:val="left" w:pos="1260"/>
        </w:tabs>
        <w:spacing w:line="360" w:lineRule="auto"/>
        <w:ind w:firstLine="480" w:firstLineChars="200"/>
        <w:rPr>
          <w:rFonts w:ascii="宋体" w:hAnsi="宋体"/>
          <w:sz w:val="24"/>
        </w:rPr>
      </w:pPr>
      <w:r>
        <w:rPr>
          <w:rFonts w:hint="eastAsia" w:ascii="宋体" w:hAnsi="宋体"/>
          <w:sz w:val="24"/>
        </w:rPr>
        <w:t>基金可供分配利润指截至收益分配基准日基金未分配利润与未分配利润中已实现收益的孰低数。</w:t>
      </w:r>
    </w:p>
    <w:p>
      <w:pPr>
        <w:tabs>
          <w:tab w:val="left" w:pos="1260"/>
        </w:tabs>
        <w:spacing w:line="360" w:lineRule="auto"/>
        <w:ind w:firstLine="480" w:firstLineChars="200"/>
        <w:rPr>
          <w:rFonts w:ascii="宋体" w:hAnsi="宋体"/>
          <w:sz w:val="24"/>
        </w:rPr>
      </w:pPr>
      <w:r>
        <w:rPr>
          <w:rFonts w:hint="eastAsia" w:ascii="宋体" w:hAnsi="宋体"/>
          <w:sz w:val="24"/>
        </w:rPr>
        <w:t>（三）基金收益分配原则</w:t>
      </w:r>
    </w:p>
    <w:p>
      <w:pPr>
        <w:tabs>
          <w:tab w:val="left" w:pos="1260"/>
        </w:tabs>
        <w:spacing w:line="360" w:lineRule="auto"/>
        <w:ind w:firstLine="480" w:firstLineChars="200"/>
        <w:rPr>
          <w:rFonts w:ascii="宋体" w:hAnsi="宋体"/>
          <w:sz w:val="24"/>
        </w:rPr>
      </w:pPr>
      <w:r>
        <w:rPr>
          <w:rFonts w:hint="eastAsia" w:ascii="宋体" w:hAnsi="宋体"/>
          <w:sz w:val="24"/>
        </w:rPr>
        <w:t>1、由于本基金A类基金份额不收取销售服务费，C类基金份额收取销售服务费，各基金份额类别对应的可供分配利润将有所不同；</w:t>
      </w:r>
    </w:p>
    <w:p>
      <w:pPr>
        <w:tabs>
          <w:tab w:val="left" w:pos="1260"/>
        </w:tabs>
        <w:spacing w:line="360" w:lineRule="auto"/>
        <w:ind w:firstLine="480" w:firstLineChars="200"/>
        <w:rPr>
          <w:rFonts w:ascii="宋体" w:hAnsi="宋体"/>
          <w:sz w:val="24"/>
        </w:rPr>
      </w:pPr>
      <w:r>
        <w:rPr>
          <w:rFonts w:hint="eastAsia" w:ascii="宋体" w:hAnsi="宋体"/>
          <w:sz w:val="24"/>
        </w:rPr>
        <w:t>2、基金管理人可每季度对基金相对业绩比较基准的超额收益率以及基金的可供分配利润进行评价，在符合收益分配相关规定的前提下，基金管理人可进行收益分配；</w:t>
      </w:r>
    </w:p>
    <w:p>
      <w:pPr>
        <w:tabs>
          <w:tab w:val="left" w:pos="1260"/>
        </w:tabs>
        <w:spacing w:line="360" w:lineRule="auto"/>
        <w:ind w:firstLine="480" w:firstLineChars="200"/>
        <w:rPr>
          <w:rFonts w:ascii="宋体" w:hAnsi="宋体"/>
          <w:sz w:val="24"/>
        </w:rPr>
      </w:pPr>
      <w:r>
        <w:rPr>
          <w:rFonts w:hint="eastAsia" w:ascii="宋体" w:hAnsi="宋体"/>
          <w:sz w:val="24"/>
        </w:rPr>
        <w:t>3、在符合有关基金分红条件的前提下，本基金可每季度进行收益分配，基金管理人也可根据实际情况在其他日期对本基金进行收益分配，具体分配方案以公告为准；若《基金合同》生效不满3个月可不进行收益分配；</w:t>
      </w:r>
    </w:p>
    <w:p>
      <w:pPr>
        <w:tabs>
          <w:tab w:val="left" w:pos="1260"/>
        </w:tabs>
        <w:spacing w:line="360" w:lineRule="auto"/>
        <w:ind w:firstLine="480" w:firstLineChars="200"/>
        <w:rPr>
          <w:rFonts w:ascii="宋体" w:hAnsi="宋体"/>
          <w:sz w:val="24"/>
        </w:rPr>
      </w:pPr>
      <w:r>
        <w:rPr>
          <w:rFonts w:hint="eastAsia" w:ascii="宋体" w:hAnsi="宋体"/>
          <w:sz w:val="24"/>
        </w:rPr>
        <w:t>4、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pPr>
        <w:tabs>
          <w:tab w:val="left" w:pos="1260"/>
        </w:tabs>
        <w:spacing w:line="360" w:lineRule="auto"/>
        <w:ind w:firstLine="480" w:firstLineChars="200"/>
        <w:rPr>
          <w:rFonts w:ascii="宋体" w:hAnsi="宋体"/>
          <w:sz w:val="24"/>
        </w:rPr>
      </w:pPr>
      <w:r>
        <w:rPr>
          <w:rFonts w:hint="eastAsia" w:ascii="宋体" w:hAnsi="宋体"/>
          <w:sz w:val="24"/>
        </w:rPr>
        <w:t>5、本基金同一基金份额类别的每一基金份额享有同等分配权；</w:t>
      </w:r>
    </w:p>
    <w:p>
      <w:pPr>
        <w:tabs>
          <w:tab w:val="left" w:pos="1260"/>
        </w:tabs>
        <w:spacing w:line="360" w:lineRule="auto"/>
        <w:ind w:firstLine="480" w:firstLineChars="200"/>
        <w:rPr>
          <w:rFonts w:ascii="宋体" w:hAnsi="宋体"/>
          <w:sz w:val="24"/>
        </w:rPr>
      </w:pPr>
      <w:r>
        <w:rPr>
          <w:rFonts w:hint="eastAsia" w:ascii="宋体" w:hAnsi="宋体"/>
          <w:sz w:val="24"/>
        </w:rPr>
        <w:t>6、法律法规或监管机关另有规定的，从其规定。</w:t>
      </w:r>
    </w:p>
    <w:p>
      <w:pPr>
        <w:tabs>
          <w:tab w:val="left" w:pos="1260"/>
        </w:tabs>
        <w:spacing w:line="360" w:lineRule="auto"/>
        <w:ind w:firstLine="480" w:firstLineChars="200"/>
        <w:rPr>
          <w:rFonts w:ascii="宋体" w:hAnsi="宋体"/>
          <w:sz w:val="24"/>
        </w:rPr>
      </w:pPr>
      <w:r>
        <w:rPr>
          <w:rFonts w:hint="eastAsia" w:ascii="宋体" w:hAnsi="宋体"/>
          <w:sz w:val="24"/>
        </w:rPr>
        <w:t>基金管理人可在不违反法律法规且对基金份额持有人利益无实质性不利影响的前提下，对上述原则进行修改或调整，而无需召开基金份额持有人大会审议。</w:t>
      </w:r>
    </w:p>
    <w:p>
      <w:pPr>
        <w:tabs>
          <w:tab w:val="left" w:pos="1260"/>
        </w:tabs>
        <w:spacing w:line="360" w:lineRule="auto"/>
        <w:ind w:firstLine="480" w:firstLineChars="200"/>
        <w:rPr>
          <w:rFonts w:ascii="宋体" w:hAnsi="宋体"/>
          <w:sz w:val="24"/>
        </w:rPr>
      </w:pPr>
      <w:r>
        <w:rPr>
          <w:rFonts w:hint="eastAsia" w:ascii="宋体" w:hAnsi="宋体"/>
          <w:sz w:val="24"/>
        </w:rPr>
        <w:t>（四）收益分配方案</w:t>
      </w:r>
    </w:p>
    <w:p>
      <w:pPr>
        <w:tabs>
          <w:tab w:val="left" w:pos="1260"/>
        </w:tabs>
        <w:spacing w:line="360" w:lineRule="auto"/>
        <w:ind w:firstLine="480" w:firstLineChars="200"/>
        <w:rPr>
          <w:rFonts w:ascii="宋体" w:hAnsi="宋体"/>
          <w:sz w:val="24"/>
        </w:rPr>
      </w:pPr>
      <w:r>
        <w:rPr>
          <w:rFonts w:hint="eastAsia" w:ascii="宋体" w:hAnsi="宋体"/>
          <w:sz w:val="24"/>
        </w:rPr>
        <w:t>基金收益分配方案中应载明截止收益分配基准日的可供分配利润、基金收益分配对象、分配时间、分配数额及比例、分配方式等内容。</w:t>
      </w:r>
    </w:p>
    <w:p>
      <w:pPr>
        <w:tabs>
          <w:tab w:val="left" w:pos="1260"/>
        </w:tabs>
        <w:spacing w:line="360" w:lineRule="auto"/>
        <w:ind w:firstLine="480" w:firstLineChars="200"/>
        <w:rPr>
          <w:rFonts w:ascii="宋体" w:hAnsi="宋体"/>
          <w:sz w:val="24"/>
        </w:rPr>
      </w:pPr>
      <w:r>
        <w:rPr>
          <w:rFonts w:hint="eastAsia" w:ascii="宋体" w:hAnsi="宋体"/>
          <w:sz w:val="24"/>
        </w:rPr>
        <w:t>（五）收益分配方案的确定、公告与实施</w:t>
      </w:r>
    </w:p>
    <w:p>
      <w:pPr>
        <w:tabs>
          <w:tab w:val="left" w:pos="1260"/>
        </w:tabs>
        <w:spacing w:line="360" w:lineRule="auto"/>
        <w:ind w:firstLine="480" w:firstLineChars="200"/>
        <w:rPr>
          <w:rFonts w:ascii="宋体" w:hAnsi="宋体"/>
          <w:sz w:val="24"/>
        </w:rPr>
      </w:pPr>
      <w:r>
        <w:rPr>
          <w:rFonts w:hint="eastAsia" w:ascii="宋体" w:hAnsi="宋体"/>
          <w:sz w:val="24"/>
        </w:rPr>
        <w:t>本基金收益分配方案由基金管理人拟定，并由基金托管人复核，依照《信息披露办法》的规定在规定媒介公告。</w:t>
      </w:r>
    </w:p>
    <w:p>
      <w:pPr>
        <w:tabs>
          <w:tab w:val="left" w:pos="1260"/>
        </w:tabs>
        <w:spacing w:line="360" w:lineRule="auto"/>
        <w:ind w:firstLine="480" w:firstLineChars="200"/>
        <w:rPr>
          <w:rFonts w:ascii="宋体" w:hAnsi="宋体"/>
          <w:sz w:val="24"/>
        </w:rPr>
      </w:pPr>
      <w:r>
        <w:rPr>
          <w:rFonts w:hint="eastAsia" w:ascii="宋体" w:hAnsi="宋体"/>
          <w:sz w:val="24"/>
        </w:rPr>
        <w:t>法律法规或监管机关另有规定的，从其规定。</w:t>
      </w:r>
    </w:p>
    <w:p>
      <w:pPr>
        <w:tabs>
          <w:tab w:val="left" w:pos="1260"/>
        </w:tabs>
        <w:spacing w:line="360" w:lineRule="auto"/>
        <w:ind w:firstLine="480" w:firstLineChars="200"/>
        <w:rPr>
          <w:rFonts w:ascii="宋体" w:hAnsi="宋体"/>
          <w:sz w:val="24"/>
        </w:rPr>
      </w:pPr>
      <w:r>
        <w:rPr>
          <w:rFonts w:hint="eastAsia" w:ascii="宋体" w:hAnsi="宋体"/>
          <w:sz w:val="24"/>
        </w:rPr>
        <w:t>（六）基金收益分配中发生的费用</w:t>
      </w:r>
    </w:p>
    <w:p>
      <w:pPr>
        <w:tabs>
          <w:tab w:val="left" w:pos="1260"/>
        </w:tabs>
        <w:spacing w:line="360" w:lineRule="auto"/>
        <w:ind w:firstLine="480" w:firstLineChars="200"/>
        <w:rPr>
          <w:rFonts w:ascii="宋体" w:hAnsi="宋体"/>
          <w:sz w:val="24"/>
        </w:rPr>
      </w:pPr>
      <w:r>
        <w:rPr>
          <w:rFonts w:hint="eastAsia"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tabs>
          <w:tab w:val="left" w:pos="1260"/>
        </w:tabs>
        <w:spacing w:line="360" w:lineRule="auto"/>
        <w:ind w:firstLine="480" w:firstLineChars="200"/>
        <w:rPr>
          <w:rFonts w:ascii="宋体" w:hAnsi="宋体"/>
          <w:sz w:val="24"/>
        </w:rPr>
      </w:pPr>
      <w:r>
        <w:rPr>
          <w:rFonts w:hint="eastAsia" w:ascii="宋体" w:hAnsi="宋体"/>
          <w:sz w:val="24"/>
        </w:rPr>
        <w:t>（七）实施侧袋机制期间的收益分配</w:t>
      </w:r>
    </w:p>
    <w:p>
      <w:pPr>
        <w:tabs>
          <w:tab w:val="left" w:pos="1260"/>
        </w:tabs>
        <w:spacing w:line="360" w:lineRule="auto"/>
        <w:ind w:firstLine="480" w:firstLineChars="200"/>
        <w:rPr>
          <w:rFonts w:ascii="宋体" w:hAnsi="宋体"/>
          <w:sz w:val="24"/>
        </w:rPr>
      </w:pPr>
      <w:r>
        <w:rPr>
          <w:rFonts w:hint="eastAsia" w:ascii="宋体" w:hAnsi="宋体"/>
          <w:sz w:val="24"/>
        </w:rPr>
        <w:t>本基金实施侧袋机制的，侧袋账户不进行收益分配，详见招募说明书的规定。</w:t>
      </w:r>
    </w:p>
    <w:p>
      <w:pPr>
        <w:pStyle w:val="2"/>
        <w:rPr>
          <w:color w:val="auto"/>
        </w:rPr>
      </w:pPr>
      <w:bookmarkStart w:id="74" w:name="_Toc22454465"/>
      <w:bookmarkStart w:id="75" w:name="_Toc196312620"/>
      <w:bookmarkStart w:id="76" w:name="_Toc523830002"/>
      <w:bookmarkStart w:id="77" w:name="_Toc466788861"/>
      <w:bookmarkStart w:id="78" w:name="_Toc125892446"/>
      <w:r>
        <w:rPr>
          <w:color w:val="auto"/>
        </w:rPr>
        <w:t>十、基金信息披露</w:t>
      </w:r>
      <w:bookmarkEnd w:id="74"/>
      <w:bookmarkEnd w:id="75"/>
      <w:bookmarkEnd w:id="76"/>
      <w:bookmarkEnd w:id="77"/>
      <w:bookmarkEnd w:id="78"/>
    </w:p>
    <w:p>
      <w:pPr>
        <w:tabs>
          <w:tab w:val="left" w:pos="3780"/>
        </w:tabs>
        <w:autoSpaceDE w:val="0"/>
        <w:autoSpaceDN w:val="0"/>
        <w:spacing w:before="156" w:after="156" w:line="360" w:lineRule="auto"/>
        <w:outlineLvl w:val="0"/>
        <w:rPr>
          <w:rFonts w:ascii="宋体"/>
          <w:b/>
          <w:bCs/>
          <w:sz w:val="24"/>
        </w:rPr>
      </w:pPr>
      <w:bookmarkStart w:id="79" w:name="_Toc77663026"/>
      <w:bookmarkStart w:id="80" w:name="_Toc22454466"/>
      <w:r>
        <w:rPr>
          <w:rFonts w:ascii="宋体" w:hAnsi="宋体"/>
          <w:b/>
          <w:bCs/>
          <w:sz w:val="24"/>
        </w:rPr>
        <w:t>（一）保密义务</w:t>
      </w:r>
      <w:bookmarkEnd w:id="79"/>
      <w:bookmarkEnd w:id="80"/>
    </w:p>
    <w:p>
      <w:pPr>
        <w:tabs>
          <w:tab w:val="left" w:pos="1260"/>
        </w:tabs>
        <w:spacing w:line="360" w:lineRule="auto"/>
        <w:ind w:firstLine="480" w:firstLineChars="200"/>
        <w:rPr>
          <w:rFonts w:ascii="宋体" w:hAnsi="宋体"/>
          <w:sz w:val="24"/>
        </w:rPr>
      </w:pPr>
      <w:r>
        <w:rPr>
          <w:rFonts w:ascii="宋体" w:hAnsi="宋体"/>
          <w:sz w:val="24"/>
        </w:rPr>
        <w:t>除按照《基金法》、《基金合同》、《信息披露办法》</w:t>
      </w:r>
      <w:r>
        <w:rPr>
          <w:rFonts w:hint="eastAsia" w:ascii="宋体" w:hAnsi="宋体"/>
          <w:sz w:val="24"/>
        </w:rPr>
        <w:t>、《流动性风险管理规定》</w:t>
      </w:r>
      <w:r>
        <w:rPr>
          <w:rFonts w:ascii="宋体" w:hAnsi="宋体"/>
          <w:sz w:val="24"/>
        </w:rPr>
        <w:t>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依法向监管机构、司法机关及审计、法律等外部专业顾问提供的除外。</w:t>
      </w:r>
    </w:p>
    <w:p>
      <w:pPr>
        <w:tabs>
          <w:tab w:val="left" w:pos="1260"/>
        </w:tabs>
        <w:spacing w:line="360" w:lineRule="auto"/>
        <w:ind w:firstLine="480" w:firstLineChars="200"/>
        <w:rPr>
          <w:rFonts w:ascii="宋体"/>
          <w:sz w:val="24"/>
        </w:rPr>
      </w:pPr>
      <w:r>
        <w:rPr>
          <w:rFonts w:ascii="宋体" w:hAnsi="宋体"/>
          <w:sz w:val="24"/>
        </w:rPr>
        <w:t>如下情况不应视为基金管理人或基金托管人违反保密义务：</w:t>
      </w:r>
    </w:p>
    <w:p>
      <w:pPr>
        <w:tabs>
          <w:tab w:val="left" w:pos="1260"/>
        </w:tabs>
        <w:spacing w:line="360" w:lineRule="auto"/>
        <w:ind w:firstLine="480" w:firstLineChars="200"/>
        <w:rPr>
          <w:rFonts w:ascii="宋体"/>
          <w:sz w:val="24"/>
        </w:rPr>
      </w:pPr>
      <w:r>
        <w:rPr>
          <w:rFonts w:ascii="宋体" w:hAnsi="宋体"/>
          <w:sz w:val="24"/>
        </w:rPr>
        <w:t>1.非因基金管理人和基金托管人的原因导致保密信息被披露、泄露或公开；</w:t>
      </w:r>
    </w:p>
    <w:p>
      <w:pPr>
        <w:tabs>
          <w:tab w:val="left" w:pos="1260"/>
        </w:tabs>
        <w:spacing w:line="360" w:lineRule="auto"/>
        <w:ind w:firstLine="480" w:firstLineChars="200"/>
        <w:rPr>
          <w:rFonts w:ascii="宋体"/>
          <w:sz w:val="24"/>
        </w:rPr>
      </w:pPr>
      <w:r>
        <w:rPr>
          <w:rFonts w:ascii="宋体" w:hAnsi="宋体"/>
          <w:sz w:val="24"/>
        </w:rPr>
        <w:t>2.基金管理人和基金托管人为遵守和服从法院判决、仲裁裁决或中国证监会等监管机构的命令决定所做出的信息披露或公开。</w:t>
      </w:r>
      <w:bookmarkStart w:id="81" w:name="_Toc77663027"/>
      <w:bookmarkStart w:id="82" w:name="_Toc22454467"/>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（二）基金管理人和基金托管人在基金信息披露中的职责和信息披露程序</w:t>
      </w:r>
      <w:bookmarkEnd w:id="81"/>
      <w:bookmarkEnd w:id="82"/>
    </w:p>
    <w:p>
      <w:pPr>
        <w:tabs>
          <w:tab w:val="left" w:pos="1260"/>
        </w:tabs>
        <w:spacing w:line="360" w:lineRule="auto"/>
        <w:ind w:firstLine="480" w:firstLineChars="200"/>
        <w:rPr>
          <w:rFonts w:ascii="宋体"/>
          <w:sz w:val="24"/>
        </w:rPr>
      </w:pPr>
      <w:r>
        <w:rPr>
          <w:rFonts w:ascii="宋体" w:hAnsi="宋体"/>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pPr>
        <w:spacing w:line="360" w:lineRule="auto"/>
        <w:ind w:firstLine="480" w:firstLineChars="200"/>
        <w:rPr>
          <w:bCs/>
          <w:sz w:val="24"/>
        </w:rPr>
      </w:pPr>
      <w:r>
        <w:rPr>
          <w:rFonts w:ascii="宋体" w:hAnsi="宋体"/>
          <w:sz w:val="24"/>
        </w:rPr>
        <w:t>本基金信息披露的文件，包括基金招募说明书及其提示性公告、基金合同及其提示性公告、基金托管协议、基金产品资料概要、基金份额发售公告、基金合同生效公告、基金净值信息、基金份额申购、赎回</w:t>
      </w:r>
      <w:r>
        <w:rPr>
          <w:rFonts w:hint="eastAsia" w:ascii="宋体" w:hAnsi="宋体"/>
          <w:sz w:val="24"/>
        </w:rPr>
        <w:t>价格</w:t>
      </w:r>
      <w:r>
        <w:rPr>
          <w:rFonts w:ascii="宋体" w:hAnsi="宋体"/>
          <w:sz w:val="24"/>
        </w:rPr>
        <w:t>、基金定期报告（包括基金年度报告、基金中期报告和基金季度报告）、临时报告、澄清公告、基金份额持有人大会决议、</w:t>
      </w:r>
      <w:r>
        <w:rPr>
          <w:rFonts w:hint="eastAsia" w:ascii="宋体" w:hAnsi="宋体"/>
          <w:sz w:val="24"/>
        </w:rPr>
        <w:t>实施侧袋机制期间的信息披露、</w:t>
      </w:r>
      <w:r>
        <w:rPr>
          <w:rFonts w:ascii="宋体" w:hAnsi="宋体"/>
          <w:sz w:val="24"/>
        </w:rPr>
        <w:t>清算报告</w:t>
      </w:r>
      <w:r>
        <w:rPr>
          <w:rFonts w:hint="eastAsia" w:ascii="宋体" w:hAnsi="宋体"/>
          <w:sz w:val="24"/>
        </w:rPr>
        <w:t>、投资资产支持证券/股指期货/港股通标的股票情况、</w:t>
      </w:r>
      <w:r>
        <w:rPr>
          <w:rFonts w:hint="eastAsia"/>
          <w:bCs/>
          <w:sz w:val="24"/>
        </w:rPr>
        <w:t>参与融资和转融通证券出借业务情况</w:t>
      </w:r>
      <w:r>
        <w:rPr>
          <w:rFonts w:ascii="宋体" w:hAnsi="宋体"/>
          <w:sz w:val="24"/>
        </w:rPr>
        <w:t>及中国证监会规定的其他必要的公告文件，由基金管理人拟定并公布。</w:t>
      </w:r>
    </w:p>
    <w:p>
      <w:pPr>
        <w:tabs>
          <w:tab w:val="left" w:pos="1260"/>
        </w:tabs>
        <w:spacing w:line="360" w:lineRule="auto"/>
        <w:ind w:firstLine="480" w:firstLineChars="200"/>
        <w:rPr>
          <w:rFonts w:ascii="宋体"/>
          <w:sz w:val="24"/>
        </w:rPr>
      </w:pPr>
      <w:r>
        <w:rPr>
          <w:rFonts w:ascii="宋体" w:hAnsi="宋体"/>
          <w:sz w:val="24"/>
        </w:rPr>
        <w:t>基金托管人应按本协议第八</w:t>
      </w:r>
      <w:r>
        <w:rPr>
          <w:rFonts w:hint="eastAsia" w:ascii="宋体" w:hAnsi="宋体"/>
          <w:sz w:val="24"/>
        </w:rPr>
        <w:t>章</w:t>
      </w:r>
      <w:r>
        <w:rPr>
          <w:rFonts w:ascii="宋体" w:hAnsi="宋体"/>
          <w:sz w:val="24"/>
        </w:rPr>
        <w:t>第（六）</w:t>
      </w:r>
      <w:r>
        <w:rPr>
          <w:rFonts w:hint="eastAsia" w:ascii="宋体" w:hAnsi="宋体"/>
          <w:sz w:val="24"/>
        </w:rPr>
        <w:t>条</w:t>
      </w:r>
      <w:r>
        <w:rPr>
          <w:rFonts w:ascii="宋体" w:hAnsi="宋体"/>
          <w:sz w:val="24"/>
        </w:rPr>
        <w:t>的规定对相关报告进行复核。基金年</w:t>
      </w:r>
      <w:r>
        <w:rPr>
          <w:rFonts w:hint="eastAsia" w:ascii="宋体" w:hAnsi="宋体"/>
          <w:sz w:val="24"/>
        </w:rPr>
        <w:t>度</w:t>
      </w:r>
      <w:r>
        <w:rPr>
          <w:rFonts w:ascii="宋体" w:hAnsi="宋体"/>
          <w:sz w:val="24"/>
        </w:rPr>
        <w:t>报</w:t>
      </w:r>
      <w:r>
        <w:rPr>
          <w:rFonts w:hint="eastAsia" w:ascii="宋体" w:hAnsi="宋体"/>
          <w:sz w:val="24"/>
        </w:rPr>
        <w:t>告中的财务会计报告</w:t>
      </w:r>
      <w:r>
        <w:rPr>
          <w:rFonts w:ascii="宋体" w:hAnsi="宋体"/>
          <w:sz w:val="24"/>
        </w:rPr>
        <w:t>应当经过符合《中华人民共和国证券法》规定的会计师事务所审计后方可披露。</w:t>
      </w:r>
    </w:p>
    <w:p>
      <w:pPr>
        <w:tabs>
          <w:tab w:val="left" w:pos="1260"/>
        </w:tabs>
        <w:spacing w:line="360" w:lineRule="auto"/>
        <w:ind w:firstLine="480" w:firstLineChars="200"/>
        <w:rPr>
          <w:rFonts w:ascii="宋体"/>
          <w:sz w:val="24"/>
        </w:rPr>
      </w:pPr>
      <w:r>
        <w:rPr>
          <w:rFonts w:ascii="宋体" w:hAnsi="宋体"/>
          <w:sz w:val="24"/>
        </w:rPr>
        <w:t>本基金的信息披露公告，必须在中国证监会规定媒介发布。</w:t>
      </w:r>
      <w:bookmarkStart w:id="83" w:name="_Toc466788862"/>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（三）暂停或延迟信息披露的情形</w:t>
      </w:r>
    </w:p>
    <w:p>
      <w:pPr>
        <w:pStyle w:val="219"/>
        <w:spacing w:line="360" w:lineRule="auto"/>
        <w:ind w:firstLine="480"/>
        <w:rPr>
          <w:rStyle w:val="222"/>
          <w:rFonts w:ascii="宋体" w:hAnsi="宋体" w:cs="宋体"/>
          <w:sz w:val="24"/>
          <w:szCs w:val="24"/>
        </w:rPr>
      </w:pPr>
      <w:r>
        <w:rPr>
          <w:rStyle w:val="222"/>
          <w:rFonts w:ascii="宋体" w:hAnsi="宋体" w:cs="宋体"/>
          <w:sz w:val="24"/>
          <w:szCs w:val="24"/>
        </w:rPr>
        <w:t>1、基金投资所涉及的证券/期货交易</w:t>
      </w:r>
      <w:r>
        <w:rPr>
          <w:rStyle w:val="222"/>
          <w:rFonts w:hint="eastAsia" w:ascii="宋体" w:hAnsi="宋体" w:cs="宋体"/>
          <w:sz w:val="24"/>
          <w:szCs w:val="24"/>
        </w:rPr>
        <w:t>市场或外汇市场</w:t>
      </w:r>
      <w:r>
        <w:rPr>
          <w:rStyle w:val="222"/>
          <w:rFonts w:ascii="宋体" w:hAnsi="宋体" w:cs="宋体"/>
          <w:sz w:val="24"/>
          <w:szCs w:val="24"/>
        </w:rPr>
        <w:t>遇法定节假日或因其他原因暂停营业时；</w:t>
      </w:r>
    </w:p>
    <w:p>
      <w:pPr>
        <w:pStyle w:val="219"/>
        <w:spacing w:line="360" w:lineRule="auto"/>
        <w:ind w:firstLine="480"/>
        <w:rPr>
          <w:rFonts w:ascii="宋体" w:hAnsi="宋体" w:cs="宋体"/>
          <w:sz w:val="24"/>
          <w:szCs w:val="24"/>
        </w:rPr>
      </w:pPr>
      <w:r>
        <w:rPr>
          <w:rStyle w:val="222"/>
          <w:rFonts w:ascii="宋体" w:hAnsi="宋体" w:cs="宋体"/>
          <w:sz w:val="24"/>
          <w:szCs w:val="24"/>
        </w:rPr>
        <w:t>2、</w:t>
      </w:r>
      <w:r>
        <w:rPr>
          <w:rFonts w:ascii="宋体" w:hAnsi="宋体" w:cs="宋体"/>
          <w:sz w:val="24"/>
          <w:szCs w:val="24"/>
        </w:rPr>
        <w:t>因不可抗力或其他情形致使基金管理人、基金托管人无法准确评估基金资产价值时；</w:t>
      </w:r>
    </w:p>
    <w:p>
      <w:pPr>
        <w:pStyle w:val="219"/>
        <w:spacing w:line="360" w:lineRule="auto"/>
        <w:ind w:firstLine="480"/>
        <w:rPr>
          <w:rFonts w:ascii="宋体" w:hAnsi="宋体" w:cs="宋体"/>
          <w:sz w:val="24"/>
          <w:szCs w:val="24"/>
        </w:rPr>
      </w:pPr>
      <w:r>
        <w:rPr>
          <w:rStyle w:val="222"/>
          <w:rFonts w:ascii="宋体" w:hAnsi="宋体" w:cs="宋体"/>
          <w:sz w:val="24"/>
          <w:szCs w:val="24"/>
        </w:rPr>
        <w:t>3、</w:t>
      </w:r>
      <w:r>
        <w:rPr>
          <w:rFonts w:ascii="宋体" w:hAnsi="宋体" w:cs="宋体"/>
          <w:sz w:val="24"/>
          <w:szCs w:val="24"/>
        </w:rPr>
        <w:t>当</w:t>
      </w:r>
      <w:r>
        <w:rPr>
          <w:rFonts w:hint="eastAsia" w:ascii="宋体" w:hAnsi="宋体" w:cs="宋体"/>
          <w:sz w:val="24"/>
          <w:szCs w:val="24"/>
        </w:rPr>
        <w:t>特定资产占</w:t>
      </w:r>
      <w:r>
        <w:rPr>
          <w:rFonts w:ascii="宋体" w:hAnsi="宋体" w:cs="宋体"/>
          <w:sz w:val="24"/>
          <w:szCs w:val="24"/>
        </w:rPr>
        <w:t>前一估值日基金资产净值50%以上的</w:t>
      </w:r>
      <w:r>
        <w:rPr>
          <w:rFonts w:hint="eastAsia" w:ascii="宋体" w:hAnsi="宋体" w:cs="宋体"/>
          <w:sz w:val="24"/>
          <w:szCs w:val="24"/>
        </w:rPr>
        <w:t>，</w:t>
      </w:r>
      <w:r>
        <w:rPr>
          <w:rFonts w:ascii="宋体" w:hAnsi="宋体" w:cs="宋体"/>
          <w:sz w:val="24"/>
          <w:szCs w:val="24"/>
        </w:rPr>
        <w:t>经与基金托管人协商确认后，基金管理人应当暂停估值时；</w:t>
      </w:r>
    </w:p>
    <w:p>
      <w:pPr>
        <w:pStyle w:val="219"/>
        <w:spacing w:line="360" w:lineRule="auto"/>
        <w:ind w:firstLine="480"/>
        <w:rPr>
          <w:rFonts w:ascii="宋体" w:hAnsi="宋体" w:cs="宋体"/>
          <w:sz w:val="24"/>
          <w:szCs w:val="24"/>
        </w:rPr>
      </w:pPr>
      <w:r>
        <w:rPr>
          <w:rStyle w:val="222"/>
          <w:rFonts w:ascii="宋体" w:hAnsi="宋体" w:cs="宋体"/>
          <w:sz w:val="24"/>
          <w:szCs w:val="24"/>
        </w:rPr>
        <w:t>4、</w:t>
      </w:r>
      <w:r>
        <w:rPr>
          <w:rFonts w:ascii="宋体" w:hAnsi="宋体" w:cs="宋体"/>
          <w:sz w:val="24"/>
          <w:szCs w:val="24"/>
        </w:rPr>
        <w:t>法律法规规定、中国证监会或《基金合同》认定的其他情形。</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（四）基金托管人报告</w:t>
      </w:r>
    </w:p>
    <w:p>
      <w:pPr>
        <w:tabs>
          <w:tab w:val="left" w:pos="1260"/>
        </w:tabs>
        <w:spacing w:line="360" w:lineRule="auto"/>
        <w:ind w:firstLine="480" w:firstLineChars="200"/>
        <w:rPr>
          <w:rFonts w:ascii="宋体"/>
          <w:sz w:val="24"/>
        </w:rPr>
      </w:pPr>
      <w:r>
        <w:rPr>
          <w:rFonts w:ascii="宋体" w:hAnsi="宋体"/>
          <w:sz w:val="24"/>
        </w:rPr>
        <w:t>基金托管人应按《基金法》和中国证监会的有关规定出具基金托管情况报告。基金托管人报告说明该半年度/年度基金托管人和基金管理人履行《基金合同》的情况，是基金中期报告和年度报告的组成部分。</w:t>
      </w:r>
      <w:bookmarkStart w:id="84" w:name="_Toc125892447"/>
    </w:p>
    <w:p>
      <w:pPr>
        <w:pStyle w:val="2"/>
        <w:rPr>
          <w:color w:val="auto"/>
        </w:rPr>
      </w:pPr>
      <w:bookmarkStart w:id="85" w:name="_Toc196312621"/>
      <w:r>
        <w:rPr>
          <w:color w:val="auto"/>
        </w:rPr>
        <w:t>十一、基金费用</w:t>
      </w:r>
      <w:bookmarkEnd w:id="84"/>
      <w:bookmarkEnd w:id="85"/>
    </w:p>
    <w:p>
      <w:pPr>
        <w:tabs>
          <w:tab w:val="left" w:pos="1260"/>
        </w:tabs>
        <w:spacing w:line="360" w:lineRule="auto"/>
        <w:ind w:firstLine="480" w:firstLineChars="200"/>
        <w:rPr>
          <w:rFonts w:ascii="宋体"/>
          <w:b/>
          <w:sz w:val="24"/>
        </w:rPr>
      </w:pPr>
      <w:r>
        <w:rPr>
          <w:rFonts w:ascii="宋体" w:hAnsi="宋体"/>
          <w:b/>
          <w:sz w:val="24"/>
        </w:rPr>
        <w:t>（一）基金管理人的管理费</w:t>
      </w:r>
    </w:p>
    <w:p>
      <w:pPr>
        <w:tabs>
          <w:tab w:val="left" w:pos="1260"/>
        </w:tabs>
        <w:spacing w:line="360" w:lineRule="auto"/>
        <w:ind w:firstLine="480" w:firstLineChars="200"/>
        <w:rPr>
          <w:rFonts w:ascii="宋体" w:hAnsi="宋体"/>
          <w:sz w:val="24"/>
        </w:rPr>
      </w:pPr>
      <w:r>
        <w:rPr>
          <w:rFonts w:ascii="宋体" w:hAnsi="宋体"/>
          <w:sz w:val="24"/>
        </w:rPr>
        <w:t>本基金的管理费率为年费率</w:t>
      </w:r>
      <w:r>
        <w:rPr>
          <w:rFonts w:hint="eastAsia" w:ascii="宋体" w:hAnsi="宋体"/>
          <w:sz w:val="24"/>
        </w:rPr>
        <w:t>0</w:t>
      </w:r>
      <w:r>
        <w:rPr>
          <w:rFonts w:ascii="宋体" w:hAnsi="宋体"/>
          <w:sz w:val="24"/>
        </w:rPr>
        <w:t>.5%。</w:t>
      </w:r>
    </w:p>
    <w:p>
      <w:pPr>
        <w:tabs>
          <w:tab w:val="left" w:pos="1260"/>
        </w:tabs>
        <w:spacing w:line="360" w:lineRule="auto"/>
        <w:ind w:firstLine="480" w:firstLineChars="200"/>
        <w:rPr>
          <w:rFonts w:ascii="宋体"/>
          <w:sz w:val="24"/>
        </w:rPr>
      </w:pPr>
      <w:r>
        <w:rPr>
          <w:rFonts w:ascii="宋体" w:hAnsi="宋体"/>
          <w:sz w:val="24"/>
        </w:rPr>
        <w:t>基金管理费按前一日基金资产净值的年费率计提。计算方法如下：</w:t>
      </w:r>
    </w:p>
    <w:p>
      <w:pPr>
        <w:spacing w:line="360" w:lineRule="auto"/>
        <w:ind w:firstLine="480" w:firstLineChars="200"/>
        <w:rPr>
          <w:sz w:val="24"/>
        </w:rPr>
      </w:pPr>
      <w:r>
        <w:rPr>
          <w:sz w:val="24"/>
        </w:rPr>
        <w:t>H＝E×年管理费率÷当年天数</w:t>
      </w:r>
    </w:p>
    <w:p>
      <w:pPr>
        <w:spacing w:line="360" w:lineRule="auto"/>
        <w:ind w:firstLine="480" w:firstLineChars="200"/>
        <w:rPr>
          <w:sz w:val="24"/>
        </w:rPr>
      </w:pPr>
      <w:r>
        <w:rPr>
          <w:sz w:val="24"/>
        </w:rPr>
        <w:t>H为每日应计提的基金管理费</w:t>
      </w:r>
    </w:p>
    <w:p>
      <w:pPr>
        <w:spacing w:line="360" w:lineRule="auto"/>
        <w:ind w:firstLine="480" w:firstLineChars="200"/>
        <w:rPr>
          <w:sz w:val="24"/>
        </w:rPr>
      </w:pPr>
      <w:r>
        <w:rPr>
          <w:sz w:val="24"/>
        </w:rPr>
        <w:t>E为前一日基金资产净值</w:t>
      </w:r>
    </w:p>
    <w:p>
      <w:pPr>
        <w:spacing w:line="360" w:lineRule="auto"/>
        <w:ind w:firstLine="480" w:firstLineChars="200"/>
        <w:rPr>
          <w:bCs/>
          <w:sz w:val="24"/>
        </w:rPr>
      </w:pPr>
      <w:bookmarkStart w:id="86" w:name="_Hlk181868896"/>
      <w:r>
        <w:rPr>
          <w:rFonts w:hint="eastAsia"/>
          <w:bCs/>
          <w:sz w:val="24"/>
        </w:rPr>
        <w:t>基金管理费每日计提，逐日累计至每月月末，按月支付。由基金管理人向基金托管人发送基金管理费划款指令，基金托管人复核后于次月首日起5个工作日内从基金财产中一次性支付给基金管理人。若遇法定节假日、休息日或不可抗力致使无法按时支付的，</w:t>
      </w:r>
      <w:r>
        <w:rPr>
          <w:bCs/>
          <w:sz w:val="24"/>
        </w:rPr>
        <w:t>顺延至最近可支付日支付</w:t>
      </w:r>
      <w:r>
        <w:rPr>
          <w:rFonts w:hint="eastAsia"/>
          <w:bCs/>
          <w:sz w:val="24"/>
        </w:rPr>
        <w:t>。</w:t>
      </w:r>
    </w:p>
    <w:bookmarkEnd w:id="86"/>
    <w:p>
      <w:pPr>
        <w:tabs>
          <w:tab w:val="left" w:pos="1260"/>
        </w:tabs>
        <w:spacing w:line="360" w:lineRule="auto"/>
        <w:ind w:firstLine="480" w:firstLineChars="200"/>
        <w:rPr>
          <w:rFonts w:ascii="宋体"/>
          <w:b/>
          <w:sz w:val="24"/>
        </w:rPr>
      </w:pPr>
      <w:r>
        <w:rPr>
          <w:rFonts w:ascii="宋体" w:hAnsi="宋体"/>
          <w:b/>
          <w:sz w:val="24"/>
        </w:rPr>
        <w:t>（二）基金托管人的托管费</w:t>
      </w:r>
    </w:p>
    <w:p>
      <w:pPr>
        <w:tabs>
          <w:tab w:val="left" w:pos="1260"/>
        </w:tabs>
        <w:spacing w:line="360" w:lineRule="auto"/>
        <w:ind w:firstLine="480" w:firstLineChars="200"/>
        <w:rPr>
          <w:rFonts w:ascii="宋体"/>
          <w:sz w:val="24"/>
        </w:rPr>
      </w:pPr>
      <w:r>
        <w:rPr>
          <w:rFonts w:ascii="宋体" w:hAnsi="宋体"/>
          <w:sz w:val="24"/>
        </w:rPr>
        <w:t>本基金的托管费率为年费率</w:t>
      </w:r>
      <w:r>
        <w:rPr>
          <w:rFonts w:hint="eastAsia" w:ascii="宋体" w:hAnsi="宋体"/>
          <w:sz w:val="24"/>
        </w:rPr>
        <w:t>0</w:t>
      </w:r>
      <w:r>
        <w:rPr>
          <w:rFonts w:ascii="宋体" w:hAnsi="宋体"/>
          <w:sz w:val="24"/>
        </w:rPr>
        <w:t>.1%。</w:t>
      </w:r>
    </w:p>
    <w:p>
      <w:pPr>
        <w:tabs>
          <w:tab w:val="left" w:pos="1260"/>
        </w:tabs>
        <w:spacing w:line="360" w:lineRule="auto"/>
        <w:ind w:firstLine="480" w:firstLineChars="200"/>
        <w:rPr>
          <w:rFonts w:ascii="宋体"/>
          <w:sz w:val="24"/>
        </w:rPr>
      </w:pPr>
      <w:r>
        <w:rPr>
          <w:rFonts w:ascii="宋体" w:hAnsi="宋体"/>
          <w:sz w:val="24"/>
        </w:rPr>
        <w:t>基金托管费按前一日基金资产净值的年费率计提。计算方法如下：</w:t>
      </w:r>
    </w:p>
    <w:p>
      <w:pPr>
        <w:spacing w:line="360" w:lineRule="auto"/>
        <w:ind w:firstLine="424" w:firstLineChars="177"/>
        <w:rPr>
          <w:sz w:val="24"/>
        </w:rPr>
      </w:pPr>
      <w:r>
        <w:rPr>
          <w:sz w:val="24"/>
        </w:rPr>
        <w:t>H=E×年托管费率÷当年天数</w:t>
      </w:r>
    </w:p>
    <w:p>
      <w:pPr>
        <w:spacing w:line="360" w:lineRule="auto"/>
        <w:ind w:firstLine="424" w:firstLineChars="177"/>
        <w:rPr>
          <w:sz w:val="24"/>
        </w:rPr>
      </w:pPr>
      <w:r>
        <w:rPr>
          <w:sz w:val="24"/>
        </w:rPr>
        <w:t>H为每日应计提的基金托管费</w:t>
      </w:r>
    </w:p>
    <w:p>
      <w:pPr>
        <w:spacing w:line="360" w:lineRule="auto"/>
        <w:ind w:firstLine="424" w:firstLineChars="177"/>
        <w:rPr>
          <w:sz w:val="24"/>
        </w:rPr>
      </w:pPr>
      <w:r>
        <w:rPr>
          <w:sz w:val="24"/>
        </w:rPr>
        <w:t>E为前一日基金资产净值</w:t>
      </w:r>
    </w:p>
    <w:p>
      <w:pPr>
        <w:spacing w:line="360" w:lineRule="auto"/>
        <w:ind w:firstLine="480" w:firstLineChars="200"/>
        <w:rPr>
          <w:bCs/>
          <w:sz w:val="24"/>
        </w:rPr>
      </w:pPr>
      <w:bookmarkStart w:id="87" w:name="_Hlk181868915"/>
      <w:r>
        <w:rPr>
          <w:rFonts w:hint="eastAsia"/>
          <w:bCs/>
          <w:sz w:val="24"/>
        </w:rPr>
        <w:t>基金托管费每日计提，逐日累计至每月月末，按月支付。由基金管理人向基金托管人发送基金托管费划款指令，基金托管人复核后于次月首日起5个工作日内从基金财产中一次性支付给基金托管人。若遇法定节假日、休息日或不可抗力致使无法按时支付的，</w:t>
      </w:r>
      <w:r>
        <w:rPr>
          <w:bCs/>
          <w:sz w:val="24"/>
        </w:rPr>
        <w:t>顺延至最近可支付日支付</w:t>
      </w:r>
      <w:r>
        <w:rPr>
          <w:rFonts w:hint="eastAsia"/>
          <w:bCs/>
          <w:sz w:val="24"/>
        </w:rPr>
        <w:t>。</w:t>
      </w:r>
    </w:p>
    <w:bookmarkEnd w:id="87"/>
    <w:p>
      <w:pPr>
        <w:autoSpaceDE w:val="0"/>
        <w:autoSpaceDN w:val="0"/>
        <w:spacing w:line="360" w:lineRule="auto"/>
        <w:ind w:firstLine="480" w:firstLineChars="200"/>
        <w:rPr>
          <w:rFonts w:ascii="宋体" w:hAnsi="宋体"/>
          <w:b/>
          <w:sz w:val="24"/>
        </w:rPr>
      </w:pPr>
      <w:r>
        <w:rPr>
          <w:rFonts w:ascii="宋体" w:hAnsi="宋体"/>
          <w:b/>
          <w:sz w:val="24"/>
        </w:rPr>
        <w:t>（三）</w:t>
      </w:r>
      <w:r>
        <w:rPr>
          <w:rFonts w:hint="eastAsia" w:ascii="宋体" w:hAnsi="宋体"/>
          <w:b/>
          <w:sz w:val="24"/>
        </w:rPr>
        <w:t>C类基金份额的销售服务费</w:t>
      </w:r>
    </w:p>
    <w:p>
      <w:pPr>
        <w:autoSpaceDE w:val="0"/>
        <w:autoSpaceDN w:val="0"/>
        <w:spacing w:line="360" w:lineRule="auto"/>
        <w:ind w:firstLine="480" w:firstLineChars="200"/>
        <w:rPr>
          <w:rFonts w:ascii="宋体" w:hAnsi="宋体"/>
          <w:sz w:val="24"/>
        </w:rPr>
      </w:pPr>
      <w:r>
        <w:rPr>
          <w:rFonts w:hint="eastAsia" w:ascii="宋体" w:hAnsi="宋体"/>
          <w:sz w:val="24"/>
        </w:rPr>
        <w:t>本基金</w:t>
      </w:r>
      <w:r>
        <w:rPr>
          <w:rFonts w:ascii="宋体" w:hAnsi="宋体"/>
          <w:sz w:val="24"/>
        </w:rPr>
        <w:t>A类基金份额不收取销售服务费，C类基金份额的销售服务费按前一日C类基金份额的资产净值的0.25%年费率计提。销售服务费的计算方法如下：</w:t>
      </w:r>
    </w:p>
    <w:p>
      <w:pPr>
        <w:autoSpaceDE w:val="0"/>
        <w:autoSpaceDN w:val="0"/>
        <w:spacing w:line="360" w:lineRule="auto"/>
        <w:ind w:firstLine="480" w:firstLineChars="200"/>
        <w:rPr>
          <w:rFonts w:ascii="宋体" w:hAnsi="宋体"/>
          <w:sz w:val="24"/>
        </w:rPr>
      </w:pPr>
      <w:r>
        <w:rPr>
          <w:rFonts w:ascii="宋体" w:hAnsi="宋体"/>
          <w:sz w:val="24"/>
        </w:rPr>
        <w:t>H＝E×0.25%÷当年天数</w:t>
      </w:r>
    </w:p>
    <w:p>
      <w:pPr>
        <w:autoSpaceDE w:val="0"/>
        <w:autoSpaceDN w:val="0"/>
        <w:spacing w:line="360" w:lineRule="auto"/>
        <w:ind w:firstLine="480" w:firstLineChars="200"/>
        <w:rPr>
          <w:rFonts w:ascii="宋体" w:hAnsi="宋体"/>
          <w:sz w:val="24"/>
        </w:rPr>
      </w:pPr>
      <w:r>
        <w:rPr>
          <w:rFonts w:ascii="宋体" w:hAnsi="宋体"/>
          <w:sz w:val="24"/>
        </w:rPr>
        <w:t>H为C类基金份额每日应计提的销售服务费</w:t>
      </w:r>
    </w:p>
    <w:p>
      <w:pPr>
        <w:autoSpaceDE w:val="0"/>
        <w:autoSpaceDN w:val="0"/>
        <w:spacing w:line="360" w:lineRule="auto"/>
        <w:ind w:firstLine="480" w:firstLineChars="200"/>
        <w:rPr>
          <w:rFonts w:ascii="宋体" w:hAnsi="宋体"/>
          <w:sz w:val="24"/>
        </w:rPr>
      </w:pPr>
      <w:r>
        <w:rPr>
          <w:rFonts w:ascii="宋体" w:hAnsi="宋体"/>
          <w:sz w:val="24"/>
        </w:rPr>
        <w:t>E为C类基金份额前一日基金资产净值</w:t>
      </w:r>
    </w:p>
    <w:p>
      <w:pPr>
        <w:spacing w:line="360" w:lineRule="auto"/>
        <w:ind w:firstLine="480" w:firstLineChars="200"/>
        <w:rPr>
          <w:bCs/>
          <w:sz w:val="24"/>
        </w:rPr>
      </w:pPr>
      <w:r>
        <w:rPr>
          <w:rFonts w:hint="eastAsia"/>
          <w:bCs/>
          <w:sz w:val="24"/>
        </w:rPr>
        <w:t>C类基金份额销售服务费每日计提，逐日累计至每月月末，按月支付。由基金管理人向基金托管人发送销售服务费划付指令，经基金托管人复核后于次月首日起</w:t>
      </w:r>
      <w:r>
        <w:rPr>
          <w:bCs/>
          <w:sz w:val="24"/>
        </w:rPr>
        <w:t>5</w:t>
      </w:r>
      <w:r>
        <w:rPr>
          <w:rFonts w:hint="eastAsia"/>
          <w:bCs/>
          <w:sz w:val="24"/>
        </w:rPr>
        <w:t>个工作日内从基金财产中一次性支付给基金管理人，由基金管理人代付给销售机构。若遇法定节假日、休息日或不可抗力致使无法按时支付的，</w:t>
      </w:r>
      <w:r>
        <w:rPr>
          <w:bCs/>
          <w:sz w:val="24"/>
        </w:rPr>
        <w:t>顺延至最近可支付日支付</w:t>
      </w:r>
      <w:r>
        <w:rPr>
          <w:rFonts w:hint="eastAsia"/>
          <w:bCs/>
          <w:sz w:val="24"/>
        </w:rPr>
        <w:t>。</w:t>
      </w:r>
    </w:p>
    <w:p>
      <w:pPr>
        <w:autoSpaceDE w:val="0"/>
        <w:autoSpaceDN w:val="0"/>
        <w:spacing w:line="360" w:lineRule="auto"/>
        <w:ind w:firstLine="480" w:firstLineChars="200"/>
        <w:rPr>
          <w:rFonts w:ascii="宋体" w:hAnsi="宋体"/>
          <w:sz w:val="24"/>
        </w:rPr>
      </w:pPr>
      <w:r>
        <w:rPr>
          <w:rFonts w:ascii="宋体" w:hAnsi="宋体"/>
          <w:sz w:val="24"/>
        </w:rPr>
        <w:t>C类基金份额的销售服务费将专门用于本基金的推广、销售与基金份额持有人服务。</w:t>
      </w:r>
    </w:p>
    <w:p>
      <w:pPr>
        <w:autoSpaceDE w:val="0"/>
        <w:autoSpaceDN w:val="0"/>
        <w:spacing w:line="360" w:lineRule="auto"/>
        <w:ind w:firstLine="480" w:firstLineChars="200"/>
        <w:rPr>
          <w:rFonts w:ascii="宋体" w:hAnsi="宋体"/>
          <w:sz w:val="24"/>
        </w:rPr>
      </w:pPr>
      <w:r>
        <w:rPr>
          <w:rFonts w:hint="eastAsia" w:ascii="宋体" w:hAnsi="宋体"/>
          <w:b/>
          <w:sz w:val="24"/>
        </w:rPr>
        <w:t>（四）</w:t>
      </w:r>
      <w:r>
        <w:rPr>
          <w:rFonts w:ascii="宋体" w:hAnsi="宋体"/>
          <w:sz w:val="24"/>
        </w:rPr>
        <w:t>从基金资产中列支基金管理人的管理费、基金托管人的托管费</w:t>
      </w:r>
      <w:r>
        <w:rPr>
          <w:rFonts w:hint="eastAsia" w:ascii="宋体" w:hAnsi="宋体"/>
          <w:sz w:val="24"/>
        </w:rPr>
        <w:t>、销售服务费</w:t>
      </w:r>
      <w:r>
        <w:rPr>
          <w:rFonts w:ascii="宋体" w:hAnsi="宋体"/>
          <w:sz w:val="24"/>
        </w:rPr>
        <w:t>之外的其他基金费用，应当依据有关法律法规、《基金合同》的规定。</w:t>
      </w:r>
    </w:p>
    <w:p>
      <w:pPr>
        <w:autoSpaceDE w:val="0"/>
        <w:autoSpaceDN w:val="0"/>
        <w:spacing w:line="360" w:lineRule="auto"/>
        <w:ind w:firstLine="480" w:firstLineChars="200"/>
        <w:rPr>
          <w:rFonts w:ascii="宋体" w:hAnsi="宋体"/>
          <w:sz w:val="24"/>
        </w:rPr>
      </w:pPr>
      <w:r>
        <w:rPr>
          <w:rFonts w:ascii="宋体" w:hAnsi="宋体"/>
          <w:sz w:val="24"/>
        </w:rPr>
        <w:t>下列费用不列入基金费用：</w:t>
      </w:r>
    </w:p>
    <w:p>
      <w:pPr>
        <w:autoSpaceDE w:val="0"/>
        <w:autoSpaceDN w:val="0"/>
        <w:spacing w:line="360" w:lineRule="auto"/>
        <w:ind w:firstLine="480" w:firstLineChars="200"/>
        <w:rPr>
          <w:rFonts w:ascii="宋体" w:hAnsi="宋体"/>
          <w:sz w:val="24"/>
        </w:rPr>
      </w:pPr>
      <w:r>
        <w:rPr>
          <w:rFonts w:hint="eastAsia" w:ascii="宋体" w:hAnsi="宋体"/>
          <w:sz w:val="24"/>
        </w:rPr>
        <w:t>1、基金管理人和基金托管人因未履行或未完全履行义务导致的费用支出或基金财产的损失；</w:t>
      </w:r>
    </w:p>
    <w:p>
      <w:pPr>
        <w:autoSpaceDE w:val="0"/>
        <w:autoSpaceDN w:val="0"/>
        <w:spacing w:line="360" w:lineRule="auto"/>
        <w:ind w:firstLine="480" w:firstLineChars="200"/>
        <w:rPr>
          <w:rFonts w:ascii="宋体" w:hAnsi="宋体"/>
          <w:sz w:val="24"/>
        </w:rPr>
      </w:pPr>
      <w:r>
        <w:rPr>
          <w:rFonts w:hint="eastAsia" w:ascii="宋体" w:hAnsi="宋体"/>
          <w:sz w:val="24"/>
        </w:rPr>
        <w:t>2、基金管理人和基金托管人处理与基金运作无关的事项发生的费用；</w:t>
      </w:r>
    </w:p>
    <w:p>
      <w:pPr>
        <w:autoSpaceDE w:val="0"/>
        <w:autoSpaceDN w:val="0"/>
        <w:spacing w:line="360" w:lineRule="auto"/>
        <w:ind w:firstLine="480" w:firstLineChars="200"/>
        <w:rPr>
          <w:rFonts w:ascii="宋体" w:hAnsi="宋体"/>
          <w:sz w:val="24"/>
        </w:rPr>
      </w:pPr>
      <w:r>
        <w:rPr>
          <w:rFonts w:hint="eastAsia" w:ascii="宋体" w:hAnsi="宋体"/>
          <w:sz w:val="24"/>
        </w:rPr>
        <w:t>3、《基金合同》生效前的相关费用；</w:t>
      </w:r>
    </w:p>
    <w:p>
      <w:pPr>
        <w:autoSpaceDE w:val="0"/>
        <w:autoSpaceDN w:val="0"/>
        <w:spacing w:line="360" w:lineRule="auto"/>
        <w:ind w:firstLine="480" w:firstLineChars="200"/>
        <w:rPr>
          <w:rFonts w:ascii="宋体" w:hAnsi="宋体"/>
          <w:sz w:val="24"/>
        </w:rPr>
      </w:pPr>
      <w:r>
        <w:rPr>
          <w:rFonts w:hint="eastAsia" w:ascii="宋体" w:hAnsi="宋体"/>
          <w:sz w:val="24"/>
        </w:rPr>
        <w:t>4、标的指数许可使用费（由基金管理人承担）；</w:t>
      </w:r>
    </w:p>
    <w:p>
      <w:pPr>
        <w:autoSpaceDE w:val="0"/>
        <w:autoSpaceDN w:val="0"/>
        <w:spacing w:line="360" w:lineRule="auto"/>
        <w:ind w:firstLine="480" w:firstLineChars="200"/>
        <w:rPr>
          <w:rFonts w:ascii="宋体" w:hAnsi="宋体"/>
          <w:sz w:val="24"/>
        </w:rPr>
      </w:pPr>
      <w:r>
        <w:rPr>
          <w:rFonts w:hint="eastAsia" w:ascii="宋体" w:hAnsi="宋体"/>
          <w:sz w:val="24"/>
        </w:rPr>
        <w:t>5、其他根据相关法律法规及中国证监会的有关规定不得列入基金费用的项目。</w:t>
      </w:r>
    </w:p>
    <w:p>
      <w:pPr>
        <w:autoSpaceDE w:val="0"/>
        <w:autoSpaceDN w:val="0"/>
        <w:spacing w:line="360" w:lineRule="auto"/>
        <w:ind w:firstLine="480" w:firstLineChars="200"/>
        <w:rPr>
          <w:rFonts w:ascii="宋体" w:hAnsi="宋体"/>
          <w:sz w:val="24"/>
        </w:rPr>
      </w:pPr>
      <w:r>
        <w:rPr>
          <w:rFonts w:ascii="宋体" w:hAnsi="宋体"/>
          <w:sz w:val="24"/>
        </w:rPr>
        <w:t>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pPr>
        <w:pStyle w:val="2"/>
        <w:rPr>
          <w:color w:val="auto"/>
        </w:rPr>
      </w:pPr>
      <w:bookmarkStart w:id="88" w:name="_Toc196312622"/>
      <w:bookmarkStart w:id="89" w:name="_Toc125892448"/>
      <w:r>
        <w:rPr>
          <w:color w:val="auto"/>
        </w:rPr>
        <w:t>十二、基金份额持有人名册的保管</w:t>
      </w:r>
      <w:bookmarkEnd w:id="88"/>
      <w:bookmarkEnd w:id="89"/>
    </w:p>
    <w:p>
      <w:pPr>
        <w:tabs>
          <w:tab w:val="left" w:pos="1260"/>
        </w:tabs>
        <w:spacing w:line="360" w:lineRule="auto"/>
        <w:ind w:firstLine="480" w:firstLineChars="200"/>
        <w:rPr>
          <w:rFonts w:ascii="宋体" w:hAnsi="宋体"/>
          <w:sz w:val="24"/>
        </w:rPr>
      </w:pPr>
      <w:bookmarkStart w:id="90" w:name="_Toc125892449"/>
      <w:bookmarkStart w:id="91" w:name="_Toc22454468"/>
      <w:bookmarkStart w:id="92" w:name="_Toc523830003"/>
      <w:r>
        <w:rPr>
          <w:rFonts w:ascii="宋体" w:hAnsi="宋体"/>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低于法律法规规定的最低期限。如不能妥善保管，则按相关法规承担责任。</w:t>
      </w:r>
    </w:p>
    <w:p>
      <w:pPr>
        <w:tabs>
          <w:tab w:val="left" w:pos="1260"/>
        </w:tabs>
        <w:spacing w:line="360" w:lineRule="auto"/>
        <w:ind w:firstLine="480" w:firstLineChars="200"/>
        <w:rPr>
          <w:rFonts w:ascii="宋体"/>
          <w:sz w:val="24"/>
        </w:rPr>
      </w:pPr>
      <w:r>
        <w:rPr>
          <w:rFonts w:ascii="宋体" w:hAnsi="宋体"/>
          <w:sz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pPr>
        <w:pStyle w:val="2"/>
        <w:rPr>
          <w:color w:val="auto"/>
        </w:rPr>
      </w:pPr>
      <w:bookmarkStart w:id="93" w:name="_Toc196312623"/>
      <w:r>
        <w:rPr>
          <w:color w:val="auto"/>
        </w:rPr>
        <w:t>十三、基金有关文件档案的保存</w:t>
      </w:r>
      <w:bookmarkEnd w:id="83"/>
      <w:bookmarkEnd w:id="90"/>
      <w:bookmarkEnd w:id="91"/>
      <w:bookmarkEnd w:id="92"/>
      <w:bookmarkEnd w:id="93"/>
    </w:p>
    <w:p>
      <w:pPr>
        <w:tabs>
          <w:tab w:val="left" w:pos="1260"/>
        </w:tabs>
        <w:spacing w:line="360" w:lineRule="auto"/>
        <w:ind w:firstLine="480" w:firstLineChars="200"/>
        <w:rPr>
          <w:rFonts w:ascii="宋体"/>
          <w:sz w:val="24"/>
        </w:rPr>
      </w:pPr>
      <w:r>
        <w:rPr>
          <w:rFonts w:ascii="宋体" w:hAnsi="宋体"/>
          <w:sz w:val="24"/>
        </w:rPr>
        <w:t>基金管理人应保存基金财产管理业务活动的记录、账册、报表和其他相关资料，基金托管人应保存基金托管业务活动的记录、账册、报表和其他相关资料。</w:t>
      </w:r>
    </w:p>
    <w:p>
      <w:pPr>
        <w:tabs>
          <w:tab w:val="left" w:pos="1260"/>
        </w:tabs>
        <w:spacing w:line="360" w:lineRule="auto"/>
        <w:ind w:firstLine="480" w:firstLineChars="200"/>
        <w:rPr>
          <w:rFonts w:ascii="宋体"/>
          <w:sz w:val="24"/>
        </w:rPr>
      </w:pPr>
      <w:r>
        <w:rPr>
          <w:rFonts w:ascii="宋体" w:hAnsi="宋体"/>
          <w:sz w:val="24"/>
        </w:rPr>
        <w:t>基金管理人和基金托管人应按各自职责完整保存原始凭证、记账凭证、基金账册、会计报告、交易记录和重要合同等，保存期限不低于法律法规规定的最低期限。</w:t>
      </w:r>
    </w:p>
    <w:p>
      <w:pPr>
        <w:tabs>
          <w:tab w:val="left" w:pos="1260"/>
        </w:tabs>
        <w:spacing w:line="360" w:lineRule="auto"/>
        <w:ind w:firstLine="480" w:firstLineChars="200"/>
        <w:rPr>
          <w:rFonts w:ascii="宋体"/>
          <w:sz w:val="24"/>
        </w:rPr>
      </w:pPr>
      <w:r>
        <w:rPr>
          <w:rFonts w:ascii="宋体" w:hAnsi="宋体"/>
          <w:sz w:val="24"/>
        </w:rPr>
        <w:t>基金管理人签署重大合同文本后，应及时将合同文本正本送达基金托管人处。基金管理人应及时将与本基金账务处理、资金划拨等有关的合同、协议传真给基金托管人。</w:t>
      </w:r>
    </w:p>
    <w:p>
      <w:pPr>
        <w:tabs>
          <w:tab w:val="left" w:pos="1260"/>
        </w:tabs>
        <w:spacing w:line="360" w:lineRule="auto"/>
        <w:ind w:firstLine="480" w:firstLineChars="200"/>
        <w:rPr>
          <w:rFonts w:ascii="宋体"/>
          <w:sz w:val="24"/>
        </w:rPr>
      </w:pPr>
      <w:r>
        <w:rPr>
          <w:rFonts w:ascii="宋体" w:hAnsi="宋体"/>
          <w:sz w:val="24"/>
        </w:rPr>
        <w:t>基金管理人或基金托管人变更后，未变更的一方有义务协助接任人接收基金的有关文件。</w:t>
      </w:r>
      <w:bookmarkStart w:id="94" w:name="_Toc125892450"/>
      <w:bookmarkStart w:id="95" w:name="_Toc523830005"/>
      <w:bookmarkStart w:id="96" w:name="_Toc22454470"/>
      <w:bookmarkStart w:id="97" w:name="_Toc466788864"/>
    </w:p>
    <w:p>
      <w:pPr>
        <w:pStyle w:val="2"/>
        <w:rPr>
          <w:color w:val="auto"/>
        </w:rPr>
      </w:pPr>
      <w:bookmarkStart w:id="98" w:name="_Toc196312624"/>
      <w:r>
        <w:rPr>
          <w:color w:val="auto"/>
        </w:rPr>
        <w:t>十四、基金管理人和基金托管人的更换</w:t>
      </w:r>
      <w:bookmarkEnd w:id="94"/>
      <w:bookmarkEnd w:id="95"/>
      <w:bookmarkEnd w:id="96"/>
      <w:bookmarkEnd w:id="97"/>
      <w:bookmarkEnd w:id="98"/>
    </w:p>
    <w:p>
      <w:pPr>
        <w:tabs>
          <w:tab w:val="left" w:pos="3780"/>
        </w:tabs>
        <w:autoSpaceDE w:val="0"/>
        <w:autoSpaceDN w:val="0"/>
        <w:spacing w:before="156" w:after="156" w:line="360" w:lineRule="auto"/>
        <w:outlineLvl w:val="0"/>
        <w:rPr>
          <w:rFonts w:ascii="宋体"/>
          <w:b/>
          <w:bCs/>
          <w:sz w:val="24"/>
        </w:rPr>
      </w:pPr>
      <w:bookmarkStart w:id="99" w:name="_Toc22454471"/>
      <w:bookmarkStart w:id="100" w:name="_Toc77663031"/>
      <w:r>
        <w:rPr>
          <w:rFonts w:ascii="宋体" w:hAnsi="宋体"/>
          <w:b/>
          <w:bCs/>
          <w:sz w:val="24"/>
        </w:rPr>
        <w:t>（一）基金管理人的更换</w:t>
      </w:r>
    </w:p>
    <w:p>
      <w:pPr>
        <w:tabs>
          <w:tab w:val="left" w:pos="1260"/>
        </w:tabs>
        <w:spacing w:line="360" w:lineRule="auto"/>
        <w:ind w:firstLine="480" w:firstLineChars="200"/>
        <w:rPr>
          <w:rFonts w:ascii="宋体"/>
          <w:sz w:val="24"/>
        </w:rPr>
      </w:pPr>
      <w:r>
        <w:rPr>
          <w:rFonts w:ascii="宋体" w:hAnsi="宋体"/>
          <w:sz w:val="24"/>
        </w:rPr>
        <w:t>1.基金管理人职责终止的条件</w:t>
      </w:r>
    </w:p>
    <w:p>
      <w:pPr>
        <w:spacing w:line="360" w:lineRule="auto"/>
        <w:ind w:firstLine="480" w:firstLineChars="200"/>
        <w:rPr>
          <w:rFonts w:ascii="宋体"/>
          <w:sz w:val="24"/>
        </w:rPr>
      </w:pPr>
      <w:r>
        <w:rPr>
          <w:rFonts w:ascii="宋体" w:hAnsi="宋体"/>
          <w:sz w:val="24"/>
        </w:rPr>
        <w:t>有下列情形之一的，基金管理人职责终止：</w:t>
      </w:r>
    </w:p>
    <w:p>
      <w:pPr>
        <w:pStyle w:val="213"/>
        <w:ind w:firstLine="480"/>
        <w:rPr>
          <w:szCs w:val="24"/>
        </w:rPr>
      </w:pPr>
      <w:r>
        <w:rPr>
          <w:szCs w:val="24"/>
        </w:rPr>
        <w:t>（1）基金管理人被依法取消基金管理资格；</w:t>
      </w:r>
    </w:p>
    <w:p>
      <w:pPr>
        <w:pStyle w:val="213"/>
        <w:ind w:firstLine="480"/>
        <w:rPr>
          <w:szCs w:val="24"/>
        </w:rPr>
      </w:pPr>
      <w:r>
        <w:rPr>
          <w:szCs w:val="24"/>
        </w:rPr>
        <w:t>（2）基金管理人依法解散、依法被撤销或被依法宣告破产；</w:t>
      </w:r>
    </w:p>
    <w:p>
      <w:pPr>
        <w:pStyle w:val="213"/>
        <w:ind w:firstLine="480"/>
        <w:rPr>
          <w:szCs w:val="24"/>
        </w:rPr>
      </w:pPr>
      <w:r>
        <w:rPr>
          <w:szCs w:val="24"/>
        </w:rPr>
        <w:t>（3）基金管理人被基金份额持有人大会解任；</w:t>
      </w:r>
    </w:p>
    <w:p>
      <w:pPr>
        <w:pStyle w:val="213"/>
        <w:ind w:firstLine="480"/>
        <w:rPr>
          <w:szCs w:val="24"/>
        </w:rPr>
      </w:pPr>
      <w:r>
        <w:rPr>
          <w:szCs w:val="24"/>
        </w:rPr>
        <w:t>（4）法律法规及中国证监会规定的和《基金合同》约定的其他情形。</w:t>
      </w:r>
    </w:p>
    <w:p>
      <w:pPr>
        <w:spacing w:line="360" w:lineRule="auto"/>
        <w:ind w:firstLine="480" w:firstLineChars="200"/>
        <w:rPr>
          <w:rFonts w:ascii="宋体"/>
          <w:sz w:val="24"/>
        </w:rPr>
      </w:pPr>
      <w:r>
        <w:rPr>
          <w:rFonts w:ascii="宋体" w:hAnsi="宋体"/>
          <w:sz w:val="24"/>
        </w:rPr>
        <w:t>2.基金管理人的更换程序</w:t>
      </w:r>
    </w:p>
    <w:p>
      <w:pPr>
        <w:spacing w:line="360" w:lineRule="auto"/>
        <w:ind w:firstLine="480" w:firstLineChars="200"/>
        <w:rPr>
          <w:rFonts w:ascii="宋体" w:hAnsi="宋体"/>
          <w:bCs/>
          <w:sz w:val="24"/>
        </w:rPr>
      </w:pPr>
      <w:r>
        <w:rPr>
          <w:rFonts w:ascii="宋体" w:hAnsi="宋体"/>
          <w:bCs/>
          <w:sz w:val="24"/>
        </w:rPr>
        <w:t>（1）提名：新任基金管理人由基金托管人或由单独或合计持有10%以上（含10%）基金份额的基金份额持有人提名；</w:t>
      </w:r>
    </w:p>
    <w:p>
      <w:pPr>
        <w:spacing w:line="360" w:lineRule="auto"/>
        <w:ind w:firstLine="480" w:firstLineChars="200"/>
        <w:rPr>
          <w:rFonts w:ascii="宋体" w:hAnsi="宋体"/>
          <w:bCs/>
          <w:sz w:val="24"/>
        </w:rPr>
      </w:pPr>
      <w:r>
        <w:rPr>
          <w:rFonts w:ascii="宋体" w:hAnsi="宋体"/>
          <w:bCs/>
          <w:sz w:val="24"/>
        </w:rPr>
        <w:t>（2）决议：基金份额持有人大会在基金管理人职责终止后6个月内对被提名的</w:t>
      </w:r>
      <w:r>
        <w:rPr>
          <w:rFonts w:hint="eastAsia" w:ascii="宋体" w:hAnsi="宋体"/>
          <w:bCs/>
          <w:sz w:val="24"/>
        </w:rPr>
        <w:t>新任</w:t>
      </w:r>
      <w:r>
        <w:rPr>
          <w:rFonts w:ascii="宋体" w:hAnsi="宋体"/>
          <w:bCs/>
          <w:sz w:val="24"/>
        </w:rPr>
        <w:t>基金管理人形成决议，该决议需经参加大会的基金份额持有人所持表决权的三分之二以上（含三分之二）表决通过，并自表决通过之日起生效</w:t>
      </w:r>
      <w:r>
        <w:rPr>
          <w:rFonts w:hint="eastAsia" w:ascii="宋体" w:hAnsi="宋体"/>
          <w:bCs/>
          <w:sz w:val="24"/>
        </w:rPr>
        <w:t>，新任基金管理人应当符合法律法规及中国证监会规定的资格条件</w:t>
      </w:r>
      <w:r>
        <w:rPr>
          <w:rFonts w:ascii="宋体" w:hAnsi="宋体"/>
          <w:bCs/>
          <w:sz w:val="24"/>
        </w:rPr>
        <w:t>；</w:t>
      </w:r>
    </w:p>
    <w:p>
      <w:pPr>
        <w:spacing w:line="360" w:lineRule="auto"/>
        <w:ind w:firstLine="480" w:firstLineChars="200"/>
        <w:rPr>
          <w:rFonts w:ascii="宋体" w:hAnsi="宋体"/>
          <w:bCs/>
          <w:sz w:val="24"/>
        </w:rPr>
      </w:pPr>
      <w:r>
        <w:rPr>
          <w:rFonts w:ascii="宋体" w:hAnsi="宋体"/>
          <w:bCs/>
          <w:sz w:val="24"/>
        </w:rPr>
        <w:t>（3）临时基金管理人：新任基金管理人产生之前，由中国证监会指定临时基金管理人；</w:t>
      </w:r>
    </w:p>
    <w:p>
      <w:pPr>
        <w:spacing w:line="360" w:lineRule="auto"/>
        <w:ind w:firstLine="480" w:firstLineChars="200"/>
        <w:rPr>
          <w:rFonts w:ascii="宋体" w:hAnsi="宋体"/>
          <w:bCs/>
          <w:sz w:val="24"/>
        </w:rPr>
      </w:pPr>
      <w:r>
        <w:rPr>
          <w:rFonts w:ascii="宋体" w:hAnsi="宋体"/>
          <w:bCs/>
          <w:sz w:val="24"/>
        </w:rPr>
        <w:t>（4）备案：基金份额持有人大会更换基金管理人的决议须报中国证监会备案；</w:t>
      </w:r>
    </w:p>
    <w:p>
      <w:pPr>
        <w:spacing w:line="360" w:lineRule="auto"/>
        <w:ind w:firstLine="480" w:firstLineChars="200"/>
        <w:rPr>
          <w:rFonts w:ascii="宋体" w:hAnsi="宋体"/>
          <w:bCs/>
          <w:sz w:val="24"/>
        </w:rPr>
      </w:pPr>
      <w:r>
        <w:rPr>
          <w:rFonts w:ascii="宋体" w:hAnsi="宋体"/>
          <w:bCs/>
          <w:sz w:val="24"/>
        </w:rPr>
        <w:t>（5）公告：基金管理人更换后，由基金托管人在更换基金管理人的基金份额持有人大会决议生效后</w:t>
      </w:r>
      <w:r>
        <w:rPr>
          <w:rFonts w:hint="eastAsia" w:ascii="宋体" w:hAnsi="宋体"/>
          <w:bCs/>
          <w:sz w:val="24"/>
        </w:rPr>
        <w:t>依照《信息披露办法》的规定在</w:t>
      </w:r>
      <w:r>
        <w:rPr>
          <w:rFonts w:ascii="宋体" w:hAnsi="宋体"/>
          <w:bCs/>
          <w:sz w:val="24"/>
        </w:rPr>
        <w:t>规定媒介公告；</w:t>
      </w:r>
    </w:p>
    <w:p>
      <w:pPr>
        <w:spacing w:line="360" w:lineRule="auto"/>
        <w:ind w:firstLine="480" w:firstLineChars="200"/>
        <w:rPr>
          <w:rFonts w:ascii="宋体" w:hAnsi="宋体"/>
          <w:bCs/>
          <w:sz w:val="24"/>
        </w:rPr>
      </w:pPr>
      <w:r>
        <w:rPr>
          <w:rFonts w:ascii="宋体" w:hAnsi="宋体"/>
          <w:bCs/>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Pr>
          <w:bCs/>
          <w:sz w:val="24"/>
        </w:rPr>
        <w:t>和基金资产净值</w:t>
      </w:r>
      <w:r>
        <w:rPr>
          <w:rFonts w:ascii="宋体" w:hAnsi="宋体"/>
          <w:bCs/>
          <w:sz w:val="24"/>
        </w:rPr>
        <w:t>；</w:t>
      </w:r>
    </w:p>
    <w:p>
      <w:pPr>
        <w:spacing w:line="360" w:lineRule="auto"/>
        <w:ind w:firstLine="480" w:firstLineChars="200"/>
        <w:rPr>
          <w:rFonts w:ascii="宋体" w:hAnsi="宋体"/>
          <w:bCs/>
          <w:sz w:val="24"/>
        </w:rPr>
      </w:pPr>
      <w:r>
        <w:rPr>
          <w:rFonts w:ascii="宋体" w:hAnsi="宋体"/>
          <w:bCs/>
          <w:sz w:val="24"/>
        </w:rPr>
        <w:t>（7）审计：基金管理人职责终止的，应当按照法律法规规定聘请</w:t>
      </w:r>
      <w:r>
        <w:rPr>
          <w:rFonts w:hint="eastAsia" w:ascii="宋体" w:hAnsi="宋体"/>
          <w:bCs/>
          <w:sz w:val="24"/>
        </w:rPr>
        <w:t>符合《中华人民共和国证券法》规定的</w:t>
      </w:r>
      <w:r>
        <w:rPr>
          <w:rFonts w:ascii="宋体" w:hAnsi="宋体"/>
          <w:bCs/>
          <w:sz w:val="24"/>
        </w:rPr>
        <w:t>会计师事务所对基金财产进行审计，并将审计结果予以公告，同时报中国证监会备案，审计费用从基金财产中列支；</w:t>
      </w:r>
    </w:p>
    <w:p>
      <w:pPr>
        <w:pStyle w:val="213"/>
        <w:ind w:firstLine="480"/>
        <w:rPr>
          <w:szCs w:val="24"/>
        </w:rPr>
      </w:pPr>
      <w:r>
        <w:rPr>
          <w:rFonts w:ascii="宋体" w:hAnsi="宋体"/>
        </w:rPr>
        <w:t>（8）基金名称变更：基金管理人更换后，如果原任或新任基金管理人要求，应按其要求替换或删除基金名称中与原</w:t>
      </w:r>
      <w:r>
        <w:rPr>
          <w:rFonts w:hint="eastAsia" w:ascii="宋体" w:hAnsi="宋体"/>
        </w:rPr>
        <w:t>任</w:t>
      </w:r>
      <w:r>
        <w:rPr>
          <w:rFonts w:ascii="宋体" w:hAnsi="宋体"/>
        </w:rPr>
        <w:t>基金管理人有关的名称字样。</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（二）基金托管人的更换</w:t>
      </w:r>
    </w:p>
    <w:p>
      <w:pPr>
        <w:spacing w:line="360" w:lineRule="auto"/>
        <w:ind w:firstLine="480" w:firstLineChars="200"/>
        <w:rPr>
          <w:rFonts w:ascii="宋体" w:hAnsi="宋体"/>
          <w:sz w:val="24"/>
        </w:rPr>
      </w:pPr>
      <w:r>
        <w:rPr>
          <w:rFonts w:ascii="宋体" w:hAnsi="宋体"/>
          <w:sz w:val="24"/>
        </w:rPr>
        <w:t>1.基金托管人职责终止的条件</w:t>
      </w:r>
    </w:p>
    <w:p>
      <w:pPr>
        <w:spacing w:line="360" w:lineRule="auto"/>
        <w:ind w:firstLine="480" w:firstLineChars="200"/>
        <w:rPr>
          <w:rFonts w:ascii="宋体" w:hAnsi="宋体"/>
          <w:sz w:val="24"/>
        </w:rPr>
      </w:pPr>
      <w:r>
        <w:rPr>
          <w:rFonts w:ascii="宋体" w:hAnsi="宋体"/>
          <w:sz w:val="24"/>
        </w:rPr>
        <w:t>有下列情形之一的，基金托管人职责终止：</w:t>
      </w:r>
    </w:p>
    <w:p>
      <w:pPr>
        <w:spacing w:line="360" w:lineRule="auto"/>
        <w:ind w:firstLine="480" w:firstLineChars="200"/>
        <w:rPr>
          <w:rFonts w:ascii="宋体" w:hAnsi="宋体"/>
          <w:sz w:val="24"/>
        </w:rPr>
      </w:pPr>
      <w:r>
        <w:rPr>
          <w:rFonts w:ascii="宋体" w:hAnsi="宋体"/>
          <w:sz w:val="24"/>
        </w:rPr>
        <w:t>（1）基金托管人被依法取消基金托管资格；</w:t>
      </w:r>
    </w:p>
    <w:p>
      <w:pPr>
        <w:spacing w:line="360" w:lineRule="auto"/>
        <w:ind w:firstLine="480" w:firstLineChars="200"/>
        <w:rPr>
          <w:rFonts w:ascii="宋体" w:hAnsi="宋体"/>
          <w:sz w:val="24"/>
        </w:rPr>
      </w:pPr>
      <w:r>
        <w:rPr>
          <w:rFonts w:ascii="宋体" w:hAnsi="宋体"/>
          <w:sz w:val="24"/>
        </w:rPr>
        <w:t>（2）基金托管人依法解散、依法被撤销或被依法宣告破产；</w:t>
      </w:r>
    </w:p>
    <w:p>
      <w:pPr>
        <w:spacing w:line="360" w:lineRule="auto"/>
        <w:ind w:firstLine="480" w:firstLineChars="200"/>
        <w:rPr>
          <w:rFonts w:ascii="宋体" w:hAnsi="宋体"/>
          <w:sz w:val="24"/>
        </w:rPr>
      </w:pPr>
      <w:r>
        <w:rPr>
          <w:rFonts w:ascii="宋体" w:hAnsi="宋体"/>
          <w:sz w:val="24"/>
        </w:rPr>
        <w:t>（3）基金托管人被基金份额持有人大会解任；</w:t>
      </w:r>
    </w:p>
    <w:p>
      <w:pPr>
        <w:spacing w:line="360" w:lineRule="auto"/>
        <w:ind w:firstLine="480" w:firstLineChars="200"/>
        <w:rPr>
          <w:rFonts w:ascii="宋体" w:hAnsi="宋体"/>
          <w:sz w:val="24"/>
        </w:rPr>
      </w:pPr>
      <w:r>
        <w:rPr>
          <w:rFonts w:ascii="宋体" w:hAnsi="宋体"/>
          <w:sz w:val="24"/>
        </w:rPr>
        <w:t>（4）法律法规及中国证监会规定的和《基金合同》约定的其他情形。</w:t>
      </w:r>
    </w:p>
    <w:p>
      <w:pPr>
        <w:spacing w:line="360" w:lineRule="auto"/>
        <w:ind w:firstLine="480" w:firstLineChars="200"/>
        <w:rPr>
          <w:rFonts w:ascii="宋体" w:hAnsi="宋体"/>
          <w:sz w:val="24"/>
        </w:rPr>
      </w:pPr>
      <w:r>
        <w:rPr>
          <w:rFonts w:ascii="宋体" w:hAnsi="宋体"/>
          <w:sz w:val="24"/>
        </w:rPr>
        <w:t>2.基金托管人的更换程序</w:t>
      </w:r>
      <w:bookmarkEnd w:id="99"/>
      <w:bookmarkEnd w:id="100"/>
    </w:p>
    <w:p>
      <w:pPr>
        <w:spacing w:line="360" w:lineRule="auto"/>
        <w:ind w:firstLine="480" w:firstLineChars="200"/>
        <w:rPr>
          <w:rFonts w:ascii="宋体" w:hAnsi="宋体"/>
          <w:sz w:val="24"/>
        </w:rPr>
      </w:pPr>
      <w:r>
        <w:rPr>
          <w:rFonts w:ascii="宋体" w:hAnsi="宋体"/>
          <w:sz w:val="24"/>
        </w:rPr>
        <w:t>（1）提名：新任基金托管人由基金管理人或由单独或合计持有10%以上（含10%）基金份额的基金份额持有人提名；</w:t>
      </w:r>
    </w:p>
    <w:p>
      <w:pPr>
        <w:spacing w:line="360" w:lineRule="auto"/>
        <w:ind w:firstLine="480" w:firstLineChars="200"/>
        <w:rPr>
          <w:rFonts w:ascii="宋体" w:hAnsi="宋体"/>
          <w:sz w:val="24"/>
        </w:rPr>
      </w:pPr>
      <w:r>
        <w:rPr>
          <w:rFonts w:ascii="宋体" w:hAnsi="宋体"/>
          <w:sz w:val="24"/>
        </w:rPr>
        <w:t>（2）决议：基金份额持有人大会在基金托管人职责终止后6个月内对被提名的</w:t>
      </w:r>
      <w:r>
        <w:rPr>
          <w:rFonts w:hint="eastAsia" w:ascii="宋体" w:hAnsi="宋体"/>
          <w:sz w:val="24"/>
        </w:rPr>
        <w:t>新任</w:t>
      </w:r>
      <w:r>
        <w:rPr>
          <w:rFonts w:ascii="宋体" w:hAnsi="宋体"/>
          <w:sz w:val="24"/>
        </w:rPr>
        <w:t>基金托管人形成决议，该决议需经参加大会的基金份额持有人所持表决权的三分之二以上（含三分之二）表决通过，并自表决通过之日起生效</w:t>
      </w:r>
      <w:r>
        <w:rPr>
          <w:rFonts w:hint="eastAsia" w:ascii="宋体" w:hAnsi="宋体"/>
          <w:sz w:val="24"/>
        </w:rPr>
        <w:t>，新任基金托管人应当符合法律法规及中国证监会规定的资格条件</w:t>
      </w:r>
      <w:r>
        <w:rPr>
          <w:rFonts w:ascii="宋体" w:hAnsi="宋体"/>
          <w:sz w:val="24"/>
        </w:rPr>
        <w:t>；</w:t>
      </w:r>
    </w:p>
    <w:p>
      <w:pPr>
        <w:spacing w:line="360" w:lineRule="auto"/>
        <w:ind w:firstLine="480" w:firstLineChars="200"/>
        <w:rPr>
          <w:rFonts w:ascii="宋体" w:hAnsi="宋体"/>
          <w:sz w:val="24"/>
        </w:rPr>
      </w:pPr>
      <w:r>
        <w:rPr>
          <w:rFonts w:ascii="宋体" w:hAnsi="宋体"/>
          <w:sz w:val="24"/>
        </w:rPr>
        <w:t>（3）临时基金托管人：新任基金托管人产生之前，由中国证监会指定临时基金托管人；</w:t>
      </w:r>
    </w:p>
    <w:p>
      <w:pPr>
        <w:spacing w:line="360" w:lineRule="auto"/>
        <w:ind w:firstLine="480" w:firstLineChars="200"/>
        <w:rPr>
          <w:rFonts w:ascii="宋体" w:hAnsi="宋体"/>
          <w:sz w:val="24"/>
        </w:rPr>
      </w:pPr>
      <w:r>
        <w:rPr>
          <w:rFonts w:ascii="宋体" w:hAnsi="宋体"/>
          <w:sz w:val="24"/>
        </w:rPr>
        <w:t>（4）备案：基金份额持有人大会更换基金托管人的决议须报中国证监会备案；</w:t>
      </w:r>
    </w:p>
    <w:p>
      <w:pPr>
        <w:spacing w:line="360" w:lineRule="auto"/>
        <w:ind w:firstLine="480" w:firstLineChars="200"/>
        <w:rPr>
          <w:rFonts w:ascii="宋体" w:hAnsi="宋体"/>
          <w:sz w:val="24"/>
        </w:rPr>
      </w:pPr>
      <w:r>
        <w:rPr>
          <w:rFonts w:ascii="宋体" w:hAnsi="宋体"/>
          <w:sz w:val="24"/>
        </w:rPr>
        <w:t>（5）公告：基金托管人更换后，由基金管理人在更换基金托管人的基金份额持有人大会决议生效后</w:t>
      </w:r>
      <w:r>
        <w:rPr>
          <w:rFonts w:hint="eastAsia" w:ascii="宋体" w:hAnsi="宋体"/>
          <w:sz w:val="24"/>
        </w:rPr>
        <w:t>依照《信息披露办法》的规定在</w:t>
      </w:r>
      <w:r>
        <w:rPr>
          <w:rFonts w:ascii="宋体" w:hAnsi="宋体"/>
          <w:sz w:val="24"/>
        </w:rPr>
        <w:t>规定媒介公告；</w:t>
      </w:r>
    </w:p>
    <w:p>
      <w:pPr>
        <w:spacing w:line="360" w:lineRule="auto"/>
        <w:ind w:firstLine="480" w:firstLineChars="200"/>
        <w:rPr>
          <w:rFonts w:ascii="宋体" w:hAnsi="宋体"/>
          <w:sz w:val="24"/>
        </w:rPr>
      </w:pPr>
      <w:r>
        <w:rPr>
          <w:rFonts w:ascii="宋体" w:hAnsi="宋体"/>
          <w:sz w:val="24"/>
        </w:rPr>
        <w:t>（6）交接：基金托管人职责终止的，应当妥善保管基金财产和基金托管业务资料，及时办理</w:t>
      </w:r>
      <w:r>
        <w:rPr>
          <w:rFonts w:hint="eastAsia" w:ascii="宋体" w:hAnsi="宋体"/>
          <w:sz w:val="24"/>
        </w:rPr>
        <w:t>基金财产和</w:t>
      </w:r>
      <w:r>
        <w:rPr>
          <w:rFonts w:ascii="宋体" w:hAnsi="宋体"/>
          <w:sz w:val="24"/>
        </w:rPr>
        <w:t>基金托管业务的移交手续，新任基金托管人或者临时基金托管人应当及时接收。临时基金托管人或新任基金托管人与基金管理人核对基金资产总值和净值；</w:t>
      </w:r>
    </w:p>
    <w:p>
      <w:pPr>
        <w:spacing w:line="360" w:lineRule="auto"/>
        <w:ind w:firstLine="480" w:firstLineChars="200"/>
        <w:rPr>
          <w:rFonts w:ascii="宋体" w:hAnsi="宋体"/>
          <w:sz w:val="24"/>
        </w:rPr>
      </w:pPr>
      <w:r>
        <w:rPr>
          <w:rFonts w:ascii="宋体" w:hAnsi="宋体"/>
          <w:sz w:val="24"/>
        </w:rPr>
        <w:t>（7）审计：基金托管人职责终止的，应当按照法律法规规定聘请</w:t>
      </w:r>
      <w:r>
        <w:rPr>
          <w:rFonts w:hint="eastAsia" w:ascii="宋体" w:hAnsi="宋体"/>
          <w:sz w:val="24"/>
        </w:rPr>
        <w:t>符合《中华人民共和国证券法》规定的</w:t>
      </w:r>
      <w:r>
        <w:rPr>
          <w:rFonts w:ascii="宋体" w:hAnsi="宋体"/>
          <w:sz w:val="24"/>
        </w:rPr>
        <w:t>会计师事务所对基金财产进行审计，并将审计结果予以公告，同时报中国证监会备案，审计费用从基金财产中列支。</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（三）基金管理人与基金托管人同时更换</w:t>
      </w:r>
    </w:p>
    <w:p>
      <w:pPr>
        <w:spacing w:line="360" w:lineRule="auto"/>
        <w:ind w:firstLine="480" w:firstLineChars="200"/>
        <w:rPr>
          <w:rFonts w:ascii="宋体" w:hAnsi="宋体"/>
          <w:sz w:val="24"/>
        </w:rPr>
      </w:pPr>
      <w:bookmarkStart w:id="101" w:name="_Toc523830007"/>
      <w:bookmarkStart w:id="102" w:name="_Toc22454478"/>
      <w:bookmarkStart w:id="103" w:name="_Toc466788866"/>
      <w:bookmarkStart w:id="104" w:name="_Toc125892451"/>
      <w:r>
        <w:rPr>
          <w:rFonts w:ascii="宋体" w:hAnsi="宋体"/>
          <w:sz w:val="24"/>
        </w:rPr>
        <w:t>1、提名：如果基金管理人和基金托管人同时更换，由单独或合计持有基金总份额10%以上（含10%）的基金份额持有人提名新的基金管理人和基金托管人；</w:t>
      </w:r>
    </w:p>
    <w:p>
      <w:pPr>
        <w:spacing w:line="360" w:lineRule="auto"/>
        <w:ind w:firstLine="480" w:firstLineChars="200"/>
        <w:rPr>
          <w:rFonts w:ascii="宋体" w:hAnsi="宋体"/>
          <w:sz w:val="24"/>
        </w:rPr>
      </w:pPr>
      <w:r>
        <w:rPr>
          <w:rFonts w:ascii="宋体" w:hAnsi="宋体"/>
          <w:sz w:val="24"/>
        </w:rPr>
        <w:t>2、基金管理人和基金托管人的更换分别按上述程序进行；</w:t>
      </w:r>
    </w:p>
    <w:p>
      <w:pPr>
        <w:spacing w:line="360" w:lineRule="auto"/>
        <w:ind w:left="1" w:firstLine="388" w:firstLineChars="162"/>
        <w:rPr>
          <w:rFonts w:ascii="宋体" w:hAnsi="宋体"/>
          <w:sz w:val="24"/>
        </w:rPr>
      </w:pPr>
      <w:r>
        <w:rPr>
          <w:rFonts w:ascii="宋体" w:hAnsi="宋体"/>
          <w:sz w:val="24"/>
        </w:rPr>
        <w:t>3、公告：新任基金管理人和新任基金托管人应在更换基金管理人和基金托管人的基金份额持有人大会决议生效后</w:t>
      </w:r>
      <w:r>
        <w:rPr>
          <w:rFonts w:hint="eastAsia" w:ascii="宋体" w:hAnsi="宋体"/>
          <w:sz w:val="24"/>
        </w:rPr>
        <w:t>依照《信息披露办法》的规定</w:t>
      </w:r>
      <w:r>
        <w:rPr>
          <w:rFonts w:ascii="宋体" w:hAnsi="宋体"/>
          <w:sz w:val="24"/>
        </w:rPr>
        <w:t>在规定媒介上联合公告。</w:t>
      </w:r>
    </w:p>
    <w:p>
      <w:pPr>
        <w:spacing w:line="360" w:lineRule="auto"/>
        <w:ind w:left="1" w:firstLine="388" w:firstLineChars="162"/>
        <w:rPr>
          <w:rFonts w:ascii="宋体"/>
          <w:bCs/>
          <w:sz w:val="24"/>
        </w:rPr>
      </w:pPr>
      <w:r>
        <w:rPr>
          <w:rFonts w:ascii="宋体"/>
          <w:b/>
          <w:bCs/>
          <w:sz w:val="24"/>
        </w:rPr>
        <w:t>（四）新任基金管理人或临时基金管理人接收基金管理业务，或新任基金托管人或临时基金托管人接收基金财产和基金托管业务前，原</w:t>
      </w:r>
      <w:r>
        <w:rPr>
          <w:rFonts w:hint="eastAsia" w:ascii="宋体"/>
          <w:b/>
          <w:bCs/>
          <w:sz w:val="24"/>
        </w:rPr>
        <w:t>任</w:t>
      </w:r>
      <w:r>
        <w:rPr>
          <w:rFonts w:ascii="宋体"/>
          <w:b/>
          <w:bCs/>
          <w:sz w:val="24"/>
        </w:rPr>
        <w:t>基金管理人或原</w:t>
      </w:r>
      <w:r>
        <w:rPr>
          <w:rFonts w:hint="eastAsia" w:ascii="宋体"/>
          <w:b/>
          <w:bCs/>
          <w:sz w:val="24"/>
        </w:rPr>
        <w:t>任</w:t>
      </w:r>
      <w:r>
        <w:rPr>
          <w:rFonts w:ascii="宋体"/>
          <w:b/>
          <w:bCs/>
          <w:sz w:val="24"/>
        </w:rPr>
        <w:t>基金托管人应依据法律法规和《基金合同》的约定继续履行相关职责，并保证不做出对基金份额持有人的利益造成损害的行为。原</w:t>
      </w:r>
      <w:r>
        <w:rPr>
          <w:rFonts w:hint="eastAsia" w:ascii="宋体"/>
          <w:b/>
          <w:bCs/>
          <w:sz w:val="24"/>
        </w:rPr>
        <w:t>任</w:t>
      </w:r>
      <w:r>
        <w:rPr>
          <w:rFonts w:ascii="宋体"/>
          <w:b/>
          <w:bCs/>
          <w:sz w:val="24"/>
        </w:rPr>
        <w:t>基金管理人或原</w:t>
      </w:r>
      <w:r>
        <w:rPr>
          <w:rFonts w:hint="eastAsia" w:ascii="宋体"/>
          <w:b/>
          <w:bCs/>
          <w:sz w:val="24"/>
        </w:rPr>
        <w:t>任</w:t>
      </w:r>
      <w:r>
        <w:rPr>
          <w:rFonts w:ascii="宋体"/>
          <w:b/>
          <w:bCs/>
          <w:sz w:val="24"/>
        </w:rPr>
        <w:t>基金托管人在继续履行相关职责期间，仍有权按照《基金合同》的约定收取基金管理费或基金托管费。</w:t>
      </w:r>
    </w:p>
    <w:p>
      <w:pPr>
        <w:spacing w:line="360" w:lineRule="auto"/>
        <w:ind w:left="1" w:firstLine="388" w:firstLineChars="162"/>
        <w:rPr>
          <w:rFonts w:ascii="宋体"/>
          <w:sz w:val="24"/>
        </w:rPr>
      </w:pPr>
      <w:r>
        <w:rPr>
          <w:rFonts w:ascii="宋体"/>
          <w:b/>
          <w:bCs/>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rPr>
          <w:color w:val="auto"/>
        </w:rPr>
      </w:pPr>
      <w:bookmarkStart w:id="105" w:name="_Toc196312625"/>
      <w:r>
        <w:rPr>
          <w:color w:val="auto"/>
        </w:rPr>
        <w:t>十五、禁止行为</w:t>
      </w:r>
      <w:bookmarkEnd w:id="101"/>
      <w:bookmarkEnd w:id="102"/>
      <w:bookmarkEnd w:id="103"/>
      <w:bookmarkEnd w:id="104"/>
      <w:bookmarkEnd w:id="105"/>
    </w:p>
    <w:p>
      <w:pPr>
        <w:spacing w:line="360" w:lineRule="auto"/>
        <w:ind w:firstLine="480" w:firstLineChars="200"/>
        <w:rPr>
          <w:rFonts w:ascii="宋体"/>
          <w:sz w:val="24"/>
        </w:rPr>
      </w:pPr>
      <w:r>
        <w:rPr>
          <w:rFonts w:ascii="宋体" w:hAnsi="宋体"/>
          <w:sz w:val="24"/>
        </w:rPr>
        <w:t>本协议项下的基金管理人和基金托管人禁止行为如下：</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（一）《基金法》禁止的行为。</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（二）除非法律法规及中国证监会另有规定，托管协议当事人用基金财产从事《基金法》禁止的投资或活动。</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（三）除《基金法》及其他有关法规、《基金合同》及中国证监会另有规定，基金管理人、基金托管人利用基金财产为自身和任何第三人谋取利益。</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（四）基金管理人与基金托管人对基金运作过程中任何尚未按有关法规规定的方式公开披露的信息，对他人泄露。</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（五）基金管理人在资金头寸不足的情况下，向基金托管人发送划款指令。</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（六）在资金头寸充足且为基金托管人执行指令留出足够时间的情况下，基金托管人对基金管理人符合法律法规、《基金合同》、本协议的指令拖延或拒绝执行。</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（七）除根据基金管理人指令或《基金合同》另有规定的，基金托管人动用或处分基金财产。</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（八）基金管理人与基金托管人为同一机构，或相互出资或者持有股份。基金托管人、基金管理人在行政上、财务上不独立，其高级管理人员或其他从业人员相互兼职。</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（九）《基金合同》投资限制中禁止投资的行为。</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（十）法律法规、《基金合同》和本协议禁止的其他行为。</w:t>
      </w:r>
    </w:p>
    <w:p>
      <w:pPr>
        <w:spacing w:line="360" w:lineRule="auto"/>
        <w:ind w:firstLine="480" w:firstLineChars="200"/>
        <w:rPr>
          <w:rFonts w:ascii="宋体" w:hAnsi="宋体"/>
          <w:sz w:val="24"/>
        </w:rPr>
      </w:pPr>
      <w:r>
        <w:rPr>
          <w:rFonts w:ascii="宋体" w:hAnsi="宋体"/>
          <w:sz w:val="24"/>
        </w:rPr>
        <w:t>法律法规和监管部门取消或变更上述禁止性规定的，如适用于本基金，基金管理人在履行适当程序后，则本基金不受上述相关限制或按照变更后的规定执行。</w:t>
      </w:r>
    </w:p>
    <w:p>
      <w:pPr>
        <w:pStyle w:val="2"/>
        <w:rPr>
          <w:color w:val="auto"/>
        </w:rPr>
      </w:pPr>
      <w:bookmarkStart w:id="106" w:name="_Toc125892452"/>
      <w:bookmarkStart w:id="107" w:name="_Toc196312626"/>
      <w:bookmarkStart w:id="108" w:name="_Toc523830008"/>
      <w:bookmarkStart w:id="109" w:name="_Toc466788867"/>
      <w:bookmarkStart w:id="110" w:name="_Toc22454479"/>
      <w:r>
        <w:rPr>
          <w:color w:val="auto"/>
        </w:rPr>
        <w:t>十六、基金托管协议的变更、终止与基金财产的清算</w:t>
      </w:r>
      <w:bookmarkEnd w:id="106"/>
      <w:bookmarkEnd w:id="107"/>
    </w:p>
    <w:p>
      <w:pPr>
        <w:tabs>
          <w:tab w:val="left" w:pos="3780"/>
        </w:tabs>
        <w:autoSpaceDE w:val="0"/>
        <w:autoSpaceDN w:val="0"/>
        <w:spacing w:before="156" w:after="156" w:line="360" w:lineRule="auto"/>
        <w:outlineLvl w:val="0"/>
        <w:rPr>
          <w:rFonts w:ascii="宋体"/>
          <w:b/>
          <w:bCs/>
          <w:sz w:val="24"/>
        </w:rPr>
      </w:pPr>
      <w:bookmarkStart w:id="111" w:name="_Toc510842757"/>
      <w:r>
        <w:rPr>
          <w:rFonts w:ascii="宋体" w:hAnsi="宋体"/>
          <w:b/>
          <w:bCs/>
          <w:sz w:val="24"/>
        </w:rPr>
        <w:t>（一）基金托管协议的变更</w:t>
      </w:r>
      <w:bookmarkEnd w:id="111"/>
    </w:p>
    <w:p>
      <w:pPr>
        <w:spacing w:line="360" w:lineRule="auto"/>
        <w:ind w:firstLine="480" w:firstLineChars="200"/>
        <w:rPr>
          <w:rFonts w:ascii="宋体"/>
          <w:sz w:val="24"/>
        </w:rPr>
      </w:pPr>
      <w:r>
        <w:rPr>
          <w:rFonts w:ascii="宋体" w:hAnsi="宋体"/>
          <w:sz w:val="24"/>
        </w:rPr>
        <w:t>本协议双方当事人经协商一致，可以对协议进行修改。修改后的新协议，其内容不得与《基金合同》的规定有任何冲突。</w:t>
      </w:r>
    </w:p>
    <w:p>
      <w:pPr>
        <w:tabs>
          <w:tab w:val="left" w:pos="3780"/>
        </w:tabs>
        <w:autoSpaceDE w:val="0"/>
        <w:autoSpaceDN w:val="0"/>
        <w:spacing w:before="156" w:after="156" w:line="360" w:lineRule="auto"/>
        <w:outlineLvl w:val="0"/>
        <w:rPr>
          <w:rFonts w:ascii="宋体"/>
          <w:b/>
          <w:bCs/>
          <w:sz w:val="24"/>
        </w:rPr>
      </w:pPr>
      <w:r>
        <w:rPr>
          <w:rFonts w:ascii="宋体" w:hAnsi="宋体"/>
          <w:b/>
          <w:bCs/>
          <w:sz w:val="24"/>
        </w:rPr>
        <w:t>（二）基金托管协议的终止</w:t>
      </w:r>
    </w:p>
    <w:p>
      <w:pPr>
        <w:spacing w:line="360" w:lineRule="auto"/>
        <w:ind w:firstLine="480" w:firstLineChars="200"/>
        <w:rPr>
          <w:rFonts w:ascii="宋体"/>
          <w:sz w:val="24"/>
        </w:rPr>
      </w:pPr>
      <w:r>
        <w:rPr>
          <w:rFonts w:ascii="宋体" w:hAnsi="宋体"/>
          <w:sz w:val="24"/>
        </w:rPr>
        <w:t>1.《基金合同》终止；</w:t>
      </w:r>
    </w:p>
    <w:p>
      <w:pPr>
        <w:spacing w:line="360" w:lineRule="auto"/>
        <w:ind w:firstLine="480" w:firstLineChars="200"/>
        <w:rPr>
          <w:rFonts w:ascii="宋体"/>
          <w:sz w:val="24"/>
        </w:rPr>
      </w:pPr>
      <w:r>
        <w:rPr>
          <w:rFonts w:ascii="宋体" w:hAnsi="宋体"/>
          <w:sz w:val="24"/>
        </w:rPr>
        <w:t>2.基金托管人解散、依法被撤销、破产，被依法取消基金托管资格或因其他事由造成其他基金托管人接管基金财产；</w:t>
      </w:r>
    </w:p>
    <w:p>
      <w:pPr>
        <w:spacing w:line="360" w:lineRule="auto"/>
        <w:ind w:firstLine="480" w:firstLineChars="200"/>
        <w:rPr>
          <w:rFonts w:ascii="宋体"/>
          <w:sz w:val="24"/>
        </w:rPr>
      </w:pPr>
      <w:r>
        <w:rPr>
          <w:rFonts w:ascii="宋体" w:hAnsi="宋体"/>
          <w:sz w:val="24"/>
        </w:rPr>
        <w:t>3.基金管理人解散、依法被撤销、破产，被依法取消基金管理资格或因其他事由造成其他基金管理人接管基金管理权；</w:t>
      </w:r>
    </w:p>
    <w:p>
      <w:pPr>
        <w:spacing w:line="360" w:lineRule="auto"/>
        <w:ind w:firstLine="480" w:firstLineChars="200"/>
        <w:rPr>
          <w:rFonts w:ascii="宋体"/>
          <w:sz w:val="24"/>
        </w:rPr>
      </w:pPr>
      <w:r>
        <w:rPr>
          <w:rFonts w:ascii="宋体" w:hAnsi="宋体"/>
          <w:sz w:val="24"/>
        </w:rPr>
        <w:t>4.发生《基金法》、《运作办法》或其他法律法规规定的终止事项。</w:t>
      </w:r>
    </w:p>
    <w:p>
      <w:pPr>
        <w:tabs>
          <w:tab w:val="left" w:pos="3780"/>
        </w:tabs>
        <w:autoSpaceDE w:val="0"/>
        <w:autoSpaceDN w:val="0"/>
        <w:spacing w:before="156" w:after="156" w:line="360" w:lineRule="auto"/>
        <w:outlineLvl w:val="0"/>
        <w:rPr>
          <w:b/>
          <w:sz w:val="24"/>
        </w:rPr>
      </w:pPr>
      <w:r>
        <w:rPr>
          <w:b/>
          <w:sz w:val="24"/>
        </w:rPr>
        <w:t>（三）基金财产的清算</w:t>
      </w:r>
    </w:p>
    <w:p>
      <w:pPr>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rFonts w:hint="eastAsia"/>
          <w:bCs/>
          <w:sz w:val="24"/>
        </w:rPr>
        <w:t>4、基金财产清算程序：</w:t>
      </w:r>
    </w:p>
    <w:p>
      <w:pPr>
        <w:spacing w:line="360" w:lineRule="auto"/>
        <w:ind w:firstLine="480" w:firstLineChars="200"/>
        <w:rPr>
          <w:bCs/>
          <w:sz w:val="24"/>
        </w:rPr>
      </w:pPr>
      <w:r>
        <w:rPr>
          <w:rFonts w:hint="eastAsia"/>
          <w:bCs/>
          <w:sz w:val="24"/>
        </w:rPr>
        <w:t>（1）《基金合同》终止情形出现时，由基金财产清算小组统一接管基金财产；</w:t>
      </w:r>
    </w:p>
    <w:p>
      <w:pPr>
        <w:spacing w:line="360" w:lineRule="auto"/>
        <w:ind w:firstLine="480" w:firstLineChars="200"/>
        <w:rPr>
          <w:bCs/>
          <w:sz w:val="24"/>
        </w:rPr>
      </w:pPr>
      <w:r>
        <w:rPr>
          <w:rFonts w:hint="eastAsia"/>
          <w:bCs/>
          <w:sz w:val="24"/>
        </w:rPr>
        <w:t>（2）对基金财产和债权债务进行清理和确认；</w:t>
      </w:r>
    </w:p>
    <w:p>
      <w:pPr>
        <w:spacing w:line="360" w:lineRule="auto"/>
        <w:ind w:firstLine="480" w:firstLineChars="200"/>
        <w:rPr>
          <w:bCs/>
          <w:sz w:val="24"/>
        </w:rPr>
      </w:pPr>
      <w:r>
        <w:rPr>
          <w:rFonts w:hint="eastAsia"/>
          <w:bCs/>
          <w:sz w:val="24"/>
        </w:rPr>
        <w:t>（3）对基金财产进行估值和变现；</w:t>
      </w:r>
    </w:p>
    <w:p>
      <w:pPr>
        <w:spacing w:line="360" w:lineRule="auto"/>
        <w:ind w:firstLine="480" w:firstLineChars="200"/>
        <w:rPr>
          <w:bCs/>
          <w:sz w:val="24"/>
        </w:rPr>
      </w:pPr>
      <w:r>
        <w:rPr>
          <w:rFonts w:hint="eastAsia"/>
          <w:bCs/>
          <w:sz w:val="24"/>
        </w:rPr>
        <w:t>（4）制作清算报告；</w:t>
      </w:r>
    </w:p>
    <w:p>
      <w:pPr>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spacing w:line="360" w:lineRule="auto"/>
        <w:ind w:firstLine="480" w:firstLineChars="200"/>
        <w:rPr>
          <w:bCs/>
          <w:sz w:val="24"/>
        </w:rPr>
      </w:pPr>
      <w:r>
        <w:rPr>
          <w:rFonts w:hint="eastAsia"/>
          <w:bCs/>
          <w:sz w:val="24"/>
        </w:rPr>
        <w:t>（6）将清算报告报中国证监会备案并公告；</w:t>
      </w:r>
    </w:p>
    <w:p>
      <w:pPr>
        <w:spacing w:line="360" w:lineRule="auto"/>
        <w:ind w:firstLine="480" w:firstLineChars="200"/>
        <w:rPr>
          <w:bCs/>
          <w:sz w:val="24"/>
        </w:rPr>
      </w:pPr>
      <w:r>
        <w:rPr>
          <w:rFonts w:hint="eastAsia"/>
          <w:bCs/>
          <w:sz w:val="24"/>
        </w:rPr>
        <w:t>（7）对基金剩余财产进行分配。</w:t>
      </w:r>
    </w:p>
    <w:p>
      <w:pPr>
        <w:spacing w:line="360" w:lineRule="auto"/>
        <w:ind w:firstLine="480" w:firstLineChars="200"/>
        <w:rPr>
          <w:rFonts w:ascii="宋体" w:hAnsi="宋体"/>
          <w:sz w:val="24"/>
        </w:rPr>
      </w:pPr>
      <w:r>
        <w:rPr>
          <w:rFonts w:hint="eastAsia"/>
          <w:bCs/>
          <w:sz w:val="24"/>
        </w:rPr>
        <w:t>5、基金财产清算的期限为6个月，但因本基金所持证券的流动性受到限制而不能及时变现的，清算期限相应顺延。</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清算费用</w:t>
      </w:r>
    </w:p>
    <w:p>
      <w:pPr>
        <w:spacing w:line="360" w:lineRule="auto"/>
        <w:ind w:firstLine="480" w:firstLineChars="200"/>
        <w:rPr>
          <w:rFonts w:ascii="宋体" w:hAnsi="宋体"/>
          <w:sz w:val="24"/>
        </w:rPr>
      </w:pPr>
      <w:r>
        <w:rPr>
          <w:rFonts w:hint="eastAsia" w:ascii="宋体" w:hAnsi="宋体"/>
          <w:sz w:val="24"/>
        </w:rPr>
        <w:t>清算费用是指基金财产清算小组在进行基金财产清算过程中发生的所有合理费用，清算费用由基金财产清算小组优先从基金财产中支付。</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基金财产清算剩余资产的分配</w:t>
      </w:r>
    </w:p>
    <w:p>
      <w:pPr>
        <w:spacing w:line="360" w:lineRule="auto"/>
        <w:ind w:firstLine="480" w:firstLineChars="200"/>
        <w:rPr>
          <w:rFonts w:ascii="宋体" w:hAnsi="宋体"/>
          <w:sz w:val="24"/>
        </w:rPr>
      </w:pPr>
      <w:r>
        <w:rPr>
          <w:rFonts w:hint="eastAsia"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基金财产清算的公告</w:t>
      </w:r>
    </w:p>
    <w:p>
      <w:pPr>
        <w:spacing w:line="360" w:lineRule="auto"/>
        <w:ind w:firstLine="480" w:firstLineChars="200"/>
        <w:rPr>
          <w:rFonts w:ascii="宋体" w:hAnsi="宋体"/>
          <w:sz w:val="24"/>
        </w:rPr>
      </w:pPr>
      <w:r>
        <w:rPr>
          <w:rFonts w:hint="eastAsia"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基金财产清算账册及文件的保存</w:t>
      </w:r>
    </w:p>
    <w:p>
      <w:pPr>
        <w:spacing w:line="360" w:lineRule="auto"/>
        <w:ind w:firstLine="480" w:firstLineChars="200"/>
        <w:rPr>
          <w:rFonts w:ascii="宋体"/>
          <w:sz w:val="24"/>
        </w:rPr>
      </w:pPr>
      <w:r>
        <w:rPr>
          <w:rFonts w:hint="eastAsia" w:ascii="宋体" w:hAnsi="宋体"/>
          <w:sz w:val="24"/>
        </w:rPr>
        <w:t>基金财产清算账册及有关文件由基金托管人保存不低于法律法规规定的最低期限。</w:t>
      </w:r>
      <w:bookmarkStart w:id="112" w:name="_Toc125892453"/>
    </w:p>
    <w:p>
      <w:pPr>
        <w:pStyle w:val="2"/>
        <w:rPr>
          <w:color w:val="auto"/>
        </w:rPr>
      </w:pPr>
      <w:bookmarkStart w:id="113" w:name="_Toc196312627"/>
      <w:r>
        <w:rPr>
          <w:color w:val="auto"/>
        </w:rPr>
        <w:t>十七、违约责任</w:t>
      </w:r>
      <w:bookmarkEnd w:id="108"/>
      <w:bookmarkEnd w:id="109"/>
      <w:bookmarkEnd w:id="110"/>
      <w:bookmarkEnd w:id="112"/>
      <w:bookmarkEnd w:id="113"/>
    </w:p>
    <w:p>
      <w:pPr>
        <w:tabs>
          <w:tab w:val="left" w:pos="3780"/>
        </w:tabs>
        <w:autoSpaceDE w:val="0"/>
        <w:autoSpaceDN w:val="0"/>
        <w:spacing w:before="156" w:after="156" w:line="360" w:lineRule="auto"/>
        <w:outlineLvl w:val="0"/>
        <w:rPr>
          <w:b/>
          <w:sz w:val="24"/>
        </w:rPr>
      </w:pPr>
      <w:r>
        <w:rPr>
          <w:b/>
          <w:sz w:val="24"/>
        </w:rPr>
        <w:t>（一）基金管理人或基金托管人不履行本协议或履行本协议不符合约定的，应当承担违约责任。</w:t>
      </w:r>
    </w:p>
    <w:p>
      <w:pPr>
        <w:tabs>
          <w:tab w:val="left" w:pos="3780"/>
        </w:tabs>
        <w:autoSpaceDE w:val="0"/>
        <w:autoSpaceDN w:val="0"/>
        <w:spacing w:before="156" w:after="156" w:line="360" w:lineRule="auto"/>
        <w:outlineLvl w:val="0"/>
        <w:rPr>
          <w:b/>
          <w:sz w:val="24"/>
        </w:rPr>
      </w:pPr>
      <w:r>
        <w:rPr>
          <w:b/>
          <w:sz w:val="24"/>
        </w:rPr>
        <w:t>（二）</w:t>
      </w:r>
      <w:bookmarkStart w:id="114" w:name="OLE_LINK3"/>
      <w:r>
        <w:rPr>
          <w:b/>
          <w:sz w:val="24"/>
        </w:rPr>
        <w:t>基金管理人、基金托管人在履行各自职责的过程中，违反《基金法》等法律法规的规定</w:t>
      </w:r>
      <w:r>
        <w:rPr>
          <w:rFonts w:hint="eastAsia"/>
          <w:b/>
          <w:sz w:val="24"/>
        </w:rPr>
        <w:t>、基金合同</w:t>
      </w:r>
      <w:r>
        <w:rPr>
          <w:b/>
          <w:sz w:val="24"/>
        </w:rPr>
        <w:t>或者本托管协议</w:t>
      </w:r>
      <w:r>
        <w:rPr>
          <w:rFonts w:ascii="宋体" w:hAnsi="宋体"/>
          <w:b/>
          <w:bCs/>
          <w:sz w:val="24"/>
        </w:rPr>
        <w:t>约定</w:t>
      </w:r>
      <w:r>
        <w:rPr>
          <w:b/>
          <w:sz w:val="24"/>
        </w:rPr>
        <w:t>，给基金财产或者基金份额持有人造成损害的，应当分别对各自的行为依法承担赔偿责任；因共同行为给基金财产或者基金份额持有人造成损害的，应当承担连带赔偿责任，对损失的赔偿，仅限于直接损失。</w:t>
      </w:r>
      <w:bookmarkEnd w:id="114"/>
      <w:r>
        <w:rPr>
          <w:b/>
          <w:sz w:val="24"/>
        </w:rPr>
        <w:t>但是发生下列情况，当事人应当免责：</w:t>
      </w:r>
    </w:p>
    <w:p>
      <w:pPr>
        <w:spacing w:line="360" w:lineRule="auto"/>
        <w:ind w:firstLine="480" w:firstLineChars="200"/>
        <w:rPr>
          <w:rFonts w:ascii="宋体"/>
          <w:sz w:val="24"/>
        </w:rPr>
      </w:pPr>
      <w:r>
        <w:rPr>
          <w:rFonts w:ascii="宋体" w:hAnsi="宋体"/>
          <w:sz w:val="24"/>
        </w:rPr>
        <w:t>1.基金管理人和/或基金托管人按照中国证监会</w:t>
      </w:r>
      <w:r>
        <w:rPr>
          <w:rFonts w:hint="eastAsia" w:ascii="宋体" w:hAnsi="宋体"/>
          <w:sz w:val="24"/>
        </w:rPr>
        <w:t>等监管机构</w:t>
      </w:r>
      <w:r>
        <w:rPr>
          <w:rFonts w:ascii="宋体" w:hAnsi="宋体"/>
          <w:sz w:val="24"/>
        </w:rPr>
        <w:t>的规定或当时有效的法律法规作为或不作为而造成的损失等；</w:t>
      </w:r>
    </w:p>
    <w:p>
      <w:pPr>
        <w:spacing w:line="360" w:lineRule="auto"/>
        <w:ind w:firstLine="480" w:firstLineChars="200"/>
        <w:rPr>
          <w:rFonts w:ascii="宋体"/>
          <w:sz w:val="24"/>
        </w:rPr>
      </w:pPr>
      <w:r>
        <w:rPr>
          <w:rFonts w:ascii="宋体" w:hAnsi="宋体"/>
          <w:sz w:val="24"/>
        </w:rPr>
        <w:t>2.基金管理人由于按照《基金合同》规定的投资原则</w:t>
      </w:r>
      <w:r>
        <w:rPr>
          <w:rFonts w:hint="eastAsia" w:ascii="宋体" w:hAnsi="宋体"/>
          <w:sz w:val="24"/>
        </w:rPr>
        <w:t>行使或不行使其投资权而造成的损失等</w:t>
      </w:r>
      <w:r>
        <w:rPr>
          <w:rFonts w:ascii="宋体" w:hAnsi="宋体"/>
          <w:sz w:val="24"/>
        </w:rPr>
        <w:t>；</w:t>
      </w:r>
    </w:p>
    <w:p>
      <w:pPr>
        <w:spacing w:line="360" w:lineRule="auto"/>
        <w:ind w:firstLine="480" w:firstLineChars="200"/>
        <w:rPr>
          <w:rFonts w:ascii="宋体" w:hAnsi="宋体"/>
          <w:sz w:val="24"/>
        </w:rPr>
      </w:pPr>
      <w:r>
        <w:rPr>
          <w:rFonts w:ascii="宋体" w:hAnsi="宋体"/>
          <w:sz w:val="24"/>
        </w:rPr>
        <w:t>3.不可抗力。</w:t>
      </w:r>
    </w:p>
    <w:p>
      <w:pPr>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rPr>
        <w:t>.</w:t>
      </w:r>
      <w:r>
        <w:rPr>
          <w:rFonts w:hint="eastAsia" w:ascii="宋体" w:hAnsi="宋体"/>
          <w:sz w:val="24"/>
          <w:szCs w:val="21"/>
        </w:rPr>
        <w:t>基金托管人由于按照基金管理人符合基金合同约定的有效指令执行而造成的损失等；</w:t>
      </w:r>
    </w:p>
    <w:p>
      <w:pPr>
        <w:spacing w:line="360" w:lineRule="auto"/>
        <w:ind w:firstLine="480" w:firstLineChars="200"/>
        <w:rPr>
          <w:rFonts w:ascii="宋体" w:hAnsi="宋体"/>
          <w:sz w:val="24"/>
          <w:szCs w:val="21"/>
        </w:rPr>
      </w:pPr>
      <w:r>
        <w:rPr>
          <w:rFonts w:ascii="宋体" w:hAnsi="宋体"/>
          <w:sz w:val="24"/>
          <w:szCs w:val="21"/>
        </w:rPr>
        <w:t>5</w:t>
      </w:r>
      <w:r>
        <w:rPr>
          <w:rFonts w:hint="eastAsia" w:ascii="宋体" w:hAnsi="宋体"/>
          <w:sz w:val="24"/>
        </w:rPr>
        <w:t>.</w:t>
      </w:r>
      <w:r>
        <w:rPr>
          <w:rFonts w:hint="eastAsia" w:ascii="宋体" w:hAnsi="宋体"/>
          <w:sz w:val="24"/>
          <w:szCs w:val="21"/>
        </w:rPr>
        <w:t>基金托管人对存放或存管在基金托管人以外机构的基金资产，或交由证券公司等其他机构负责清算交收的基金资产（包括但不限于保证金账户内的资金、期货合约等）及其收益，因该等机构欺诈、疏忽、过失、破产等原因给基金财产带来的损失等。</w:t>
      </w:r>
    </w:p>
    <w:p>
      <w:pPr>
        <w:spacing w:line="360" w:lineRule="auto"/>
        <w:ind w:firstLine="480" w:firstLineChars="200"/>
        <w:rPr>
          <w:rFonts w:ascii="宋体"/>
          <w:sz w:val="24"/>
        </w:rPr>
      </w:pPr>
      <w:r>
        <w:rPr>
          <w:rFonts w:ascii="宋体" w:hAnsi="宋体"/>
          <w:sz w:val="24"/>
        </w:rPr>
        <w:t>如果由于本协议一方当事人（“违约方”）的违约行为给基金资产或基金投资者造成损失，而另一方当事人（“守约方”）赔偿了基金资产或基金投资者的损失，则守约方有权向违约方追索由此遭受的所有直接损失。</w:t>
      </w:r>
    </w:p>
    <w:p>
      <w:pPr>
        <w:spacing w:line="360" w:lineRule="auto"/>
        <w:ind w:firstLine="480" w:firstLineChars="200"/>
        <w:rPr>
          <w:rFonts w:ascii="宋体"/>
          <w:sz w:val="24"/>
        </w:rPr>
      </w:pPr>
      <w:r>
        <w:rPr>
          <w:rFonts w:ascii="宋体" w:hAnsi="宋体"/>
          <w:sz w:val="24"/>
        </w:rPr>
        <w:t>当事人一方违约，另一方在职责范围内有义务及时采取必要的措施，尽力防止损失的扩大。没有采取适当措施致使损失进一步扩大的，不得就扩大的损失要求赔偿。守约方因防止损失扩大而支出的合理费用由违约方承担。</w:t>
      </w:r>
    </w:p>
    <w:p>
      <w:pPr>
        <w:spacing w:line="360" w:lineRule="auto"/>
        <w:ind w:firstLine="480" w:firstLineChars="200"/>
        <w:rPr>
          <w:rFonts w:ascii="宋体"/>
          <w:sz w:val="24"/>
        </w:rPr>
      </w:pPr>
      <w:r>
        <w:rPr>
          <w:rFonts w:ascii="宋体" w:hAnsi="宋体"/>
          <w:sz w:val="24"/>
        </w:rPr>
        <w:t>由于基金管理人、基金托管人不可控制的因素导致业务出现差错，基金管理人和基金托管人虽然已经采取必要、适当、合理的措施进行检查，但是未能发现该错误的，由此造成基金资产或基金投资者损失，基金管理人和基金托管人免除赔偿责任。但基金管理人和基金托管人应当积极采取必要的措施消除或降低由此造成的影响。</w:t>
      </w:r>
    </w:p>
    <w:p>
      <w:pPr>
        <w:tabs>
          <w:tab w:val="left" w:pos="3780"/>
        </w:tabs>
        <w:autoSpaceDE w:val="0"/>
        <w:autoSpaceDN w:val="0"/>
        <w:spacing w:before="156" w:after="156" w:line="360" w:lineRule="auto"/>
        <w:outlineLvl w:val="0"/>
        <w:rPr>
          <w:b/>
          <w:sz w:val="24"/>
        </w:rPr>
      </w:pPr>
      <w:r>
        <w:rPr>
          <w:b/>
          <w:sz w:val="24"/>
        </w:rPr>
        <w:t>（三）托管</w:t>
      </w:r>
      <w:r>
        <w:rPr>
          <w:rFonts w:ascii="宋体" w:hAnsi="宋体"/>
          <w:b/>
          <w:bCs/>
          <w:sz w:val="24"/>
        </w:rPr>
        <w:t>协议</w:t>
      </w:r>
      <w:r>
        <w:rPr>
          <w:b/>
          <w:sz w:val="24"/>
        </w:rPr>
        <w:t>当事人违反托管协议，给另一方当事人造成损失的，应承担赔偿责任。</w:t>
      </w:r>
    </w:p>
    <w:p>
      <w:pPr>
        <w:tabs>
          <w:tab w:val="left" w:pos="3780"/>
        </w:tabs>
        <w:autoSpaceDE w:val="0"/>
        <w:autoSpaceDN w:val="0"/>
        <w:spacing w:before="156" w:after="156" w:line="360" w:lineRule="auto"/>
        <w:outlineLvl w:val="0"/>
        <w:rPr>
          <w:b/>
          <w:sz w:val="24"/>
        </w:rPr>
      </w:pPr>
      <w:r>
        <w:rPr>
          <w:b/>
          <w:sz w:val="24"/>
        </w:rPr>
        <w:t>（四）违约行为虽已发生，但本托管协议能够继续履行的，在最大限度地保护基金份额持有人</w:t>
      </w:r>
      <w:r>
        <w:rPr>
          <w:rFonts w:ascii="宋体" w:hAnsi="宋体"/>
          <w:b/>
          <w:bCs/>
          <w:sz w:val="24"/>
        </w:rPr>
        <w:t>利益</w:t>
      </w:r>
      <w:r>
        <w:rPr>
          <w:b/>
          <w:sz w:val="24"/>
        </w:rPr>
        <w:t>的前提下，基金管理人和基金托管人应当继续履行本协议。</w:t>
      </w:r>
      <w:bookmarkStart w:id="115" w:name="_Toc22454480"/>
      <w:bookmarkStart w:id="116" w:name="_Toc523830010"/>
      <w:bookmarkStart w:id="117" w:name="_Toc466788868"/>
      <w:bookmarkStart w:id="118" w:name="_Toc125892454"/>
    </w:p>
    <w:p>
      <w:pPr>
        <w:tabs>
          <w:tab w:val="left" w:pos="3780"/>
        </w:tabs>
        <w:autoSpaceDE w:val="0"/>
        <w:autoSpaceDN w:val="0"/>
        <w:spacing w:before="156" w:after="156" w:line="360" w:lineRule="auto"/>
        <w:outlineLvl w:val="0"/>
        <w:rPr>
          <w:b/>
          <w:sz w:val="24"/>
        </w:rPr>
      </w:pPr>
      <w:r>
        <w:rPr>
          <w:b/>
          <w:sz w:val="24"/>
        </w:rPr>
        <w:t>（五）本协议所指损失均为直接损失。</w:t>
      </w:r>
    </w:p>
    <w:p>
      <w:pPr>
        <w:pStyle w:val="2"/>
        <w:rPr>
          <w:color w:val="auto"/>
        </w:rPr>
      </w:pPr>
      <w:bookmarkStart w:id="119" w:name="_Toc196312628"/>
      <w:r>
        <w:rPr>
          <w:color w:val="auto"/>
        </w:rPr>
        <w:t>十八、争议</w:t>
      </w:r>
      <w:bookmarkEnd w:id="115"/>
      <w:bookmarkEnd w:id="116"/>
      <w:bookmarkEnd w:id="117"/>
      <w:r>
        <w:rPr>
          <w:color w:val="auto"/>
        </w:rPr>
        <w:t>解决方式</w:t>
      </w:r>
      <w:bookmarkEnd w:id="118"/>
      <w:bookmarkEnd w:id="119"/>
    </w:p>
    <w:p>
      <w:pPr>
        <w:spacing w:line="360" w:lineRule="auto"/>
        <w:ind w:firstLine="480" w:firstLineChars="200"/>
        <w:rPr>
          <w:rFonts w:ascii="宋体"/>
          <w:sz w:val="24"/>
        </w:rPr>
      </w:pPr>
      <w:r>
        <w:rPr>
          <w:rFonts w:ascii="宋体" w:hAnsi="宋体"/>
          <w:sz w:val="24"/>
        </w:rPr>
        <w:t>双方当事人同意，因本协议而产生的或与本协议有关的一切争议，应通过友好协商解决。托管协议当事人不愿通过协商解决或者协商不成的，任何一方当事人均有权将争议提交</w:t>
      </w:r>
      <w:r>
        <w:rPr>
          <w:rFonts w:hint="eastAsia" w:ascii="宋体" w:hAnsi="宋体"/>
          <w:sz w:val="24"/>
        </w:rPr>
        <w:t>中国国际经济贸易仲裁委员会，按照中国国际经济贸易仲裁委员会届时有效的仲裁规则进行仲裁。仲裁地点为北京市。</w:t>
      </w:r>
      <w:r>
        <w:rPr>
          <w:rFonts w:ascii="宋体" w:hAnsi="宋体"/>
          <w:sz w:val="24"/>
        </w:rPr>
        <w:t>仲裁裁决是终局的，并对相关各方当事人均有约束力。除非仲裁裁决另有决定，仲裁费用由败诉方承担。</w:t>
      </w:r>
    </w:p>
    <w:p>
      <w:pPr>
        <w:spacing w:line="360" w:lineRule="auto"/>
        <w:ind w:firstLine="480" w:firstLineChars="200"/>
        <w:rPr>
          <w:rFonts w:ascii="宋体"/>
          <w:sz w:val="24"/>
        </w:rPr>
      </w:pPr>
      <w:r>
        <w:rPr>
          <w:rFonts w:ascii="宋体" w:hAnsi="宋体"/>
          <w:sz w:val="24"/>
        </w:rPr>
        <w:t>争议处理期间，双方当事人应恪守基金管理人和基金托管人职责，继续忠实、勤勉、尽责地履行《基金合同》和本协议规定的义务，维护基金份额持有人的合法权益。</w:t>
      </w:r>
    </w:p>
    <w:p>
      <w:pPr>
        <w:spacing w:line="360" w:lineRule="auto"/>
        <w:ind w:firstLine="480" w:firstLineChars="200"/>
        <w:rPr>
          <w:rFonts w:ascii="宋体"/>
          <w:sz w:val="24"/>
        </w:rPr>
      </w:pPr>
      <w:r>
        <w:rPr>
          <w:rFonts w:ascii="宋体" w:hAnsi="宋体"/>
          <w:sz w:val="24"/>
        </w:rPr>
        <w:t>本协议受中华人民共和国法律（为本协议之目的，在此不包括香港特别行政区、澳门特别行政区和台湾地区法律）管辖并从其解释。</w:t>
      </w:r>
      <w:bookmarkStart w:id="120" w:name="_Toc22454481"/>
      <w:bookmarkStart w:id="121" w:name="_Toc466788869"/>
      <w:bookmarkStart w:id="122" w:name="_Toc125892455"/>
      <w:bookmarkStart w:id="123" w:name="_Toc523830011"/>
    </w:p>
    <w:p>
      <w:pPr>
        <w:pStyle w:val="2"/>
        <w:rPr>
          <w:color w:val="auto"/>
        </w:rPr>
      </w:pPr>
      <w:bookmarkStart w:id="124" w:name="_Toc196312629"/>
      <w:r>
        <w:rPr>
          <w:color w:val="auto"/>
        </w:rPr>
        <w:t>十九、基金托管协议的效力</w:t>
      </w:r>
      <w:bookmarkEnd w:id="120"/>
      <w:bookmarkEnd w:id="121"/>
      <w:bookmarkEnd w:id="122"/>
      <w:bookmarkEnd w:id="123"/>
      <w:bookmarkEnd w:id="124"/>
    </w:p>
    <w:p>
      <w:pPr>
        <w:tabs>
          <w:tab w:val="left" w:pos="3780"/>
        </w:tabs>
        <w:autoSpaceDE w:val="0"/>
        <w:autoSpaceDN w:val="0"/>
        <w:spacing w:before="156" w:after="156" w:line="360" w:lineRule="auto"/>
        <w:outlineLvl w:val="0"/>
        <w:rPr>
          <w:b/>
          <w:sz w:val="24"/>
        </w:rPr>
      </w:pPr>
      <w:r>
        <w:rPr>
          <w:b/>
          <w:sz w:val="24"/>
        </w:rPr>
        <w:t>（一）基金管理人在向中国证监会申请募集注册时提交的基金托管协议草案，应经托管协议当事人双方盖章以及双方法定代表人或授权代表签字或盖章，协议当事人双方根据中国证监会的意见修改托管协议草案。托管协议以报中国证监会注册的文本为正式文本。</w:t>
      </w:r>
    </w:p>
    <w:p>
      <w:pPr>
        <w:tabs>
          <w:tab w:val="left" w:pos="3780"/>
        </w:tabs>
        <w:autoSpaceDE w:val="0"/>
        <w:autoSpaceDN w:val="0"/>
        <w:spacing w:before="156" w:after="156" w:line="360" w:lineRule="auto"/>
        <w:outlineLvl w:val="0"/>
        <w:rPr>
          <w:b/>
          <w:sz w:val="24"/>
        </w:rPr>
      </w:pPr>
      <w:r>
        <w:rPr>
          <w:b/>
          <w:sz w:val="24"/>
        </w:rPr>
        <w:t>（二）基金托管协议自《基金合同》成立之日起成立，自《基金合同》生效之日起生效。基金</w:t>
      </w:r>
      <w:r>
        <w:rPr>
          <w:rFonts w:ascii="宋体" w:hAnsi="宋体"/>
          <w:b/>
          <w:bCs/>
          <w:sz w:val="24"/>
        </w:rPr>
        <w:t>托管</w:t>
      </w:r>
      <w:r>
        <w:rPr>
          <w:b/>
          <w:sz w:val="24"/>
        </w:rPr>
        <w:t>协议的有效期自其生效之日起至基金财产清算结果报中国证监会备案并公告之日止。</w:t>
      </w:r>
    </w:p>
    <w:p>
      <w:pPr>
        <w:tabs>
          <w:tab w:val="left" w:pos="3780"/>
        </w:tabs>
        <w:autoSpaceDE w:val="0"/>
        <w:autoSpaceDN w:val="0"/>
        <w:spacing w:before="156" w:after="156" w:line="360" w:lineRule="auto"/>
        <w:outlineLvl w:val="0"/>
        <w:rPr>
          <w:b/>
          <w:sz w:val="24"/>
        </w:rPr>
      </w:pPr>
      <w:r>
        <w:rPr>
          <w:b/>
          <w:sz w:val="24"/>
        </w:rPr>
        <w:t>（三）基金托管</w:t>
      </w:r>
      <w:r>
        <w:rPr>
          <w:rFonts w:ascii="宋体" w:hAnsi="宋体"/>
          <w:b/>
          <w:bCs/>
          <w:sz w:val="24"/>
        </w:rPr>
        <w:t>协议</w:t>
      </w:r>
      <w:r>
        <w:rPr>
          <w:b/>
          <w:sz w:val="24"/>
        </w:rPr>
        <w:t>自生效之日起对托管协议当事人具有同等的法律约束力。</w:t>
      </w:r>
    </w:p>
    <w:p>
      <w:pPr>
        <w:tabs>
          <w:tab w:val="left" w:pos="3780"/>
        </w:tabs>
        <w:autoSpaceDE w:val="0"/>
        <w:autoSpaceDN w:val="0"/>
        <w:spacing w:before="156" w:after="156" w:line="360" w:lineRule="auto"/>
        <w:outlineLvl w:val="0"/>
        <w:rPr>
          <w:b/>
          <w:sz w:val="24"/>
        </w:rPr>
      </w:pPr>
      <w:r>
        <w:rPr>
          <w:b/>
          <w:sz w:val="24"/>
        </w:rPr>
        <w:t>（四）基金托管</w:t>
      </w:r>
      <w:r>
        <w:rPr>
          <w:rFonts w:ascii="宋体" w:hAnsi="宋体"/>
          <w:b/>
          <w:bCs/>
          <w:sz w:val="24"/>
        </w:rPr>
        <w:t>协议正本</w:t>
      </w:r>
      <w:r>
        <w:rPr>
          <w:b/>
          <w:sz w:val="24"/>
        </w:rPr>
        <w:t>一式</w:t>
      </w:r>
      <w:r>
        <w:rPr>
          <w:rFonts w:hint="eastAsia"/>
          <w:b/>
          <w:sz w:val="24"/>
        </w:rPr>
        <w:t>叁</w:t>
      </w:r>
      <w:r>
        <w:rPr>
          <w:b/>
          <w:sz w:val="24"/>
        </w:rPr>
        <w:t>份，除上报有关监管机构一式</w:t>
      </w:r>
      <w:r>
        <w:rPr>
          <w:rFonts w:hint="eastAsia"/>
          <w:b/>
          <w:sz w:val="24"/>
        </w:rPr>
        <w:t>壹</w:t>
      </w:r>
      <w:r>
        <w:rPr>
          <w:b/>
          <w:sz w:val="24"/>
        </w:rPr>
        <w:t>份外，基金管理人和基金托管人各持有</w:t>
      </w:r>
      <w:r>
        <w:rPr>
          <w:rFonts w:hint="eastAsia"/>
          <w:b/>
          <w:sz w:val="24"/>
        </w:rPr>
        <w:t>壹</w:t>
      </w:r>
      <w:r>
        <w:rPr>
          <w:b/>
          <w:sz w:val="24"/>
        </w:rPr>
        <w:t>份，每份具有同等的法律效力。</w:t>
      </w:r>
    </w:p>
    <w:p>
      <w:pPr>
        <w:pStyle w:val="2"/>
        <w:rPr>
          <w:color w:val="auto"/>
        </w:rPr>
      </w:pPr>
      <w:bookmarkStart w:id="125" w:name="_Toc196312630"/>
      <w:r>
        <w:rPr>
          <w:color w:val="auto"/>
        </w:rPr>
        <w:t>二十、其他事项</w:t>
      </w:r>
      <w:bookmarkEnd w:id="125"/>
    </w:p>
    <w:p>
      <w:pPr>
        <w:spacing w:line="360" w:lineRule="auto"/>
        <w:ind w:firstLine="480" w:firstLineChars="200"/>
        <w:rPr>
          <w:rFonts w:ascii="宋体" w:hAnsi="宋体"/>
          <w:sz w:val="24"/>
        </w:rPr>
      </w:pPr>
      <w:r>
        <w:rPr>
          <w:rFonts w:ascii="宋体" w:hAnsi="宋体"/>
          <w:sz w:val="24"/>
        </w:rPr>
        <w:t>本协议未尽事宜，当事人依据基金合同、有关法律法规等规定协商办理。</w:t>
      </w:r>
    </w:p>
    <w:p>
      <w:pPr>
        <w:pStyle w:val="2"/>
        <w:rPr>
          <w:color w:val="auto"/>
        </w:rPr>
      </w:pPr>
      <w:bookmarkStart w:id="126" w:name="_Toc22454484"/>
      <w:bookmarkStart w:id="127" w:name="_Toc523830014"/>
      <w:bookmarkStart w:id="128" w:name="_Toc196312631"/>
      <w:r>
        <w:rPr>
          <w:color w:val="auto"/>
        </w:rPr>
        <w:t>二十一、基金托管协议的签订</w:t>
      </w:r>
      <w:bookmarkEnd w:id="126"/>
      <w:bookmarkEnd w:id="127"/>
      <w:bookmarkEnd w:id="128"/>
    </w:p>
    <w:p>
      <w:pPr>
        <w:spacing w:line="360" w:lineRule="auto"/>
        <w:rPr>
          <w:sz w:val="24"/>
        </w:rPr>
        <w:sectPr>
          <w:footerReference r:id="rId9" w:type="first"/>
          <w:headerReference r:id="rId7" w:type="default"/>
          <w:footerReference r:id="rId8" w:type="default"/>
          <w:pgSz w:w="11906" w:h="16838"/>
          <w:pgMar w:top="1440" w:right="1797" w:bottom="1440" w:left="1797" w:header="851" w:footer="992" w:gutter="0"/>
          <w:pgNumType w:start="1"/>
          <w:cols w:space="720" w:num="1"/>
          <w:titlePg/>
          <w:docGrid w:type="linesAndChars" w:linePitch="312" w:charSpace="0"/>
        </w:sectPr>
      </w:pPr>
    </w:p>
    <w:p>
      <w:pPr>
        <w:spacing w:line="360" w:lineRule="auto"/>
        <w:rPr>
          <w:sz w:val="24"/>
        </w:rPr>
      </w:pPr>
      <w:r>
        <w:br w:type="page"/>
      </w:r>
      <w:r>
        <w:rPr>
          <w:sz w:val="24"/>
        </w:rPr>
        <w:t>（本页无正文，为《</w:t>
      </w:r>
      <w:r>
        <w:rPr>
          <w:rFonts w:hint="eastAsia"/>
          <w:sz w:val="24"/>
        </w:rPr>
        <w:t>交银施罗德中证港股通央企红利指数型证券投资基金</w:t>
      </w:r>
      <w:r>
        <w:rPr>
          <w:sz w:val="24"/>
        </w:rPr>
        <w:t>托管协议》的签署页）</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基金管理人：交银施罗德基金管理有限公司（盖章）</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法定代表人或授权代表（签字或盖章）：</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基金托管人：</w:t>
      </w:r>
      <w:r>
        <w:rPr>
          <w:rFonts w:hint="eastAsia"/>
          <w:sz w:val="24"/>
        </w:rPr>
        <w:t>中信建投证券股份有限公司</w:t>
      </w:r>
      <w:r>
        <w:rPr>
          <w:sz w:val="24"/>
        </w:rPr>
        <w:t>（盖章）</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法定代表人或授权代表（签字或盖章）：</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签订地点：</w:t>
      </w:r>
    </w:p>
    <w:p>
      <w:pPr>
        <w:spacing w:line="360" w:lineRule="auto"/>
        <w:ind w:firstLine="500" w:firstLineChars="250"/>
        <w:rPr>
          <w:sz w:val="24"/>
        </w:rPr>
      </w:pPr>
      <w: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693420</wp:posOffset>
                </wp:positionV>
                <wp:extent cx="800100" cy="495300"/>
                <wp:effectExtent l="4445" t="4445" r="14605" b="14605"/>
                <wp:wrapNone/>
                <wp:docPr id="1" name="矩形 1"/>
                <wp:cNvGraphicFramePr/>
                <a:graphic xmlns:a="http://schemas.openxmlformats.org/drawingml/2006/main">
                  <a:graphicData uri="http://schemas.microsoft.com/office/word/2010/wordprocessingShape">
                    <wps:wsp>
                      <wps:cNvSpPr/>
                      <wps:spPr bwMode="auto">
                        <a:xfrm>
                          <a:off x="0" y="0"/>
                          <a:ext cx="800100" cy="495300"/>
                        </a:xfrm>
                        <a:prstGeom prst="rect">
                          <a:avLst/>
                        </a:prstGeom>
                        <a:solidFill>
                          <a:srgbClr val="FFFFFF"/>
                        </a:solidFill>
                        <a:ln>
                          <a:solidFill>
                            <a:srgbClr val="FFFFFF"/>
                          </a:solidFill>
                        </a:ln>
                        <a:effectLst/>
                      </wps:spPr>
                      <wps:txbx>
                        <w:txbxContent>
                          <w:p/>
                        </w:txbxContent>
                      </wps:txbx>
                      <wps:bodyPr wrap="square" upright="1"/>
                    </wps:wsp>
                  </a:graphicData>
                </a:graphic>
              </wp:anchor>
            </w:drawing>
          </mc:Choice>
          <mc:Fallback>
            <w:pict>
              <v:rect id="_x0000_s1026" o:spid="_x0000_s1026" o:spt="1" style="position:absolute;left:0pt;margin-left:180pt;margin-top:54.6pt;height:39pt;width:63pt;z-index:251660288;mso-width-relative:page;mso-height-relative:page;" fillcolor="#FFFFFF" filled="t" stroked="t" coordsize="21600,21600" o:gfxdata="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XY1+jXAAAACwEAAA8AAAAAAAAAAQAgAAAAIgAAAGRycy9k&#10;b3ducmV2LnhtbFBLAQIUABQAAAAIAIdO4kC3hhrtygEAALwDAAAOAAAAAAAAAAEAIAAAACYBAABk&#10;cnMvZTJvRG9jLnhtbFBLBQYAAAAABgAGAFkBAABiBQAAAAA=&#10;">
                <v:fill on="t" focussize="0,0"/>
                <v:stroke color="#FFFFFF" joinstyle="round"/>
                <v:imagedata o:title=""/>
                <o:lock v:ext="edit" aspectratio="f"/>
                <v:textbox>
                  <w:txbxContent>
                    <w:p/>
                  </w:txbxContent>
                </v:textbox>
              </v:rect>
            </w:pict>
          </mc:Fallback>
        </mc:AlternateContent>
      </w:r>
      <w:r>
        <w:rPr>
          <w:sz w:val="24"/>
        </w:rPr>
        <w:t>签订日期：      年   月   日</w:t>
      </w:r>
    </w:p>
    <w:sectPr>
      <w:headerReference r:id="rId10" w:type="default"/>
      <w:type w:val="continuous"/>
      <w:pgSz w:w="11906" w:h="16838"/>
      <w:pgMar w:top="1440" w:right="1797" w:bottom="1440" w:left="1797"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rPr>
        <w:rFonts w:hint="eastAsia"/>
      </w:rPr>
      <w:fldChar w:fldCharType="begin"/>
    </w:r>
    <w:r>
      <w:rPr>
        <w:rStyle w:val="40"/>
        <w:rFonts w:hint="eastAsia"/>
      </w:rPr>
      <w:instrText xml:space="preserve"> PAGE  </w:instrText>
    </w:r>
    <w:r>
      <w:rPr>
        <w:rFonts w:hint="eastAsia"/>
      </w:rPr>
      <w:fldChar w:fldCharType="separate"/>
    </w:r>
    <w:r>
      <w:rPr>
        <w:rStyle w:val="40"/>
      </w:rPr>
      <w:t>1</w:t>
    </w:r>
    <w:r>
      <w:rPr>
        <w:rFonts w:hint="eastAsia"/>
      </w:rPr>
      <w:fldChar w:fldCharType="end"/>
    </w:r>
  </w:p>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napToGrid/>
      <w:rPr>
        <w:rStyle w:val="40"/>
      </w:rPr>
    </w:pPr>
    <w:r>
      <w:rPr>
        <w:rStyle w:val="40"/>
      </w:rPr>
      <w:fldChar w:fldCharType="begin"/>
    </w:r>
    <w:r>
      <w:rPr>
        <w:rStyle w:val="40"/>
      </w:rPr>
      <w:instrText xml:space="preserve">PAGE</w:instrText>
    </w:r>
    <w:r>
      <w:rPr>
        <w:rStyle w:val="40"/>
      </w:rPr>
      <w:fldChar w:fldCharType="separate"/>
    </w:r>
    <w:r>
      <w:rPr>
        <w:rStyle w:val="40"/>
      </w:rPr>
      <w:t>XXX</w:t>
    </w:r>
    <w:r>
      <w:rPr>
        <w:rStyle w:val="40"/>
      </w:rPr>
      <w:fldChar w:fldCharType="end"/>
    </w:r>
  </w:p>
  <w:p>
    <w:pPr>
      <w:pStyle w:val="23"/>
      <w:snapToGri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napToGri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napToGrid/>
      <w:jc w:val="center"/>
    </w:pPr>
    <w:r>
      <w:rPr>
        <w:rStyle w:val="40"/>
      </w:rPr>
      <w:fldChar w:fldCharType="begin"/>
    </w:r>
    <w:r>
      <w:rPr>
        <w:rStyle w:val="40"/>
      </w:rPr>
      <w:instrText xml:space="preserve">PAGE  </w:instrText>
    </w:r>
    <w:r>
      <w:rPr>
        <w:rStyle w:val="40"/>
      </w:rPr>
      <w:fldChar w:fldCharType="separate"/>
    </w:r>
    <w:r>
      <w:rPr>
        <w:rStyle w:val="40"/>
      </w:rPr>
      <w:t>2</w:t>
    </w:r>
    <w:r>
      <w:rPr>
        <w:rStyle w:val="4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napToGrid/>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jc w:val="right"/>
    </w:pPr>
    <w:r>
      <w:rPr>
        <w:rFonts w:hint="eastAsia" w:ascii="宋体" w:hAnsi="宋体"/>
        <w:szCs w:val="21"/>
      </w:rPr>
      <w:t>交银施罗德中证港股通央企红利指数型证券投资基金</w:t>
    </w: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jc w:val="right"/>
    </w:pPr>
    <w:r>
      <w:rPr>
        <w:rFonts w:hint="eastAsia" w:ascii="宋体" w:hAnsi="宋体"/>
        <w:szCs w:val="21"/>
      </w:rPr>
      <w:t>交银施罗德中证港股通央企红利指数型证券投资基金</w:t>
    </w:r>
    <w: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jc w:val="left"/>
    </w:pPr>
    <w:r>
      <w:rPr>
        <w:rFonts w:hint="eastAsia" w:ascii="宋体" w:hAnsi="宋体"/>
        <w:szCs w:val="21"/>
      </w:rPr>
      <w:t>交银施罗德中证港股通央企红利指数型证券投资基金</w:t>
    </w:r>
    <w:r>
      <w:t xml:space="preserve">                    </w:t>
    </w:r>
    <w:r>
      <w:rPr>
        <w:rFonts w:hint="eastAsia"/>
      </w:rPr>
      <w:t xml:space="preserve">    </w:t>
    </w:r>
    <w:r>
      <w:t xml:space="preserve">   </w:t>
    </w:r>
    <w:r>
      <w:rPr>
        <w:rFonts w:hint="eastAsia"/>
      </w:rPr>
      <w:t xml:space="preserve">      </w:t>
    </w:r>
    <w:r>
      <w:t xml:space="preserve">    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17BC7"/>
    <w:multiLevelType w:val="multilevel"/>
    <w:tmpl w:val="67E17BC7"/>
    <w:lvl w:ilvl="0" w:tentative="0">
      <w:start w:val="1"/>
      <w:numFmt w:val="decimal"/>
      <w:pStyle w:val="212"/>
      <w:lvlText w:val="(%1)"/>
      <w:lvlJc w:val="left"/>
      <w:pPr>
        <w:tabs>
          <w:tab w:val="left" w:pos="1941"/>
        </w:tabs>
        <w:ind w:left="1941" w:hanging="681"/>
      </w:pPr>
      <w:rPr>
        <w:rFonts w:ascii="Arial" w:hAnsi="Arial"/>
        <w:b w:val="0"/>
        <w:i w:val="0"/>
        <w:sz w:val="20"/>
      </w:rPr>
    </w:lvl>
    <w:lvl w:ilvl="1" w:tentative="0">
      <w:start w:val="1"/>
      <w:numFmt w:val="lowerLetter"/>
      <w:lvlText w:val="%2."/>
      <w:lvlJc w:val="left"/>
      <w:pPr>
        <w:tabs>
          <w:tab w:val="left" w:pos="1620"/>
        </w:tabs>
        <w:ind w:left="1620" w:hanging="360"/>
      </w:pPr>
    </w:lvl>
    <w:lvl w:ilvl="2" w:tentative="0">
      <w:start w:val="1"/>
      <w:numFmt w:val="lowerRoman"/>
      <w:lvlText w:val="%3."/>
      <w:lvlJc w:val="right"/>
      <w:pPr>
        <w:tabs>
          <w:tab w:val="left" w:pos="2340"/>
        </w:tabs>
        <w:ind w:left="2340" w:hanging="180"/>
      </w:pPr>
    </w:lvl>
    <w:lvl w:ilvl="3" w:tentative="0">
      <w:start w:val="1"/>
      <w:numFmt w:val="decimal"/>
      <w:lvlText w:val="%4."/>
      <w:lvlJc w:val="left"/>
      <w:pPr>
        <w:tabs>
          <w:tab w:val="left" w:pos="3060"/>
        </w:tabs>
        <w:ind w:left="3060" w:hanging="360"/>
      </w:pPr>
    </w:lvl>
    <w:lvl w:ilvl="4" w:tentative="0">
      <w:start w:val="1"/>
      <w:numFmt w:val="lowerLetter"/>
      <w:lvlText w:val="%5."/>
      <w:lvlJc w:val="left"/>
      <w:pPr>
        <w:tabs>
          <w:tab w:val="left" w:pos="3780"/>
        </w:tabs>
        <w:ind w:left="3780" w:hanging="360"/>
      </w:pPr>
    </w:lvl>
    <w:lvl w:ilvl="5" w:tentative="0">
      <w:start w:val="1"/>
      <w:numFmt w:val="lowerRoman"/>
      <w:lvlText w:val="%6."/>
      <w:lvlJc w:val="right"/>
      <w:pPr>
        <w:tabs>
          <w:tab w:val="left" w:pos="4500"/>
        </w:tabs>
        <w:ind w:left="4500" w:hanging="180"/>
      </w:pPr>
    </w:lvl>
    <w:lvl w:ilvl="6" w:tentative="0">
      <w:start w:val="1"/>
      <w:numFmt w:val="decimal"/>
      <w:lvlText w:val="%7."/>
      <w:lvlJc w:val="left"/>
      <w:pPr>
        <w:tabs>
          <w:tab w:val="left" w:pos="5220"/>
        </w:tabs>
        <w:ind w:left="5220" w:hanging="360"/>
      </w:pPr>
    </w:lvl>
    <w:lvl w:ilvl="7" w:tentative="0">
      <w:start w:val="1"/>
      <w:numFmt w:val="lowerLetter"/>
      <w:lvlText w:val="%8."/>
      <w:lvlJc w:val="left"/>
      <w:pPr>
        <w:tabs>
          <w:tab w:val="left" w:pos="5940"/>
        </w:tabs>
        <w:ind w:left="5940" w:hanging="360"/>
      </w:pPr>
    </w:lvl>
    <w:lvl w:ilvl="8" w:tentative="0">
      <w:start w:val="1"/>
      <w:numFmt w:val="lowerRoman"/>
      <w:lvlText w:val="%9."/>
      <w:lvlJc w:val="right"/>
      <w:pPr>
        <w:tabs>
          <w:tab w:val="left"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noPunctuationKerning w:val="1"/>
  <w:characterSpacingControl w:val="compressPunctu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C"/>
    <w:rsid w:val="00006F4D"/>
    <w:rsid w:val="000357A4"/>
    <w:rsid w:val="000522A1"/>
    <w:rsid w:val="000949D5"/>
    <w:rsid w:val="000A1095"/>
    <w:rsid w:val="000A63EC"/>
    <w:rsid w:val="000B0FB0"/>
    <w:rsid w:val="000D5EA1"/>
    <w:rsid w:val="00100574"/>
    <w:rsid w:val="001107D7"/>
    <w:rsid w:val="0011303A"/>
    <w:rsid w:val="00126ADC"/>
    <w:rsid w:val="00147AD9"/>
    <w:rsid w:val="00177920"/>
    <w:rsid w:val="001C0F2D"/>
    <w:rsid w:val="001D71A8"/>
    <w:rsid w:val="00235BA7"/>
    <w:rsid w:val="002D0555"/>
    <w:rsid w:val="0034617A"/>
    <w:rsid w:val="003534AB"/>
    <w:rsid w:val="00373BE1"/>
    <w:rsid w:val="00382767"/>
    <w:rsid w:val="003A0FA6"/>
    <w:rsid w:val="003A3149"/>
    <w:rsid w:val="003A3C46"/>
    <w:rsid w:val="003B2643"/>
    <w:rsid w:val="003B6A6C"/>
    <w:rsid w:val="003C22D6"/>
    <w:rsid w:val="003C28ED"/>
    <w:rsid w:val="003E2F8A"/>
    <w:rsid w:val="003F51C8"/>
    <w:rsid w:val="00412E91"/>
    <w:rsid w:val="004327DA"/>
    <w:rsid w:val="00452F7E"/>
    <w:rsid w:val="00461B46"/>
    <w:rsid w:val="004670FC"/>
    <w:rsid w:val="00472F94"/>
    <w:rsid w:val="00492651"/>
    <w:rsid w:val="00495BCA"/>
    <w:rsid w:val="004A245E"/>
    <w:rsid w:val="004A7C80"/>
    <w:rsid w:val="004C3A23"/>
    <w:rsid w:val="00507DBC"/>
    <w:rsid w:val="0054208C"/>
    <w:rsid w:val="00542F0E"/>
    <w:rsid w:val="005D445D"/>
    <w:rsid w:val="00601D88"/>
    <w:rsid w:val="00606340"/>
    <w:rsid w:val="0061614E"/>
    <w:rsid w:val="006169C1"/>
    <w:rsid w:val="006270BE"/>
    <w:rsid w:val="0063206A"/>
    <w:rsid w:val="00656D0D"/>
    <w:rsid w:val="006644F2"/>
    <w:rsid w:val="00674037"/>
    <w:rsid w:val="00687474"/>
    <w:rsid w:val="0069125B"/>
    <w:rsid w:val="006A0F19"/>
    <w:rsid w:val="006B2FE6"/>
    <w:rsid w:val="006D6A5B"/>
    <w:rsid w:val="006F6CFF"/>
    <w:rsid w:val="006F77CA"/>
    <w:rsid w:val="00740BBC"/>
    <w:rsid w:val="00744668"/>
    <w:rsid w:val="00745FD3"/>
    <w:rsid w:val="00763283"/>
    <w:rsid w:val="00792325"/>
    <w:rsid w:val="007A364F"/>
    <w:rsid w:val="007B308F"/>
    <w:rsid w:val="007C6342"/>
    <w:rsid w:val="007D734D"/>
    <w:rsid w:val="007F1050"/>
    <w:rsid w:val="00806BB1"/>
    <w:rsid w:val="0081674C"/>
    <w:rsid w:val="00840956"/>
    <w:rsid w:val="008546DE"/>
    <w:rsid w:val="00880194"/>
    <w:rsid w:val="008C5C57"/>
    <w:rsid w:val="008D19EF"/>
    <w:rsid w:val="009016BD"/>
    <w:rsid w:val="00915079"/>
    <w:rsid w:val="00925D6C"/>
    <w:rsid w:val="00933D9F"/>
    <w:rsid w:val="00940A93"/>
    <w:rsid w:val="009433A9"/>
    <w:rsid w:val="00956954"/>
    <w:rsid w:val="00964599"/>
    <w:rsid w:val="0098107A"/>
    <w:rsid w:val="009811C5"/>
    <w:rsid w:val="009D5BA9"/>
    <w:rsid w:val="009D6CB5"/>
    <w:rsid w:val="009F49C1"/>
    <w:rsid w:val="00A014BB"/>
    <w:rsid w:val="00A15F58"/>
    <w:rsid w:val="00A30988"/>
    <w:rsid w:val="00A37961"/>
    <w:rsid w:val="00A63ACC"/>
    <w:rsid w:val="00A7200E"/>
    <w:rsid w:val="00A727B9"/>
    <w:rsid w:val="00A8775D"/>
    <w:rsid w:val="00AA17F2"/>
    <w:rsid w:val="00AF521D"/>
    <w:rsid w:val="00B25A6C"/>
    <w:rsid w:val="00B3094C"/>
    <w:rsid w:val="00B32EF2"/>
    <w:rsid w:val="00B35A48"/>
    <w:rsid w:val="00B802DE"/>
    <w:rsid w:val="00B80AA4"/>
    <w:rsid w:val="00B913CA"/>
    <w:rsid w:val="00B91763"/>
    <w:rsid w:val="00B94969"/>
    <w:rsid w:val="00BA5C53"/>
    <w:rsid w:val="00BB49F9"/>
    <w:rsid w:val="00BC4217"/>
    <w:rsid w:val="00C1425C"/>
    <w:rsid w:val="00C2274B"/>
    <w:rsid w:val="00C42430"/>
    <w:rsid w:val="00C53A7F"/>
    <w:rsid w:val="00C963D5"/>
    <w:rsid w:val="00CA0B1B"/>
    <w:rsid w:val="00CB0D0C"/>
    <w:rsid w:val="00CD43DE"/>
    <w:rsid w:val="00CE4A39"/>
    <w:rsid w:val="00CE5733"/>
    <w:rsid w:val="00CE6E7F"/>
    <w:rsid w:val="00CF6E9B"/>
    <w:rsid w:val="00D06E62"/>
    <w:rsid w:val="00D07A1A"/>
    <w:rsid w:val="00D24F8E"/>
    <w:rsid w:val="00D2551E"/>
    <w:rsid w:val="00D527C9"/>
    <w:rsid w:val="00D54C4E"/>
    <w:rsid w:val="00D56D82"/>
    <w:rsid w:val="00D77735"/>
    <w:rsid w:val="00DD4E05"/>
    <w:rsid w:val="00E66055"/>
    <w:rsid w:val="00E8517A"/>
    <w:rsid w:val="00E959FB"/>
    <w:rsid w:val="00EB6D68"/>
    <w:rsid w:val="00ED01DF"/>
    <w:rsid w:val="00EE358F"/>
    <w:rsid w:val="00F52BED"/>
    <w:rsid w:val="00F55EC1"/>
    <w:rsid w:val="00F63945"/>
    <w:rsid w:val="00F92127"/>
    <w:rsid w:val="00FA22BF"/>
    <w:rsid w:val="00FA72A2"/>
    <w:rsid w:val="00FB348A"/>
    <w:rsid w:val="00FD7700"/>
    <w:rsid w:val="00FF667D"/>
    <w:rsid w:val="028E4DD8"/>
    <w:rsid w:val="0B191045"/>
    <w:rsid w:val="0CCD3665"/>
    <w:rsid w:val="21DA0FC3"/>
    <w:rsid w:val="3D853403"/>
    <w:rsid w:val="5E7DDF5A"/>
    <w:rsid w:val="63916860"/>
    <w:rsid w:val="6B7F5651"/>
    <w:rsid w:val="70DF184D"/>
    <w:rsid w:val="79853F6B"/>
    <w:rsid w:val="7F0569DB"/>
    <w:rsid w:val="FEE270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95"/>
    <w:qFormat/>
    <w:uiPriority w:val="0"/>
    <w:pPr>
      <w:keepNext/>
      <w:keepLines/>
      <w:spacing w:before="120" w:after="120" w:line="360" w:lineRule="auto"/>
      <w:outlineLvl w:val="0"/>
    </w:pPr>
    <w:rPr>
      <w:rFonts w:ascii="宋体"/>
      <w:b/>
      <w:color w:val="000000"/>
      <w:sz w:val="24"/>
    </w:rPr>
  </w:style>
  <w:style w:type="paragraph" w:styleId="3">
    <w:name w:val="heading 2"/>
    <w:basedOn w:val="1"/>
    <w:next w:val="1"/>
    <w:link w:val="196"/>
    <w:qFormat/>
    <w:uiPriority w:val="0"/>
    <w:pPr>
      <w:keepNext/>
      <w:keepLines/>
      <w:spacing w:before="120" w:after="120" w:line="360" w:lineRule="auto"/>
      <w:outlineLvl w:val="1"/>
    </w:pPr>
    <w:rPr>
      <w:rFonts w:ascii="宋体" w:hAnsi="Arial"/>
      <w:b/>
    </w:rPr>
  </w:style>
  <w:style w:type="paragraph" w:styleId="4">
    <w:name w:val="heading 3"/>
    <w:next w:val="1"/>
    <w:link w:val="49"/>
    <w:unhideWhenUsed/>
    <w:qFormat/>
    <w:uiPriority w:val="9"/>
    <w:pPr>
      <w:keepNext/>
      <w:keepLines/>
      <w:spacing w:before="320" w:after="200"/>
      <w:outlineLvl w:val="2"/>
    </w:pPr>
    <w:rPr>
      <w:rFonts w:ascii="Arial" w:hAnsi="Arial" w:eastAsia="宋体" w:cs="Arial"/>
      <w:sz w:val="30"/>
      <w:szCs w:val="30"/>
      <w:lang w:val="en-US" w:eastAsia="zh-CN" w:bidi="ar-SA"/>
    </w:rPr>
  </w:style>
  <w:style w:type="paragraph" w:styleId="5">
    <w:name w:val="heading 4"/>
    <w:next w:val="1"/>
    <w:link w:val="50"/>
    <w:unhideWhenUsed/>
    <w:qFormat/>
    <w:uiPriority w:val="9"/>
    <w:pPr>
      <w:keepNext/>
      <w:keepLines/>
      <w:spacing w:before="320" w:after="200"/>
      <w:outlineLvl w:val="3"/>
    </w:pPr>
    <w:rPr>
      <w:rFonts w:ascii="Arial" w:hAnsi="Arial" w:eastAsia="宋体" w:cs="Arial"/>
      <w:b/>
      <w:bCs/>
      <w:sz w:val="26"/>
      <w:szCs w:val="26"/>
      <w:lang w:val="en-US" w:eastAsia="zh-CN" w:bidi="ar-SA"/>
    </w:rPr>
  </w:style>
  <w:style w:type="paragraph" w:styleId="6">
    <w:name w:val="heading 5"/>
    <w:next w:val="1"/>
    <w:link w:val="51"/>
    <w:unhideWhenUsed/>
    <w:qFormat/>
    <w:uiPriority w:val="9"/>
    <w:pPr>
      <w:keepNext/>
      <w:keepLines/>
      <w:spacing w:before="320" w:after="200"/>
      <w:outlineLvl w:val="4"/>
    </w:pPr>
    <w:rPr>
      <w:rFonts w:ascii="Arial" w:hAnsi="Arial" w:eastAsia="宋体" w:cs="Arial"/>
      <w:b/>
      <w:bCs/>
      <w:sz w:val="24"/>
      <w:szCs w:val="24"/>
      <w:lang w:val="en-US" w:eastAsia="zh-CN" w:bidi="ar-SA"/>
    </w:rPr>
  </w:style>
  <w:style w:type="paragraph" w:styleId="7">
    <w:name w:val="heading 6"/>
    <w:next w:val="1"/>
    <w:link w:val="52"/>
    <w:unhideWhenUsed/>
    <w:qFormat/>
    <w:uiPriority w:val="9"/>
    <w:pPr>
      <w:keepNext/>
      <w:keepLines/>
      <w:spacing w:before="320" w:after="200"/>
      <w:outlineLvl w:val="5"/>
    </w:pPr>
    <w:rPr>
      <w:rFonts w:ascii="Arial" w:hAnsi="Arial" w:eastAsia="宋体" w:cs="Arial"/>
      <w:b/>
      <w:bCs/>
      <w:sz w:val="22"/>
      <w:szCs w:val="22"/>
      <w:lang w:val="en-US" w:eastAsia="zh-CN" w:bidi="ar-SA"/>
    </w:rPr>
  </w:style>
  <w:style w:type="paragraph" w:styleId="8">
    <w:name w:val="heading 7"/>
    <w:next w:val="1"/>
    <w:link w:val="53"/>
    <w:unhideWhenUsed/>
    <w:qFormat/>
    <w:uiPriority w:val="9"/>
    <w:pPr>
      <w:keepNext/>
      <w:keepLines/>
      <w:spacing w:before="320" w:after="200"/>
      <w:outlineLvl w:val="6"/>
    </w:pPr>
    <w:rPr>
      <w:rFonts w:ascii="Arial" w:hAnsi="Arial" w:eastAsia="宋体" w:cs="Arial"/>
      <w:b/>
      <w:bCs/>
      <w:i/>
      <w:iCs/>
      <w:sz w:val="22"/>
      <w:szCs w:val="22"/>
      <w:lang w:val="en-US" w:eastAsia="zh-CN" w:bidi="ar-SA"/>
    </w:rPr>
  </w:style>
  <w:style w:type="paragraph" w:styleId="9">
    <w:name w:val="heading 8"/>
    <w:next w:val="1"/>
    <w:link w:val="54"/>
    <w:unhideWhenUsed/>
    <w:qFormat/>
    <w:uiPriority w:val="9"/>
    <w:pPr>
      <w:keepNext/>
      <w:keepLines/>
      <w:spacing w:before="320" w:after="200"/>
      <w:outlineLvl w:val="7"/>
    </w:pPr>
    <w:rPr>
      <w:rFonts w:ascii="Arial" w:hAnsi="Arial" w:eastAsia="宋体" w:cs="Arial"/>
      <w:i/>
      <w:iCs/>
      <w:sz w:val="22"/>
      <w:szCs w:val="22"/>
      <w:lang w:val="en-US" w:eastAsia="zh-CN" w:bidi="ar-SA"/>
    </w:rPr>
  </w:style>
  <w:style w:type="paragraph" w:styleId="10">
    <w:name w:val="heading 9"/>
    <w:next w:val="1"/>
    <w:link w:val="55"/>
    <w:unhideWhenUsed/>
    <w:qFormat/>
    <w:uiPriority w:val="9"/>
    <w:pPr>
      <w:keepNext/>
      <w:keepLines/>
      <w:spacing w:before="320" w:after="200"/>
      <w:outlineLvl w:val="8"/>
    </w:pPr>
    <w:rPr>
      <w:rFonts w:ascii="Arial" w:hAnsi="Arial" w:eastAsia="宋体" w:cs="Arial"/>
      <w:i/>
      <w:iCs/>
      <w:sz w:val="21"/>
      <w:szCs w:val="21"/>
      <w:lang w:val="en-US" w:eastAsia="zh-CN" w:bidi="ar-SA"/>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caption"/>
    <w:next w:val="1"/>
    <w:semiHidden/>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3">
    <w:name w:val="Document Map"/>
    <w:basedOn w:val="1"/>
    <w:link w:val="197"/>
    <w:semiHidden/>
    <w:qFormat/>
    <w:uiPriority w:val="0"/>
    <w:pPr>
      <w:shd w:val="clear" w:color="000080" w:fill="000080"/>
    </w:pPr>
  </w:style>
  <w:style w:type="paragraph" w:styleId="14">
    <w:name w:val="annotation text"/>
    <w:basedOn w:val="1"/>
    <w:link w:val="226"/>
    <w:unhideWhenUsed/>
    <w:qFormat/>
    <w:uiPriority w:val="0"/>
  </w:style>
  <w:style w:type="paragraph" w:styleId="15">
    <w:name w:val="Body Text"/>
    <w:basedOn w:val="1"/>
    <w:link w:val="199"/>
    <w:qFormat/>
    <w:uiPriority w:val="0"/>
    <w:pPr>
      <w:tabs>
        <w:tab w:val="left" w:pos="3780"/>
      </w:tabs>
      <w:autoSpaceDE w:val="0"/>
      <w:autoSpaceDN w:val="0"/>
      <w:spacing w:line="360" w:lineRule="auto"/>
      <w:outlineLvl w:val="0"/>
    </w:pPr>
    <w:rPr>
      <w:rFonts w:ascii="宋体" w:hAnsi="宋体"/>
      <w:b/>
      <w:bCs/>
      <w:color w:val="FF0000"/>
      <w:sz w:val="24"/>
    </w:rPr>
  </w:style>
  <w:style w:type="paragraph" w:styleId="16">
    <w:name w:val="Body Text Indent"/>
    <w:basedOn w:val="1"/>
    <w:link w:val="200"/>
    <w:qFormat/>
    <w:uiPriority w:val="0"/>
    <w:pPr>
      <w:spacing w:line="360" w:lineRule="auto"/>
      <w:ind w:firstLine="420"/>
    </w:p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toc 8"/>
    <w:basedOn w:val="1"/>
    <w:next w:val="1"/>
    <w:semiHidden/>
    <w:qFormat/>
    <w:uiPriority w:val="0"/>
    <w:pPr>
      <w:ind w:left="2940" w:leftChars="1400"/>
    </w:pPr>
  </w:style>
  <w:style w:type="paragraph" w:styleId="20">
    <w:name w:val="Body Text Indent 2"/>
    <w:basedOn w:val="1"/>
    <w:link w:val="201"/>
    <w:qFormat/>
    <w:uiPriority w:val="0"/>
    <w:pPr>
      <w:tabs>
        <w:tab w:val="left" w:pos="1260"/>
      </w:tabs>
      <w:spacing w:line="360" w:lineRule="auto"/>
      <w:ind w:firstLine="480" w:firstLineChars="200"/>
    </w:pPr>
    <w:rPr>
      <w:rFonts w:ascii="宋体" w:hAnsi="宋体"/>
      <w:sz w:val="24"/>
    </w:rPr>
  </w:style>
  <w:style w:type="paragraph" w:styleId="21">
    <w:name w:val="endnote text"/>
    <w:link w:val="193"/>
    <w:semiHidden/>
    <w:unhideWhenUsed/>
    <w:qFormat/>
    <w:uiPriority w:val="99"/>
    <w:rPr>
      <w:rFonts w:ascii="Times New Roman" w:hAnsi="Times New Roman" w:eastAsia="宋体" w:cs="Times New Roman"/>
      <w:lang w:val="en-US" w:eastAsia="zh-CN" w:bidi="ar-SA"/>
    </w:rPr>
  </w:style>
  <w:style w:type="paragraph" w:styleId="22">
    <w:name w:val="Balloon Text"/>
    <w:basedOn w:val="1"/>
    <w:link w:val="202"/>
    <w:semiHidden/>
    <w:qFormat/>
    <w:uiPriority w:val="0"/>
    <w:rPr>
      <w:sz w:val="18"/>
      <w:szCs w:val="18"/>
    </w:rPr>
  </w:style>
  <w:style w:type="paragraph" w:styleId="23">
    <w:name w:val="footer"/>
    <w:basedOn w:val="1"/>
    <w:link w:val="203"/>
    <w:qFormat/>
    <w:uiPriority w:val="0"/>
    <w:pPr>
      <w:tabs>
        <w:tab w:val="center" w:pos="4153"/>
        <w:tab w:val="right" w:pos="8306"/>
      </w:tabs>
      <w:snapToGrid w:val="0"/>
    </w:pPr>
    <w:rPr>
      <w:sz w:val="18"/>
      <w:szCs w:val="18"/>
    </w:rPr>
  </w:style>
  <w:style w:type="paragraph" w:styleId="24">
    <w:name w:val="header"/>
    <w:basedOn w:val="1"/>
    <w:link w:val="20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455"/>
      </w:tabs>
      <w:spacing w:before="120" w:line="360" w:lineRule="auto"/>
      <w:ind w:firstLine="425"/>
    </w:pPr>
    <w:rPr>
      <w:b/>
      <w:caps/>
    </w:rPr>
  </w:style>
  <w:style w:type="paragraph" w:styleId="26">
    <w:name w:val="toc 4"/>
    <w:basedOn w:val="1"/>
    <w:next w:val="1"/>
    <w:semiHidden/>
    <w:qFormat/>
    <w:uiPriority w:val="0"/>
    <w:pPr>
      <w:ind w:left="1260" w:leftChars="600"/>
    </w:pPr>
  </w:style>
  <w:style w:type="paragraph" w:styleId="27">
    <w:name w:val="Subtitle"/>
    <w:link w:val="59"/>
    <w:qFormat/>
    <w:uiPriority w:val="11"/>
    <w:pPr>
      <w:spacing w:before="200" w:after="200"/>
    </w:pPr>
    <w:rPr>
      <w:rFonts w:ascii="Times New Roman" w:hAnsi="Times New Roman" w:eastAsia="宋体" w:cs="Times New Roman"/>
      <w:sz w:val="24"/>
      <w:szCs w:val="24"/>
      <w:lang w:val="en-US" w:eastAsia="zh-CN" w:bidi="ar-SA"/>
    </w:rPr>
  </w:style>
  <w:style w:type="paragraph" w:styleId="28">
    <w:name w:val="footnote text"/>
    <w:link w:val="192"/>
    <w:semiHidden/>
    <w:unhideWhenUsed/>
    <w:qFormat/>
    <w:uiPriority w:val="99"/>
    <w:pPr>
      <w:spacing w:after="40"/>
    </w:pPr>
    <w:rPr>
      <w:rFonts w:ascii="Times New Roman" w:hAnsi="Times New Roman" w:eastAsia="宋体" w:cs="Times New Roman"/>
      <w:sz w:val="18"/>
      <w:lang w:val="en-US" w:eastAsia="zh-CN" w:bidi="ar-SA"/>
    </w:rPr>
  </w:style>
  <w:style w:type="paragraph" w:styleId="29">
    <w:name w:val="toc 6"/>
    <w:basedOn w:val="1"/>
    <w:next w:val="1"/>
    <w:semiHidden/>
    <w:qFormat/>
    <w:uiPriority w:val="0"/>
    <w:pPr>
      <w:ind w:left="2100" w:leftChars="1000"/>
    </w:pPr>
  </w:style>
  <w:style w:type="paragraph" w:styleId="30">
    <w:name w:val="table of figures"/>
    <w:next w:val="1"/>
    <w:unhideWhenUsed/>
    <w:qFormat/>
    <w:uiPriority w:val="99"/>
    <w:rPr>
      <w:rFonts w:ascii="Times New Roman" w:hAnsi="Times New Roman" w:eastAsia="宋体" w:cs="Times New Roman"/>
      <w:lang w:val="en-US" w:eastAsia="zh-CN" w:bidi="ar-SA"/>
    </w:rPr>
  </w:style>
  <w:style w:type="paragraph" w:styleId="31">
    <w:name w:val="toc 2"/>
    <w:basedOn w:val="1"/>
    <w:next w:val="1"/>
    <w:semiHidden/>
    <w:qFormat/>
    <w:uiPriority w:val="0"/>
    <w:pPr>
      <w:ind w:left="420" w:leftChars="200"/>
    </w:pPr>
  </w:style>
  <w:style w:type="paragraph" w:styleId="32">
    <w:name w:val="toc 9"/>
    <w:basedOn w:val="1"/>
    <w:next w:val="1"/>
    <w:semiHidden/>
    <w:qFormat/>
    <w:uiPriority w:val="0"/>
    <w:pPr>
      <w:ind w:left="3360" w:leftChars="1600"/>
    </w:pPr>
  </w:style>
  <w:style w:type="paragraph" w:styleId="33">
    <w:name w:val="Body Text 2"/>
    <w:basedOn w:val="1"/>
    <w:link w:val="205"/>
    <w:qFormat/>
    <w:uiPriority w:val="0"/>
    <w:pPr>
      <w:tabs>
        <w:tab w:val="left" w:pos="3780"/>
      </w:tabs>
      <w:autoSpaceDE w:val="0"/>
      <w:autoSpaceDN w:val="0"/>
      <w:spacing w:line="300" w:lineRule="auto"/>
      <w:outlineLvl w:val="0"/>
    </w:pPr>
    <w:rPr>
      <w:rFonts w:ascii="宋体" w:hAnsi="宋体"/>
      <w:b/>
      <w:bCs/>
      <w:sz w:val="24"/>
    </w:rPr>
  </w:style>
  <w:style w:type="paragraph" w:styleId="34">
    <w:name w:val="Title"/>
    <w:link w:val="58"/>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35">
    <w:name w:val="annotation subject"/>
    <w:basedOn w:val="14"/>
    <w:next w:val="14"/>
    <w:link w:val="227"/>
    <w:semiHidden/>
    <w:unhideWhenUsed/>
    <w:qFormat/>
    <w:uiPriority w:val="0"/>
    <w:rPr>
      <w:b/>
      <w:bCs/>
    </w:rPr>
  </w:style>
  <w:style w:type="table" w:styleId="3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endnote reference"/>
    <w:semiHidden/>
    <w:unhideWhenUsed/>
    <w:qFormat/>
    <w:uiPriority w:val="99"/>
    <w:rPr>
      <w:vertAlign w:val="superscript"/>
    </w:rPr>
  </w:style>
  <w:style w:type="character" w:styleId="40">
    <w:name w:val="page number"/>
    <w:qFormat/>
    <w:uiPriority w:val="0"/>
  </w:style>
  <w:style w:type="character" w:styleId="41">
    <w:name w:val="Hyperlink"/>
    <w:qFormat/>
    <w:uiPriority w:val="99"/>
    <w:rPr>
      <w:color w:val="0000FF"/>
      <w:u w:val="single"/>
    </w:rPr>
  </w:style>
  <w:style w:type="character" w:styleId="42">
    <w:name w:val="annotation reference"/>
    <w:basedOn w:val="38"/>
    <w:semiHidden/>
    <w:unhideWhenUsed/>
    <w:qFormat/>
    <w:uiPriority w:val="0"/>
    <w:rPr>
      <w:sz w:val="21"/>
      <w:szCs w:val="21"/>
    </w:rPr>
  </w:style>
  <w:style w:type="character" w:styleId="43">
    <w:name w:val="footnote reference"/>
    <w:unhideWhenUsed/>
    <w:qFormat/>
    <w:uiPriority w:val="99"/>
    <w:rPr>
      <w:vertAlign w:val="superscript"/>
    </w:rPr>
  </w:style>
  <w:style w:type="paragraph" w:customStyle="1" w:styleId="44">
    <w:name w:val="Comment Text"/>
    <w:basedOn w:val="1"/>
    <w:link w:val="198"/>
    <w:semiHidden/>
    <w:qFormat/>
    <w:uiPriority w:val="0"/>
  </w:style>
  <w:style w:type="paragraph" w:customStyle="1" w:styleId="45">
    <w:name w:val="Comment Subject"/>
    <w:basedOn w:val="44"/>
    <w:next w:val="44"/>
    <w:link w:val="206"/>
    <w:semiHidden/>
    <w:qFormat/>
    <w:uiPriority w:val="0"/>
    <w:rPr>
      <w:b/>
      <w:bCs/>
    </w:rPr>
  </w:style>
  <w:style w:type="character" w:customStyle="1" w:styleId="46">
    <w:name w:val="Comment Reference"/>
    <w:semiHidden/>
    <w:qFormat/>
    <w:uiPriority w:val="0"/>
    <w:rPr>
      <w:sz w:val="21"/>
    </w:rPr>
  </w:style>
  <w:style w:type="character" w:customStyle="1" w:styleId="47">
    <w:name w:val="Heading 1 Char"/>
    <w:qFormat/>
    <w:uiPriority w:val="9"/>
    <w:rPr>
      <w:rFonts w:ascii="Arial" w:hAnsi="Arial" w:cs="Arial"/>
      <w:sz w:val="40"/>
      <w:szCs w:val="40"/>
    </w:rPr>
  </w:style>
  <w:style w:type="character" w:customStyle="1" w:styleId="48">
    <w:name w:val="Heading 2 Char"/>
    <w:qFormat/>
    <w:uiPriority w:val="9"/>
    <w:rPr>
      <w:rFonts w:ascii="Arial" w:hAnsi="Arial" w:cs="Arial"/>
      <w:sz w:val="34"/>
    </w:rPr>
  </w:style>
  <w:style w:type="character" w:customStyle="1" w:styleId="49">
    <w:name w:val="标题 3 字符"/>
    <w:link w:val="4"/>
    <w:qFormat/>
    <w:uiPriority w:val="9"/>
    <w:rPr>
      <w:rFonts w:ascii="Arial" w:hAnsi="Arial" w:cs="Arial"/>
      <w:sz w:val="30"/>
      <w:szCs w:val="30"/>
    </w:rPr>
  </w:style>
  <w:style w:type="character" w:customStyle="1" w:styleId="50">
    <w:name w:val="标题 4 字符"/>
    <w:link w:val="5"/>
    <w:qFormat/>
    <w:uiPriority w:val="9"/>
    <w:rPr>
      <w:rFonts w:ascii="Arial" w:hAnsi="Arial" w:cs="Arial"/>
      <w:b/>
      <w:bCs/>
      <w:sz w:val="26"/>
      <w:szCs w:val="26"/>
    </w:rPr>
  </w:style>
  <w:style w:type="character" w:customStyle="1" w:styleId="51">
    <w:name w:val="标题 5 字符"/>
    <w:link w:val="6"/>
    <w:qFormat/>
    <w:uiPriority w:val="9"/>
    <w:rPr>
      <w:rFonts w:ascii="Arial" w:hAnsi="Arial" w:cs="Arial"/>
      <w:b/>
      <w:bCs/>
      <w:sz w:val="24"/>
      <w:szCs w:val="24"/>
    </w:rPr>
  </w:style>
  <w:style w:type="character" w:customStyle="1" w:styleId="52">
    <w:name w:val="标题 6 字符"/>
    <w:link w:val="7"/>
    <w:qFormat/>
    <w:uiPriority w:val="9"/>
    <w:rPr>
      <w:rFonts w:ascii="Arial" w:hAnsi="Arial" w:cs="Arial"/>
      <w:b/>
      <w:bCs/>
      <w:sz w:val="22"/>
      <w:szCs w:val="22"/>
    </w:rPr>
  </w:style>
  <w:style w:type="character" w:customStyle="1" w:styleId="53">
    <w:name w:val="标题 7 字符"/>
    <w:link w:val="8"/>
    <w:qFormat/>
    <w:uiPriority w:val="9"/>
    <w:rPr>
      <w:rFonts w:ascii="Arial" w:hAnsi="Arial" w:cs="Arial"/>
      <w:b/>
      <w:bCs/>
      <w:i/>
      <w:iCs/>
      <w:sz w:val="22"/>
      <w:szCs w:val="22"/>
    </w:rPr>
  </w:style>
  <w:style w:type="character" w:customStyle="1" w:styleId="54">
    <w:name w:val="标题 8 字符"/>
    <w:link w:val="9"/>
    <w:qFormat/>
    <w:uiPriority w:val="9"/>
    <w:rPr>
      <w:rFonts w:ascii="Arial" w:hAnsi="Arial" w:cs="Arial"/>
      <w:i/>
      <w:iCs/>
      <w:sz w:val="22"/>
      <w:szCs w:val="22"/>
    </w:rPr>
  </w:style>
  <w:style w:type="character" w:customStyle="1" w:styleId="55">
    <w:name w:val="标题 9 字符"/>
    <w:link w:val="10"/>
    <w:qFormat/>
    <w:uiPriority w:val="9"/>
    <w:rPr>
      <w:rFonts w:ascii="Arial" w:hAnsi="Arial" w:cs="Arial"/>
      <w:i/>
      <w:iCs/>
      <w:sz w:val="21"/>
      <w:szCs w:val="21"/>
    </w:rPr>
  </w:style>
  <w:style w:type="paragraph" w:styleId="56">
    <w:name w:val="List Paragraph"/>
    <w:basedOn w:val="1"/>
    <w:qFormat/>
    <w:uiPriority w:val="0"/>
    <w:pPr>
      <w:ind w:firstLine="420" w:firstLineChars="200"/>
    </w:pPr>
    <w:rPr>
      <w:rFonts w:ascii="Calibri" w:hAnsi="Calibri"/>
      <w:szCs w:val="22"/>
    </w:rPr>
  </w:style>
  <w:style w:type="paragraph" w:styleId="57">
    <w:name w:val="No Spacing"/>
    <w:qFormat/>
    <w:uiPriority w:val="1"/>
    <w:rPr>
      <w:rFonts w:ascii="Times New Roman" w:hAnsi="Times New Roman" w:eastAsia="宋体" w:cs="Times New Roman"/>
      <w:lang w:val="en-US" w:eastAsia="zh-CN" w:bidi="ar-SA"/>
    </w:rPr>
  </w:style>
  <w:style w:type="character" w:customStyle="1" w:styleId="58">
    <w:name w:val="标题 字符"/>
    <w:link w:val="34"/>
    <w:qFormat/>
    <w:uiPriority w:val="10"/>
    <w:rPr>
      <w:sz w:val="48"/>
      <w:szCs w:val="48"/>
    </w:rPr>
  </w:style>
  <w:style w:type="character" w:customStyle="1" w:styleId="59">
    <w:name w:val="副标题 字符"/>
    <w:link w:val="27"/>
    <w:qFormat/>
    <w:uiPriority w:val="11"/>
    <w:rPr>
      <w:sz w:val="24"/>
      <w:szCs w:val="24"/>
    </w:rPr>
  </w:style>
  <w:style w:type="paragraph" w:styleId="60">
    <w:name w:val="Quote"/>
    <w:link w:val="61"/>
    <w:qFormat/>
    <w:uiPriority w:val="29"/>
    <w:pPr>
      <w:ind w:left="720" w:right="720"/>
    </w:pPr>
    <w:rPr>
      <w:rFonts w:ascii="Times New Roman" w:hAnsi="Times New Roman" w:eastAsia="宋体" w:cs="Times New Roman"/>
      <w:i/>
      <w:lang w:val="en-US" w:eastAsia="zh-CN" w:bidi="ar-SA"/>
    </w:rPr>
  </w:style>
  <w:style w:type="character" w:customStyle="1" w:styleId="61">
    <w:name w:val="引用 字符"/>
    <w:link w:val="60"/>
    <w:qFormat/>
    <w:uiPriority w:val="29"/>
    <w:rPr>
      <w:i/>
    </w:rPr>
  </w:style>
  <w:style w:type="paragraph" w:styleId="62">
    <w:name w:val="Intense Quote"/>
    <w:link w:val="63"/>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pPr>
    <w:rPr>
      <w:rFonts w:ascii="Times New Roman" w:hAnsi="Times New Roman" w:eastAsia="宋体" w:cs="Times New Roman"/>
      <w:i/>
      <w:lang w:val="en-US" w:eastAsia="zh-CN" w:bidi="ar-SA"/>
    </w:rPr>
  </w:style>
  <w:style w:type="character" w:customStyle="1" w:styleId="63">
    <w:name w:val="明显引用 字符"/>
    <w:link w:val="62"/>
    <w:qFormat/>
    <w:uiPriority w:val="30"/>
    <w:rPr>
      <w:i/>
    </w:rPr>
  </w:style>
  <w:style w:type="character" w:customStyle="1" w:styleId="64">
    <w:name w:val="Header Char"/>
    <w:qFormat/>
    <w:uiPriority w:val="99"/>
  </w:style>
  <w:style w:type="character" w:customStyle="1" w:styleId="65">
    <w:name w:val="Footer Char"/>
    <w:qFormat/>
    <w:uiPriority w:val="99"/>
  </w:style>
  <w:style w:type="character" w:customStyle="1" w:styleId="66">
    <w:name w:val="Caption Char"/>
    <w:qFormat/>
    <w:uiPriority w:val="99"/>
  </w:style>
  <w:style w:type="table" w:customStyle="1" w:styleId="67">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68">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69">
    <w:name w:val="无格式表格 21"/>
    <w:qFormat/>
    <w:uiPriority w:val="59"/>
    <w:tblPr>
      <w:tblBorders>
        <w:top w:val="single" w:color="auto" w:sz="4" w:space="0"/>
        <w:bottom w:val="single" w:color="auto" w:sz="4" w:space="0"/>
      </w:tblBorders>
      <w:tblCellMar>
        <w:top w:w="0" w:type="dxa"/>
        <w:left w:w="108" w:type="dxa"/>
        <w:bottom w:w="0" w:type="dxa"/>
        <w:right w:w="108" w:type="dxa"/>
      </w:tblCellMar>
    </w:tblPr>
  </w:style>
  <w:style w:type="table" w:customStyle="1" w:styleId="70">
    <w:name w:val="无格式表格 31"/>
    <w:qFormat/>
    <w:uiPriority w:val="99"/>
    <w:tblPr>
      <w:tblCellMar>
        <w:top w:w="0" w:type="dxa"/>
        <w:left w:w="0" w:type="dxa"/>
        <w:bottom w:w="0" w:type="dxa"/>
        <w:right w:w="0" w:type="dxa"/>
      </w:tblCellMar>
    </w:tblPr>
  </w:style>
  <w:style w:type="table" w:customStyle="1" w:styleId="71">
    <w:name w:val="无格式表格 41"/>
    <w:qFormat/>
    <w:uiPriority w:val="99"/>
    <w:tblPr>
      <w:tblCellMar>
        <w:top w:w="0" w:type="dxa"/>
        <w:left w:w="0" w:type="dxa"/>
        <w:bottom w:w="0" w:type="dxa"/>
        <w:right w:w="0" w:type="dxa"/>
      </w:tblCellMar>
    </w:tblPr>
  </w:style>
  <w:style w:type="table" w:customStyle="1" w:styleId="72">
    <w:name w:val="无格式表格 51"/>
    <w:qFormat/>
    <w:uiPriority w:val="99"/>
    <w:tblPr>
      <w:tblCellMar>
        <w:top w:w="0" w:type="dxa"/>
        <w:left w:w="0" w:type="dxa"/>
        <w:bottom w:w="0" w:type="dxa"/>
        <w:right w:w="0" w:type="dxa"/>
      </w:tblCellMar>
    </w:tblPr>
  </w:style>
  <w:style w:type="table" w:customStyle="1" w:styleId="73">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74">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75">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76">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77">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78">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79">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80">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81">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82">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83">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84">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85">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86">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87">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88">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89">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0">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1">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2">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3">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4">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95">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96">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97">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98">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99">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00">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01">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2">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3">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4">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5">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6">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7">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8">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9">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10">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1">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2">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3">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4">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5">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16">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17">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8">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9">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0">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1">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2">
    <w:name w:val="清单表 1 浅色1"/>
    <w:qFormat/>
    <w:uiPriority w:val="99"/>
    <w:tblPr>
      <w:tblCellMar>
        <w:top w:w="0" w:type="dxa"/>
        <w:left w:w="0" w:type="dxa"/>
        <w:bottom w:w="0" w:type="dxa"/>
        <w:right w:w="0" w:type="dxa"/>
      </w:tblCellMar>
    </w:tblPr>
  </w:style>
  <w:style w:type="table" w:customStyle="1" w:styleId="123">
    <w:name w:val="List Table 1 Light - Accent 1"/>
    <w:qFormat/>
    <w:uiPriority w:val="99"/>
    <w:tblPr>
      <w:tblCellMar>
        <w:top w:w="0" w:type="dxa"/>
        <w:left w:w="0" w:type="dxa"/>
        <w:bottom w:w="0" w:type="dxa"/>
        <w:right w:w="0" w:type="dxa"/>
      </w:tblCellMar>
    </w:tblPr>
  </w:style>
  <w:style w:type="table" w:customStyle="1" w:styleId="124">
    <w:name w:val="List Table 1 Light - Accent 2"/>
    <w:qFormat/>
    <w:uiPriority w:val="99"/>
    <w:tblPr>
      <w:tblCellMar>
        <w:top w:w="0" w:type="dxa"/>
        <w:left w:w="0" w:type="dxa"/>
        <w:bottom w:w="0" w:type="dxa"/>
        <w:right w:w="0" w:type="dxa"/>
      </w:tblCellMar>
    </w:tblPr>
  </w:style>
  <w:style w:type="table" w:customStyle="1" w:styleId="125">
    <w:name w:val="List Table 1 Light - Accent 3"/>
    <w:qFormat/>
    <w:uiPriority w:val="99"/>
    <w:tblPr>
      <w:tblCellMar>
        <w:top w:w="0" w:type="dxa"/>
        <w:left w:w="0" w:type="dxa"/>
        <w:bottom w:w="0" w:type="dxa"/>
        <w:right w:w="0" w:type="dxa"/>
      </w:tblCellMar>
    </w:tblPr>
  </w:style>
  <w:style w:type="table" w:customStyle="1" w:styleId="126">
    <w:name w:val="List Table 1 Light - Accent 4"/>
    <w:qFormat/>
    <w:uiPriority w:val="99"/>
    <w:tblPr>
      <w:tblCellMar>
        <w:top w:w="0" w:type="dxa"/>
        <w:left w:w="0" w:type="dxa"/>
        <w:bottom w:w="0" w:type="dxa"/>
        <w:right w:w="0" w:type="dxa"/>
      </w:tblCellMar>
    </w:tblPr>
  </w:style>
  <w:style w:type="table" w:customStyle="1" w:styleId="127">
    <w:name w:val="List Table 1 Light - Accent 5"/>
    <w:qFormat/>
    <w:uiPriority w:val="99"/>
    <w:tblPr>
      <w:tblCellMar>
        <w:top w:w="0" w:type="dxa"/>
        <w:left w:w="0" w:type="dxa"/>
        <w:bottom w:w="0" w:type="dxa"/>
        <w:right w:w="0" w:type="dxa"/>
      </w:tblCellMar>
    </w:tblPr>
  </w:style>
  <w:style w:type="table" w:customStyle="1" w:styleId="128">
    <w:name w:val="List Table 1 Light - Accent 6"/>
    <w:qFormat/>
    <w:uiPriority w:val="99"/>
    <w:tblPr>
      <w:tblCellMar>
        <w:top w:w="0" w:type="dxa"/>
        <w:left w:w="0" w:type="dxa"/>
        <w:bottom w:w="0" w:type="dxa"/>
        <w:right w:w="0" w:type="dxa"/>
      </w:tblCellMar>
    </w:tblPr>
  </w:style>
  <w:style w:type="table" w:customStyle="1" w:styleId="129">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30">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31">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32">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33">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34">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35">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36">
    <w:name w:val="清单表 31"/>
    <w:qFormat/>
    <w:uiPriority w:val="99"/>
    <w:tblPr>
      <w:tblBorders>
        <w:top w:val="single" w:color="auto" w:sz="4" w:space="0"/>
        <w:left w:val="single" w:color="auto" w:sz="4" w:space="0"/>
        <w:bottom w:val="single" w:color="auto" w:sz="4" w:space="0"/>
        <w:right w:val="single" w:color="auto" w:sz="4" w:space="0"/>
      </w:tblBorders>
      <w:tblCellMar>
        <w:top w:w="0" w:type="dxa"/>
        <w:left w:w="0" w:type="dxa"/>
        <w:bottom w:w="0" w:type="dxa"/>
        <w:right w:w="0" w:type="dxa"/>
      </w:tblCellMar>
    </w:tblPr>
  </w:style>
  <w:style w:type="table" w:customStyle="1" w:styleId="137">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38">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39">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40">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41">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42">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43">
    <w:name w:val="清单表 41"/>
    <w:qFormat/>
    <w:uiPriority w:val="99"/>
    <w:tblPr>
      <w:tblBorders>
        <w:top w:val="single" w:color="auto" w:sz="4" w:space="0"/>
        <w:left w:val="single" w:color="auto" w:sz="4" w:space="0"/>
        <w:bottom w:val="single" w:color="auto" w:sz="4" w:space="0"/>
        <w:right w:val="single" w:color="auto" w:sz="4" w:space="0"/>
        <w:insideH w:val="single" w:color="auto" w:sz="4" w:space="0"/>
      </w:tblBorders>
      <w:tblCellMar>
        <w:top w:w="0" w:type="dxa"/>
        <w:left w:w="0" w:type="dxa"/>
        <w:bottom w:w="0" w:type="dxa"/>
        <w:right w:w="0" w:type="dxa"/>
      </w:tblCellMar>
    </w:tblPr>
  </w:style>
  <w:style w:type="table" w:customStyle="1" w:styleId="144">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45">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46">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47">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48">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49">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50">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51">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52">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53">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54">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55">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56">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57">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58">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59">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60">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61">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62">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63">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64">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65">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66">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67">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68">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69">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70">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71">
    <w:name w:val="Lined - Accent"/>
    <w:qFormat/>
    <w:uiPriority w:val="99"/>
    <w:rPr>
      <w:color w:val="404040"/>
    </w:rPr>
    <w:tblPr>
      <w:tblCellMar>
        <w:top w:w="0" w:type="dxa"/>
        <w:left w:w="0" w:type="dxa"/>
        <w:bottom w:w="0" w:type="dxa"/>
        <w:right w:w="0" w:type="dxa"/>
      </w:tblCellMar>
    </w:tblPr>
  </w:style>
  <w:style w:type="table" w:customStyle="1" w:styleId="172">
    <w:name w:val="Lined - Accent 1"/>
    <w:qFormat/>
    <w:uiPriority w:val="99"/>
    <w:rPr>
      <w:color w:val="404040"/>
    </w:rPr>
    <w:tblPr>
      <w:tblCellMar>
        <w:top w:w="0" w:type="dxa"/>
        <w:left w:w="0" w:type="dxa"/>
        <w:bottom w:w="0" w:type="dxa"/>
        <w:right w:w="0" w:type="dxa"/>
      </w:tblCellMar>
    </w:tblPr>
  </w:style>
  <w:style w:type="table" w:customStyle="1" w:styleId="173">
    <w:name w:val="Lined - Accent 2"/>
    <w:qFormat/>
    <w:uiPriority w:val="99"/>
    <w:rPr>
      <w:color w:val="404040"/>
    </w:rPr>
    <w:tblPr>
      <w:tblCellMar>
        <w:top w:w="0" w:type="dxa"/>
        <w:left w:w="0" w:type="dxa"/>
        <w:bottom w:w="0" w:type="dxa"/>
        <w:right w:w="0" w:type="dxa"/>
      </w:tblCellMar>
    </w:tblPr>
  </w:style>
  <w:style w:type="table" w:customStyle="1" w:styleId="174">
    <w:name w:val="Lined - Accent 3"/>
    <w:qFormat/>
    <w:uiPriority w:val="99"/>
    <w:rPr>
      <w:color w:val="404040"/>
    </w:rPr>
    <w:tblPr>
      <w:tblCellMar>
        <w:top w:w="0" w:type="dxa"/>
        <w:left w:w="0" w:type="dxa"/>
        <w:bottom w:w="0" w:type="dxa"/>
        <w:right w:w="0" w:type="dxa"/>
      </w:tblCellMar>
    </w:tblPr>
  </w:style>
  <w:style w:type="table" w:customStyle="1" w:styleId="175">
    <w:name w:val="Lined - Accent 4"/>
    <w:qFormat/>
    <w:uiPriority w:val="99"/>
    <w:rPr>
      <w:color w:val="404040"/>
    </w:rPr>
    <w:tblPr>
      <w:tblCellMar>
        <w:top w:w="0" w:type="dxa"/>
        <w:left w:w="0" w:type="dxa"/>
        <w:bottom w:w="0" w:type="dxa"/>
        <w:right w:w="0" w:type="dxa"/>
      </w:tblCellMar>
    </w:tblPr>
  </w:style>
  <w:style w:type="table" w:customStyle="1" w:styleId="176">
    <w:name w:val="Lined - Accent 5"/>
    <w:qFormat/>
    <w:uiPriority w:val="99"/>
    <w:rPr>
      <w:color w:val="404040"/>
    </w:rPr>
    <w:tblPr>
      <w:tblCellMar>
        <w:top w:w="0" w:type="dxa"/>
        <w:left w:w="0" w:type="dxa"/>
        <w:bottom w:w="0" w:type="dxa"/>
        <w:right w:w="0" w:type="dxa"/>
      </w:tblCellMar>
    </w:tblPr>
  </w:style>
  <w:style w:type="table" w:customStyle="1" w:styleId="177">
    <w:name w:val="Lined - Accent 6"/>
    <w:qFormat/>
    <w:uiPriority w:val="99"/>
    <w:rPr>
      <w:color w:val="404040"/>
    </w:rPr>
    <w:tblPr>
      <w:tblCellMar>
        <w:top w:w="0" w:type="dxa"/>
        <w:left w:w="0" w:type="dxa"/>
        <w:bottom w:w="0" w:type="dxa"/>
        <w:right w:w="0" w:type="dxa"/>
      </w:tblCellMar>
    </w:tblPr>
  </w:style>
  <w:style w:type="table" w:customStyle="1" w:styleId="178">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79">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80">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81">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82">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83">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84">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85">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86">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87">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88">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89">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90">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91">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192">
    <w:name w:val="脚注文本 字符"/>
    <w:link w:val="28"/>
    <w:qFormat/>
    <w:uiPriority w:val="99"/>
    <w:rPr>
      <w:sz w:val="18"/>
    </w:rPr>
  </w:style>
  <w:style w:type="character" w:customStyle="1" w:styleId="193">
    <w:name w:val="尾注文本 字符"/>
    <w:link w:val="21"/>
    <w:qFormat/>
    <w:uiPriority w:val="99"/>
    <w:rPr>
      <w:sz w:val="20"/>
    </w:rPr>
  </w:style>
  <w:style w:type="paragraph" w:customStyle="1" w:styleId="194">
    <w:name w:val="TOC 标题1"/>
    <w:unhideWhenUsed/>
    <w:qFormat/>
    <w:uiPriority w:val="39"/>
    <w:rPr>
      <w:rFonts w:ascii="Times New Roman" w:hAnsi="Times New Roman" w:eastAsia="宋体" w:cs="Times New Roman"/>
      <w:lang w:val="en-US" w:eastAsia="zh-CN" w:bidi="ar-SA"/>
    </w:rPr>
  </w:style>
  <w:style w:type="character" w:customStyle="1" w:styleId="195">
    <w:name w:val="标题 1 字符"/>
    <w:link w:val="2"/>
    <w:qFormat/>
    <w:uiPriority w:val="0"/>
    <w:rPr>
      <w:b/>
      <w:bCs/>
      <w:sz w:val="44"/>
      <w:szCs w:val="44"/>
    </w:rPr>
  </w:style>
  <w:style w:type="character" w:customStyle="1" w:styleId="196">
    <w:name w:val="标题 2 字符"/>
    <w:link w:val="3"/>
    <w:semiHidden/>
    <w:qFormat/>
    <w:uiPriority w:val="0"/>
    <w:rPr>
      <w:rFonts w:ascii="Cambria" w:hAnsi="Cambria" w:eastAsia="宋体"/>
      <w:b/>
      <w:bCs/>
      <w:sz w:val="32"/>
      <w:szCs w:val="32"/>
    </w:rPr>
  </w:style>
  <w:style w:type="character" w:customStyle="1" w:styleId="197">
    <w:name w:val="文档结构图 字符"/>
    <w:link w:val="13"/>
    <w:semiHidden/>
    <w:qFormat/>
    <w:uiPriority w:val="0"/>
    <w:rPr>
      <w:sz w:val="2"/>
    </w:rPr>
  </w:style>
  <w:style w:type="character" w:customStyle="1" w:styleId="198">
    <w:name w:val="批注文字 Char"/>
    <w:link w:val="44"/>
    <w:semiHidden/>
    <w:qFormat/>
    <w:uiPriority w:val="0"/>
    <w:rPr>
      <w:sz w:val="24"/>
      <w:szCs w:val="24"/>
    </w:rPr>
  </w:style>
  <w:style w:type="character" w:customStyle="1" w:styleId="199">
    <w:name w:val="正文文本 字符"/>
    <w:link w:val="15"/>
    <w:semiHidden/>
    <w:qFormat/>
    <w:uiPriority w:val="0"/>
    <w:rPr>
      <w:sz w:val="24"/>
      <w:szCs w:val="24"/>
    </w:rPr>
  </w:style>
  <w:style w:type="character" w:customStyle="1" w:styleId="200">
    <w:name w:val="正文文本缩进 字符"/>
    <w:link w:val="16"/>
    <w:qFormat/>
    <w:uiPriority w:val="0"/>
    <w:rPr>
      <w:sz w:val="24"/>
      <w:szCs w:val="24"/>
    </w:rPr>
  </w:style>
  <w:style w:type="character" w:customStyle="1" w:styleId="201">
    <w:name w:val="正文文本缩进 2 字符"/>
    <w:link w:val="20"/>
    <w:semiHidden/>
    <w:qFormat/>
    <w:uiPriority w:val="0"/>
    <w:rPr>
      <w:sz w:val="24"/>
      <w:szCs w:val="24"/>
    </w:rPr>
  </w:style>
  <w:style w:type="character" w:customStyle="1" w:styleId="202">
    <w:name w:val="批注框文本 字符"/>
    <w:link w:val="22"/>
    <w:semiHidden/>
    <w:qFormat/>
    <w:uiPriority w:val="0"/>
    <w:rPr>
      <w:sz w:val="2"/>
    </w:rPr>
  </w:style>
  <w:style w:type="character" w:customStyle="1" w:styleId="203">
    <w:name w:val="页脚 字符"/>
    <w:link w:val="23"/>
    <w:semiHidden/>
    <w:qFormat/>
    <w:uiPriority w:val="0"/>
    <w:rPr>
      <w:sz w:val="18"/>
      <w:szCs w:val="18"/>
    </w:rPr>
  </w:style>
  <w:style w:type="character" w:customStyle="1" w:styleId="204">
    <w:name w:val="页眉 字符"/>
    <w:link w:val="24"/>
    <w:qFormat/>
    <w:uiPriority w:val="0"/>
    <w:rPr>
      <w:sz w:val="18"/>
      <w:szCs w:val="18"/>
    </w:rPr>
  </w:style>
  <w:style w:type="character" w:customStyle="1" w:styleId="205">
    <w:name w:val="正文文本 2 字符"/>
    <w:link w:val="33"/>
    <w:semiHidden/>
    <w:qFormat/>
    <w:uiPriority w:val="0"/>
    <w:rPr>
      <w:sz w:val="24"/>
      <w:szCs w:val="24"/>
    </w:rPr>
  </w:style>
  <w:style w:type="character" w:customStyle="1" w:styleId="206">
    <w:name w:val="批注主题 Char"/>
    <w:link w:val="45"/>
    <w:semiHidden/>
    <w:qFormat/>
    <w:uiPriority w:val="0"/>
    <w:rPr>
      <w:b/>
      <w:bCs/>
      <w:sz w:val="24"/>
      <w:szCs w:val="24"/>
    </w:rPr>
  </w:style>
  <w:style w:type="paragraph" w:customStyle="1" w:styleId="207">
    <w:name w:val="正文所"/>
    <w:basedOn w:val="1"/>
    <w:qFormat/>
    <w:uiPriority w:val="0"/>
    <w:pPr>
      <w:spacing w:line="360" w:lineRule="auto"/>
      <w:ind w:firstLine="420"/>
    </w:pPr>
  </w:style>
  <w:style w:type="paragraph" w:customStyle="1" w:styleId="208">
    <w:name w:val="样式 首行缩进:  2 字符 段前: 0.25 行 段后: 0.25 行"/>
    <w:basedOn w:val="1"/>
    <w:qFormat/>
    <w:uiPriority w:val="0"/>
    <w:pPr>
      <w:spacing w:line="300" w:lineRule="auto"/>
      <w:ind w:firstLine="420" w:firstLineChars="200"/>
    </w:pPr>
    <w:rPr>
      <w:szCs w:val="21"/>
    </w:rPr>
  </w:style>
  <w:style w:type="paragraph" w:customStyle="1" w:styleId="209">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210">
    <w:name w:val="默认段落字体 Para Char"/>
    <w:basedOn w:val="1"/>
    <w:qFormat/>
    <w:uiPriority w:val="0"/>
  </w:style>
  <w:style w:type="paragraph" w:customStyle="1" w:styleId="211">
    <w:name w:val="Char"/>
    <w:basedOn w:val="1"/>
    <w:qFormat/>
    <w:uiPriority w:val="0"/>
  </w:style>
  <w:style w:type="paragraph" w:customStyle="1" w:styleId="212">
    <w:name w:val="UCAlpha 2"/>
    <w:basedOn w:val="1"/>
    <w:qFormat/>
    <w:uiPriority w:val="0"/>
    <w:pPr>
      <w:numPr>
        <w:ilvl w:val="0"/>
        <w:numId w:val="1"/>
      </w:numPr>
      <w:spacing w:after="140" w:line="290" w:lineRule="auto"/>
    </w:pPr>
    <w:rPr>
      <w:rFonts w:ascii="Arial" w:hAnsi="Arial"/>
      <w:lang w:val="en-GB" w:eastAsia="en-US"/>
    </w:rPr>
  </w:style>
  <w:style w:type="paragraph" w:customStyle="1" w:styleId="213">
    <w:name w:val="合同正文"/>
    <w:basedOn w:val="1"/>
    <w:link w:val="214"/>
    <w:qFormat/>
    <w:uiPriority w:val="0"/>
    <w:pPr>
      <w:spacing w:line="360" w:lineRule="auto"/>
      <w:ind w:firstLine="200" w:firstLineChars="200"/>
    </w:pPr>
    <w:rPr>
      <w:bCs/>
      <w:sz w:val="24"/>
    </w:rPr>
  </w:style>
  <w:style w:type="character" w:customStyle="1" w:styleId="214">
    <w:name w:val="合同正文 Char"/>
    <w:link w:val="213"/>
    <w:qFormat/>
    <w:uiPriority w:val="0"/>
    <w:rPr>
      <w:bCs/>
      <w:sz w:val="24"/>
      <w:szCs w:val="20"/>
    </w:rPr>
  </w:style>
  <w:style w:type="paragraph" w:customStyle="1" w:styleId="215">
    <w:name w:val="修订1"/>
    <w:semiHidden/>
    <w:qFormat/>
    <w:uiPriority w:val="0"/>
    <w:rPr>
      <w:rFonts w:ascii="Times New Roman" w:hAnsi="Times New Roman" w:eastAsia="宋体" w:cs="Times New Roman"/>
      <w:sz w:val="21"/>
      <w:szCs w:val="24"/>
      <w:lang w:val="en-US" w:eastAsia="zh-CN" w:bidi="ar-SA"/>
    </w:rPr>
  </w:style>
  <w:style w:type="paragraph" w:customStyle="1" w:styleId="216">
    <w:name w:val="Char Char"/>
    <w:basedOn w:val="1"/>
    <w:qFormat/>
    <w:uiPriority w:val="0"/>
  </w:style>
  <w:style w:type="paragraph" w:customStyle="1" w:styleId="217">
    <w:name w:val="Char Char1"/>
    <w:basedOn w:val="1"/>
    <w:qFormat/>
    <w:uiPriority w:val="0"/>
  </w:style>
  <w:style w:type="character" w:customStyle="1" w:styleId="218">
    <w:name w:val="read"/>
    <w:qFormat/>
    <w:uiPriority w:val="0"/>
  </w:style>
  <w:style w:type="paragraph" w:customStyle="1" w:styleId="219">
    <w:name w:val="div"/>
    <w:basedOn w:val="1"/>
    <w:qFormat/>
    <w:uiPriority w:val="0"/>
  </w:style>
  <w:style w:type="paragraph" w:customStyle="1" w:styleId="220">
    <w:name w:val="修订2"/>
    <w:hidden/>
    <w:semiHidden/>
    <w:qFormat/>
    <w:uiPriority w:val="99"/>
    <w:rPr>
      <w:rFonts w:ascii="Times New Roman" w:hAnsi="Times New Roman" w:eastAsia="宋体" w:cs="Times New Roman"/>
      <w:lang w:val="en-US" w:eastAsia="zh-CN" w:bidi="ar-SA"/>
    </w:rPr>
  </w:style>
  <w:style w:type="paragraph" w:customStyle="1" w:styleId="221">
    <w:name w:val="修订3"/>
    <w:hidden/>
    <w:unhideWhenUsed/>
    <w:qFormat/>
    <w:uiPriority w:val="99"/>
    <w:rPr>
      <w:rFonts w:ascii="Times New Roman" w:hAnsi="Times New Roman" w:eastAsia="宋体" w:cs="Times New Roman"/>
      <w:lang w:val="en-US" w:eastAsia="zh-CN" w:bidi="ar-SA"/>
    </w:rPr>
  </w:style>
  <w:style w:type="character" w:customStyle="1" w:styleId="222">
    <w:name w:val="custom"/>
    <w:basedOn w:val="38"/>
    <w:qFormat/>
    <w:uiPriority w:val="0"/>
  </w:style>
  <w:style w:type="character" w:customStyle="1" w:styleId="223">
    <w:name w:val="serial-tag"/>
    <w:basedOn w:val="38"/>
    <w:qFormat/>
    <w:uiPriority w:val="0"/>
  </w:style>
  <w:style w:type="character" w:customStyle="1" w:styleId="224">
    <w:name w:val="custom1"/>
    <w:basedOn w:val="38"/>
    <w:qFormat/>
    <w:uiPriority w:val="0"/>
  </w:style>
  <w:style w:type="paragraph" w:customStyle="1" w:styleId="225">
    <w:name w:val="修订4"/>
    <w:hidden/>
    <w:semiHidden/>
    <w:qFormat/>
    <w:uiPriority w:val="99"/>
    <w:rPr>
      <w:rFonts w:ascii="Times New Roman" w:hAnsi="Times New Roman" w:eastAsia="宋体" w:cs="Times New Roman"/>
      <w:lang w:val="en-US" w:eastAsia="zh-CN" w:bidi="ar-SA"/>
    </w:rPr>
  </w:style>
  <w:style w:type="character" w:customStyle="1" w:styleId="226">
    <w:name w:val="批注文字 字符"/>
    <w:basedOn w:val="38"/>
    <w:link w:val="14"/>
    <w:qFormat/>
    <w:uiPriority w:val="0"/>
  </w:style>
  <w:style w:type="character" w:customStyle="1" w:styleId="227">
    <w:name w:val="批注主题 字符"/>
    <w:basedOn w:val="226"/>
    <w:link w:val="35"/>
    <w:semiHidden/>
    <w:qFormat/>
    <w:uiPriority w:val="0"/>
    <w:rPr>
      <w:b/>
      <w:bCs/>
    </w:rPr>
  </w:style>
  <w:style w:type="paragraph" w:customStyle="1" w:styleId="228">
    <w:name w:val="修订5"/>
    <w:hidden/>
    <w:semiHidden/>
    <w:qFormat/>
    <w:uiPriority w:val="99"/>
    <w:rPr>
      <w:rFonts w:ascii="Times New Roman" w:hAnsi="Times New Roman" w:eastAsia="宋体" w:cs="Times New Roman"/>
      <w:lang w:val="en-US" w:eastAsia="zh-CN" w:bidi="ar-SA"/>
    </w:rPr>
  </w:style>
  <w:style w:type="paragraph" w:customStyle="1" w:styleId="229">
    <w:name w:val="修订6"/>
    <w:hidden/>
    <w:semiHidden/>
    <w:qFormat/>
    <w:uiPriority w:val="99"/>
    <w:rPr>
      <w:rFonts w:ascii="Times New Roman" w:hAnsi="Times New Roman" w:eastAsia="宋体" w:cs="Times New Roman"/>
      <w:lang w:val="en-US" w:eastAsia="zh-CN" w:bidi="ar-SA"/>
    </w:rPr>
  </w:style>
  <w:style w:type="paragraph" w:customStyle="1" w:styleId="230">
    <w:name w:val="修订7"/>
    <w:hidden/>
    <w:unhideWhenUsed/>
    <w:qFormat/>
    <w:uiPriority w:val="99"/>
    <w:rPr>
      <w:rFonts w:ascii="Times New Roman" w:hAnsi="Times New Roman" w:eastAsia="宋体" w:cs="Times New Roman"/>
      <w:lang w:val="en-US" w:eastAsia="zh-CN" w:bidi="ar-SA"/>
    </w:rPr>
  </w:style>
  <w:style w:type="paragraph" w:customStyle="1" w:styleId="231">
    <w:name w:val="Revision"/>
    <w:hidden/>
    <w:semiHidden/>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name="KSOProductBuildVer" pid="2" fmtid="{D5CDD505-2E9C-101B-9397-08002B2CF9AE}">
    <vt:lpwstr>2052-12.8.2.18913</vt:lpwstr>
  </property>
  <property name="ICV" pid="3" fmtid="{D5CDD505-2E9C-101B-9397-08002B2CF9AE}">
    <vt:lpwstr>6D7506727FBD43ADBF73ABA8947B674A_13</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2052-12.8.2.18913</vt:lpwstr>
  </property>
  <property name="ICV" pid="3" fmtid="{D5CDD505-2E9C-101B-9397-08002B2CF9AE}">
    <vt:lpwstr>6D7506727FBD43ADBF73ABA8947B674A_13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50B4B-C587-40EE-8558-C5334BE328EA}">
  <ds:schemaRefs/>
</ds:datastoreItem>
</file>

<file path=customXml/itemProps3.xml><?xml version="1.0" encoding="utf-8"?>
<ds:datastoreItem xmlns:ds="http://schemas.openxmlformats.org/officeDocument/2006/customXml" ds:itemID="{07D95F86-6176-4C1D-A060-EB3205449F07}">
  <ds:schemaRefs/>
</ds:datastoreItem>
</file>

<file path=docProps/app.xml><?xml version="1.0" encoding="utf-8"?>
<Properties xmlns="http://schemas.openxmlformats.org/officeDocument/2006/extended-properties" xmlns:vt="http://schemas.openxmlformats.org/officeDocument/2006/docPropsVTypes">
  <Template>Normal</Template>
  <Company>中信建投证券股份有限公司</Company>
  <Pages>43</Pages>
  <Words>4648</Words>
  <Characters>26500</Characters>
  <Lines>220</Lines>
  <Paragraphs>62</Paragraphs>
  <TotalTime>5</TotalTime>
  <ScaleCrop>false</ScaleCrop>
  <LinksUpToDate>false</LinksUpToDate>
  <CharactersWithSpaces>31086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2025-05-07T22:55:00Z</dcterms:created>
  <dc:creator>王星汉1118</dc:creator>
  <cp:lastModifiedBy>haotingting</cp:lastModifiedBy>
  <cp:lastPrinted>2025-05-19T02:51:00Z</cp:lastPrinted>
  <dcterms:modified xsi:type="dcterms:W3CDTF">2025-10-10T06:16:00Z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3B1AFCACD8EE4995B30AE455E12ED730</vt:lpwstr>
  </property>
</Properties>
</file>