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交银施罗德上证180公司治理交易型开放式指数证券投资基金联接基金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交银上证180公司治理ETF联接</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519686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2009-09-29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519686（前端），519687（后端）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紧密跟踪标的指数，追求跟踪偏离度与跟踪误差最小化。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目标ETF、标的指数成份股（含存托凭证）、备选成份股（含存托凭证）为主要投资对象，把全部或接近全部的基金资产用于跟踪标的指数的表现，正常情况下投资于目标ETF的资产比例不低于基金资产净值的90%，基金持有的现金或者到期日在一年以内的政府债券的比例不低于基金资产净值的5%，其中现金不包括结算备付金、存出保证金和应收申购款等。此外，为更好地实现投资目标，本基金也可少量投资于新股（含存托凭证）、债券及中国证监会允许基金投资的其它金融工具。</w:t>
            </w:r>
          </w:p>
          <w:p>
            <w:pPr>
              <w:ind w:firstLine="420"/>
              <w:jc w:val="left"/>
              <w:rPr>
                <w:rFonts w:ascii="仿宋_GB2312" w:eastAsia="仿宋_GB2312"/>
                <w:szCs w:val="21"/>
              </w:rPr>
            </w:pPr>
            <w:r>
              <w:rPr>
                <w:rFonts w:hint="eastAsia" w:ascii="仿宋_GB2312" w:eastAsia="仿宋_GB2312"/>
                <w:szCs w:val="21"/>
              </w:rPr>
              <w:t>本基金的目标ETF为上证180公司治理交易型开放式指数证券投资基金；本基金的标的指数即目标ETF的标的指数，为上证180公司治理指数。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本基金通过把全部或接近全部的基金资产投资于目标ETF、标的指数成份股和备选成份股进行被动式指数化投资，正常情况下投资于目标ETF的比例不低于基金资产净值的90%。</w:t>
            </w:r>
          </w:p>
          <w:p>
            <w:pPr>
              <w:ind w:firstLine="420"/>
              <w:jc w:val="left"/>
              <w:rPr>
                <w:rFonts w:ascii="仿宋_GB2312" w:eastAsia="仿宋_GB2312"/>
                <w:szCs w:val="21"/>
              </w:rPr>
            </w:pPr>
            <w:r>
              <w:rPr>
                <w:rFonts w:hint="eastAsia" w:ascii="仿宋_GB2312" w:eastAsia="仿宋_GB2312"/>
                <w:szCs w:val="21"/>
              </w:rPr>
              <w:t>本基金投资于目标ETF的方式以申购和赎回为主，但在目标ETF二级市场流动性较好的情况下，为了更好地实现本基金的投资目标，减小与标的指数的跟踪偏离度和跟踪误差，也可以通过二级市场交易买卖目标ETF。</w:t>
            </w:r>
          </w:p>
          <w:p>
            <w:pPr>
              <w:ind w:firstLine="420"/>
              <w:jc w:val="left"/>
              <w:rPr>
                <w:rFonts w:ascii="仿宋_GB2312" w:eastAsia="仿宋_GB2312"/>
                <w:szCs w:val="21"/>
              </w:rPr>
            </w:pPr>
            <w:r>
              <w:rPr>
                <w:rFonts w:hint="eastAsia" w:ascii="仿宋_GB2312" w:eastAsia="仿宋_GB2312"/>
                <w:szCs w:val="21"/>
              </w:rPr>
              <w:t>除流动性管理所需以外，本基金对于目标ETF以外的证券投资均进行被动式指数化投资。</w:t>
            </w:r>
          </w:p>
          <w:p>
            <w:pPr>
              <w:ind w:firstLine="420"/>
              <w:jc w:val="left"/>
              <w:rPr>
                <w:rFonts w:ascii="仿宋_GB2312" w:eastAsia="仿宋_GB2312"/>
                <w:szCs w:val="21"/>
              </w:rPr>
            </w:pPr>
            <w:r>
              <w:rPr>
                <w:rFonts w:hint="eastAsia" w:ascii="仿宋_GB2312" w:eastAsia="仿宋_GB2312"/>
                <w:szCs w:val="21"/>
              </w:rPr>
              <w:t>本基金投资存托凭证的策略依照境内上市交易的股票投资策略执行。</w:t>
            </w:r>
          </w:p>
          <w:p>
            <w:pPr>
              <w:ind w:firstLine="420"/>
              <w:jc w:val="left"/>
              <w:rPr>
                <w:rFonts w:ascii="仿宋_GB2312" w:eastAsia="仿宋_GB2312"/>
                <w:szCs w:val="21"/>
              </w:rPr>
            </w:pPr>
            <w:r>
              <w:rPr>
                <w:rFonts w:hint="eastAsia" w:ascii="仿宋_GB2312" w:eastAsia="仿宋_GB2312"/>
                <w:szCs w:val="21"/>
              </w:rPr>
              <w:t>法律法规或监管机构日后允许本基金投资的其他品种（如股指期货等），基金管理人在履行适当程序后，可以将其纳入投资范围。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1、决策依据；2、决策和交易机制；3、投资程序。</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上证180公司治理指数×95%＋银行活期存款税后收益率×5%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ETF联接基金，风险与收益高于混合基金、债券基金与货币市场基金。本基金为指数型基金，紧密跟踪标的指数，具有和标的指数所代表的股票市场相似的风险收益特征，属于证券投资基金中风险较高、收益较高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详见《交银施罗德上证180公司治理交易型开放式指数证券投资基金联接基金招募说明书》第十部分“基金的投资”。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5、投资本基金的特有风险</w:t>
      </w:r>
    </w:p>
    <w:p>
      <w:pPr>
        <w:ind w:firstLine="420"/>
        <w:jc w:val="left"/>
        <w:rPr>
          <w:rFonts w:ascii="仿宋_GB2312" w:eastAsia="仿宋_GB2312"/>
          <w:szCs w:val="21"/>
        </w:rPr>
      </w:pPr>
      <w:r>
        <w:rPr>
          <w:rFonts w:hint="eastAsia" w:ascii="仿宋_GB2312" w:eastAsia="仿宋_GB2312"/>
          <w:szCs w:val="21"/>
        </w:rPr>
        <w:t>（1）目标ETF的风险、（2）标的指数回报与股票市场平均回报偏离的风险、（3）标的指数波动的风险、（4）基金投资组合回报与标的指数回报偏离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（8）本基金为目标ETF的联接基金，但不能保证本基金的表现与目标ETF的表现完全一致。</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●《交银施罗德上证180公司治理交易型开放式指数证券投资基金联接基金基金合同》、</w:t>
      </w:r>
    </w:p>
    <w:p>
      <w:pPr>
        <w:ind w:firstLine="420"/>
        <w:jc w:val="left"/>
        <w:rPr>
          <w:rFonts w:ascii="仿宋_GB2312" w:eastAsia="仿宋_GB2312"/>
          <w:szCs w:val="21"/>
        </w:rPr>
      </w:pPr>
      <w:r>
        <w:rPr>
          <w:rFonts w:hint="eastAsia" w:ascii="仿宋_GB2312" w:eastAsia="仿宋_GB2312"/>
          <w:szCs w:val="21"/>
        </w:rPr>
        <w:t>《交银施罗德上证180公司治理交易型开放式指数证券投资基金联接基金托管协议》、</w:t>
      </w:r>
    </w:p>
    <w:p>
      <w:pPr>
        <w:ind w:firstLine="420"/>
        <w:jc w:val="left"/>
        <w:rPr>
          <w:rFonts w:ascii="仿宋_GB2312" w:eastAsia="仿宋_GB2312"/>
          <w:szCs w:val="21"/>
        </w:rPr>
      </w:pPr>
      <w:r>
        <w:rPr>
          <w:rFonts w:hint="eastAsia" w:ascii="仿宋_GB2312" w:eastAsia="仿宋_GB2312"/>
          <w:szCs w:val="21"/>
        </w:rPr>
        <w:t>《交银施罗德上证180公司治理交易型开放式指数证券投资基金联接基金招募说明书》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26E0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37124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683</Words>
  <Characters>3898</Characters>
  <Lines>32</Lines>
  <Paragraphs>9</Paragraphs>
  <TotalTime>0</TotalTime>
  <ScaleCrop>false</ScaleCrop>
  <LinksUpToDate>false</LinksUpToDate>
  <CharactersWithSpaces>4572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2025-09-24T06:25:00Z</dcterms:created>
  <dc:creator>Cc</dc:creator>
  <cp:lastModifiedBy>haotingting</cp:lastModifiedBy>
  <dcterms:modified xsi:type="dcterms:W3CDTF">2025-09-30T02:07:58Z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4F7BB5D9FC68487A97183B6212C35A5C</vt:lpwstr>
  </property>
</Properties>
</file>