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交银施罗德上证科创板100指数型证券投资基金（C类份额）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交银上证科创板100指数C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023051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2025-02-26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本基金采用指数化投资策略，紧密跟踪上证科创板100指数，追求跟踪偏离度与跟踪误差最小化。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上证科创板100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本基金可根据法律法规的规定参与融资及转融通证券出借业务。</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上证科创板100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本基金标的指数为上证科创板100指数。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1、股票投资策略；2、债券投资策略；3、股指期货投资策略；4、资产支持证券投资策略；5、存托凭证投资策略；6、融资、转融通证券出借业务投资策略。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上证科创板100指数收益率×95%＋人民币银行活期存款利率（税后）×5%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本基金是一只股票型基金，其预期风险和预期收益理论上高于混合型基金、债券型基金和货币市场基金。</w:t>
            </w:r>
          </w:p>
          <w:p>
            <w:pPr>
              <w:ind w:firstLine="420"/>
              <w:jc w:val="left"/>
              <w:rPr>
                <w:rFonts w:ascii="仿宋_GB2312" w:eastAsia="仿宋_GB2312"/>
                <w:szCs w:val="21"/>
              </w:rPr>
            </w:pPr>
            <w:r>
              <w:rPr>
                <w:rFonts w:hint="eastAsia" w:ascii="仿宋_GB2312" w:eastAsia="仿宋_GB2312"/>
                <w:szCs w:val="21"/>
              </w:rPr>
              <w:t>本基金为指数型基金，主要采用完全复制法跟踪上证科创板100指数，具有与标的指数相似的风险收益特征。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详见《交银施罗德上证科创板100指数型证券投资基金招募说明书》第十部分“基金的投资”。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注：本基金合同于2025年2月26日生效，截至上年度末，无相关年报数据。</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110000.00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本基金尚未披露基金年报，暂不披露该内容。</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上证科创板100指数成份股（含存托凭证）及备选成份股（含存托凭证）的比例不低于基金资产净值的90%且不低于非现金基金资产的80%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标的指数回报与股票市场平均回报偏离的风险、（3）标的指数波动的风险、（4）基金投资组合回报与标的指数回报偏离及跟踪误差控制未达约定目标的风险、（5）指数编制机构停止服务的风险、（6）成份股停牌或退市的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11、本基金参与融资业务的特定风险</w:t>
      </w:r>
    </w:p>
    <w:p>
      <w:pPr>
        <w:ind w:firstLine="420"/>
        <w:jc w:val="left"/>
        <w:rPr>
          <w:rFonts w:ascii="仿宋_GB2312" w:eastAsia="仿宋_GB2312"/>
          <w:szCs w:val="21"/>
        </w:rPr>
      </w:pPr>
      <w:r>
        <w:rPr>
          <w:rFonts w:hint="eastAsia" w:ascii="仿宋_GB2312" w:eastAsia="仿宋_GB2312"/>
          <w:szCs w:val="21"/>
        </w:rPr>
        <w:t>本基金可参与融资业务，面临的风险包括但不限于市场风险、流动性风险、信用风险等。</w:t>
      </w:r>
    </w:p>
    <w:p>
      <w:pPr>
        <w:ind w:firstLine="420"/>
        <w:jc w:val="left"/>
        <w:rPr>
          <w:rFonts w:ascii="仿宋_GB2312" w:eastAsia="仿宋_GB2312"/>
          <w:szCs w:val="21"/>
        </w:rPr>
      </w:pPr>
      <w:r>
        <w:rPr>
          <w:rFonts w:hint="eastAsia" w:ascii="仿宋_GB2312" w:eastAsia="仿宋_GB2312"/>
          <w:szCs w:val="21"/>
        </w:rPr>
        <w:t>12、本基金参与转融通证券出借业务的特定风险</w:t>
      </w:r>
    </w:p>
    <w:p>
      <w:pPr>
        <w:ind w:firstLine="420"/>
        <w:jc w:val="left"/>
        <w:rPr>
          <w:rFonts w:ascii="仿宋_GB2312" w:eastAsia="仿宋_GB2312"/>
          <w:szCs w:val="21"/>
        </w:rPr>
      </w:pPr>
      <w:r>
        <w:rPr>
          <w:rFonts w:hint="eastAsia" w:ascii="仿宋_GB2312" w:eastAsia="仿宋_GB2312"/>
          <w:szCs w:val="21"/>
        </w:rPr>
        <w:t>本基金可参与转融通证券出借业务，面临的风险包括但不限于流动性风险、信用风险、市场风险、其他风险等。</w:t>
      </w:r>
    </w:p>
    <w:p>
      <w:pPr>
        <w:ind w:firstLine="420"/>
        <w:jc w:val="left"/>
        <w:rPr>
          <w:rFonts w:ascii="仿宋_GB2312" w:eastAsia="仿宋_GB2312"/>
          <w:szCs w:val="21"/>
        </w:rPr>
      </w:pPr>
      <w:r>
        <w:rPr>
          <w:rFonts w:hint="eastAsia" w:ascii="仿宋_GB2312" w:eastAsia="仿宋_GB2312"/>
          <w:szCs w:val="21"/>
        </w:rPr>
        <w:t>13、本基金法律文件风险收益特征表述与销售机构基金风险评价可能不一致的风险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14、其他风险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●《交银施罗德上证科创板100指数型证券投资基金基金合同》、</w:t>
      </w:r>
    </w:p>
    <w:p>
      <w:pPr>
        <w:ind w:firstLine="420"/>
        <w:jc w:val="left"/>
        <w:rPr>
          <w:rFonts w:ascii="仿宋_GB2312" w:eastAsia="仿宋_GB2312"/>
          <w:szCs w:val="21"/>
        </w:rPr>
      </w:pPr>
      <w:r>
        <w:rPr>
          <w:rFonts w:hint="eastAsia" w:ascii="仿宋_GB2312" w:eastAsia="仿宋_GB2312"/>
          <w:szCs w:val="21"/>
        </w:rPr>
        <w:t>《交银施罗德上证科创板100指数型证券投资基金托管协议》、</w:t>
      </w:r>
    </w:p>
    <w:p>
      <w:pPr>
        <w:ind w:firstLine="420"/>
        <w:jc w:val="left"/>
        <w:rPr>
          <w:rFonts w:ascii="仿宋_GB2312" w:eastAsia="仿宋_GB2312"/>
          <w:szCs w:val="21"/>
        </w:rPr>
      </w:pPr>
      <w:r>
        <w:rPr>
          <w:rFonts w:hint="eastAsia" w:ascii="仿宋_GB2312" w:eastAsia="仿宋_GB2312"/>
          <w:szCs w:val="21"/>
        </w:rPr>
        <w:t>《交银施罗德上证科创板100指数型证券投资基金招募说明书》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26A42"/>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5F11A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756</Words>
  <Characters>4311</Characters>
  <Lines>35</Lines>
  <Paragraphs>10</Paragraphs>
  <TotalTime>2</TotalTime>
  <ScaleCrop>false</ScaleCrop>
  <LinksUpToDate>false</LinksUpToDate>
  <CharactersWithSpaces>5057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2025-09-19T06:01:00Z</dcterms:created>
  <dc:creator>Cc</dc:creator>
  <cp:lastModifiedBy>haotingting</cp:lastModifiedBy>
  <dcterms:modified xsi:type="dcterms:W3CDTF">2025-09-19T08:47:07Z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E6E4161218D2404EAEE2BDFBD48B6DB9</vt:lpwstr>
  </property>
</Properties>
</file>