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交银施罗德国证新能源指数证券投资基金（LOF）（C类份额）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交银国证新能源指数（LOF）C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013453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2020-11-30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国证新能源指数证券投资基金（LOF）由交银施罗德国证新能源指数分级证券投资基金转型而来。上述转型于2020年11月30日正式实施，自基金转型实施日起，《交银施罗德国证新能源指数分级证券投资基金基金合同》失效，且《交银施罗德国证新能源指数证券投资基金（LOF）基金合同》同时生效，交银施罗德国证新能源指数分级证券投资基金正式变更为交银施罗德国证新能源指数证券投资基金（LOF）。</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本基金采用指数化投资，紧密跟踪标的指数，追求跟踪偏离度与跟踪误差最小化。本基金力争控制本基金日均跟踪偏离度的绝对值不超过0.35%，年跟踪误差不超过4%。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具有良好流动性的金融工具，以国证新能源指数的成份股（含存托凭证）及其备选成份股(含中小板、创业板及其他经中国证监会核准或注册上市的股票、存托凭证)为主要投资对象。为更好地实现投资目标，本基金也可少量投资于其他股票(非标的指数成份股（含存托凭证）及其备选成份股（含存托凭证）)、债券、中期票据、货币市场工具、债券回购、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基金的投资组合比例为：本基金的股票资产（含存托凭证）投资比例不低于基金资产的 90%，本基金投资于国证新能源指数的成份股（含存托凭证）及其备选成份股（含存托凭证）的比例不低于非现金基金资产的90%，每个交易日日终在扣除股指期货合约需缴纳的交易保证金以后，持有现金或到期日在一年以内的政府债券的比例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型基金，绝大部分资产采用完全复制标的指数的方法跟踪标的指数，即按照国证新能源指数中的成份股组成及其权重构建股票投资组合，并根据标的指数成份股及其权重的变动进行相应调整。当预期成份股发生调整和成份股发生配股、增发、分红等行为时，或因基金的申购和赎回等对本基金跟踪标的指数的效果可能带来影响时，或因某些特殊情况导致成份股流动性不足时，或其他原因导致无法有效复制和跟踪标的指数时，基金管理人可以对投资组合管理进行适当变通和调整，从而使得投资组合紧密地跟踪标的指数。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本基金投资存托凭证的策略依照境内上市交易的股票投资策略执行。</w:t>
            </w:r>
          </w:p>
          <w:p>
            <w:pPr>
              <w:ind w:firstLine="420"/>
              <w:jc w:val="left"/>
              <w:rPr>
                <w:rFonts w:ascii="仿宋_GB2312" w:eastAsia="仿宋_GB2312"/>
                <w:szCs w:val="21"/>
              </w:rPr>
            </w:pPr>
            <w:r>
              <w:rPr>
                <w:rFonts w:hint="eastAsia" w:ascii="仿宋_GB2312" w:eastAsia="仿宋_GB2312"/>
                <w:szCs w:val="21"/>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国证新能源指数收益率×95%＋银行活期存款利率（税后）×5%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与预期收益高于混合型基金、债券型基金和货币市场基金。本基金为指数型基金，主要采用组合复制策略跟踪标的指数，具有与标的指数以及标的指数所代表的股票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详见《交银施罗德国证新能源指数证券投资基金（LOF）招募说明书》第十部分“基金的投资”。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2、本基金自2021年9月29日起，开始销售C类份额，基金份额类别首次确认当年净值增长率按实际存续期计算。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1.50%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6、本基金的特有风险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（1）本基金为股票型基金，投资于国证新能源指数成份股（含存托凭证）及其备选成份股（含存托凭证）的比例不低于非现金基金资产的90%，因投资权益类资产而面临权益类资产市场的系统性风险和个股风险；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（3）本基金可投资创业板股票，创业板个股上市后的前五个交易日不设价格涨跌幅限制，第六个交易日开始涨跌幅限制比例为20%。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9、投资流通受限证券的特定风险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●《交银施罗德国证新能源指数证券投资基金（LOF）基金合同》、</w:t>
      </w:r>
    </w:p>
    <w:p>
      <w:pPr>
        <w:ind w:firstLine="420"/>
        <w:jc w:val="left"/>
        <w:rPr>
          <w:rFonts w:ascii="仿宋_GB2312" w:eastAsia="仿宋_GB2312"/>
          <w:szCs w:val="21"/>
        </w:rPr>
      </w:pPr>
      <w:r>
        <w:rPr>
          <w:rFonts w:hint="eastAsia" w:ascii="仿宋_GB2312" w:eastAsia="仿宋_GB2312"/>
          <w:szCs w:val="21"/>
        </w:rPr>
        <w:t>《交银施罗德国证新能源指数证券投资基金（LOF）托管协议》、</w:t>
      </w:r>
    </w:p>
    <w:p>
      <w:pPr>
        <w:ind w:firstLine="420"/>
        <w:jc w:val="left"/>
        <w:rPr>
          <w:rFonts w:ascii="仿宋_GB2312" w:eastAsia="仿宋_GB2312"/>
          <w:szCs w:val="21"/>
        </w:rPr>
      </w:pPr>
      <w:r>
        <w:rPr>
          <w:rFonts w:hint="eastAsia" w:ascii="仿宋_GB2312" w:eastAsia="仿宋_GB2312"/>
          <w:szCs w:val="21"/>
        </w:rPr>
        <w:t>《交银施罗德国证新能源指数证券投资基金（LOF）招募说明书》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A710C"/>
    <w:rsid w:val="009C0C41"/>
    <w:rsid w:val="009F4EAE"/>
    <w:rsid w:val="00AB59CB"/>
    <w:rsid w:val="00AF7A1E"/>
    <w:rsid w:val="00C0525C"/>
    <w:rsid w:val="00CD7637"/>
    <w:rsid w:val="00D04A15"/>
    <w:rsid w:val="00D373CC"/>
    <w:rsid w:val="00DB319C"/>
    <w:rsid w:val="00E51B6D"/>
    <w:rsid w:val="00F75715"/>
    <w:rsid w:val="00F811C4"/>
    <w:rsid w:val="00FC2918"/>
    <w:rsid w:val="09657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819</Words>
  <Characters>4674</Characters>
  <Lines>38</Lines>
  <Paragraphs>10</Paragraphs>
  <TotalTime>0</TotalTime>
  <ScaleCrop>false</ScaleCrop>
  <LinksUpToDate>false</LinksUpToDate>
  <CharactersWithSpaces>5483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2025-09-24T05:30:00Z</dcterms:created>
  <dc:creator>Cc</dc:creator>
  <cp:lastModifiedBy>haotingting</cp:lastModifiedBy>
  <dcterms:modified xsi:type="dcterms:W3CDTF">2025-09-24T05:40:48Z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D99088C20A8C4869AA520A30C071AE51</vt:lpwstr>
  </property>
</Properties>
</file>