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jc w:val="center"/>
        <w:rPr>
          <w:sz w:val="32"/>
        </w:rPr>
      </w:pPr>
      <w:r>
        <w:drawing>
          <wp:inline distT="0" distB="0" distL="0" distR="0">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1"/>
                    <pic:cNvPicPr>
                      <a:picLocks noChangeAspect="1" noChangeArrowheads="1"/>
                    </pic:cNvPicPr>
                  </pic:nvPicPr>
                  <pic:blipFill>
                    <a:blip r:embed="rId12" cstate="print"/>
                    <a:srcRect/>
                    <a:stretch>
                      <a:fillRect/>
                    </a:stretch>
                  </pic:blipFill>
                  <pic:spPr>
                    <a:xfrm>
                      <a:off x="0" y="0"/>
                      <a:ext cx="4343400" cy="571500"/>
                    </a:xfrm>
                    <a:prstGeom prst="rect">
                      <a:avLst/>
                    </a:prstGeom>
                    <a:noFill/>
                    <a:ln w="9525">
                      <a:noFill/>
                      <a:miter lim="800000"/>
                      <a:headEnd/>
                      <a:tailEnd/>
                    </a:ln>
                  </pic:spPr>
                </pic:pic>
              </a:graphicData>
            </a:graphic>
          </wp:inline>
        </w:drawing>
      </w: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交银施罗德定期支付双息平衡混合型证券投资基金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二〇二五年九月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496884613"/>
      <w:bookmarkStart w:id="1" w:name="_Toc324920538"/>
      <w:bookmarkStart w:id="2" w:name="_Toc210133477"/>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定期支付双息平衡混合型证券投资基金（以下简称“本基金”）经2013年6月6日中国证券监督管理委员会（以下简称“中国证监会”）证监许可【2013】753号文核准募集。本基金基金合同于2013年9月4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市场风险、管理风险、流动性风险、信用风险、本基金投资策略所特有的风险、投资科创板股票的特定风险、本基金定期支付相关的特定风险，例如定期支付不等同于收益分配、年化现金支付比率不代表基金实际投资收益率、定期支付被确认失败的风险、年化现金支付比率发生调整的风险等等。本基金是一只混合型基金，在证券投资基金中属于较高风险的品种，其长期平均风险和预期收益高于货币市场基金和债券型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按照基金合同的约定，每月定期按照年化现金支付比率计算现金支付金额并通过自动赎回基金份额向基金份额持有人支付一定现金，但基金管理人不保证本基金一定盈利，也不保证最低收益，定期支付不等同于收益分配，年化现金支付比率也不代表本基金的实际投资收益率。根据基金合同的约定，特定情形下并存在当期定期支付业务被确认失败的风险。基金管理人可以根据基金实际运作情况和市场环境的变化，在履行适当程序后对上述约定的年化现金支付比率进行调整，并至少在调整前一个月公告，上述调整不须召开份额持有人大会。投资有风险，投资人在投资本基金前应认真阅读本基金的招募说明书和基金合同、基金产品资料概要。基金的过往业绩并不代表未来表现。基金管理人管理的其他基金的业绩并不构成对本基金业绩表现的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本招募说明书所载内容截止日为2025年09月03日，有关财务数据和净值表现截止日为2025年06月30日。本招募说明书所载的财务数据未经审计。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"_Toc210133477"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_Toc210133477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"_Toc210133478"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_Toc210133478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"_Toc210133479"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_Toc210133479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"_Toc210133480"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_Toc210133480 \h </w:instrText>
      </w:r>
      <w:r>
        <w:rPr>
          <w:rFonts w:ascii="宋体" w:hAnsi="宋体"/>
          <w:sz w:val="24"/>
        </w:rPr>
        <w:fldChar w:fldCharType="separate"/>
      </w:r>
      <w:r>
        <w:rPr>
          <w:rFonts w:ascii="宋体" w:hAnsi="宋体"/>
          <w:sz w:val="24"/>
        </w:rPr>
        <w:t>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"_Toc210133481"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_Toc210133481 \h </w:instrText>
      </w:r>
      <w:r>
        <w:rPr>
          <w:rFonts w:ascii="宋体" w:hAnsi="宋体"/>
          <w:sz w:val="24"/>
        </w:rPr>
        <w:fldChar w:fldCharType="separate"/>
      </w:r>
      <w:r>
        <w:rPr>
          <w:rFonts w:ascii="宋体" w:hAnsi="宋体"/>
          <w:sz w:val="24"/>
        </w:rPr>
        <w:t>16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"_Toc210133482"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_Toc210133482 \h </w:instrText>
      </w:r>
      <w:r>
        <w:rPr>
          <w:rFonts w:ascii="宋体" w:hAnsi="宋体"/>
          <w:sz w:val="24"/>
        </w:rPr>
        <w:fldChar w:fldCharType="separate"/>
      </w:r>
      <w:r>
        <w:rPr>
          <w:rFonts w:ascii="宋体" w:hAnsi="宋体"/>
          <w:sz w:val="24"/>
        </w:rPr>
        <w:t>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"_Toc210133483"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_Toc210133483 \h </w:instrText>
      </w:r>
      <w:r>
        <w:rPr>
          <w:rFonts w:ascii="宋体" w:hAnsi="宋体"/>
          <w:sz w:val="24"/>
        </w:rPr>
        <w:fldChar w:fldCharType="separate"/>
      </w:r>
      <w:r>
        <w:rPr>
          <w:rFonts w:ascii="宋体" w:hAnsi="宋体"/>
          <w:sz w:val="24"/>
        </w:rPr>
        <w:t>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"_Toc210133484"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_Toc210133484 \h </w:instrText>
      </w:r>
      <w:r>
        <w:rPr>
          <w:rFonts w:ascii="宋体" w:hAnsi="宋体"/>
          <w:sz w:val="24"/>
        </w:rPr>
        <w:fldChar w:fldCharType="separate"/>
      </w:r>
      <w:r>
        <w:rPr>
          <w:rFonts w:ascii="宋体" w:hAnsi="宋体"/>
          <w:sz w:val="24"/>
        </w:rPr>
        <w:t>56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"_Toc210133485"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_Toc210133485 \h </w:instrText>
      </w:r>
      <w:r>
        <w:rPr>
          <w:rFonts w:ascii="宋体" w:hAnsi="宋体"/>
          <w:sz w:val="24"/>
        </w:rPr>
        <w:fldChar w:fldCharType="separate"/>
      </w:r>
      <w:r>
        <w:rPr>
          <w:rFonts w:ascii="宋体" w:hAnsi="宋体"/>
          <w:sz w:val="24"/>
        </w:rPr>
        <w:t>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"_Toc210133486"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_Toc210133486 \h </w:instrText>
      </w:r>
      <w:r>
        <w:rPr>
          <w:rFonts w:ascii="宋体" w:hAnsi="宋体"/>
          <w:sz w:val="24"/>
        </w:rPr>
        <w:fldChar w:fldCharType="separate"/>
      </w:r>
      <w:r>
        <w:rPr>
          <w:rFonts w:ascii="宋体" w:hAnsi="宋体"/>
          <w:sz w:val="24"/>
        </w:rPr>
        <w:t>68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"_Toc210133487" </w:instrText>
      </w:r>
      <w:r>
        <w:fldChar w:fldCharType="separate"/>
      </w:r>
      <w:r>
        <w:rPr>
          <w:rStyle w:val="18"/>
          <w:rFonts w:hint="eastAsia" w:ascii="宋体" w:hAnsi="宋体"/>
          <w:sz w:val="24"/>
        </w:rPr>
        <w:t>十、基金的定期支付</w:t>
      </w:r>
      <w:r>
        <w:rPr>
          <w:rFonts w:ascii="宋体" w:hAnsi="宋体"/>
          <w:sz w:val="24"/>
        </w:rPr>
        <w:tab/>
      </w:r>
      <w:r>
        <w:rPr>
          <w:rFonts w:ascii="宋体" w:hAnsi="宋体"/>
          <w:sz w:val="24"/>
        </w:rPr>
        <w:fldChar w:fldCharType="begin"/>
      </w:r>
      <w:r>
        <w:rPr>
          <w:rFonts w:ascii="宋体" w:hAnsi="宋体"/>
          <w:sz w:val="24"/>
        </w:rPr>
        <w:instrText xml:space="preserve"> PAGEREF _Toc210133487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"_Toc210133488" </w:instrText>
      </w:r>
      <w:r>
        <w:fldChar w:fldCharType="separate"/>
      </w:r>
      <w:r>
        <w:rPr>
          <w:rStyle w:val="18"/>
          <w:rFonts w:hint="eastAsia" w:ascii="宋体" w:hAnsi="宋体"/>
          <w:sz w:val="24"/>
        </w:rPr>
        <w:t>十一、基金的投资</w:t>
      </w:r>
      <w:r>
        <w:rPr>
          <w:rFonts w:ascii="宋体" w:hAnsi="宋体"/>
          <w:sz w:val="24"/>
        </w:rPr>
        <w:tab/>
      </w:r>
      <w:r>
        <w:rPr>
          <w:rFonts w:ascii="宋体" w:hAnsi="宋体"/>
          <w:sz w:val="24"/>
        </w:rPr>
        <w:fldChar w:fldCharType="begin"/>
      </w:r>
      <w:r>
        <w:rPr>
          <w:rFonts w:ascii="宋体" w:hAnsi="宋体"/>
          <w:sz w:val="24"/>
        </w:rPr>
        <w:instrText xml:space="preserve"> PAGEREF _Toc210133488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"_Toc210133489" </w:instrText>
      </w:r>
      <w:r>
        <w:fldChar w:fldCharType="separate"/>
      </w:r>
      <w:r>
        <w:rPr>
          <w:rStyle w:val="18"/>
          <w:rFonts w:hint="eastAsia" w:ascii="宋体" w:hAnsi="宋体"/>
          <w:sz w:val="24"/>
        </w:rPr>
        <w:t>十二、基金的业绩</w:t>
      </w:r>
      <w:r>
        <w:rPr>
          <w:rFonts w:ascii="宋体" w:hAnsi="宋体"/>
          <w:sz w:val="24"/>
        </w:rPr>
        <w:tab/>
      </w:r>
      <w:r>
        <w:rPr>
          <w:rFonts w:ascii="宋体" w:hAnsi="宋体"/>
          <w:sz w:val="24"/>
        </w:rPr>
        <w:fldChar w:fldCharType="begin"/>
      </w:r>
      <w:r>
        <w:rPr>
          <w:rFonts w:ascii="宋体" w:hAnsi="宋体"/>
          <w:sz w:val="24"/>
        </w:rPr>
        <w:instrText xml:space="preserve"> PAGEREF _Toc210133489 \h </w:instrText>
      </w:r>
      <w:r>
        <w:rPr>
          <w:rFonts w:ascii="宋体" w:hAnsi="宋体"/>
          <w:sz w:val="24"/>
        </w:rPr>
        <w:fldChar w:fldCharType="separate"/>
      </w:r>
      <w:r>
        <w:rPr>
          <w:rFonts w:ascii="宋体" w:hAnsi="宋体"/>
          <w:sz w:val="24"/>
        </w:rPr>
        <w:t>91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"_Toc210133490" </w:instrText>
      </w:r>
      <w:r>
        <w:fldChar w:fldCharType="separate"/>
      </w:r>
      <w:r>
        <w:rPr>
          <w:rStyle w:val="18"/>
          <w:rFonts w:hint="eastAsia" w:ascii="宋体" w:hAnsi="宋体"/>
          <w:sz w:val="24"/>
        </w:rPr>
        <w:t>十三、基金的财产</w:t>
      </w:r>
      <w:r>
        <w:rPr>
          <w:rFonts w:ascii="宋体" w:hAnsi="宋体"/>
          <w:sz w:val="24"/>
        </w:rPr>
        <w:tab/>
      </w:r>
      <w:r>
        <w:rPr>
          <w:rFonts w:ascii="宋体" w:hAnsi="宋体"/>
          <w:sz w:val="24"/>
        </w:rPr>
        <w:fldChar w:fldCharType="begin"/>
      </w:r>
      <w:r>
        <w:rPr>
          <w:rFonts w:ascii="宋体" w:hAnsi="宋体"/>
          <w:sz w:val="24"/>
        </w:rPr>
        <w:instrText xml:space="preserve"> PAGEREF _Toc210133490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"_Toc210133491" </w:instrText>
      </w:r>
      <w:r>
        <w:fldChar w:fldCharType="separate"/>
      </w:r>
      <w:r>
        <w:rPr>
          <w:rStyle w:val="18"/>
          <w:rFonts w:hint="eastAsia" w:ascii="宋体" w:hAnsi="宋体"/>
          <w:sz w:val="24"/>
        </w:rPr>
        <w:t>十四、基金资产的估值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_Toc210133491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"_Toc210133492" </w:instrText>
      </w:r>
      <w:r>
        <w:fldChar w:fldCharType="separate"/>
      </w:r>
      <w:r>
        <w:rPr>
          <w:rStyle w:val="18"/>
          <w:rFonts w:hint="eastAsia" w:ascii="宋体" w:hAnsi="宋体"/>
          <w:sz w:val="24"/>
        </w:rPr>
        <w:t>十五、基金收益与分配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_Toc210133492 \h </w:instrText>
      </w:r>
      <w:r>
        <w:rPr>
          <w:rFonts w:ascii="宋体" w:hAnsi="宋体"/>
          <w:sz w:val="24"/>
        </w:rPr>
        <w:fldChar w:fldCharType="separate"/>
      </w:r>
      <w:r>
        <w:rPr>
          <w:rFonts w:ascii="宋体" w:hAnsi="宋体"/>
          <w:sz w:val="24"/>
        </w:rPr>
        <w:t>99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"_Toc210133493" </w:instrText>
      </w:r>
      <w:r>
        <w:fldChar w:fldCharType="separate"/>
      </w:r>
      <w:r>
        <w:rPr>
          <w:rStyle w:val="18"/>
          <w:rFonts w:hint="eastAsia" w:ascii="宋体" w:hAnsi="宋体"/>
          <w:sz w:val="24"/>
        </w:rPr>
        <w:t>十六、基金的费用与税收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_Toc210133493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"_Toc210133494" </w:instrText>
      </w:r>
      <w:r>
        <w:fldChar w:fldCharType="separate"/>
      </w:r>
      <w:r>
        <w:rPr>
          <w:rStyle w:val="18"/>
          <w:rFonts w:hint="eastAsia" w:ascii="宋体" w:hAnsi="宋体"/>
          <w:sz w:val="24"/>
        </w:rPr>
        <w:t>十七、基金的会计与审计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_Toc210133494 \h </w:instrText>
      </w:r>
      <w:r>
        <w:rPr>
          <w:rFonts w:ascii="宋体" w:hAnsi="宋体"/>
          <w:sz w:val="24"/>
        </w:rPr>
        <w:fldChar w:fldCharType="separate"/>
      </w:r>
      <w:r>
        <w:rPr>
          <w:rFonts w:ascii="宋体" w:hAnsi="宋体"/>
          <w:sz w:val="24"/>
        </w:rPr>
        <w:t>102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"_Toc210133495" </w:instrText>
      </w:r>
      <w:r>
        <w:fldChar w:fldCharType="separate"/>
      </w:r>
      <w:r>
        <w:rPr>
          <w:rStyle w:val="18"/>
          <w:rFonts w:hint="eastAsia" w:ascii="宋体" w:hAnsi="宋体"/>
          <w:sz w:val="24"/>
        </w:rPr>
        <w:t>十八、基金的信息披露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_Toc210133495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"_Toc210133496"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_Toc210133496 \h </w:instrText>
      </w:r>
      <w:r>
        <w:rPr>
          <w:rFonts w:ascii="宋体" w:hAnsi="宋体"/>
          <w:sz w:val="24"/>
        </w:rPr>
        <w:fldChar w:fldCharType="separate"/>
      </w:r>
      <w:r>
        <w:rPr>
          <w:rFonts w:ascii="宋体" w:hAnsi="宋体"/>
          <w:sz w:val="24"/>
        </w:rPr>
        <w:t>109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"_Toc210133497"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_Toc210133497 \h </w:instrText>
      </w:r>
      <w:r>
        <w:rPr>
          <w:rFonts w:ascii="宋体" w:hAnsi="宋体"/>
          <w:sz w:val="24"/>
        </w:rPr>
        <w:fldChar w:fldCharType="separate"/>
      </w:r>
      <w:r>
        <w:rPr>
          <w:rFonts w:ascii="宋体" w:hAnsi="宋体"/>
          <w:sz w:val="24"/>
        </w:rPr>
        <w:t>117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"_Toc210133498"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_Toc210133498 \h </w:instrText>
      </w:r>
      <w:r>
        <w:rPr>
          <w:rFonts w:ascii="宋体" w:hAnsi="宋体"/>
          <w:sz w:val="24"/>
        </w:rPr>
        <w:fldChar w:fldCharType="separate"/>
      </w:r>
      <w:r>
        <w:rPr>
          <w:rFonts w:ascii="宋体" w:hAnsi="宋体"/>
          <w:sz w:val="24"/>
        </w:rPr>
        <w:t>119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"_Toc210133499"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_Toc210133499 \h </w:instrText>
      </w:r>
      <w:r>
        <w:rPr>
          <w:rFonts w:ascii="宋体" w:hAnsi="宋体"/>
          <w:sz w:val="24"/>
        </w:rPr>
        <w:fldChar w:fldCharType="separate"/>
      </w:r>
      <w:r>
        <w:rPr>
          <w:rFonts w:ascii="宋体" w:hAnsi="宋体"/>
          <w:sz w:val="24"/>
        </w:rPr>
        <w:t>133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"_Toc210133500"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_Toc210133500 \h </w:instrText>
      </w:r>
      <w:r>
        <w:rPr>
          <w:rFonts w:ascii="宋体" w:hAnsi="宋体"/>
          <w:sz w:val="24"/>
        </w:rPr>
        <w:fldChar w:fldCharType="separate"/>
      </w:r>
      <w:r>
        <w:rPr>
          <w:rFonts w:ascii="宋体" w:hAnsi="宋体"/>
          <w:sz w:val="24"/>
        </w:rPr>
        <w:t>150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"_Toc210133501"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_Toc210133501 \h </w:instrText>
      </w:r>
      <w:r>
        <w:rPr>
          <w:rFonts w:ascii="宋体" w:hAnsi="宋体"/>
          <w:sz w:val="24"/>
        </w:rPr>
        <w:fldChar w:fldCharType="separate"/>
      </w:r>
      <w:r>
        <w:rPr>
          <w:rFonts w:ascii="宋体" w:hAnsi="宋体"/>
          <w:sz w:val="24"/>
        </w:rPr>
        <w:t>152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"_Toc210133502"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_Toc210133502 \h </w:instrText>
      </w:r>
      <w:r>
        <w:rPr>
          <w:rFonts w:ascii="宋体" w:hAnsi="宋体"/>
          <w:sz w:val="24"/>
        </w:rPr>
        <w:fldChar w:fldCharType="separate"/>
      </w:r>
      <w:r>
        <w:rPr>
          <w:rFonts w:ascii="宋体" w:hAnsi="宋体"/>
          <w:sz w:val="24"/>
        </w:rPr>
        <w:t>154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"_Toc210133503"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_Toc210133503 \h </w:instrText>
      </w:r>
      <w:r>
        <w:rPr>
          <w:rFonts w:ascii="宋体" w:hAnsi="宋体"/>
          <w:sz w:val="24"/>
        </w:rPr>
        <w:fldChar w:fldCharType="separate"/>
      </w:r>
      <w:r>
        <w:rPr>
          <w:rFonts w:ascii="宋体" w:hAnsi="宋体"/>
          <w:sz w:val="24"/>
        </w:rPr>
        <w:t>155</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10133478"/>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定期支付双息平衡混合型证券投资基金招募说明书》（以下简称“本招募说明书”）依据《中华人民共和国证券投资基金法》、《公开募集证券投资基金运作管理办法》、《证券投资基金销售管理办法》、《公开募集证券投资基金信息披露管理办法》、《公开募集开放式证券投资基金流动性风险管理规定》(以下简称“《流动性规定》”)和其他相关法律法规的规定以及《交银施罗德定期支付双息平衡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10133479"/>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1、基金或本基金：指交银施罗德定期支付双息平衡混合型证券投资基金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4、基金合同：指《交银施罗德定期支付双息平衡混合型证券投资基金基金合同》及对该基金合同的任何有效修订和补充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5、托管协议：指基金管理人与基金托管人就本基金签订之《交银施罗德定期支付双息平衡混合型证券投资基金托管协议》及对该托管协议的任何有效修订和补充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6、招募说明书或本招募说明书：指《交银施罗德定期支付双息平衡混合型证券投资基金招募说明书》及其更新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7、基金份额发售公告：指《交银施罗德定期支付双息平衡混合型证券投资基金基金份额发售公告》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8、基金产品资料概要：指《交银施罗德定期支付双息平衡混合型证券投资基金基金产品资料概要》及其更新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10、中国：指中华人民共和国（仅为基金合同之目的，不包括香港特别行政区、澳门特别行政区及台湾地区）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12、《销售办法》：指中国证监会2013年3月15日颁布、同年6月1日实施的《证券投资基金销售管理办法》及颁布机关对其不时做出的修订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15、《运作办法》：指中国证监会2014年7月7日颁布、同年8月8日实施的《公开募集证券投资基金运作管理办法》及颁布机关对其不时做出的修订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17、银行业监督管理机构：指中国人民银行和/或中国银行业监督管理委员会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25、直销机构：指交银施罗德基金管理有限公司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27、销售机构：指直销机构和代销机构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45、基金转换：指基金份额持有人按照本基金合同和基金管理人届时有效公告规定的条件，申请将其持有基金管理人管理的、某一基金的基金份额转换为基金管理人管理的其他基金基金份额的行为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47、定期定额投资计划：指投资人通过有关销售机构提出申请，约定每期申购日、扣款金额及扣款方式，由销售机构在投资人指定银行账户内自动完成扣款并于每期约定的申购日提交基金申购申请的一种投资方式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定期支付时的自动赎回份额不纳入以上赎回份额计算）超过上一开放日基金总份额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51、基金资产总值：指基金拥有的各类有价证券、银行存款本息、基金应收申购款及其他资产的价值总和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55、定期支付：指本基金按照基金合同的约定，每月定期向基金份额持有人支付一定现金的业务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58、不可抗力：指本基金合同当事人不能预见、不能避免且不能克服的客观事件。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10133480"/>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黄鼎先生:</w:t>
      </w:r>
      <w:bookmarkStart w:id="29" w:name="_GoBack"/>
      <w:bookmarkEnd w:id="29"/>
      <w:r>
        <w:rPr>
          <w:rFonts w:ascii="宋体" w:hAnsi="宋体"/>
          <w:sz w:val="24"/>
        </w:rPr>
        <w:t>基金经理。上海交通大学经济学硕士，12年证券投资行业从业经验。2013年至2015年任博时基金管理有限公司研究员。2015年加入交银施罗德基金管理有限公司，历任行业分析师。现任交银施罗德定期支付双息平衡混合型证券投资基金(2021年09月29日至今)、交银施罗德启嘉混合型证券投资基金(2023年08月02日至今)、交银施罗德瑞安混合型证券投资基金(2025年06月24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李德亮先生(2013年09月04日至2015年08月28日)；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项廷锋先生(2013年09月04日至2014年12月18日)；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张迎军先生(2013年09月04日至2015年07月10日)；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杨浩先生(2015年08月15日至2022年09月07日)。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于海颖（混合资产投资总监兼多元资产管理总监、基金经理）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10133481"/>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截止到2025年6月30日，中国农业银行托管的封闭式证券投资基金和开放式证券投资基金共957只。</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10133482"/>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400-858-8888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www.xmbankonline.com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（9）名称：江苏常熟农村商业银行股份有限公司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法定代表人：宋建明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联系电话：（0512）52909128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传真：（0512）52909122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客户服务电话：962000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（16）名称：东吴证券股份有限公司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住所：苏州工业园区星阳街5号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法定代表人：范力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电话：0512-62938521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传真：0512-62938527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联系人：陆晓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网址：www.dwjq.com.cn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法定代表人：雷杰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联系人：徐锦福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（24）名称：五矿证券有限公司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住所：深圳市福田区金田路4028号荣超经贸中心47层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法定代表人：赵立功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公司客服电话：400180028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传真号：075582545500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网址：www.wkzq.com.cn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法定代表人：王常青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电话：（010）85130588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传真：（010）65182261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联系人：魏明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（28）名称：浙商证券股份有限公司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住所：浙江省杭州市江干区五星路201号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办公地址：浙江省杭州市江干区五星路201号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法定代表人：吴承根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电话：（0571）87901964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传真：（0571）87901955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联系人：胡相斌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网址：www.stocke.com.cn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联系人：胡子豪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法定代表人：孙树明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联系人：马梦洁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住所：厦门市莲前西路2号莲富大厦17楼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办公地址：厦门市莲前西路2号莲富大厦17楼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电话：（0592）5161642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传真：（0592）5161640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客户服务电话：（0592）5163588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网址：www.xmzq.cn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联系人：朱雅崴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法定代表人：胡伏云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（42）名称：联储证券有限责任公司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住所：深圳市福田区福田街道岗厦社区深南大道南侧金地中心大厦9楼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办公地址：北京市朝阳区安定路5号院3号楼中建财富国际中心27层联储证券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法定代表人：吕春卫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传真：010-86499401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祝博文、张婉婷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 400-620-6868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www.lczq.com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法定代表人：姜晓林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联系人：焦刚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住所：山东省济南市市中区经七路86号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办公地址：山东省济南市市中区经七路86号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（53）名称：瑞银证券有限责任公司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（59）名称：粤开证券股份有限公司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法定代表人：郭川舟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网址：www.ykzq.com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（62）名称：万联证券股份有限公司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注册地址：广州市天河区珠江东路11号18、19楼全层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办公地址：广东省广州市天河区珠江东路13号高德置地广场E座12层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 系 人：丁思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联系方式：020-83988334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公司官网：www.wlzq.cn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（65）名称：中航证券有限公司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法定代表人：杜航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电话：（0791）86768681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传真：（0791）86770178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联系人：戴蕾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客户服务电话：400-8895-335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网址：www.avicsec.com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（66）名称：中邮证券有限责任公司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注册地址：陕西省西安市唐延路5号（陕西邮政信息大厦9-11层）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办公地址：北京市东城区珠市口东大街17号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法定代表人：郭成林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电话：010-67017788-8914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传真：010-67017788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联系人：史蕾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网址：www.cnpsec.com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（68）名称：南京证券股份有限公司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（70）名称：申港证券股份有限公司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住所：中国（上海）自由贸易实验区世纪大道1589号长泰国际金融大厦16/22/23楼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办公地址：中国（上海）自由贸易试验区世纪大道1589号长泰国际金融大厦16/19/22/23/26楼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法定代表人：邵亚良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电话：021-20639666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传真：021-20639696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联系人：金燕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客户服务电话：956029/021-80229999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网址：www.shgsec.com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（107）名称：上海利得基金销售有限公司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（108）名称：北京汇成基金销售有限公司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（109）名称：嘉实财富管理有限公司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（110）名称：南京苏宁基金销售有限公司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（117）名称：博时财富基金销售有限公司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（118）名称：深圳前海微众银行股份有限公司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经办律师：吕红、黎明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10133483"/>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本基金由基金管理人依照《基金法》、《运作办法》、基金合同及其他有关规定，并经中国证监会证监许可[2013]753号文核准募集发售。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本基金自2013年8月7日至2013年8月30日进行发售。本基金设立募集期共募集642,313,653.44份基金份额，有效认购户数为7,039户。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10133484"/>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根据有关规定，本基金满足基金合同生效条件，基金合同已于2013年9月4日正式生效。自基金合同生效之日起，本基金管理人正式开始管理本基金。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10133485"/>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由投资者主动申请办理的申购、赎回等业务适用本部分的约定。本基金定期支付发起的自动赎回适用本招募说明书第十部分“基金的定期支付”的约定。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本基金的代销机构参见本招募说明书“五、相关服务机构”章节或拨打本公司客户服务电话进行咨询。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投资人可通过上述销售机构办理基金申购、赎回业务的营业场所或按上述销售机构提供的其他方式进行申购或赎回。本基金管理人可根据情况变更或增减基金代销机构，并在管理人网站公示。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本基金已于2013年12月3日起开放申购业务。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本基金已于2013年12月3日起开放赎回业务。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定期支付发起的自动赎回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介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当月进行定期支付，当月自动赎回用以定期支付的基金份额从当月定期支付基准日（T日）的下一工作日起（含该日）从投资人的基金交易账户中扣减，基金交易账户中扣减后的基金份额余额自T+2日起（含该日）方可查询，可能会导致基金份额持有人在定期支付基准日（T日）的下一工作日（T+1日）提交的赎回或转换出申请因提交申请的份额余额大于实际的份额余额而被确认失败。对于发生基金份额持有人在T+1日提交的赎回申请因提交申请的份额余额大于实际的份额余额而被确认失败的情形，基金管理人有权对该基金份额持有人全部的可用剩余份额发起强制赎回，强制赎回的确认结果以注册登记机构确认结果为准；对于确认失败的转换申请，基金管理人不进行上述强制赎回的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无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以交易时间结束前受理有效申购和赎回申请的当天作为申购或赎回申请日（T日），在正常情况下，本基金登记机构在T+1日（包括该日）内对该交易的有效性进行确认。T日提交的有效申请，投资人可在T+2日后（包括该日）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投资人赎回申请成功后，基金管理人将在T＋7日（包括该日）内支付赎回款项。在发生巨额赎回时，款项的支付办法参照本基金合同有关条款处理。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（1）投资人T日申购基金成功后，正常情况下，登记机构在T＋1日为投资人增加权益并办理注册登记手续，投资人自T＋2日起（包括该日）有权赎回该部分基金份额。投资人应及时查询有关申请的确认情况。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（2）投资人T日赎回基金成功后，正常情况下，登记机构在T＋1日为投资人扣除权益并办理相应的注册登记手续。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（3）基金管理人可在法律法规允许的范围内，对上述注册登记办理时间进行调整，并于开始实施前按照《信息披露办法》的有关规定在指定媒介上公告并报中国证监会备案。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投资人可以多次申购本基金，申购费率按每笔申购申请单独计算。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因红利自动再投资而产生的基金份额，不收取相应的申购费用。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由赎回基金份额的基金份额持有人承担，在基金份额持有人赎回基金份额时收取，不低于赎回费总额的25%应归基金财产，其余用于支付登记费和其他必要的手续费。其中，对持续持有期少于7日的基金份额持有人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的有效份额为按实际确认的申购金额在扣除相应的费用后，以当日基金份额净值为基准计算，申购份额计算结果保留到小数点后2位，小数点后两位以后的部分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（2）赎回金额为按实际确认的有效赎回份额乘以当日基金份额净值并扣除相应的费用，赎回金额计算结果保留到小数点后2位，小数点后两位以后的部分四舍五入，由此误差产生的收益或损失由基金财产承担。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例二：某投资人投资40,000元申购本基金，假设申购当日基金份额净值为1.040元，申购费率为1.5%，则其可得到的申购份额为：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例三：某投资人赎回认购（申购）持有的10,000份基金份额，对应的赎回费率为0.5%，假设赎回当日基金份额净值是1.016元，则其可得到的赎回金额为：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即：投资人赎回本基金10,000份基金份额，假设赎回当日基金份额净值是1.016元，则其可得到的赎回金额为10,109.20元。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基金份额净值＝基金资产净值总额/发行在外的基金份额总数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内公告。遇特殊情况，经中国证监会同意，可以适当延迟计算或公告。本基金基金份额净值的计算，保留到小数点后3位，小数点后第4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7、8项暂停申购情形之一且基金管理人决定暂停申购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2、暂停结束，基金重新开放申购或赎回时，基金管理人应依照《信息披露管理办法》的有关规定，在指定媒介上刊登基金重新开放申购或赎回公告，并公告最近1个开放日的基金份额净值。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2013年11月28日刊登公告自2013年12月3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（十五）定期定额赎回业务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2013年11月28日刊登公告自2013年12月3日起在中国农业银行股份有限公司下属各代销网点开通定期定额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（十七）基金份额的折算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基金合同生效后，本基金可以进行份额折算。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1、基金份额折算的时间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基金管理人应事先确定基金份额折算日，并依照《信息披露办法》的有关规定提前公告。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2、基金份额折算的原则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基金份额折算由基金管理人向登记机构申请办理，并由登记机构进行基金份额的变更登记。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如果基金份额折算过程中发生不可抗力，基金管理人可延迟办理基金份额折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3、基金份额折算的方法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基金份额折算的具体方法在基金份额折算公告中列示。</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10133486"/>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本基金2013年11月28日刊登公告自2013年12月3日起开放日常转换业务。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10133487"/>
      <w:r>
        <w:rPr>
          <w:rFonts w:ascii="Times New Roman" w:hAnsi="Times New Roman"/>
          <w:sz w:val="30"/>
        </w:rPr>
        <w:t>十、基金的定期支付</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按照基金合同的约定，每月定期通过自动赎回基金份额向基金份额持有人支付一定现金，具体而言，本基金按照本招募说明书约定的年化现金支付比率，以约定的定期支付基准日的基金份额净值为基础，计算当期基金份额持有人可获得支付的现金，并自动赎回基金份额持有人所持的对应金额的基金份额，以该自动赎回的资金向基金份额持有人进行现金支付。上述自动赎回基金份额由基金管理人发起而无需基金份额持有人另行提交赎回申请。基金份额持有人并无需就此类自动赎回支付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在法律法规允许的前提下，基金管理人可在履行适当程序后采用除自动赎回基金份额以外的其他方式进行定期支付，并在新的方式开始实施前依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（一）定期支付的时间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基金每月对投资人进行1次定期支付，若基金合同生效不满3个月可不进行支付。发生下列情形时，基金管理人可暂停当月的定期支付：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1、因不可抗力导致基金管理人不能支付定期支付的款项。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2、定期支付基准日发生基金合同规定的暂停基金资产估值情况。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3、定期支付基准日证券交易所交易时间临时停市，导致基金管理人无法计算当日基金资产净值。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4、定期支付基准日发生基金合同第六部分约定的暂停赎回或者延缓支付赎回款项的情形且基金管理人决定暂停接受投资人的赎回申请或者延缓支付赎回款项。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发生上述情形之一且基金管理人决定暂停当月的定期支付时，基金管理人应当根据有关规定在指定媒介上刊登暂停定期支付业务公告并报中国证监会备案。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（二）定期支付的支付基准日、权益登记日及款项支付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进行定期支付的，当月的第一个工作日（T日）为本基金的定期支付基准日，该月的现金支付金额以该日的基金资产净值为基础计算得出。当月的第一个工作日（T日）也是该月定期支付的权益登记日，即该日登记在册的基金份额持有人为该月定期支付的对象。对于T日登记在册的基金份额持有人，登记机构在T＋1日确定自动赎回用于现金支付的基金份额数并将上述用于现金支付的基金份额从基金份额持有人账户中进行扣减。基金管理人将通过登记机构及其相关销售机构在T＋7日（包括该日）内将支付款项划往基金份额持有人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基金管理人可在法律法规允许的范围内，依法对上述定期支付的时间安排进行调整，并必须在调整实施日前按照《信息披露办法》的有关规定在指定媒介上公告并报中国证监会备案。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（三）定期支付金额的计算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每次定期支付按照年化现金支付比率计算现金支付金额并自动赎回对应金额的基金份额数以用于向基金份额持有人进行现金支付，现金支付金额和自动赎回用于现金支付的基金份额按照单个基金交易账户进行计算，具体计算公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39.75pt;width:10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14.25pt;width:78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14.25pt;width:57.7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Di为第i次定期支付权益登记日登记在册的每份基金份额对应的现金支付金额；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ni为第i次定期支付该基金交易账户对应的自动赎回用于现金支付的份额数，计算结果四舍五入保留到小数点后两位；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Ci为第i次定期支付该基金交易账户实际可获得的现金支付金额，计算结果四舍五入保留到小数点后两位；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Pi为第i次定期支付权益登记日的基金份额净值；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R为年化现金支付比率；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ti（i&gt;1）为第i-1次定期支付权益登记日（不含该日）至第i次定期支付权益登记日（含该日）之间的天数，t1为基金合同生效日（含该日）至第1次定期支付权益登记日（含该日）之间的天数；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T为365天；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Mi为第i次定期支付权益登记日基金份额持有人在该基金交易账户确认持有的份额数。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由于计算过程尾差的处理，投资人实际可获得的现金支付金额（即Ci），与按照每份基金份额对应的现金支付金额乘以其权益登记日持有的份额数（即DiMi）计算得到的结果可能存在一定尾差。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当前的年化现金支付比率为3%，基金管理人可以根据基金实际运作情况和市场环境的变化，在履行适当程序后对上述约定的年化现金支付比率进行调整，并至少在调整前一个月公告，上述调整不须召开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假设本基金合同生效日为2013年1月8日，于2013年3月进行了第一次定期支付，2013年3月1日为当月定期支付基准日和权益登记日，假设该日的基金份额净值为1.010元，2013年1月8日（含）至2013年3月1日（含）之间的天数为53天，则该次定期支付每份基金份额对应的现金支付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D1=1.010×(3%×53/365)=0.004399元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若某基金份额持有人的基金交易账户在2013年3月1日确认持有的份额数为1,000份,则第一次定期支付该基金交易账户对应的自动赎回用于现金支付的份额数为：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n1=1,000×1.010×(3%×53/365)/1.010=4.36份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第一次定期支付该基金交易账户实际可获得的现金支付金额为：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C1=4.36×1.010=4.40元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例五：延续例四的假设条件，假设本基金于2013年4月进行了第二次定期支付， 2013年5月因为发生了基金合同约定暂停定期支付的情形且基金管理人决定暂停了当月的定期支付，本基金又于2013年6月进行第三次定期支付。2013年4月1日和6月3日分别为第二次和第三次定期支付的基准日和权益登记日，假设2013年4月1日的基金份额净值为0.996元, 2013年6月3日的基金份额净值为1.018元， 2013年3月1日（不含）至2013年4月1日（含）之间的天数为31天，2013年4月1日（不含）至2013年6月3日（含）之间的天数为63天，则第二次和第三次定期支付每份基金份额对应的现金支付金额分别为：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D2=0.996×(3%×31/365)=0.002538元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D3=1.018×(3%×63/365)=0.005271元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若某基金份额持有人的基金交易账户在2013年4月1日和6月3日确认持有的份额数仍为1,000份，则第二次和第三次定期支付该基金交易账户对应的自动赎回用于现金支付的份额数分别为：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n2=1000×0.996×(3%×31/365)/0.996=2.55份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n3=1000×1.018×(3%×63/365)/1.018=5.18份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第二次和第三次定期支付该基金交易账户实际可获得的现金支付金额分别为：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C2=2.55×0.996=2.54元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C3=5.18×1.018=5.27元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（四）定期支付的确认原则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1、定期支付每期自动赎回用以现金支付的基金份额时，按“先进先出”的原则进行处理，即先自动赎回登记确认日期在先的基金份额；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登记机构办理登记业务时，基金份额持有人主动发起的份额减少业务（包括赎回、转换出及转托管出）或者登记机构发起的其他非定期支付份额减少业务的确认原则上优先于定期支付业务的确认；每期自动赎回用以定期支付的基金份额时，若因当日该账户同时有其他的份额减少业务被确认而导致基金份额余额不足时，当期的定期支付业务将被确认失败，即该账户当期不进行现金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假设本基金于2013年7月进行了定期支付，2013年7月1日为当月定期支付的基准日和权益登记日。假设某基金份额持有人的基金交易账户在2013年7月1日确认持有的份额数为10,000份，根据计算公式计算当月该基金交易账户对应的自动赎回用于现金支付的份额数为65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该基金份额持有人于2013年7月1日提交申请赎回份额9,500份，该赎回申请将优先于定期支付自动赎回业务被确认，确认后该基金账户的剩余份额为500份，高于定期支付自动赎回的份额，则该次定期支付业务也被确认成功，即该份额持有人除获得申请赎回份额的赎回款，还将获得该次定期支付的现金支付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该基金份额持有人于2013年7月1日提交申请赎回份额9,940份，该赎回申请将优先于定期支付自动赎回业务被确认，确认后该基金账户的剩余份额为60份，低于定期支付自动赎回的份额，则该次定期支付业务将被确认失败，即该账户当月不再进行现金支付，该份额持有人只获得申请赎回份额的赎回款。</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10133488"/>
      <w:r>
        <w:rPr>
          <w:rFonts w:ascii="Times New Roman" w:hAnsi="Times New Roman"/>
          <w:sz w:val="30"/>
        </w:rPr>
        <w:t>十一、基金的投资</w:t>
      </w:r>
      <w:bookmarkEnd w:id="1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本基金精选具有长期增长潜力和较好分红能力的股票，以及具有较高息票率的债券，力争实现基金资产的长期增值。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上市的股票（含中小板、创业板及其他中国证监会允许基金投资的股票、存托凭证）、债券、货币市场工具、权证以及法律法规或中国证监会允许基金投资的其它金融工具（但须符合中国证监会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股票（含存托凭证）、权证等权益类资产占基金资产净值的30%-70%，其中权证的投资比例不超过基金资产净值的3%；债券、资产支持证券、货币市场工具、银行存款等固定收益类资产和现金不低于基金资产净值的30%，其中现金或到期日在一年以内的政府债券投资比例不低于基金资产净值的5%，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如法律法规或监管机构以后允许基金投资其他品种，基金管理人在履行适当程序后，可以将其纳入投资范围，并可依据届时有效的法律法规适时合理地调整投资范围。</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精选具有较好现金分红能力、长期增长潜力且估值水平合理的上市公司以及具有较高息票率的债券，通过在股票和债券等不同类别资产中的平衡配置，追求基金资产在风险可控前提下的持续增值，充分享受股票分红和债券利息的双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大类资产配置采取在股票和债券等不同类别资产进行平衡配置的策略，并在基金合同约定的资产配置范围内以投资时钟理论为指导，通过对经济周期所处的发展阶段及其趋势的分析和判断以及不同资产类别的预期表现，对基金资产配置进行动态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资产配置过程中，本基金对于经济周期的判断主要通过分析经济增长与通货膨胀的方向性变化实施。对于中长期的经济波动，本基金重点考察社会需求结构变化进而带动产业或行业结构变迁条件下经济增长与通货膨胀之间的演绎关系。如分析居民收入与财富增长的结构性变化、新兴技术的出现、出口结构的变化、政府政策鼓励等；在中短期内，产业或行业发展相对稳定，经济周期调整更多地体现为实体经济运行中需求与成本的阶段性波动，此时，本基金将重点考察经济领域各宏观经济指标的变动及其趋势。通过经济运行周期以及不同阶段内经济运行特征的分析判断，本基金将结合证券市场投资价值综合评估的结果，确定一定阶段内的类别资产配置比例及其调整方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股票资产主要投资于具有较好现金分红能力、长期增长潜力且估值水平合理的上市公司的股票。本基金采取定性和定量相结合的方法，对上市公司分红能力，分红意愿和分红预期等因素进行综合考察和筛选，并辅以投资价值评价，通过深入的调查研究，挖掘上市公司的价值，合理降低投资风险，实现基金资产的长期、稳定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筛选出在公司治理、财务及管理品质上符合基本品质要求的上市公司，构建备选股票池，主要筛选指标包括：盈利能力指标、经营效率指标和财务状况指标。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（2）现金分红能力和估值水平评估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上述品质筛选的基础上，本基金采取定性和定量的方法对备选股票进行综合分析，通过综合分析上市公司分红历史和分红预期等因素对上市公司的现金分红能力进行评估，在优选红利股票的同时,本基金将注重考查具有长期增长潜力的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1）定量分析指标主要包括分红能力指标、分红意愿指标、估值水平指标等。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分红能力指标包括盈利性指标（如ROE，ROA等）和现金流指标（如经营性现金支出/折旧、自由现金流/销售等）。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分红意愿指标包括股息支付比例、股利分配率等。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估值水平指标包括市盈率（P/E）、市净率(P/B)、市价现金流比率（P/CF）等。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2）定性分析主要集中于对公司基本面因素，本基金将重点考察上市公司的治理结构、盈利持续性和财务稳定性等因素,深入挖掘上市公司的潜在价值。定性分析时重点关注具有以下特征的优质公司：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①所处行业具有良好的行业发展空间；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②具有良好公司治理结构，公司注重股东回报，管理层能力较强，内部运作机制顺畅；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③已建立起市场化经营机制、决策效率高、对市场变化反应灵敏；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④行业地位突出，具有较强的核心竞争力，并具有与行业竞争结构相适应的、清晰的竞争战略；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⑤在行业内拥有成本优势、规模优势、品牌优势、技术优势或其它特定优势，公司主要业务或产品市场份额处于行业前列；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⑥财务稳健，经营效率及盈利能力较强等。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（3）股票选择及组合优化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本基金将综合定性分析与定量价值评估的结果，精选估值合理或被低估以及具有上升潜力和投资价值的股票构建股票投资组合，并根据股票的预期收益与风险水平对投资组合进行优化。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资产主要投资于信用债，包括金融债（不含政策性金融债）、地方政府债、企业债、公司债、短期融资券、中期票据、可转换债券及分离交易可转债、资产支持证券等除国债和中央银行票据之外的、非国家信用的固定收益类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债券投资方面，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信用债券同时承载了利率风险与信用风险，而信用风险对信用债券表现的影响胜于利率风险。具体而言，本基金信用债券的投资遵循以下流程：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（4）资产支持证券（含资产收益计划）投资策略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（5）可转换债券投资策略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可转换债券是介于股票和债券之间的投资品种，兼具股性和债性的双重特征。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于可转换债券股性的研究将完全依托于公司投研团队对标的股票的研究，在此基础上量化投资部利用可转换债券定价模型，充分考虑转债发行后目标转债标的股票股价波动率可能出现的变化，对目标转债的股性进行合理定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对于本基金可转换债券债性的研究，将引进公司信用债券信用评级指标体系，对可转换债券的发行主体及标的债券进行信用评级，并在信用评级的基础上对其进行合理定价。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通过对标的转债股性与债性的合理定价，力求寻找出被市场低估的品种，构建本基金可转换债券的投资组合。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（1）本基金股票（含存托凭证）、权证等权益类资产占基金资产净值的30%-70%，债券、资产支持证券、货币市场工具、银行存款等固定收益类资产和现金不低于基金资产净值的30%；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（6）本基金管理人管理的全部基金持有的同一权证，不得超过该权证的 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（14）本基金进入全国银行间同业市场进行债券回购的资金余额不得超过基金资产净值的40%。债券回购最长期限为1年，债券回购到期后不得展期；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12）、（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法律法规或监管部门取消或修改上述限制，如适用于本基金，基金管理人在履行适当程序后，则本基金投资所受限制相应调整。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（4）买卖其他基金份额，但是国务院另有规定的除外；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（5）向其基金管理人、基金托管人出资或者买卖其基金管理人、基金托管人发行的股票或者债券；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（8）依照法律法规有关规定，由中国证监会规定禁止的其他活动。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如法律法规或监管部门取消上述禁止性规定，本基金管理人在履行适当程序后可不受上述规定的限制。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本基金的业绩比较基准为50%×中证红利指数收益率+50%×中债综合全价指数收益率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中证红利指数挑选在上海证券交易所和深圳证券交易所上市的现金股息率高、分红比较稳定、具有一定规模及流动性的100 只股票作为样本，以反映A 股市场红利股票的整体状况和走势。该指数具有较好的权威性、市场代表性，作为衡量本基金股票投资部分业绩的比较基准，较为合适。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综合反映了债券市场整体价格和回报情况，是目前市场上较为权威的反映债券市场整体走势的基准指数之一。该指数合理、透明、公开，具有较好的市场接受度，作为衡量本基金债券投资部分业绩的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考虑到本基金的投资比例及各投资对象价格的变动对基金净值的不同影响，本基金对上述两个基准指数按照目标资产配置比例分配权重，作为综合衡量本基金投资业绩的比较基准。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基金托管人协商一致，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在证券投资基金中属于较高风险的品种，其长期平均风险和预期收益高于货币市场基金和债券型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（七）基金的融资融券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本基金可以按照届时有效的有关法律法规和政策的规定进行融资融券。</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本基金托管人中国农业银行根据本基金合同规定，于2025年07月17日复核了本报告中的财务指标、净值表现和投资组合报告等内容,保证复核内容不存在虚假记载、误导性陈述或者重大遗漏。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本报告期为2025年04月01日至06月30日。本报告财务资料未经审计师审计。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1,942,452,881.50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1,942,452,881.50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6.53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6.53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714,278,969.10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10,596,052.47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2,853,651,928.64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1,453,694,460.26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95,487,345.59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7,742,335.00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139,972,940.55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45,780,032.60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80,486,794.79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116,374,173.35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2,914,799.36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1,942,452,881.50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69.13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565,110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82,426,944.60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卫星化学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4,730,520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81,979,911.60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建发股份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7,051,800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73,127,166.00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东威科技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1,634,764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64,491,439.80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496,454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63,059,587.08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金地集团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14,989,301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56,809,450.79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51,207,918.00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中天科技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3,405,400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49,242,084.00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天孚通信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569,039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45,432,073.76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钧达股份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1,161,040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45,280,560.00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301,450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31,252,733.77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宏图转债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22,566,434.18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姚记转债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134,760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21,963,461.70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163,870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19,729,629.24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景23转债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114,010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19,722,917.87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1,251,459.64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8,386,671.86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957,920.97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10,596,052.47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31,252,733.77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宏图转债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22,566,434.18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姚记转债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21,963,461.70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19,729,629.24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景23转债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19,722,917.87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17,357,695.30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15,497,949.94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12,291,523.96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华友转债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8,870,185.79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8,183,113.35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中贝转债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4,976,376.49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3,912,003.98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10133489"/>
      <w:r>
        <w:rPr>
          <w:rFonts w:ascii="Times New Roman" w:hAnsi="Times New Roman"/>
          <w:sz w:val="30"/>
        </w:rPr>
        <w:t>十二、基金的业绩</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基金业绩截止日为2025年06月30日，所载财务数据未经审计师审计。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37.58%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59.94%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42.44%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2013年度（自基金合同生效日起至2013年12月31日）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交银施罗德定期支付双息平衡混合型证券投资基金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（2013年9月4日至2025年06月30日）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268.5pt;width:439.5pt;" filled="f" o:preferrelative="t" stroked="f" coordsize="21600,21600">
            <v:path/>
            <v:fill on="f" focussize="0,0"/>
            <v:stroke on="f" joinstyle="miter"/>
            <v:imagedata r:id="rId16"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10133490"/>
      <w:r>
        <w:rPr>
          <w:rFonts w:ascii="Times New Roman" w:hAnsi="Times New Roman"/>
          <w:sz w:val="30"/>
        </w:rPr>
        <w:t>十三、基金的财产</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10133491"/>
      <w:r>
        <w:rPr>
          <w:rFonts w:ascii="Times New Roman" w:hAnsi="Times New Roman"/>
          <w:sz w:val="30"/>
        </w:rPr>
        <w:t>十四、基金资产的估值</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基金所拥有的股票、权证、债券和银行存款本息、应收款项、其它投资等资产及负债。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1、基金份额净值是按照每个工作日闭市后，基金资产净值除以当日基金份额的余额数量计算，精确到0.001元，小数点后第四位四舍五入。国家另有规定的，从其规定。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每个工作日计算基金资产净值及基金份额净值，并按规定公告。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估值日对基金资产估值，但基金管理人根据法律法规或本基金合同的规定暂停估值时除外。基金管理人每个估值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基金管理人和基金托管人将采取必要、适当、合理的措施确保基金资产估值的准确性、及时性。当基金份额净值小数点后第3位以内（含第3位）发生估值错误时，视为基金份额净值错误。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对于因技术原因引起的估值错误，若系同行业现有技术水平无法预见、无法避免、无法抗拒，则属不可抗力，按照下述规定执行。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3、占基金相当比例的投资品种的估值出现重大转变，而基金管理人为保障基金份额持有人的利益，已决定延迟估值；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（八）特殊情况的处理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10133492"/>
      <w:r>
        <w:rPr>
          <w:rFonts w:ascii="Times New Roman" w:hAnsi="Times New Roman"/>
          <w:sz w:val="30"/>
        </w:rPr>
        <w:t>十五、基金收益与分配</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在存续期内，本基金按照基金合同的约定每月定期向基金份额持有人支付一定的现金，除上述定期支付外，本基金不另外进行收益分配。关于定期支付的相关规定见本招募说明书第十部分“基金的定期支付”。</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10133493"/>
      <w:r>
        <w:rPr>
          <w:rFonts w:ascii="Times New Roman" w:hAnsi="Times New Roman"/>
          <w:sz w:val="30"/>
        </w:rPr>
        <w:t>十六、基金的费用与税收</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H＝E×1.2%÷当年天数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财产中一次性支付给基金管理人。若遇不可抗力致使无法按时支付的，支付日期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3个工作日内从基金财产中一次性支取。若遇不可抗力致使无法按时支付的，支付日期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本基金转换费的费率水平、计算公式和收取方式详见“基金的转换”一章。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10133494"/>
      <w:r>
        <w:rPr>
          <w:rFonts w:ascii="Times New Roman" w:hAnsi="Times New Roman"/>
          <w:sz w:val="30"/>
        </w:rPr>
        <w:t>十七、基金的会计与审计</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10133495"/>
      <w:r>
        <w:rPr>
          <w:rFonts w:ascii="Times New Roman" w:hAnsi="Times New Roman"/>
          <w:sz w:val="30"/>
        </w:rPr>
        <w:t>十八、基金的信息披露</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（16）基金份额净值计价错误达基金份额净值百分之零点五；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10133496"/>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定期支付时的自动赎回份额不纳入以上赎回份额计算）超过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由于本基金股票投资比例设定了一定上限，因此在股市大幅上涨时本基金也不能完全保证基金净值能够完全跟随或超越大盘走势。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股票资产部分重点投资于红利股票，在选股策略上本基金特有的风险主要来自两个方面：一是对行业及上市公司的基本面研究是否准确、深入，二是对行业和红利股票的优选和判断是否科学、准确。基本面研究及上市企业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（六）本基金定期支付相关的特定风险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1、定期支付不等同于收益分配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定期支付并不等同于收益分配。按照目前法律法规的规定，基金的收益分配以基金具有可供分配利润为前提，且分配金额不得超过可供分配利润；而定期支付不以本基金具有可供分配利润为前提，且定期支付金额按照招募说明书约定的年化现金支付比率计算，不以基金的可供分配利润为上限，其实质是按基金合同的约定定期自动赎回持有人的部分基金份额进行现金支付。在基金投资亏损的情况下，除非发生基金合同约定的暂停定期支付的事由，本基金仍将进行定期支付。因此，即便投资者对于本基金的投资未取得收益甚至发生亏损，仍可能发生部分份额的自动赎回，由此投资者就该部分被赎回的份额将失去取得预期收益或者通过未来净值上涨而弥补亏损的机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基金收益分配时，对基金份额净值进行除息（即扣减每份收益分配金额）处理；而定期支付不对基金份额净值进行除息处理，但因自动赎回部分基金份额进行现金支付，会造成投资者所持有基金份额的缩减，为此，基金管理人未来将视基金实际运作情况对基金实施份额拆分，份额拆分不会对基金份额持有人的权益造成实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2、年化现金支付比率不代表基金实际投资收益率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本基金招募说明书约定的年化现金支付比率用以计算定期支付金额，不代表基金实际投资收益率。按照约定的年化现金支付比率计算的定期支付金额可能大于也可能小于当期基金的实际投资收益。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3、定期支付被确认失败的风险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每期定期支付时，由于基金份额持有人主动发起的份额减少业务（包括赎回、转换出及转托管出）或者登记机构发起的其他非定期支付份额减少业务的确认原则上优先于定期支付业务的确认，若因当日该账户同时有其他的份额减少业务被确认而导致基金份额余额不足时，当期的定期支付业务将被确认失败，即该账户当期不进行现金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4、年化现金支付比率发生调整的风险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有权根据基金实际运作情况和市场环境的变化调整年化现金支付比率。因此未来年化现金支付比率可能会发生变化，可能高于也可能低于当前的年化现金支付比率。年化现金支付比率的变化会影响定期支付数额，并将会对投资者的实际投资收益产生正面或负面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10133497"/>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2、关于基金合同变更的基金份额持有人大会决议经中国证监会核准或出具无异议意见后方可执行，自决议生效后两日内依照《信息披露办法》的规定在指定媒介公告。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5、基金财产清算的期限为6个月，若遇基金持有的股票或其他有价证券出现长期休市、停牌或其他流通受限的情形除外。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10133498"/>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（一）基金合同当事人及权利义务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16）在符合有关法律、法规的前提下，制定和调整有关基金认购、申购、赎回、转换和非交易过户等的业务规则；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24）基金管理人在募集期间未能达到基金的备案条件，基金合同不能生效，基金管理人承担全部募集费用，将已募集资金并加计银行同期存款利息在基金募集期结束后30日内退还基金认购人；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4）根据相关市场规则，为基金开设证券账户、为基金办理证券交易资金清算；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8）复核、审查基金管理人计算的基金资产净值、基金份额净值、基金份额申购、赎回价格、基金业绩数据等；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8）对基金管理人、基金托管人、基金销售机构损害其合法权益的行为依法提起诉讼或仲裁；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4）缴纳基金认购、申购、赎回款项及法律法规和基金合同所规定的费用；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1）调低基金管理费、基金托管费和其他应由本基金或基金份额持有人承担的费用；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6）基金管理人根据基金实际运作情况和市场环境的变化，对年化现金支付比率进行调整；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7）按照法律法规和基金合同规定不需召开基金份额持有人大会的以外的其他情形。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书面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5）会议通知公布前报中国证监会备案。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（3）在法律法规或监管机关允许的情况下，本基金亦可采用网络、电话等其他非书面方式由基金份额持有人向其授权代表进行授权。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基金份额持有人大会的决议，召集人应当自通过之日起5日内报中国证监会核准或者备案。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基金份额持有人大会的决议自中国证监会依法核准或者出具无异议意见之日起生效。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9、法律法规或监管部门对基金份额持有人大会另有规定的，从其规定。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（2）关于基金合同变更的基金份额持有人大会决议经中国证监会核准或出具无异议意见后方可执行，自决议生效后两日内依照《信息披露办法》的规定在指定媒介公告。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（四）争议的处理和适用的法律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10133499"/>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w:t>
      </w:r>
      <w:r>
        <w:rPr>
          <w:rFonts w:hint="eastAsia" w:ascii="宋体" w:hAnsi="宋体"/>
          <w:sz w:val="24"/>
        </w:rPr>
        <w:t>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基金托管资格批准文号：中国证监会证监基字[1998]23号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注册资本：32,479,411.7万元人民币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上市的股票（含中小板、创业板及其他中国证监会允许基金投资的股票、存托凭证）、债券、货币市场工具、权证以及法律法规或中国证监会允许基金投资的其它金融工具（但须符合中国证监会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股票（含存托凭证）、权证等权益类资产占基金资产净值的30%-70%，其中权证的投资比例不超过基金资产净值的3%；债券、资产支持证券、货币市场工具、银行存款等固定收益类资产和现金不低于基金资产净值的30%，其中现金或到期日在一年以内的政府债券投资比例不低于基金资产净值的5%，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如法律法规或监管机构以后允许基金投资其他品种，基金管理人在履行适当程序后，可以将其纳入投资范围，并可依据届时有效的法律法规适时合理地调整投资范围。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（2）本基金与本基金管理人管理的且由本托管人托管的其他基金持有一家公司发行的证券，其市值不超过该证券的10%；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（3）进入全国银行间同业市场进行债券回购的资金余额不超过基金资产净值的40%。债券回购最长期限为1年，债券回购到期后不得展期；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买入权证的总金额，不得超过上一交易日基金资产净值的5‰；本基金持有的全部权证，其市值不得超过基金资产净值的3%；本基金与本基金管理人管理的其他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（9）本基金不得违反基金合同中有关投资范围、投资策略、投资比例的规定；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（14）法律法规或监管部门对上述比例限制另有规定的，从其规定。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除上述第（6）、（8）、（11）、（12）项外，因证券市场波动、上市公司合并、基金规模变动等基金管理人之外的因素致使基金投资比例不符合上述规定的投资比例的，基金管理人应当在10个交易日内进行调整。法律法规或监管部门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基金托管人对基金投资的监督和检查自基金合同生效之日起开始。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开立的基金托管资金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（4）基金托管资金账户的开立和管理应符合相关法律法规的有关规定。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1、基金资产净值的计算及复核程序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基金份额净值是指计算日基金资产净值除以计算日基金份额总数后得到的数值。基金份额净值的计算，精确到0.001元，小数点后第四位四舍五入，由此产生的误差计入基金财产。国家另有规定的，从其规定。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每工作日计算基金资产净值及基金份额净值，并按规定公告，但根据法律法规或基金合同的规定暂停估值时除外。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工作日对基金资产进行估值后，将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2、基金资产估值方法和特殊情形的处理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基金所拥有的股票、权证、债券和银行存款本息、应收款项、其它投资等资产及负债。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未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b、首次公开发行未上市的股票、债券和权证，采用估值技术确定公允价值，在估值技术难以可靠计量公允价值的情况下，按成本估值；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以约定的方法、程序和相关法律法规的规定进行估值，以维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1）基金管理人、基金托管人按估值方法的第5）项进行估值时，所造成的误差不作为基金份额净值错误处理。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或登记结算公司发送的数据错误，或国家会计政策变更、市场规则变更等，基金管理人和基金托管人虽然已经采取必要、适当、合理的措施进行检查，但未能发现该错误的，由此造成的基金资产估值错误，基金管理人和基金托管人免除赔偿责任。但基金管理人、基金托管人应积极采取必要的措施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3、基金估值错误的处理方式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3位以内（含第3位）发生估值错误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基金份额净值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4、暂停估值与公告基金份额净值的情形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本协议适用中华人民共和国法律并从其解释。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（4）发生法律法规、中国证监会或基金合同规定的其他终止事项。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10133500"/>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的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10133501"/>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交银施罗德定期支付双息平衡混合型证券投资基金2024年第3季度报告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关于交银施罗德定期支付双息平衡混合型证券投资基金2025年度支付比率的公告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交银施罗德定期支付双息平衡混合型证券投资基金2024年年度报告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交银施罗德基金管理有限公司关于增加申港证券股份有限公司为旗下基金的销售机构的公告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交银施罗德基金管理有限公司关于交银施罗德定期支付双息平衡混合型证券投资基金调整年化现金支付比率的公告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10133502"/>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10133503"/>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（一）中国证监会批准交银施罗德定期支付双息平衡混合型证券投资基金募集的文件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（二）《交银施罗德定期支付双息平衡混合型证券投资基金基金合同》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（三）《交银施罗德定期支付双息平衡混合型证券投资基金托管协议》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（六）关于申请募集交银施罗德定期支付双息平衡混合型证券投资基金之法律意见书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4144;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155</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drawing>
        <wp:anchor distT="0" distB="0" distL="114300" distR="114300" simplePos="0" relativeHeight="251659264"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pPr>
      <w:pStyle w:val="9"/>
      <w:jc w:val="right"/>
      <w:rPr>
        <w:rFonts w:ascii="宋体" w:hAnsi="宋体"/>
      </w:rPr>
    </w:pPr>
    <w:r>
      <w:rPr>
        <w:rFonts w:hint="eastAsia" w:ascii="宋体" w:hAnsi="宋体"/>
      </w:rPr>
      <w:t>交银施罗德定期支付双息平衡混合型证券投资基金招募说明书更新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pPr>
    <w:r>
      <w:drawing>
        <wp:anchor distT="0" distB="0" distL="114300" distR="114300" simplePos="0" relativeHeight="251660288"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pPr>
      <w:pStyle w:val="9"/>
      <w:jc w:val="right"/>
      <w:rPr>
        <w:rFonts w:ascii="宋体" w:hAnsi="宋体"/>
      </w:rPr>
    </w:pPr>
    <w:r>
      <w:rPr>
        <w:rFonts w:hint="eastAsia" w:ascii="宋体" w:hAnsi="宋体"/>
      </w:rPr>
      <w:t>交银施罗德定期支付双息平衡混合型证券投资基金招募说明书更新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pPr>
    <w:r>
      <w:drawing>
        <wp:anchor distT="0" distB="0" distL="114300" distR="114300" simplePos="0" relativeHeight="251661312"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pPr>
      <w:pStyle w:val="9"/>
      <w:jc w:val="right"/>
      <w:rPr>
        <w:rFonts w:ascii="宋体" w:hAnsi="宋体"/>
      </w:rPr>
    </w:pPr>
    <w:r>
      <w:rPr>
        <w:rFonts w:hint="eastAsia" w:ascii="宋体" w:hAnsi="宋体"/>
      </w:rPr>
      <w:t>交银施罗德定期支付双息平衡混合型证券投资基金招募说明书更新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964"/>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5692"/>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08BD"/>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A7824"/>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45451B3"/>
    <w:rsid w:val="4D8212ED"/>
    <w:rsid w:val="7A6259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156</Pages>
  <Words>16019</Words>
  <Characters>91311</Characters>
  <Lines>760</Lines>
  <Paragraphs>214</Paragraphs>
  <TotalTime>11</TotalTime>
  <ScaleCrop>false</ScaleCrop>
  <LinksUpToDate>false</LinksUpToDate>
  <CharactersWithSpaces>107116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2025-09-30T06:04:00Z</dcterms:created>
  <dc:creator>系统用户</dc:creator>
  <cp:lastModifiedBy>haotingting</cp:lastModifiedBy>
  <cp:lastPrinted>2013-02-18T03:10:00Z</cp:lastPrinted>
  <dcterms:modified xsi:type="dcterms:W3CDTF">2025-09-30T09:10:49Z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B5A1E802E8A641888E305BAF064020CF</vt:lpwstr>
  </property>
</Properties>
</file>