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交银施罗德现金宝货币市场基金（E类份额）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交银现金宝货币E</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002918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2014-09-12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货币市场基金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季参平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2019-07-26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2012-03-19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pPr>
              <w:ind w:firstLine="420"/>
              <w:jc w:val="left"/>
              <w:rPr>
                <w:rFonts w:ascii="仿宋_GB2312" w:eastAsia="仿宋_GB2312"/>
                <w:szCs w:val="21"/>
              </w:rPr>
            </w:pPr>
            <w:r>
              <w:rPr>
                <w:rFonts w:ascii="仿宋_GB2312" w:eastAsia="仿宋_GB2312"/>
                <w:szCs w:val="21"/>
              </w:rPr>
              <w:t>基金合同生效后的存续期内，出现以下情形之一的，本基金可与其他基金合并或终止本基金合同，不需召开基金份额持有人大会：</w:t>
            </w:r>
          </w:p>
          <w:p>
            <w:pPr>
              <w:ind w:firstLine="420"/>
              <w:jc w:val="left"/>
              <w:rPr>
                <w:rFonts w:ascii="仿宋_GB2312" w:eastAsia="仿宋_GB2312"/>
                <w:szCs w:val="21"/>
              </w:rPr>
            </w:pPr>
            <w:r>
              <w:rPr>
                <w:rFonts w:ascii="仿宋_GB2312" w:eastAsia="仿宋_GB2312"/>
                <w:szCs w:val="21"/>
              </w:rPr>
              <w:t>1、基金份额持有人数量连续90个工作日达不到200人。</w:t>
            </w:r>
          </w:p>
          <w:p>
            <w:pPr>
              <w:ind w:firstLine="420"/>
              <w:jc w:val="left"/>
              <w:rPr>
                <w:rFonts w:ascii="仿宋_GB2312" w:eastAsia="仿宋_GB2312"/>
                <w:szCs w:val="21"/>
              </w:rPr>
            </w:pPr>
            <w:r>
              <w:rPr>
                <w:rFonts w:ascii="仿宋_GB2312" w:eastAsia="仿宋_GB2312"/>
                <w:szCs w:val="21"/>
              </w:rPr>
              <w:t>2、基金资产净值连续90个工作日低于5000万元。</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在力求本金安全性和资产充分流动性的前提下，追求超过业绩比较基准的投资收益。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法律法规及监管机构允许投资的金融工具，包括现金，通知存款，短期融资券(包括超级短期融资券)，1年以内(含1年)的银行定期存款、大额存单，期限在1年以内(含1年)的债券回购，剩余期限在397天以内(含397天)的债券、资产支持证券和中期票据，期限在1年以内(含1年)的中央银行票据，中国证监会、中国人民银行认可的其他具有良好流动性的货币市场工具及相关衍生工具(但须符合中国证监会相关规定)。</w:t>
            </w:r>
          </w:p>
          <w:p>
            <w:pPr>
              <w:ind w:firstLine="420"/>
              <w:jc w:val="left"/>
              <w:rPr>
                <w:rFonts w:ascii="仿宋_GB2312" w:eastAsia="仿宋_GB2312"/>
                <w:szCs w:val="21"/>
              </w:rPr>
            </w:pPr>
            <w:r>
              <w:rPr>
                <w:rFonts w:hint="eastAsia" w:ascii="仿宋_GB2312" w:eastAsia="仿宋_GB2312"/>
                <w:szCs w:val="21"/>
              </w:rPr>
              <w:t>未来若法律法规或监管机构允许货币市场基金投资同业存单的，在不改变基金投资目标、基金风险收益特征的条件下，本基金可参与同业存单的投资，不需召开基金份额持有人大会，具体投资比例限制按届时有效的法律法规和监管机构的规定执行。</w:t>
            </w:r>
          </w:p>
          <w:p>
            <w:pPr>
              <w:ind w:firstLine="420"/>
              <w:jc w:val="left"/>
              <w:rPr>
                <w:rFonts w:ascii="仿宋_GB2312" w:eastAsia="仿宋_GB2312"/>
                <w:szCs w:val="21"/>
              </w:rPr>
            </w:pPr>
            <w:r>
              <w:rPr>
                <w:rFonts w:hint="eastAsia" w:ascii="仿宋_GB2312" w:eastAsia="仿宋_GB2312"/>
                <w:szCs w:val="21"/>
              </w:rPr>
              <w:t>法律法规或监管机构允许货币市场基金投资其他货币市场基金的，在不改变基金投资目标、基金风险收益特征的条件下，本基金可投资于其他货币市场基金，此项变动不需召开基金份额持有人大会。具体投资比例限制按届时有效的法律法规和监管机构的规定执行。</w:t>
            </w:r>
          </w:p>
          <w:p>
            <w:pPr>
              <w:ind w:firstLine="420"/>
              <w:jc w:val="left"/>
              <w:rPr>
                <w:rFonts w:ascii="仿宋_GB2312" w:eastAsia="仿宋_GB2312"/>
                <w:szCs w:val="21"/>
              </w:rPr>
            </w:pPr>
            <w:r>
              <w:rPr>
                <w:rFonts w:hint="eastAsia" w:ascii="仿宋_GB2312" w:eastAsia="仿宋_GB2312"/>
                <w:szCs w:val="21"/>
              </w:rPr>
              <w:t>如法律法规或监管机构以后允许货币市场基金投资其他金融工具，基金管理人在履行适当程序后，可以将其纳入投资范围，其投资比例遵循届时有效法律法规或相关规定。</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pPr>
              <w:ind w:firstLine="420"/>
              <w:jc w:val="left"/>
              <w:rPr>
                <w:rFonts w:ascii="仿宋_GB2312" w:eastAsia="仿宋_GB2312"/>
                <w:szCs w:val="21"/>
              </w:rPr>
            </w:pPr>
            <w:r>
              <w:rPr>
                <w:rFonts w:hint="eastAsia" w:ascii="仿宋_GB2312" w:eastAsia="仿宋_GB2312"/>
                <w:szCs w:val="21"/>
              </w:rPr>
              <w:t>1、短期利率水平预期策略；2、收益率曲线分析策略；3、组合剩余期限策略、期限配置策略；4、类别品种配置策略；5、流动性管理策略；6、无风险套利策略；7、滚动配置策略；8、其他金融工具投资策略。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活期存款利率（税后）</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详见《交银施罗德现金宝货币市场基金招募说明书》第十部分“基金的投资”。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2、本基金份额于2016年9月13日开始确认，首次确认当年净值收益率按实际存续期计算。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0.01%</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110000.00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0.36%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5、特定风险</w:t>
      </w:r>
    </w:p>
    <w:p>
      <w:pPr>
        <w:ind w:firstLine="420"/>
        <w:jc w:val="left"/>
        <w:rPr>
          <w:rFonts w:ascii="仿宋_GB2312" w:eastAsia="仿宋_GB2312"/>
          <w:szCs w:val="21"/>
        </w:rPr>
      </w:pPr>
      <w:r>
        <w:rPr>
          <w:rFonts w:hint="eastAsia" w:ascii="仿宋_GB2312" w:eastAsia="仿宋_GB2312"/>
          <w:szCs w:val="21"/>
        </w:rPr>
        <w:t>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●《交银施罗德现金宝货币市场基金基金合同》、</w:t>
      </w:r>
    </w:p>
    <w:p>
      <w:pPr>
        <w:ind w:firstLine="420"/>
        <w:jc w:val="left"/>
        <w:rPr>
          <w:rFonts w:ascii="仿宋_GB2312" w:eastAsia="仿宋_GB2312"/>
          <w:szCs w:val="21"/>
        </w:rPr>
      </w:pPr>
      <w:r>
        <w:rPr>
          <w:rFonts w:hint="eastAsia" w:ascii="仿宋_GB2312" w:eastAsia="仿宋_GB2312"/>
          <w:szCs w:val="21"/>
        </w:rPr>
        <w:t>《交银施罗德现金宝货币市场基金托管协议》、</w:t>
      </w:r>
    </w:p>
    <w:p>
      <w:pPr>
        <w:ind w:firstLine="420"/>
        <w:jc w:val="left"/>
        <w:rPr>
          <w:rFonts w:ascii="仿宋_GB2312" w:eastAsia="仿宋_GB2312"/>
          <w:szCs w:val="21"/>
        </w:rPr>
      </w:pPr>
      <w:r>
        <w:rPr>
          <w:rFonts w:hint="eastAsia" w:ascii="仿宋_GB2312" w:eastAsia="仿宋_GB2312"/>
          <w:szCs w:val="21"/>
        </w:rPr>
        <w:t>《交银施罗德现金宝货币市场基金招募说明书》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6236D"/>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E440C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554</Words>
  <Characters>3163</Characters>
  <Lines>26</Lines>
  <Paragraphs>7</Paragraphs>
  <TotalTime>1</TotalTime>
  <ScaleCrop>false</ScaleCrop>
  <LinksUpToDate>false</LinksUpToDate>
  <CharactersWithSpaces>3710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2025-09-24T06:26:00Z</dcterms:created>
  <dc:creator>Cc</dc:creator>
  <cp:lastModifiedBy>haotingting</cp:lastModifiedBy>
  <dcterms:modified xsi:type="dcterms:W3CDTF">2025-09-30T05:56:42Z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02F1823926BD4A3FA292211EE2422C9C</vt:lpwstr>
  </property>
</Properties>
</file>