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9607E9">
      <w:pPr>
        <w:rPr>
          <w:sz w:val="32"/>
        </w:rPr>
      </w:pPr>
    </w:p>
    <w:p w:rsidR="00C92FC0" w:rsidRPr="00EB07BC" w:rsidRDefault="009607E9">
      <w:pPr>
        <w:rPr>
          <w:sz w:val="32"/>
        </w:rPr>
      </w:pPr>
    </w:p>
    <w:p w:rsidR="00C92FC0" w:rsidRPr="00EB07BC" w:rsidRDefault="009607E9">
      <w:pPr>
        <w:rPr>
          <w:sz w:val="32"/>
        </w:rPr>
      </w:pPr>
    </w:p>
    <w:p w:rsidR="00C92FC0" w:rsidRPr="00EB07BC" w:rsidRDefault="00755277">
      <w:pPr>
        <w:jc w:val="center"/>
        <w:rPr>
          <w:sz w:val="32"/>
        </w:rPr>
      </w:pPr>
      <w:r>
        <w:rPr>
          <w:noProof/>
        </w:rPr>
        <w:drawing>
          <wp:inline distT="0" distB="0" distL="0" distR="0" wp14:anchorId="310493FC" wp14:editId="17ADE824">
            <wp:extent cx="4343400" cy="571500"/>
            <wp:effectExtent l="19050" t="0" r="0" b="0"/>
            <wp:docPr id="2"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8" cstate="print"/>
                    <a:srcRect/>
                    <a:stretch>
                      <a:fillRect/>
                    </a:stretch>
                  </pic:blipFill>
                  <pic:spPr bwMode="auto">
                    <a:xfrm>
                      <a:off x="0" y="0"/>
                      <a:ext cx="4343400" cy="571500"/>
                    </a:xfrm>
                    <a:prstGeom prst="rect">
                      <a:avLst/>
                    </a:prstGeom>
                    <a:noFill/>
                    <a:ln w="9525">
                      <a:noFill/>
                      <a:miter lim="800000"/>
                      <a:headEnd/>
                      <a:tailEnd/>
                    </a:ln>
                  </pic:spPr>
                </pic:pic>
              </a:graphicData>
            </a:graphic>
          </wp:inline>
        </w:drawing>
      </w:r>
    </w:p>
    <w:p w:rsidR="0018298E" w:rsidRDefault="0018298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18298E" w:rsidRDefault="0018298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18298E" w:rsidRDefault="00755277">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交银施罗德上证</w:t>
      </w:r>
      <w:r>
        <w:rPr>
          <w:rFonts w:ascii="Times New Roman" w:hAnsi="Times New Roman"/>
          <w:b/>
          <w:spacing w:val="2"/>
          <w:w w:val="99"/>
          <w:kern w:val="0"/>
          <w:position w:val="-4"/>
          <w:sz w:val="44"/>
          <w:szCs w:val="44"/>
        </w:rPr>
        <w:t>180</w:t>
      </w:r>
      <w:r>
        <w:rPr>
          <w:rFonts w:ascii="Times New Roman" w:hAnsi="Times New Roman"/>
          <w:b/>
          <w:spacing w:val="2"/>
          <w:w w:val="99"/>
          <w:kern w:val="0"/>
          <w:position w:val="-4"/>
          <w:sz w:val="44"/>
          <w:szCs w:val="44"/>
        </w:rPr>
        <w:t>公司治理交易型开放式指数证券投资基金联接基金</w:t>
      </w:r>
    </w:p>
    <w:p w:rsidR="0018298E" w:rsidRDefault="00755277">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18298E" w:rsidRDefault="0018298E">
      <w:pPr>
        <w:snapToGrid w:val="0"/>
        <w:spacing w:line="360" w:lineRule="auto"/>
        <w:jc w:val="center"/>
        <w:rPr>
          <w:rFonts w:ascii="宋体" w:hAnsi="宋体"/>
          <w:b/>
          <w:sz w:val="30"/>
          <w:szCs w:val="30"/>
        </w:rPr>
      </w:pPr>
    </w:p>
    <w:p w:rsidR="0018298E" w:rsidRDefault="0018298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8298E" w:rsidRDefault="0018298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8298E" w:rsidRDefault="0018298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8298E" w:rsidRDefault="0018298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8298E" w:rsidRDefault="0018298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8298E" w:rsidRDefault="0018298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8298E" w:rsidRDefault="00755277">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18298E" w:rsidRDefault="00755277">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18298E" w:rsidRDefault="0018298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8298E" w:rsidRDefault="0018298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8298E" w:rsidRDefault="00755277">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二〇二五年九月</w:t>
      </w:r>
    </w:p>
    <w:p w:rsidR="0018298E" w:rsidRDefault="0018298E">
      <w:pPr>
        <w:autoSpaceDE w:val="0"/>
        <w:autoSpaceDN w:val="0"/>
        <w:adjustRightInd w:val="0"/>
        <w:snapToGrid w:val="0"/>
        <w:spacing w:line="360" w:lineRule="auto"/>
        <w:ind w:left="1347" w:rightChars="6" w:right="13"/>
        <w:rPr>
          <w:rFonts w:ascii="宋体" w:hAnsi="宋体"/>
          <w:kern w:val="0"/>
          <w:sz w:val="32"/>
          <w:szCs w:val="32"/>
        </w:rPr>
        <w:sectPr w:rsidR="0018298E">
          <w:headerReference w:type="even" r:id="rId9"/>
          <w:headerReference w:type="default" r:id="rId10"/>
          <w:footerReference w:type="even" r:id="rId11"/>
          <w:footerReference w:type="default" r:id="rId12"/>
          <w:headerReference w:type="first" r:id="rId13"/>
          <w:footerReference w:type="first" r:id="rId14"/>
          <w:pgSz w:w="11920" w:h="16840"/>
          <w:pgMar w:top="1560" w:right="1680" w:bottom="280" w:left="1680" w:header="0" w:footer="1073" w:gutter="0"/>
          <w:pgNumType w:start="1"/>
          <w:cols w:space="720"/>
          <w:titlePg/>
          <w:docGrid w:linePitch="286"/>
        </w:sectPr>
      </w:pPr>
    </w:p>
    <w:p w:rsidR="0018298E" w:rsidRDefault="00755277">
      <w:pPr>
        <w:pStyle w:val="1"/>
        <w:snapToGrid w:val="0"/>
        <w:spacing w:beforeLines="0" w:before="240" w:after="240"/>
        <w:rPr>
          <w:rFonts w:ascii="宋体" w:hAnsi="宋体"/>
          <w:kern w:val="0"/>
        </w:rPr>
      </w:pPr>
      <w:bookmarkStart w:id="0" w:name="_Toc324920538"/>
      <w:bookmarkStart w:id="1" w:name="_Toc496884613"/>
      <w:bookmarkStart w:id="2" w:name="_Toc210145087"/>
      <w:r>
        <w:rPr>
          <w:rFonts w:ascii="Times New Roman" w:hAnsi="Times New Roman"/>
          <w:kern w:val="0"/>
        </w:rPr>
        <w:lastRenderedPageBreak/>
        <w:t>重要提示</w:t>
      </w:r>
      <w:bookmarkEnd w:id="0"/>
      <w:bookmarkEnd w:id="1"/>
      <w:bookmarkEnd w:id="2"/>
    </w:p>
    <w:p w:rsidR="0018298E" w:rsidRDefault="0075527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交银施罗德上证</w:t>
      </w:r>
      <w:r>
        <w:rPr>
          <w:rFonts w:ascii="Times New Roman" w:hAnsi="Times New Roman"/>
          <w:kern w:val="0"/>
          <w:sz w:val="24"/>
        </w:rPr>
        <w:t>180</w:t>
      </w:r>
      <w:r>
        <w:rPr>
          <w:rFonts w:ascii="Times New Roman" w:hAnsi="Times New Roman"/>
          <w:kern w:val="0"/>
          <w:sz w:val="24"/>
        </w:rPr>
        <w:t>公司治理交易型开放式指数证券投资基金联接基金（以下简称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2009</w:t>
      </w:r>
      <w:r>
        <w:rPr>
          <w:rFonts w:ascii="Times New Roman" w:hAnsi="Times New Roman"/>
          <w:kern w:val="0"/>
          <w:sz w:val="24"/>
        </w:rPr>
        <w:t>年</w:t>
      </w:r>
      <w:r>
        <w:rPr>
          <w:rFonts w:ascii="Times New Roman" w:hAnsi="Times New Roman"/>
          <w:kern w:val="0"/>
          <w:sz w:val="24"/>
        </w:rPr>
        <w:t>8</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日中国证券监督管理委员会证监许可【</w:t>
      </w:r>
      <w:r>
        <w:rPr>
          <w:rFonts w:ascii="Times New Roman" w:hAnsi="Times New Roman"/>
          <w:kern w:val="0"/>
          <w:sz w:val="24"/>
        </w:rPr>
        <w:t>2009</w:t>
      </w:r>
      <w:r>
        <w:rPr>
          <w:rFonts w:ascii="Times New Roman" w:hAnsi="Times New Roman"/>
          <w:kern w:val="0"/>
          <w:sz w:val="24"/>
        </w:rPr>
        <w:t>】</w:t>
      </w:r>
      <w:r>
        <w:rPr>
          <w:rFonts w:ascii="Times New Roman" w:hAnsi="Times New Roman"/>
          <w:kern w:val="0"/>
          <w:sz w:val="24"/>
        </w:rPr>
        <w:t>795</w:t>
      </w:r>
      <w:r>
        <w:rPr>
          <w:rFonts w:ascii="Times New Roman" w:hAnsi="Times New Roman"/>
          <w:kern w:val="0"/>
          <w:sz w:val="24"/>
        </w:rPr>
        <w:t>号文核准募集。本基金基金合同于</w:t>
      </w:r>
      <w:r>
        <w:rPr>
          <w:rFonts w:ascii="Times New Roman" w:hAnsi="Times New Roman"/>
          <w:kern w:val="0"/>
          <w:sz w:val="24"/>
        </w:rPr>
        <w:t>2009</w:t>
      </w:r>
      <w:r>
        <w:rPr>
          <w:rFonts w:ascii="Times New Roman" w:hAnsi="Times New Roman"/>
          <w:kern w:val="0"/>
          <w:sz w:val="24"/>
        </w:rPr>
        <w:t>年</w:t>
      </w:r>
      <w:r>
        <w:rPr>
          <w:rFonts w:ascii="Times New Roman" w:hAnsi="Times New Roman"/>
          <w:kern w:val="0"/>
          <w:sz w:val="24"/>
        </w:rPr>
        <w:t>9</w:t>
      </w:r>
      <w:r>
        <w:rPr>
          <w:rFonts w:ascii="Times New Roman" w:hAnsi="Times New Roman"/>
          <w:kern w:val="0"/>
          <w:sz w:val="24"/>
        </w:rPr>
        <w:t>月</w:t>
      </w:r>
      <w:r>
        <w:rPr>
          <w:rFonts w:ascii="Times New Roman" w:hAnsi="Times New Roman"/>
          <w:kern w:val="0"/>
          <w:sz w:val="24"/>
        </w:rPr>
        <w:t>29</w:t>
      </w:r>
      <w:r>
        <w:rPr>
          <w:rFonts w:ascii="Times New Roman" w:hAnsi="Times New Roman"/>
          <w:kern w:val="0"/>
          <w:sz w:val="24"/>
        </w:rPr>
        <w:t>日正式生效。</w:t>
      </w:r>
    </w:p>
    <w:p w:rsidR="0018298E" w:rsidRDefault="0075527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核准，但中国证监会对本基金募集的核准，并不表明其对本基金的价值和收益作出实质性判断或保证，也不表明投资于本基金没有风险。</w:t>
      </w:r>
    </w:p>
    <w:p w:rsidR="0018298E" w:rsidRDefault="0075527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18298E" w:rsidRDefault="0075527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者在投资本基金前，需全面认识本基金产品的风险收益特征和产品特性，充分考虑自身的风险承受能力，理性判断市场，对投资本基金的意愿、时机、数量等投资行为作出独立决策。投资者根据所持有份额享受基金的收益，但同时也需承担相应的投资风险。投资本基金可能遇到的风险包括：因政治、经济、社会等因素对证券价格波动产生影响而引发的系统性风险，个别证券特有的非系统性风险，基金管理人在基金管理实施过程中产生的基金管理风险，本基金投资债券引发的信用风险，投资科创板股票的特定风险，以及本基金投资策略所特有的风险等等。本基金为</w:t>
      </w:r>
      <w:r>
        <w:rPr>
          <w:rFonts w:ascii="Times New Roman" w:hAnsi="Times New Roman"/>
          <w:kern w:val="0"/>
          <w:sz w:val="24"/>
        </w:rPr>
        <w:t>ETF</w:t>
      </w:r>
      <w:r>
        <w:rPr>
          <w:rFonts w:ascii="Times New Roman" w:hAnsi="Times New Roman"/>
          <w:kern w:val="0"/>
          <w:sz w:val="24"/>
        </w:rPr>
        <w:t>联接基金，紧密跟踪标的指数，具有和标的指数所代表的股票市场相似的风险收益特征，风险与收益高于混合基金、债券基金与货币市场基金，属于证券投资基金中风险较高、收益较高的品种。</w:t>
      </w:r>
    </w:p>
    <w:p w:rsidR="0018298E" w:rsidRDefault="0075527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本基金主要投资于目标</w:t>
      </w:r>
      <w:r>
        <w:rPr>
          <w:rFonts w:ascii="Times New Roman" w:hAnsi="Times New Roman"/>
          <w:kern w:val="0"/>
          <w:sz w:val="24"/>
        </w:rPr>
        <w:t>ETF</w:t>
      </w:r>
      <w:r>
        <w:rPr>
          <w:rFonts w:ascii="Times New Roman" w:hAnsi="Times New Roman"/>
          <w:kern w:val="0"/>
          <w:sz w:val="24"/>
        </w:rPr>
        <w:t>，投资者投资于本基金面临跟踪误差控制未达约定目标、指数编制机构停止服务、成份券停牌等潜在风险。</w:t>
      </w:r>
    </w:p>
    <w:p w:rsidR="0018298E" w:rsidRDefault="0075527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本基金标的指数为上证</w:t>
      </w:r>
      <w:r>
        <w:rPr>
          <w:rFonts w:ascii="Times New Roman" w:hAnsi="Times New Roman"/>
          <w:kern w:val="0"/>
          <w:sz w:val="24"/>
        </w:rPr>
        <w:t>180</w:t>
      </w:r>
      <w:r>
        <w:rPr>
          <w:rFonts w:ascii="Times New Roman" w:hAnsi="Times New Roman"/>
          <w:kern w:val="0"/>
          <w:sz w:val="24"/>
        </w:rPr>
        <w:t>公司治理指数。</w:t>
      </w:r>
    </w:p>
    <w:p w:rsidR="0018298E" w:rsidRDefault="0075527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1</w:t>
      </w:r>
      <w:r>
        <w:rPr>
          <w:rFonts w:ascii="Times New Roman" w:hAnsi="Times New Roman"/>
          <w:kern w:val="0"/>
          <w:sz w:val="24"/>
        </w:rPr>
        <w:t>、选样空间</w:t>
      </w:r>
    </w:p>
    <w:p w:rsidR="0018298E" w:rsidRDefault="0075527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上证</w:t>
      </w:r>
      <w:r>
        <w:rPr>
          <w:rFonts w:ascii="Times New Roman" w:hAnsi="Times New Roman"/>
          <w:kern w:val="0"/>
          <w:sz w:val="24"/>
        </w:rPr>
        <w:t>180</w:t>
      </w:r>
      <w:r>
        <w:rPr>
          <w:rFonts w:ascii="Times New Roman" w:hAnsi="Times New Roman"/>
          <w:kern w:val="0"/>
          <w:sz w:val="24"/>
        </w:rPr>
        <w:t>指数样本和上证公司治理指数样本。</w:t>
      </w:r>
    </w:p>
    <w:p w:rsidR="0018298E" w:rsidRDefault="0075527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w:t>
      </w:r>
      <w:r>
        <w:rPr>
          <w:rFonts w:ascii="Times New Roman" w:hAnsi="Times New Roman"/>
          <w:kern w:val="0"/>
          <w:sz w:val="24"/>
        </w:rPr>
        <w:t>、选样方法</w:t>
      </w:r>
    </w:p>
    <w:p w:rsidR="0018298E" w:rsidRDefault="0075527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1</w:t>
      </w:r>
      <w:r>
        <w:rPr>
          <w:rFonts w:ascii="Times New Roman" w:hAnsi="Times New Roman"/>
          <w:kern w:val="0"/>
          <w:sz w:val="24"/>
        </w:rPr>
        <w:t>）根据上证</w:t>
      </w:r>
      <w:r>
        <w:rPr>
          <w:rFonts w:ascii="Times New Roman" w:hAnsi="Times New Roman"/>
          <w:kern w:val="0"/>
          <w:sz w:val="24"/>
        </w:rPr>
        <w:t>180</w:t>
      </w:r>
      <w:r>
        <w:rPr>
          <w:rFonts w:ascii="Times New Roman" w:hAnsi="Times New Roman"/>
          <w:kern w:val="0"/>
          <w:sz w:val="24"/>
        </w:rPr>
        <w:t>指数选样方法对样本空间内证券进行综合排名；</w:t>
      </w:r>
    </w:p>
    <w:p w:rsidR="0018298E" w:rsidRDefault="0075527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2</w:t>
      </w:r>
      <w:r>
        <w:rPr>
          <w:rFonts w:ascii="Times New Roman" w:hAnsi="Times New Roman"/>
          <w:kern w:val="0"/>
          <w:sz w:val="24"/>
        </w:rPr>
        <w:t>）在上证</w:t>
      </w:r>
      <w:r>
        <w:rPr>
          <w:rFonts w:ascii="Times New Roman" w:hAnsi="Times New Roman"/>
          <w:kern w:val="0"/>
          <w:sz w:val="24"/>
        </w:rPr>
        <w:t>180</w:t>
      </w:r>
      <w:r>
        <w:rPr>
          <w:rFonts w:ascii="Times New Roman" w:hAnsi="Times New Roman"/>
          <w:kern w:val="0"/>
          <w:sz w:val="24"/>
        </w:rPr>
        <w:t>指数与上证公司治理指数样本交集中，选择综合排名前</w:t>
      </w:r>
      <w:r>
        <w:rPr>
          <w:rFonts w:ascii="Times New Roman" w:hAnsi="Times New Roman"/>
          <w:kern w:val="0"/>
          <w:sz w:val="24"/>
        </w:rPr>
        <w:t>100</w:t>
      </w:r>
      <w:r>
        <w:rPr>
          <w:rFonts w:ascii="Times New Roman" w:hAnsi="Times New Roman"/>
          <w:kern w:val="0"/>
          <w:sz w:val="24"/>
        </w:rPr>
        <w:lastRenderedPageBreak/>
        <w:t>名的交集证券作为上证</w:t>
      </w:r>
      <w:r>
        <w:rPr>
          <w:rFonts w:ascii="Times New Roman" w:hAnsi="Times New Roman"/>
          <w:kern w:val="0"/>
          <w:sz w:val="24"/>
        </w:rPr>
        <w:t>180</w:t>
      </w:r>
      <w:r>
        <w:rPr>
          <w:rFonts w:ascii="Times New Roman" w:hAnsi="Times New Roman"/>
          <w:kern w:val="0"/>
          <w:sz w:val="24"/>
        </w:rPr>
        <w:t>公司治理指数样本。如果该交集证券数量不足</w:t>
      </w:r>
      <w:r>
        <w:rPr>
          <w:rFonts w:ascii="Times New Roman" w:hAnsi="Times New Roman"/>
          <w:kern w:val="0"/>
          <w:sz w:val="24"/>
        </w:rPr>
        <w:t>100</w:t>
      </w:r>
      <w:r>
        <w:rPr>
          <w:rFonts w:ascii="Times New Roman" w:hAnsi="Times New Roman"/>
          <w:kern w:val="0"/>
          <w:sz w:val="24"/>
        </w:rPr>
        <w:t>只，则在上证公司治理指数样本中选择综合排名最高的非交集证券补足。</w:t>
      </w:r>
    </w:p>
    <w:p w:rsidR="0018298E" w:rsidRDefault="0075527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3</w:t>
      </w:r>
      <w:r>
        <w:rPr>
          <w:rFonts w:ascii="Times New Roman" w:hAnsi="Times New Roman"/>
          <w:kern w:val="0"/>
          <w:sz w:val="24"/>
        </w:rPr>
        <w:t>、指数计算</w:t>
      </w:r>
    </w:p>
    <w:p w:rsidR="0018298E" w:rsidRDefault="0075527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指数计算公式为：</w:t>
      </w:r>
    </w:p>
    <w:p w:rsidR="0018298E" w:rsidRDefault="009607E9">
      <w:pPr>
        <w:autoSpaceDE w:val="0"/>
        <w:autoSpaceDN w:val="0"/>
        <w:adjustRightInd w:val="0"/>
        <w:snapToGrid w:val="0"/>
        <w:spacing w:line="360" w:lineRule="auto"/>
        <w:ind w:leftChars="50" w:left="105" w:firstLineChars="200" w:firstLine="480"/>
        <w:rPr>
          <w:rFonts w:ascii="宋体" w:hAnsi="宋体"/>
          <w:kern w:val="0"/>
          <w:sz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2.75pt;height:62.25pt">
            <v:imagedata r:id="rId15" o:title="1521256610242020828"/>
          </v:shape>
        </w:pict>
      </w:r>
    </w:p>
    <w:p w:rsidR="0018298E" w:rsidRDefault="0075527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其中，调整市值＝</w:t>
      </w:r>
      <w:r>
        <w:rPr>
          <w:rFonts w:ascii="Times New Roman" w:hAnsi="Times New Roman"/>
          <w:kern w:val="0"/>
          <w:sz w:val="24"/>
        </w:rPr>
        <w:t>∑(</w:t>
      </w:r>
      <w:r>
        <w:rPr>
          <w:rFonts w:ascii="Times New Roman" w:hAnsi="Times New Roman"/>
          <w:kern w:val="0"/>
          <w:sz w:val="24"/>
        </w:rPr>
        <w:t>证券价格</w:t>
      </w:r>
      <w:r>
        <w:rPr>
          <w:rFonts w:ascii="Times New Roman" w:hAnsi="Times New Roman"/>
          <w:kern w:val="0"/>
          <w:sz w:val="24"/>
        </w:rPr>
        <w:t>×</w:t>
      </w:r>
      <w:r>
        <w:rPr>
          <w:rFonts w:ascii="Times New Roman" w:hAnsi="Times New Roman"/>
          <w:kern w:val="0"/>
          <w:sz w:val="24"/>
        </w:rPr>
        <w:t>调整股本数</w:t>
      </w:r>
      <w:r>
        <w:rPr>
          <w:rFonts w:ascii="Times New Roman" w:hAnsi="Times New Roman"/>
          <w:kern w:val="0"/>
          <w:sz w:val="24"/>
        </w:rPr>
        <w:t>)</w:t>
      </w:r>
      <w:r>
        <w:rPr>
          <w:rFonts w:ascii="Times New Roman" w:hAnsi="Times New Roman"/>
          <w:kern w:val="0"/>
          <w:sz w:val="24"/>
        </w:rPr>
        <w:t>。</w:t>
      </w:r>
    </w:p>
    <w:p w:rsidR="0018298E" w:rsidRDefault="0075527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有关标的指数具体编制方案及成份股信息详见中证指数有限公司官方网站，网址：</w:t>
      </w:r>
      <w:r>
        <w:rPr>
          <w:rFonts w:ascii="Times New Roman" w:hAnsi="Times New Roman"/>
          <w:kern w:val="0"/>
          <w:sz w:val="24"/>
        </w:rPr>
        <w:t>www.csindex.com.cn</w:t>
      </w:r>
      <w:r>
        <w:rPr>
          <w:rFonts w:ascii="Times New Roman" w:hAnsi="Times New Roman"/>
          <w:kern w:val="0"/>
          <w:sz w:val="24"/>
        </w:rPr>
        <w:t>。</w:t>
      </w:r>
    </w:p>
    <w:p w:rsidR="0018298E" w:rsidRDefault="0075527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18298E" w:rsidRDefault="0075527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18298E" w:rsidRDefault="0075527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投资有风险，投资者在投资本基金前应认真阅读本基金的招募说明书、基金合同、基金产品资料概要。基金的过往业绩并不代表其未来表现。基金管理人管理的其他基金的业绩并不构成对本基金业绩表现的保证。</w:t>
      </w:r>
    </w:p>
    <w:p w:rsidR="0018298E" w:rsidRDefault="0075527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03</w:t>
      </w:r>
      <w:r>
        <w:rPr>
          <w:rFonts w:ascii="Times New Roman" w:hAnsi="Times New Roman"/>
          <w:kern w:val="0"/>
          <w:sz w:val="24"/>
        </w:rPr>
        <w:t>日，有关财务和业绩表现数据截止日为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日，财务和业绩表现数据未经审计。</w:t>
      </w:r>
    </w:p>
    <w:p w:rsidR="0018298E" w:rsidRDefault="0018298E">
      <w:pPr>
        <w:autoSpaceDE w:val="0"/>
        <w:autoSpaceDN w:val="0"/>
        <w:adjustRightInd w:val="0"/>
        <w:snapToGrid w:val="0"/>
        <w:spacing w:before="51" w:line="360" w:lineRule="auto"/>
        <w:ind w:left="120" w:rightChars="6" w:right="13" w:firstLine="480"/>
        <w:rPr>
          <w:rFonts w:ascii="宋体" w:hAnsi="宋体"/>
          <w:kern w:val="0"/>
          <w:szCs w:val="24"/>
        </w:rPr>
        <w:sectPr w:rsidR="0018298E">
          <w:headerReference w:type="default" r:id="rId16"/>
          <w:pgSz w:w="11920" w:h="16840"/>
          <w:pgMar w:top="1440" w:right="1680" w:bottom="280" w:left="1680" w:header="0" w:footer="1073" w:gutter="0"/>
          <w:pgNumType w:start="1"/>
          <w:cols w:space="720"/>
        </w:sectPr>
      </w:pPr>
    </w:p>
    <w:p w:rsidR="009607E9" w:rsidRPr="009607E9" w:rsidRDefault="00755277" w:rsidP="009607E9">
      <w:pPr>
        <w:pStyle w:val="ad"/>
        <w:snapToGrid w:val="0"/>
        <w:spacing w:after="240" w:line="360" w:lineRule="auto"/>
        <w:jc w:val="center"/>
        <w:rPr>
          <w:rFonts w:ascii="宋体" w:hAnsi="宋体"/>
          <w:noProof/>
          <w:sz w:val="24"/>
        </w:rPr>
      </w:pPr>
      <w:r w:rsidRPr="009607E9">
        <w:rPr>
          <w:rFonts w:ascii="宋体" w:hAnsi="宋体"/>
          <w:color w:val="000000"/>
          <w:position w:val="-4"/>
          <w:sz w:val="24"/>
          <w:szCs w:val="30"/>
        </w:rPr>
        <w:lastRenderedPageBreak/>
        <w:t>目</w:t>
      </w:r>
      <w:r w:rsidRPr="009607E9">
        <w:rPr>
          <w:rFonts w:ascii="宋体" w:hAnsi="宋体"/>
          <w:color w:val="000000"/>
          <w:position w:val="-4"/>
          <w:sz w:val="24"/>
          <w:szCs w:val="30"/>
        </w:rPr>
        <w:tab/>
        <w:t>录</w:t>
      </w:r>
      <w:r w:rsidR="009607E9" w:rsidRPr="009607E9">
        <w:rPr>
          <w:rFonts w:ascii="宋体" w:hAnsi="宋体"/>
          <w:color w:val="000000"/>
          <w:position w:val="-4"/>
          <w:sz w:val="24"/>
          <w:szCs w:val="30"/>
        </w:rPr>
        <w:fldChar w:fldCharType="begin"/>
      </w:r>
      <w:r w:rsidR="009607E9" w:rsidRPr="009607E9">
        <w:rPr>
          <w:rFonts w:ascii="宋体" w:hAnsi="宋体"/>
          <w:color w:val="000000"/>
          <w:position w:val="-4"/>
          <w:sz w:val="24"/>
          <w:szCs w:val="30"/>
        </w:rPr>
        <w:instrText xml:space="preserve"> TOC \o "1-3" \f - \h \t "-1" </w:instrText>
      </w:r>
      <w:r w:rsidR="009607E9" w:rsidRPr="009607E9">
        <w:rPr>
          <w:rFonts w:ascii="宋体" w:hAnsi="宋体"/>
          <w:color w:val="000000"/>
          <w:position w:val="-4"/>
          <w:sz w:val="24"/>
          <w:szCs w:val="30"/>
        </w:rPr>
        <w:fldChar w:fldCharType="separate"/>
      </w:r>
    </w:p>
    <w:p w:rsidR="009607E9" w:rsidRPr="009607E9" w:rsidRDefault="009607E9" w:rsidP="009607E9">
      <w:pPr>
        <w:pStyle w:val="10"/>
        <w:tabs>
          <w:tab w:val="right" w:leader="dot" w:pos="8550"/>
        </w:tabs>
        <w:spacing w:line="360" w:lineRule="auto"/>
        <w:rPr>
          <w:rFonts w:ascii="宋体" w:hAnsi="宋体" w:cstheme="minorBidi"/>
          <w:noProof/>
          <w:sz w:val="24"/>
        </w:rPr>
      </w:pPr>
      <w:hyperlink w:anchor="_Toc210145087" w:history="1">
        <w:r w:rsidRPr="009607E9">
          <w:rPr>
            <w:rStyle w:val="aa"/>
            <w:rFonts w:ascii="宋体" w:hAnsi="宋体" w:hint="eastAsia"/>
            <w:noProof/>
            <w:kern w:val="0"/>
            <w:sz w:val="24"/>
          </w:rPr>
          <w:t>重要提示</w:t>
        </w:r>
        <w:r w:rsidRPr="009607E9">
          <w:rPr>
            <w:rFonts w:ascii="宋体" w:hAnsi="宋体"/>
            <w:noProof/>
            <w:sz w:val="24"/>
          </w:rPr>
          <w:tab/>
        </w:r>
        <w:r w:rsidRPr="009607E9">
          <w:rPr>
            <w:rFonts w:ascii="宋体" w:hAnsi="宋体"/>
            <w:noProof/>
            <w:sz w:val="24"/>
          </w:rPr>
          <w:fldChar w:fldCharType="begin"/>
        </w:r>
        <w:r w:rsidRPr="009607E9">
          <w:rPr>
            <w:rFonts w:ascii="宋体" w:hAnsi="宋体"/>
            <w:noProof/>
            <w:sz w:val="24"/>
          </w:rPr>
          <w:instrText xml:space="preserve"> PAGEREF _Toc210145087 \h </w:instrText>
        </w:r>
        <w:r w:rsidRPr="009607E9">
          <w:rPr>
            <w:rFonts w:ascii="宋体" w:hAnsi="宋体"/>
            <w:noProof/>
            <w:sz w:val="24"/>
          </w:rPr>
        </w:r>
        <w:r w:rsidRPr="009607E9">
          <w:rPr>
            <w:rFonts w:ascii="宋体" w:hAnsi="宋体"/>
            <w:noProof/>
            <w:sz w:val="24"/>
          </w:rPr>
          <w:fldChar w:fldCharType="separate"/>
        </w:r>
        <w:r w:rsidRPr="009607E9">
          <w:rPr>
            <w:rFonts w:ascii="宋体" w:hAnsi="宋体"/>
            <w:noProof/>
            <w:sz w:val="24"/>
          </w:rPr>
          <w:t>1</w:t>
        </w:r>
        <w:r w:rsidRPr="009607E9">
          <w:rPr>
            <w:rFonts w:ascii="宋体" w:hAnsi="宋体"/>
            <w:noProof/>
            <w:sz w:val="24"/>
          </w:rPr>
          <w:fldChar w:fldCharType="end"/>
        </w:r>
      </w:hyperlink>
    </w:p>
    <w:p w:rsidR="009607E9" w:rsidRPr="009607E9" w:rsidRDefault="009607E9" w:rsidP="009607E9">
      <w:pPr>
        <w:pStyle w:val="10"/>
        <w:tabs>
          <w:tab w:val="right" w:leader="dot" w:pos="8550"/>
        </w:tabs>
        <w:spacing w:line="360" w:lineRule="auto"/>
        <w:rPr>
          <w:rFonts w:ascii="宋体" w:hAnsi="宋体" w:cstheme="minorBidi"/>
          <w:noProof/>
          <w:sz w:val="24"/>
        </w:rPr>
      </w:pPr>
      <w:hyperlink w:anchor="_Toc210145088" w:history="1">
        <w:r w:rsidRPr="009607E9">
          <w:rPr>
            <w:rStyle w:val="aa"/>
            <w:rFonts w:ascii="宋体" w:hAnsi="宋体" w:hint="eastAsia"/>
            <w:noProof/>
            <w:sz w:val="24"/>
          </w:rPr>
          <w:t>一、绪言</w:t>
        </w:r>
        <w:r w:rsidRPr="009607E9">
          <w:rPr>
            <w:rFonts w:ascii="宋体" w:hAnsi="宋体"/>
            <w:noProof/>
            <w:sz w:val="24"/>
          </w:rPr>
          <w:tab/>
        </w:r>
        <w:r w:rsidRPr="009607E9">
          <w:rPr>
            <w:rFonts w:ascii="宋体" w:hAnsi="宋体"/>
            <w:noProof/>
            <w:sz w:val="24"/>
          </w:rPr>
          <w:fldChar w:fldCharType="begin"/>
        </w:r>
        <w:r w:rsidRPr="009607E9">
          <w:rPr>
            <w:rFonts w:ascii="宋体" w:hAnsi="宋体"/>
            <w:noProof/>
            <w:sz w:val="24"/>
          </w:rPr>
          <w:instrText xml:space="preserve"> PAGEREF _Toc210145088 \h </w:instrText>
        </w:r>
        <w:r w:rsidRPr="009607E9">
          <w:rPr>
            <w:rFonts w:ascii="宋体" w:hAnsi="宋体"/>
            <w:noProof/>
            <w:sz w:val="24"/>
          </w:rPr>
        </w:r>
        <w:r w:rsidRPr="009607E9">
          <w:rPr>
            <w:rFonts w:ascii="宋体" w:hAnsi="宋体"/>
            <w:noProof/>
            <w:sz w:val="24"/>
          </w:rPr>
          <w:fldChar w:fldCharType="separate"/>
        </w:r>
        <w:r w:rsidRPr="009607E9">
          <w:rPr>
            <w:rFonts w:ascii="宋体" w:hAnsi="宋体"/>
            <w:noProof/>
            <w:sz w:val="24"/>
          </w:rPr>
          <w:t>4</w:t>
        </w:r>
        <w:r w:rsidRPr="009607E9">
          <w:rPr>
            <w:rFonts w:ascii="宋体" w:hAnsi="宋体"/>
            <w:noProof/>
            <w:sz w:val="24"/>
          </w:rPr>
          <w:fldChar w:fldCharType="end"/>
        </w:r>
      </w:hyperlink>
    </w:p>
    <w:p w:rsidR="009607E9" w:rsidRPr="009607E9" w:rsidRDefault="009607E9" w:rsidP="009607E9">
      <w:pPr>
        <w:pStyle w:val="10"/>
        <w:tabs>
          <w:tab w:val="right" w:leader="dot" w:pos="8550"/>
        </w:tabs>
        <w:spacing w:line="360" w:lineRule="auto"/>
        <w:rPr>
          <w:rFonts w:ascii="宋体" w:hAnsi="宋体" w:cstheme="minorBidi"/>
          <w:noProof/>
          <w:sz w:val="24"/>
        </w:rPr>
      </w:pPr>
      <w:hyperlink w:anchor="_Toc210145089" w:history="1">
        <w:r w:rsidRPr="009607E9">
          <w:rPr>
            <w:rStyle w:val="aa"/>
            <w:rFonts w:ascii="宋体" w:hAnsi="宋体" w:hint="eastAsia"/>
            <w:noProof/>
            <w:sz w:val="24"/>
          </w:rPr>
          <w:t>二、释义</w:t>
        </w:r>
        <w:r w:rsidRPr="009607E9">
          <w:rPr>
            <w:rFonts w:ascii="宋体" w:hAnsi="宋体"/>
            <w:noProof/>
            <w:sz w:val="24"/>
          </w:rPr>
          <w:tab/>
        </w:r>
        <w:r w:rsidRPr="009607E9">
          <w:rPr>
            <w:rFonts w:ascii="宋体" w:hAnsi="宋体"/>
            <w:noProof/>
            <w:sz w:val="24"/>
          </w:rPr>
          <w:fldChar w:fldCharType="begin"/>
        </w:r>
        <w:r w:rsidRPr="009607E9">
          <w:rPr>
            <w:rFonts w:ascii="宋体" w:hAnsi="宋体"/>
            <w:noProof/>
            <w:sz w:val="24"/>
          </w:rPr>
          <w:instrText xml:space="preserve"> PAGEREF _Toc210145089 \h </w:instrText>
        </w:r>
        <w:r w:rsidRPr="009607E9">
          <w:rPr>
            <w:rFonts w:ascii="宋体" w:hAnsi="宋体"/>
            <w:noProof/>
            <w:sz w:val="24"/>
          </w:rPr>
        </w:r>
        <w:r w:rsidRPr="009607E9">
          <w:rPr>
            <w:rFonts w:ascii="宋体" w:hAnsi="宋体"/>
            <w:noProof/>
            <w:sz w:val="24"/>
          </w:rPr>
          <w:fldChar w:fldCharType="separate"/>
        </w:r>
        <w:r w:rsidRPr="009607E9">
          <w:rPr>
            <w:rFonts w:ascii="宋体" w:hAnsi="宋体"/>
            <w:noProof/>
            <w:sz w:val="24"/>
          </w:rPr>
          <w:t>5</w:t>
        </w:r>
        <w:r w:rsidRPr="009607E9">
          <w:rPr>
            <w:rFonts w:ascii="宋体" w:hAnsi="宋体"/>
            <w:noProof/>
            <w:sz w:val="24"/>
          </w:rPr>
          <w:fldChar w:fldCharType="end"/>
        </w:r>
      </w:hyperlink>
    </w:p>
    <w:p w:rsidR="009607E9" w:rsidRPr="009607E9" w:rsidRDefault="009607E9" w:rsidP="009607E9">
      <w:pPr>
        <w:pStyle w:val="10"/>
        <w:tabs>
          <w:tab w:val="right" w:leader="dot" w:pos="8550"/>
        </w:tabs>
        <w:spacing w:line="360" w:lineRule="auto"/>
        <w:rPr>
          <w:rFonts w:ascii="宋体" w:hAnsi="宋体" w:cstheme="minorBidi"/>
          <w:noProof/>
          <w:sz w:val="24"/>
        </w:rPr>
      </w:pPr>
      <w:hyperlink w:anchor="_Toc210145090" w:history="1">
        <w:r w:rsidRPr="009607E9">
          <w:rPr>
            <w:rStyle w:val="aa"/>
            <w:rFonts w:ascii="宋体" w:hAnsi="宋体" w:hint="eastAsia"/>
            <w:noProof/>
            <w:sz w:val="24"/>
          </w:rPr>
          <w:t>三、基金管理人</w:t>
        </w:r>
        <w:r w:rsidRPr="009607E9">
          <w:rPr>
            <w:rFonts w:ascii="宋体" w:hAnsi="宋体"/>
            <w:noProof/>
            <w:sz w:val="24"/>
          </w:rPr>
          <w:tab/>
        </w:r>
        <w:r w:rsidRPr="009607E9">
          <w:rPr>
            <w:rFonts w:ascii="宋体" w:hAnsi="宋体"/>
            <w:noProof/>
            <w:sz w:val="24"/>
          </w:rPr>
          <w:fldChar w:fldCharType="begin"/>
        </w:r>
        <w:r w:rsidRPr="009607E9">
          <w:rPr>
            <w:rFonts w:ascii="宋体" w:hAnsi="宋体"/>
            <w:noProof/>
            <w:sz w:val="24"/>
          </w:rPr>
          <w:instrText xml:space="preserve"> PAGEREF _Toc210145090 \h </w:instrText>
        </w:r>
        <w:r w:rsidRPr="009607E9">
          <w:rPr>
            <w:rFonts w:ascii="宋体" w:hAnsi="宋体"/>
            <w:noProof/>
            <w:sz w:val="24"/>
          </w:rPr>
        </w:r>
        <w:r w:rsidRPr="009607E9">
          <w:rPr>
            <w:rFonts w:ascii="宋体" w:hAnsi="宋体"/>
            <w:noProof/>
            <w:sz w:val="24"/>
          </w:rPr>
          <w:fldChar w:fldCharType="separate"/>
        </w:r>
        <w:r w:rsidRPr="009607E9">
          <w:rPr>
            <w:rFonts w:ascii="宋体" w:hAnsi="宋体"/>
            <w:noProof/>
            <w:sz w:val="24"/>
          </w:rPr>
          <w:t>10</w:t>
        </w:r>
        <w:r w:rsidRPr="009607E9">
          <w:rPr>
            <w:rFonts w:ascii="宋体" w:hAnsi="宋体"/>
            <w:noProof/>
            <w:sz w:val="24"/>
          </w:rPr>
          <w:fldChar w:fldCharType="end"/>
        </w:r>
      </w:hyperlink>
    </w:p>
    <w:p w:rsidR="009607E9" w:rsidRPr="009607E9" w:rsidRDefault="009607E9" w:rsidP="009607E9">
      <w:pPr>
        <w:pStyle w:val="10"/>
        <w:tabs>
          <w:tab w:val="right" w:leader="dot" w:pos="8550"/>
        </w:tabs>
        <w:spacing w:line="360" w:lineRule="auto"/>
        <w:rPr>
          <w:rFonts w:ascii="宋体" w:hAnsi="宋体" w:cstheme="minorBidi"/>
          <w:noProof/>
          <w:sz w:val="24"/>
        </w:rPr>
      </w:pPr>
      <w:hyperlink w:anchor="_Toc210145091" w:history="1">
        <w:r w:rsidRPr="009607E9">
          <w:rPr>
            <w:rStyle w:val="aa"/>
            <w:rFonts w:ascii="宋体" w:hAnsi="宋体" w:hint="eastAsia"/>
            <w:noProof/>
            <w:sz w:val="24"/>
          </w:rPr>
          <w:t>四、基金托管人</w:t>
        </w:r>
        <w:r w:rsidRPr="009607E9">
          <w:rPr>
            <w:rFonts w:ascii="宋体" w:hAnsi="宋体"/>
            <w:noProof/>
            <w:sz w:val="24"/>
          </w:rPr>
          <w:tab/>
        </w:r>
        <w:r w:rsidRPr="009607E9">
          <w:rPr>
            <w:rFonts w:ascii="宋体" w:hAnsi="宋体"/>
            <w:noProof/>
            <w:sz w:val="24"/>
          </w:rPr>
          <w:fldChar w:fldCharType="begin"/>
        </w:r>
        <w:r w:rsidRPr="009607E9">
          <w:rPr>
            <w:rFonts w:ascii="宋体" w:hAnsi="宋体"/>
            <w:noProof/>
            <w:sz w:val="24"/>
          </w:rPr>
          <w:instrText xml:space="preserve"> PAGEREF _Toc210145091 \h </w:instrText>
        </w:r>
        <w:r w:rsidRPr="009607E9">
          <w:rPr>
            <w:rFonts w:ascii="宋体" w:hAnsi="宋体"/>
            <w:noProof/>
            <w:sz w:val="24"/>
          </w:rPr>
        </w:r>
        <w:r w:rsidRPr="009607E9">
          <w:rPr>
            <w:rFonts w:ascii="宋体" w:hAnsi="宋体"/>
            <w:noProof/>
            <w:sz w:val="24"/>
          </w:rPr>
          <w:fldChar w:fldCharType="separate"/>
        </w:r>
        <w:r w:rsidRPr="009607E9">
          <w:rPr>
            <w:rFonts w:ascii="宋体" w:hAnsi="宋体"/>
            <w:noProof/>
            <w:sz w:val="24"/>
          </w:rPr>
          <w:t>19</w:t>
        </w:r>
        <w:r w:rsidRPr="009607E9">
          <w:rPr>
            <w:rFonts w:ascii="宋体" w:hAnsi="宋体"/>
            <w:noProof/>
            <w:sz w:val="24"/>
          </w:rPr>
          <w:fldChar w:fldCharType="end"/>
        </w:r>
      </w:hyperlink>
    </w:p>
    <w:p w:rsidR="009607E9" w:rsidRPr="009607E9" w:rsidRDefault="009607E9" w:rsidP="009607E9">
      <w:pPr>
        <w:pStyle w:val="10"/>
        <w:tabs>
          <w:tab w:val="right" w:leader="dot" w:pos="8550"/>
        </w:tabs>
        <w:spacing w:line="360" w:lineRule="auto"/>
        <w:rPr>
          <w:rFonts w:ascii="宋体" w:hAnsi="宋体" w:cstheme="minorBidi"/>
          <w:noProof/>
          <w:sz w:val="24"/>
        </w:rPr>
      </w:pPr>
      <w:hyperlink w:anchor="_Toc210145092" w:history="1">
        <w:r w:rsidRPr="009607E9">
          <w:rPr>
            <w:rStyle w:val="aa"/>
            <w:rFonts w:ascii="宋体" w:hAnsi="宋体" w:hint="eastAsia"/>
            <w:noProof/>
            <w:sz w:val="24"/>
          </w:rPr>
          <w:t>五、相关服务机构</w:t>
        </w:r>
        <w:r w:rsidRPr="009607E9">
          <w:rPr>
            <w:rFonts w:ascii="宋体" w:hAnsi="宋体"/>
            <w:noProof/>
            <w:sz w:val="24"/>
          </w:rPr>
          <w:tab/>
        </w:r>
        <w:r w:rsidRPr="009607E9">
          <w:rPr>
            <w:rFonts w:ascii="宋体" w:hAnsi="宋体"/>
            <w:noProof/>
            <w:sz w:val="24"/>
          </w:rPr>
          <w:fldChar w:fldCharType="begin"/>
        </w:r>
        <w:r w:rsidRPr="009607E9">
          <w:rPr>
            <w:rFonts w:ascii="宋体" w:hAnsi="宋体"/>
            <w:noProof/>
            <w:sz w:val="24"/>
          </w:rPr>
          <w:instrText xml:space="preserve"> PAGEREF _Toc210145092 \h </w:instrText>
        </w:r>
        <w:r w:rsidRPr="009607E9">
          <w:rPr>
            <w:rFonts w:ascii="宋体" w:hAnsi="宋体"/>
            <w:noProof/>
            <w:sz w:val="24"/>
          </w:rPr>
        </w:r>
        <w:r w:rsidRPr="009607E9">
          <w:rPr>
            <w:rFonts w:ascii="宋体" w:hAnsi="宋体"/>
            <w:noProof/>
            <w:sz w:val="24"/>
          </w:rPr>
          <w:fldChar w:fldCharType="separate"/>
        </w:r>
        <w:r w:rsidRPr="009607E9">
          <w:rPr>
            <w:rFonts w:ascii="宋体" w:hAnsi="宋体"/>
            <w:noProof/>
            <w:sz w:val="24"/>
          </w:rPr>
          <w:t>22</w:t>
        </w:r>
        <w:r w:rsidRPr="009607E9">
          <w:rPr>
            <w:rFonts w:ascii="宋体" w:hAnsi="宋体"/>
            <w:noProof/>
            <w:sz w:val="24"/>
          </w:rPr>
          <w:fldChar w:fldCharType="end"/>
        </w:r>
      </w:hyperlink>
    </w:p>
    <w:p w:rsidR="009607E9" w:rsidRPr="009607E9" w:rsidRDefault="009607E9" w:rsidP="009607E9">
      <w:pPr>
        <w:pStyle w:val="10"/>
        <w:tabs>
          <w:tab w:val="right" w:leader="dot" w:pos="8550"/>
        </w:tabs>
        <w:spacing w:line="360" w:lineRule="auto"/>
        <w:rPr>
          <w:rFonts w:ascii="宋体" w:hAnsi="宋体" w:cstheme="minorBidi"/>
          <w:noProof/>
          <w:sz w:val="24"/>
        </w:rPr>
      </w:pPr>
      <w:hyperlink w:anchor="_Toc210145093" w:history="1">
        <w:r w:rsidRPr="009607E9">
          <w:rPr>
            <w:rStyle w:val="aa"/>
            <w:rFonts w:ascii="宋体" w:hAnsi="宋体" w:hint="eastAsia"/>
            <w:noProof/>
            <w:sz w:val="24"/>
          </w:rPr>
          <w:t>六、基金的募集</w:t>
        </w:r>
        <w:r w:rsidRPr="009607E9">
          <w:rPr>
            <w:rFonts w:ascii="宋体" w:hAnsi="宋体"/>
            <w:noProof/>
            <w:sz w:val="24"/>
          </w:rPr>
          <w:tab/>
        </w:r>
        <w:r w:rsidRPr="009607E9">
          <w:rPr>
            <w:rFonts w:ascii="宋体" w:hAnsi="宋体"/>
            <w:noProof/>
            <w:sz w:val="24"/>
          </w:rPr>
          <w:fldChar w:fldCharType="begin"/>
        </w:r>
        <w:r w:rsidRPr="009607E9">
          <w:rPr>
            <w:rFonts w:ascii="宋体" w:hAnsi="宋体"/>
            <w:noProof/>
            <w:sz w:val="24"/>
          </w:rPr>
          <w:instrText xml:space="preserve"> PAGEREF _Toc210145093 \h </w:instrText>
        </w:r>
        <w:r w:rsidRPr="009607E9">
          <w:rPr>
            <w:rFonts w:ascii="宋体" w:hAnsi="宋体"/>
            <w:noProof/>
            <w:sz w:val="24"/>
          </w:rPr>
        </w:r>
        <w:r w:rsidRPr="009607E9">
          <w:rPr>
            <w:rFonts w:ascii="宋体" w:hAnsi="宋体"/>
            <w:noProof/>
            <w:sz w:val="24"/>
          </w:rPr>
          <w:fldChar w:fldCharType="separate"/>
        </w:r>
        <w:r w:rsidRPr="009607E9">
          <w:rPr>
            <w:rFonts w:ascii="宋体" w:hAnsi="宋体"/>
            <w:noProof/>
            <w:sz w:val="24"/>
          </w:rPr>
          <w:t>49</w:t>
        </w:r>
        <w:r w:rsidRPr="009607E9">
          <w:rPr>
            <w:rFonts w:ascii="宋体" w:hAnsi="宋体"/>
            <w:noProof/>
            <w:sz w:val="24"/>
          </w:rPr>
          <w:fldChar w:fldCharType="end"/>
        </w:r>
      </w:hyperlink>
    </w:p>
    <w:p w:rsidR="009607E9" w:rsidRPr="009607E9" w:rsidRDefault="009607E9" w:rsidP="009607E9">
      <w:pPr>
        <w:pStyle w:val="10"/>
        <w:tabs>
          <w:tab w:val="right" w:leader="dot" w:pos="8550"/>
        </w:tabs>
        <w:spacing w:line="360" w:lineRule="auto"/>
        <w:rPr>
          <w:rFonts w:ascii="宋体" w:hAnsi="宋体" w:cstheme="minorBidi"/>
          <w:noProof/>
          <w:sz w:val="24"/>
        </w:rPr>
      </w:pPr>
      <w:hyperlink w:anchor="_Toc210145094" w:history="1">
        <w:r w:rsidRPr="009607E9">
          <w:rPr>
            <w:rStyle w:val="aa"/>
            <w:rFonts w:ascii="宋体" w:hAnsi="宋体" w:hint="eastAsia"/>
            <w:noProof/>
            <w:sz w:val="24"/>
          </w:rPr>
          <w:t>七、基金合同的生效</w:t>
        </w:r>
        <w:r w:rsidRPr="009607E9">
          <w:rPr>
            <w:rFonts w:ascii="宋体" w:hAnsi="宋体"/>
            <w:noProof/>
            <w:sz w:val="24"/>
          </w:rPr>
          <w:tab/>
        </w:r>
        <w:r w:rsidRPr="009607E9">
          <w:rPr>
            <w:rFonts w:ascii="宋体" w:hAnsi="宋体"/>
            <w:noProof/>
            <w:sz w:val="24"/>
          </w:rPr>
          <w:fldChar w:fldCharType="begin"/>
        </w:r>
        <w:r w:rsidRPr="009607E9">
          <w:rPr>
            <w:rFonts w:ascii="宋体" w:hAnsi="宋体"/>
            <w:noProof/>
            <w:sz w:val="24"/>
          </w:rPr>
          <w:instrText xml:space="preserve"> PAGEREF _Toc210145094 \h </w:instrText>
        </w:r>
        <w:r w:rsidRPr="009607E9">
          <w:rPr>
            <w:rFonts w:ascii="宋体" w:hAnsi="宋体"/>
            <w:noProof/>
            <w:sz w:val="24"/>
          </w:rPr>
        </w:r>
        <w:r w:rsidRPr="009607E9">
          <w:rPr>
            <w:rFonts w:ascii="宋体" w:hAnsi="宋体"/>
            <w:noProof/>
            <w:sz w:val="24"/>
          </w:rPr>
          <w:fldChar w:fldCharType="separate"/>
        </w:r>
        <w:r w:rsidRPr="009607E9">
          <w:rPr>
            <w:rFonts w:ascii="宋体" w:hAnsi="宋体"/>
            <w:noProof/>
            <w:sz w:val="24"/>
          </w:rPr>
          <w:t>51</w:t>
        </w:r>
        <w:r w:rsidRPr="009607E9">
          <w:rPr>
            <w:rFonts w:ascii="宋体" w:hAnsi="宋体"/>
            <w:noProof/>
            <w:sz w:val="24"/>
          </w:rPr>
          <w:fldChar w:fldCharType="end"/>
        </w:r>
      </w:hyperlink>
    </w:p>
    <w:p w:rsidR="009607E9" w:rsidRPr="009607E9" w:rsidRDefault="009607E9" w:rsidP="009607E9">
      <w:pPr>
        <w:pStyle w:val="10"/>
        <w:tabs>
          <w:tab w:val="right" w:leader="dot" w:pos="8550"/>
        </w:tabs>
        <w:spacing w:line="360" w:lineRule="auto"/>
        <w:rPr>
          <w:rFonts w:ascii="宋体" w:hAnsi="宋体" w:cstheme="minorBidi"/>
          <w:noProof/>
          <w:sz w:val="24"/>
        </w:rPr>
      </w:pPr>
      <w:hyperlink w:anchor="_Toc210145095" w:history="1">
        <w:r w:rsidRPr="009607E9">
          <w:rPr>
            <w:rStyle w:val="aa"/>
            <w:rFonts w:ascii="宋体" w:hAnsi="宋体" w:hint="eastAsia"/>
            <w:noProof/>
            <w:sz w:val="24"/>
          </w:rPr>
          <w:t>八、基金份额的申购与赎回</w:t>
        </w:r>
        <w:r w:rsidRPr="009607E9">
          <w:rPr>
            <w:rFonts w:ascii="宋体" w:hAnsi="宋体"/>
            <w:noProof/>
            <w:sz w:val="24"/>
          </w:rPr>
          <w:tab/>
        </w:r>
        <w:r w:rsidRPr="009607E9">
          <w:rPr>
            <w:rFonts w:ascii="宋体" w:hAnsi="宋体"/>
            <w:noProof/>
            <w:sz w:val="24"/>
          </w:rPr>
          <w:fldChar w:fldCharType="begin"/>
        </w:r>
        <w:r w:rsidRPr="009607E9">
          <w:rPr>
            <w:rFonts w:ascii="宋体" w:hAnsi="宋体"/>
            <w:noProof/>
            <w:sz w:val="24"/>
          </w:rPr>
          <w:instrText xml:space="preserve"> PAGEREF _Toc210145095 \h </w:instrText>
        </w:r>
        <w:r w:rsidRPr="009607E9">
          <w:rPr>
            <w:rFonts w:ascii="宋体" w:hAnsi="宋体"/>
            <w:noProof/>
            <w:sz w:val="24"/>
          </w:rPr>
        </w:r>
        <w:r w:rsidRPr="009607E9">
          <w:rPr>
            <w:rFonts w:ascii="宋体" w:hAnsi="宋体"/>
            <w:noProof/>
            <w:sz w:val="24"/>
          </w:rPr>
          <w:fldChar w:fldCharType="separate"/>
        </w:r>
        <w:r w:rsidRPr="009607E9">
          <w:rPr>
            <w:rFonts w:ascii="宋体" w:hAnsi="宋体"/>
            <w:noProof/>
            <w:sz w:val="24"/>
          </w:rPr>
          <w:t>52</w:t>
        </w:r>
        <w:r w:rsidRPr="009607E9">
          <w:rPr>
            <w:rFonts w:ascii="宋体" w:hAnsi="宋体"/>
            <w:noProof/>
            <w:sz w:val="24"/>
          </w:rPr>
          <w:fldChar w:fldCharType="end"/>
        </w:r>
      </w:hyperlink>
    </w:p>
    <w:p w:rsidR="009607E9" w:rsidRPr="009607E9" w:rsidRDefault="009607E9" w:rsidP="009607E9">
      <w:pPr>
        <w:pStyle w:val="10"/>
        <w:tabs>
          <w:tab w:val="right" w:leader="dot" w:pos="8550"/>
        </w:tabs>
        <w:spacing w:line="360" w:lineRule="auto"/>
        <w:rPr>
          <w:rFonts w:ascii="宋体" w:hAnsi="宋体" w:cstheme="minorBidi"/>
          <w:noProof/>
          <w:sz w:val="24"/>
        </w:rPr>
      </w:pPr>
      <w:hyperlink w:anchor="_Toc210145096" w:history="1">
        <w:r w:rsidRPr="009607E9">
          <w:rPr>
            <w:rStyle w:val="aa"/>
            <w:rFonts w:ascii="宋体" w:hAnsi="宋体" w:hint="eastAsia"/>
            <w:noProof/>
            <w:sz w:val="24"/>
          </w:rPr>
          <w:t>九、基金的转换</w:t>
        </w:r>
        <w:r w:rsidRPr="009607E9">
          <w:rPr>
            <w:rFonts w:ascii="宋体" w:hAnsi="宋体"/>
            <w:noProof/>
            <w:sz w:val="24"/>
          </w:rPr>
          <w:tab/>
        </w:r>
        <w:r w:rsidRPr="009607E9">
          <w:rPr>
            <w:rFonts w:ascii="宋体" w:hAnsi="宋体"/>
            <w:noProof/>
            <w:sz w:val="24"/>
          </w:rPr>
          <w:fldChar w:fldCharType="begin"/>
        </w:r>
        <w:r w:rsidRPr="009607E9">
          <w:rPr>
            <w:rFonts w:ascii="宋体" w:hAnsi="宋体"/>
            <w:noProof/>
            <w:sz w:val="24"/>
          </w:rPr>
          <w:instrText xml:space="preserve"> PAGEREF _Toc210145096 \h </w:instrText>
        </w:r>
        <w:r w:rsidRPr="009607E9">
          <w:rPr>
            <w:rFonts w:ascii="宋体" w:hAnsi="宋体"/>
            <w:noProof/>
            <w:sz w:val="24"/>
          </w:rPr>
        </w:r>
        <w:r w:rsidRPr="009607E9">
          <w:rPr>
            <w:rFonts w:ascii="宋体" w:hAnsi="宋体"/>
            <w:noProof/>
            <w:sz w:val="24"/>
          </w:rPr>
          <w:fldChar w:fldCharType="separate"/>
        </w:r>
        <w:r w:rsidRPr="009607E9">
          <w:rPr>
            <w:rFonts w:ascii="宋体" w:hAnsi="宋体"/>
            <w:noProof/>
            <w:sz w:val="24"/>
          </w:rPr>
          <w:t>65</w:t>
        </w:r>
        <w:r w:rsidRPr="009607E9">
          <w:rPr>
            <w:rFonts w:ascii="宋体" w:hAnsi="宋体"/>
            <w:noProof/>
            <w:sz w:val="24"/>
          </w:rPr>
          <w:fldChar w:fldCharType="end"/>
        </w:r>
      </w:hyperlink>
    </w:p>
    <w:p w:rsidR="009607E9" w:rsidRPr="009607E9" w:rsidRDefault="009607E9" w:rsidP="009607E9">
      <w:pPr>
        <w:pStyle w:val="10"/>
        <w:tabs>
          <w:tab w:val="right" w:leader="dot" w:pos="8550"/>
        </w:tabs>
        <w:spacing w:line="360" w:lineRule="auto"/>
        <w:rPr>
          <w:rFonts w:ascii="宋体" w:hAnsi="宋体" w:cstheme="minorBidi"/>
          <w:noProof/>
          <w:sz w:val="24"/>
        </w:rPr>
      </w:pPr>
      <w:hyperlink w:anchor="_Toc210145097" w:history="1">
        <w:r w:rsidRPr="009607E9">
          <w:rPr>
            <w:rStyle w:val="aa"/>
            <w:rFonts w:ascii="宋体" w:hAnsi="宋体" w:hint="eastAsia"/>
            <w:noProof/>
            <w:sz w:val="24"/>
          </w:rPr>
          <w:t>十、基金的投资</w:t>
        </w:r>
        <w:r w:rsidRPr="009607E9">
          <w:rPr>
            <w:rFonts w:ascii="宋体" w:hAnsi="宋体"/>
            <w:noProof/>
            <w:sz w:val="24"/>
          </w:rPr>
          <w:tab/>
        </w:r>
        <w:r w:rsidRPr="009607E9">
          <w:rPr>
            <w:rFonts w:ascii="宋体" w:hAnsi="宋体"/>
            <w:noProof/>
            <w:sz w:val="24"/>
          </w:rPr>
          <w:fldChar w:fldCharType="begin"/>
        </w:r>
        <w:r w:rsidRPr="009607E9">
          <w:rPr>
            <w:rFonts w:ascii="宋体" w:hAnsi="宋体"/>
            <w:noProof/>
            <w:sz w:val="24"/>
          </w:rPr>
          <w:instrText xml:space="preserve"> PAGEREF _Toc210145097 \h </w:instrText>
        </w:r>
        <w:r w:rsidRPr="009607E9">
          <w:rPr>
            <w:rFonts w:ascii="宋体" w:hAnsi="宋体"/>
            <w:noProof/>
            <w:sz w:val="24"/>
          </w:rPr>
        </w:r>
        <w:r w:rsidRPr="009607E9">
          <w:rPr>
            <w:rFonts w:ascii="宋体" w:hAnsi="宋体"/>
            <w:noProof/>
            <w:sz w:val="24"/>
          </w:rPr>
          <w:fldChar w:fldCharType="separate"/>
        </w:r>
        <w:r w:rsidRPr="009607E9">
          <w:rPr>
            <w:rFonts w:ascii="宋体" w:hAnsi="宋体"/>
            <w:noProof/>
            <w:sz w:val="24"/>
          </w:rPr>
          <w:t>72</w:t>
        </w:r>
        <w:r w:rsidRPr="009607E9">
          <w:rPr>
            <w:rFonts w:ascii="宋体" w:hAnsi="宋体"/>
            <w:noProof/>
            <w:sz w:val="24"/>
          </w:rPr>
          <w:fldChar w:fldCharType="end"/>
        </w:r>
      </w:hyperlink>
    </w:p>
    <w:p w:rsidR="009607E9" w:rsidRPr="009607E9" w:rsidRDefault="009607E9" w:rsidP="009607E9">
      <w:pPr>
        <w:pStyle w:val="10"/>
        <w:tabs>
          <w:tab w:val="right" w:leader="dot" w:pos="8550"/>
        </w:tabs>
        <w:spacing w:line="360" w:lineRule="auto"/>
        <w:rPr>
          <w:rFonts w:ascii="宋体" w:hAnsi="宋体" w:cstheme="minorBidi"/>
          <w:noProof/>
          <w:sz w:val="24"/>
        </w:rPr>
      </w:pPr>
      <w:hyperlink w:anchor="_Toc210145098" w:history="1">
        <w:r w:rsidRPr="009607E9">
          <w:rPr>
            <w:rStyle w:val="aa"/>
            <w:rFonts w:ascii="宋体" w:hAnsi="宋体" w:hint="eastAsia"/>
            <w:noProof/>
            <w:sz w:val="24"/>
          </w:rPr>
          <w:t>十一、基金的业绩</w:t>
        </w:r>
        <w:r w:rsidRPr="009607E9">
          <w:rPr>
            <w:rFonts w:ascii="宋体" w:hAnsi="宋体"/>
            <w:noProof/>
            <w:sz w:val="24"/>
          </w:rPr>
          <w:tab/>
        </w:r>
        <w:r w:rsidRPr="009607E9">
          <w:rPr>
            <w:rFonts w:ascii="宋体" w:hAnsi="宋体"/>
            <w:noProof/>
            <w:sz w:val="24"/>
          </w:rPr>
          <w:fldChar w:fldCharType="begin"/>
        </w:r>
        <w:r w:rsidRPr="009607E9">
          <w:rPr>
            <w:rFonts w:ascii="宋体" w:hAnsi="宋体"/>
            <w:noProof/>
            <w:sz w:val="24"/>
          </w:rPr>
          <w:instrText xml:space="preserve"> PAGEREF _Toc210145098 \h </w:instrText>
        </w:r>
        <w:r w:rsidRPr="009607E9">
          <w:rPr>
            <w:rFonts w:ascii="宋体" w:hAnsi="宋体"/>
            <w:noProof/>
            <w:sz w:val="24"/>
          </w:rPr>
        </w:r>
        <w:r w:rsidRPr="009607E9">
          <w:rPr>
            <w:rFonts w:ascii="宋体" w:hAnsi="宋体"/>
            <w:noProof/>
            <w:sz w:val="24"/>
          </w:rPr>
          <w:fldChar w:fldCharType="separate"/>
        </w:r>
        <w:r w:rsidRPr="009607E9">
          <w:rPr>
            <w:rFonts w:ascii="宋体" w:hAnsi="宋体"/>
            <w:noProof/>
            <w:sz w:val="24"/>
          </w:rPr>
          <w:t>82</w:t>
        </w:r>
        <w:r w:rsidRPr="009607E9">
          <w:rPr>
            <w:rFonts w:ascii="宋体" w:hAnsi="宋体"/>
            <w:noProof/>
            <w:sz w:val="24"/>
          </w:rPr>
          <w:fldChar w:fldCharType="end"/>
        </w:r>
      </w:hyperlink>
    </w:p>
    <w:p w:rsidR="009607E9" w:rsidRPr="009607E9" w:rsidRDefault="009607E9" w:rsidP="009607E9">
      <w:pPr>
        <w:pStyle w:val="10"/>
        <w:tabs>
          <w:tab w:val="right" w:leader="dot" w:pos="8550"/>
        </w:tabs>
        <w:spacing w:line="360" w:lineRule="auto"/>
        <w:rPr>
          <w:rFonts w:ascii="宋体" w:hAnsi="宋体" w:cstheme="minorBidi"/>
          <w:noProof/>
          <w:sz w:val="24"/>
        </w:rPr>
      </w:pPr>
      <w:hyperlink w:anchor="_Toc210145099" w:history="1">
        <w:r w:rsidRPr="009607E9">
          <w:rPr>
            <w:rStyle w:val="aa"/>
            <w:rFonts w:ascii="宋体" w:hAnsi="宋体" w:hint="eastAsia"/>
            <w:noProof/>
            <w:sz w:val="24"/>
          </w:rPr>
          <w:t>十二、基金的财产</w:t>
        </w:r>
        <w:r w:rsidRPr="009607E9">
          <w:rPr>
            <w:rFonts w:ascii="宋体" w:hAnsi="宋体"/>
            <w:noProof/>
            <w:sz w:val="24"/>
          </w:rPr>
          <w:tab/>
        </w:r>
        <w:r w:rsidRPr="009607E9">
          <w:rPr>
            <w:rFonts w:ascii="宋体" w:hAnsi="宋体"/>
            <w:noProof/>
            <w:sz w:val="24"/>
          </w:rPr>
          <w:fldChar w:fldCharType="begin"/>
        </w:r>
        <w:r w:rsidRPr="009607E9">
          <w:rPr>
            <w:rFonts w:ascii="宋体" w:hAnsi="宋体"/>
            <w:noProof/>
            <w:sz w:val="24"/>
          </w:rPr>
          <w:instrText xml:space="preserve"> PAGEREF _Toc210145099 \h </w:instrText>
        </w:r>
        <w:r w:rsidRPr="009607E9">
          <w:rPr>
            <w:rFonts w:ascii="宋体" w:hAnsi="宋体"/>
            <w:noProof/>
            <w:sz w:val="24"/>
          </w:rPr>
        </w:r>
        <w:r w:rsidRPr="009607E9">
          <w:rPr>
            <w:rFonts w:ascii="宋体" w:hAnsi="宋体"/>
            <w:noProof/>
            <w:sz w:val="24"/>
          </w:rPr>
          <w:fldChar w:fldCharType="separate"/>
        </w:r>
        <w:r w:rsidRPr="009607E9">
          <w:rPr>
            <w:rFonts w:ascii="宋体" w:hAnsi="宋体"/>
            <w:noProof/>
            <w:sz w:val="24"/>
          </w:rPr>
          <w:t>84</w:t>
        </w:r>
        <w:r w:rsidRPr="009607E9">
          <w:rPr>
            <w:rFonts w:ascii="宋体" w:hAnsi="宋体"/>
            <w:noProof/>
            <w:sz w:val="24"/>
          </w:rPr>
          <w:fldChar w:fldCharType="end"/>
        </w:r>
      </w:hyperlink>
    </w:p>
    <w:p w:rsidR="009607E9" w:rsidRPr="009607E9" w:rsidRDefault="009607E9" w:rsidP="009607E9">
      <w:pPr>
        <w:pStyle w:val="10"/>
        <w:tabs>
          <w:tab w:val="right" w:leader="dot" w:pos="8550"/>
        </w:tabs>
        <w:spacing w:line="360" w:lineRule="auto"/>
        <w:rPr>
          <w:rFonts w:ascii="宋体" w:hAnsi="宋体" w:cstheme="minorBidi"/>
          <w:noProof/>
          <w:sz w:val="24"/>
        </w:rPr>
      </w:pPr>
      <w:hyperlink w:anchor="_Toc210145100" w:history="1">
        <w:r w:rsidRPr="009607E9">
          <w:rPr>
            <w:rStyle w:val="aa"/>
            <w:rFonts w:ascii="宋体" w:hAnsi="宋体" w:hint="eastAsia"/>
            <w:noProof/>
            <w:sz w:val="24"/>
          </w:rPr>
          <w:t>十三、基金资产的估值</w:t>
        </w:r>
        <w:r w:rsidRPr="009607E9">
          <w:rPr>
            <w:rFonts w:ascii="宋体" w:hAnsi="宋体"/>
            <w:noProof/>
            <w:sz w:val="24"/>
          </w:rPr>
          <w:tab/>
        </w:r>
        <w:r w:rsidRPr="009607E9">
          <w:rPr>
            <w:rFonts w:ascii="宋体" w:hAnsi="宋体"/>
            <w:noProof/>
            <w:sz w:val="24"/>
          </w:rPr>
          <w:fldChar w:fldCharType="begin"/>
        </w:r>
        <w:r w:rsidRPr="009607E9">
          <w:rPr>
            <w:rFonts w:ascii="宋体" w:hAnsi="宋体"/>
            <w:noProof/>
            <w:sz w:val="24"/>
          </w:rPr>
          <w:instrText xml:space="preserve"> PAGEREF _Toc210145100 \h </w:instrText>
        </w:r>
        <w:r w:rsidRPr="009607E9">
          <w:rPr>
            <w:rFonts w:ascii="宋体" w:hAnsi="宋体"/>
            <w:noProof/>
            <w:sz w:val="24"/>
          </w:rPr>
        </w:r>
        <w:r w:rsidRPr="009607E9">
          <w:rPr>
            <w:rFonts w:ascii="宋体" w:hAnsi="宋体"/>
            <w:noProof/>
            <w:sz w:val="24"/>
          </w:rPr>
          <w:fldChar w:fldCharType="separate"/>
        </w:r>
        <w:r w:rsidRPr="009607E9">
          <w:rPr>
            <w:rFonts w:ascii="宋体" w:hAnsi="宋体"/>
            <w:noProof/>
            <w:sz w:val="24"/>
          </w:rPr>
          <w:t>86</w:t>
        </w:r>
        <w:r w:rsidRPr="009607E9">
          <w:rPr>
            <w:rFonts w:ascii="宋体" w:hAnsi="宋体"/>
            <w:noProof/>
            <w:sz w:val="24"/>
          </w:rPr>
          <w:fldChar w:fldCharType="end"/>
        </w:r>
      </w:hyperlink>
    </w:p>
    <w:p w:rsidR="009607E9" w:rsidRPr="009607E9" w:rsidRDefault="009607E9" w:rsidP="009607E9">
      <w:pPr>
        <w:pStyle w:val="10"/>
        <w:tabs>
          <w:tab w:val="right" w:leader="dot" w:pos="8550"/>
        </w:tabs>
        <w:spacing w:line="360" w:lineRule="auto"/>
        <w:rPr>
          <w:rFonts w:ascii="宋体" w:hAnsi="宋体" w:cstheme="minorBidi"/>
          <w:noProof/>
          <w:sz w:val="24"/>
        </w:rPr>
      </w:pPr>
      <w:hyperlink w:anchor="_Toc210145101" w:history="1">
        <w:r w:rsidRPr="009607E9">
          <w:rPr>
            <w:rStyle w:val="aa"/>
            <w:rFonts w:ascii="宋体" w:hAnsi="宋体" w:hint="eastAsia"/>
            <w:noProof/>
            <w:sz w:val="24"/>
          </w:rPr>
          <w:t>十四、基金的收益与分配</w:t>
        </w:r>
        <w:r w:rsidRPr="009607E9">
          <w:rPr>
            <w:rFonts w:ascii="宋体" w:hAnsi="宋体"/>
            <w:noProof/>
            <w:sz w:val="24"/>
          </w:rPr>
          <w:tab/>
        </w:r>
        <w:r w:rsidRPr="009607E9">
          <w:rPr>
            <w:rFonts w:ascii="宋体" w:hAnsi="宋体"/>
            <w:noProof/>
            <w:sz w:val="24"/>
          </w:rPr>
          <w:fldChar w:fldCharType="begin"/>
        </w:r>
        <w:r w:rsidRPr="009607E9">
          <w:rPr>
            <w:rFonts w:ascii="宋体" w:hAnsi="宋体"/>
            <w:noProof/>
            <w:sz w:val="24"/>
          </w:rPr>
          <w:instrText xml:space="preserve"> PAGEREF _Toc210145101 \h </w:instrText>
        </w:r>
        <w:r w:rsidRPr="009607E9">
          <w:rPr>
            <w:rFonts w:ascii="宋体" w:hAnsi="宋体"/>
            <w:noProof/>
            <w:sz w:val="24"/>
          </w:rPr>
        </w:r>
        <w:r w:rsidRPr="009607E9">
          <w:rPr>
            <w:rFonts w:ascii="宋体" w:hAnsi="宋体"/>
            <w:noProof/>
            <w:sz w:val="24"/>
          </w:rPr>
          <w:fldChar w:fldCharType="separate"/>
        </w:r>
        <w:r w:rsidRPr="009607E9">
          <w:rPr>
            <w:rFonts w:ascii="宋体" w:hAnsi="宋体"/>
            <w:noProof/>
            <w:sz w:val="24"/>
          </w:rPr>
          <w:t>93</w:t>
        </w:r>
        <w:r w:rsidRPr="009607E9">
          <w:rPr>
            <w:rFonts w:ascii="宋体" w:hAnsi="宋体"/>
            <w:noProof/>
            <w:sz w:val="24"/>
          </w:rPr>
          <w:fldChar w:fldCharType="end"/>
        </w:r>
      </w:hyperlink>
    </w:p>
    <w:p w:rsidR="009607E9" w:rsidRPr="009607E9" w:rsidRDefault="009607E9" w:rsidP="009607E9">
      <w:pPr>
        <w:pStyle w:val="10"/>
        <w:tabs>
          <w:tab w:val="right" w:leader="dot" w:pos="8550"/>
        </w:tabs>
        <w:spacing w:line="360" w:lineRule="auto"/>
        <w:rPr>
          <w:rFonts w:ascii="宋体" w:hAnsi="宋体" w:cstheme="minorBidi"/>
          <w:noProof/>
          <w:sz w:val="24"/>
        </w:rPr>
      </w:pPr>
      <w:hyperlink w:anchor="_Toc210145102" w:history="1">
        <w:r w:rsidRPr="009607E9">
          <w:rPr>
            <w:rStyle w:val="aa"/>
            <w:rFonts w:ascii="宋体" w:hAnsi="宋体" w:hint="eastAsia"/>
            <w:noProof/>
            <w:sz w:val="24"/>
          </w:rPr>
          <w:t>十五、基金的费用与税收</w:t>
        </w:r>
        <w:r w:rsidRPr="009607E9">
          <w:rPr>
            <w:rFonts w:ascii="宋体" w:hAnsi="宋体"/>
            <w:noProof/>
            <w:sz w:val="24"/>
          </w:rPr>
          <w:tab/>
        </w:r>
        <w:r w:rsidRPr="009607E9">
          <w:rPr>
            <w:rFonts w:ascii="宋体" w:hAnsi="宋体"/>
            <w:noProof/>
            <w:sz w:val="24"/>
          </w:rPr>
          <w:fldChar w:fldCharType="begin"/>
        </w:r>
        <w:r w:rsidRPr="009607E9">
          <w:rPr>
            <w:rFonts w:ascii="宋体" w:hAnsi="宋体"/>
            <w:noProof/>
            <w:sz w:val="24"/>
          </w:rPr>
          <w:instrText xml:space="preserve"> PAGEREF _Toc210145102 \h </w:instrText>
        </w:r>
        <w:r w:rsidRPr="009607E9">
          <w:rPr>
            <w:rFonts w:ascii="宋体" w:hAnsi="宋体"/>
            <w:noProof/>
            <w:sz w:val="24"/>
          </w:rPr>
        </w:r>
        <w:r w:rsidRPr="009607E9">
          <w:rPr>
            <w:rFonts w:ascii="宋体" w:hAnsi="宋体"/>
            <w:noProof/>
            <w:sz w:val="24"/>
          </w:rPr>
          <w:fldChar w:fldCharType="separate"/>
        </w:r>
        <w:r w:rsidRPr="009607E9">
          <w:rPr>
            <w:rFonts w:ascii="宋体" w:hAnsi="宋体"/>
            <w:noProof/>
            <w:sz w:val="24"/>
          </w:rPr>
          <w:t>95</w:t>
        </w:r>
        <w:r w:rsidRPr="009607E9">
          <w:rPr>
            <w:rFonts w:ascii="宋体" w:hAnsi="宋体"/>
            <w:noProof/>
            <w:sz w:val="24"/>
          </w:rPr>
          <w:fldChar w:fldCharType="end"/>
        </w:r>
      </w:hyperlink>
    </w:p>
    <w:p w:rsidR="009607E9" w:rsidRPr="009607E9" w:rsidRDefault="009607E9" w:rsidP="009607E9">
      <w:pPr>
        <w:pStyle w:val="10"/>
        <w:tabs>
          <w:tab w:val="right" w:leader="dot" w:pos="8550"/>
        </w:tabs>
        <w:spacing w:line="360" w:lineRule="auto"/>
        <w:rPr>
          <w:rFonts w:ascii="宋体" w:hAnsi="宋体" w:cstheme="minorBidi"/>
          <w:noProof/>
          <w:sz w:val="24"/>
        </w:rPr>
      </w:pPr>
      <w:hyperlink w:anchor="_Toc210145103" w:history="1">
        <w:r w:rsidRPr="009607E9">
          <w:rPr>
            <w:rStyle w:val="aa"/>
            <w:rFonts w:ascii="宋体" w:hAnsi="宋体" w:hint="eastAsia"/>
            <w:noProof/>
            <w:sz w:val="24"/>
          </w:rPr>
          <w:t>十六、基金的会计与审计</w:t>
        </w:r>
        <w:r w:rsidRPr="009607E9">
          <w:rPr>
            <w:rFonts w:ascii="宋体" w:hAnsi="宋体"/>
            <w:noProof/>
            <w:sz w:val="24"/>
          </w:rPr>
          <w:tab/>
        </w:r>
        <w:r w:rsidRPr="009607E9">
          <w:rPr>
            <w:rFonts w:ascii="宋体" w:hAnsi="宋体"/>
            <w:noProof/>
            <w:sz w:val="24"/>
          </w:rPr>
          <w:fldChar w:fldCharType="begin"/>
        </w:r>
        <w:r w:rsidRPr="009607E9">
          <w:rPr>
            <w:rFonts w:ascii="宋体" w:hAnsi="宋体"/>
            <w:noProof/>
            <w:sz w:val="24"/>
          </w:rPr>
          <w:instrText xml:space="preserve"> PAGEREF _Toc210145103 \h </w:instrText>
        </w:r>
        <w:r w:rsidRPr="009607E9">
          <w:rPr>
            <w:rFonts w:ascii="宋体" w:hAnsi="宋体"/>
            <w:noProof/>
            <w:sz w:val="24"/>
          </w:rPr>
        </w:r>
        <w:r w:rsidRPr="009607E9">
          <w:rPr>
            <w:rFonts w:ascii="宋体" w:hAnsi="宋体"/>
            <w:noProof/>
            <w:sz w:val="24"/>
          </w:rPr>
          <w:fldChar w:fldCharType="separate"/>
        </w:r>
        <w:r w:rsidRPr="009607E9">
          <w:rPr>
            <w:rFonts w:ascii="宋体" w:hAnsi="宋体"/>
            <w:noProof/>
            <w:sz w:val="24"/>
          </w:rPr>
          <w:t>97</w:t>
        </w:r>
        <w:r w:rsidRPr="009607E9">
          <w:rPr>
            <w:rFonts w:ascii="宋体" w:hAnsi="宋体"/>
            <w:noProof/>
            <w:sz w:val="24"/>
          </w:rPr>
          <w:fldChar w:fldCharType="end"/>
        </w:r>
      </w:hyperlink>
    </w:p>
    <w:p w:rsidR="009607E9" w:rsidRPr="009607E9" w:rsidRDefault="009607E9" w:rsidP="009607E9">
      <w:pPr>
        <w:pStyle w:val="10"/>
        <w:tabs>
          <w:tab w:val="right" w:leader="dot" w:pos="8550"/>
        </w:tabs>
        <w:spacing w:line="360" w:lineRule="auto"/>
        <w:rPr>
          <w:rFonts w:ascii="宋体" w:hAnsi="宋体" w:cstheme="minorBidi"/>
          <w:noProof/>
          <w:sz w:val="24"/>
        </w:rPr>
      </w:pPr>
      <w:hyperlink w:anchor="_Toc210145104" w:history="1">
        <w:r w:rsidRPr="009607E9">
          <w:rPr>
            <w:rStyle w:val="aa"/>
            <w:rFonts w:ascii="宋体" w:hAnsi="宋体" w:hint="eastAsia"/>
            <w:noProof/>
            <w:sz w:val="24"/>
          </w:rPr>
          <w:t>十七、基金的信息披露</w:t>
        </w:r>
        <w:r w:rsidRPr="009607E9">
          <w:rPr>
            <w:rFonts w:ascii="宋体" w:hAnsi="宋体"/>
            <w:noProof/>
            <w:sz w:val="24"/>
          </w:rPr>
          <w:tab/>
        </w:r>
        <w:r w:rsidRPr="009607E9">
          <w:rPr>
            <w:rFonts w:ascii="宋体" w:hAnsi="宋体"/>
            <w:noProof/>
            <w:sz w:val="24"/>
          </w:rPr>
          <w:fldChar w:fldCharType="begin"/>
        </w:r>
        <w:r w:rsidRPr="009607E9">
          <w:rPr>
            <w:rFonts w:ascii="宋体" w:hAnsi="宋体"/>
            <w:noProof/>
            <w:sz w:val="24"/>
          </w:rPr>
          <w:instrText xml:space="preserve"> PAGEREF _Toc210145104 \h </w:instrText>
        </w:r>
        <w:r w:rsidRPr="009607E9">
          <w:rPr>
            <w:rFonts w:ascii="宋体" w:hAnsi="宋体"/>
            <w:noProof/>
            <w:sz w:val="24"/>
          </w:rPr>
        </w:r>
        <w:r w:rsidRPr="009607E9">
          <w:rPr>
            <w:rFonts w:ascii="宋体" w:hAnsi="宋体"/>
            <w:noProof/>
            <w:sz w:val="24"/>
          </w:rPr>
          <w:fldChar w:fldCharType="separate"/>
        </w:r>
        <w:r w:rsidRPr="009607E9">
          <w:rPr>
            <w:rFonts w:ascii="宋体" w:hAnsi="宋体"/>
            <w:noProof/>
            <w:sz w:val="24"/>
          </w:rPr>
          <w:t>98</w:t>
        </w:r>
        <w:r w:rsidRPr="009607E9">
          <w:rPr>
            <w:rFonts w:ascii="宋体" w:hAnsi="宋体"/>
            <w:noProof/>
            <w:sz w:val="24"/>
          </w:rPr>
          <w:fldChar w:fldCharType="end"/>
        </w:r>
      </w:hyperlink>
    </w:p>
    <w:p w:rsidR="009607E9" w:rsidRPr="009607E9" w:rsidRDefault="009607E9" w:rsidP="009607E9">
      <w:pPr>
        <w:pStyle w:val="10"/>
        <w:tabs>
          <w:tab w:val="right" w:leader="dot" w:pos="8550"/>
        </w:tabs>
        <w:spacing w:line="360" w:lineRule="auto"/>
        <w:rPr>
          <w:rFonts w:ascii="宋体" w:hAnsi="宋体" w:cstheme="minorBidi"/>
          <w:noProof/>
          <w:sz w:val="24"/>
        </w:rPr>
      </w:pPr>
      <w:hyperlink w:anchor="_Toc210145105" w:history="1">
        <w:r w:rsidRPr="009607E9">
          <w:rPr>
            <w:rStyle w:val="aa"/>
            <w:rFonts w:ascii="宋体" w:hAnsi="宋体" w:hint="eastAsia"/>
            <w:noProof/>
            <w:sz w:val="24"/>
          </w:rPr>
          <w:t>十八、风险揭示</w:t>
        </w:r>
        <w:r w:rsidRPr="009607E9">
          <w:rPr>
            <w:rFonts w:ascii="宋体" w:hAnsi="宋体"/>
            <w:noProof/>
            <w:sz w:val="24"/>
          </w:rPr>
          <w:tab/>
        </w:r>
        <w:r w:rsidRPr="009607E9">
          <w:rPr>
            <w:rFonts w:ascii="宋体" w:hAnsi="宋体"/>
            <w:noProof/>
            <w:sz w:val="24"/>
          </w:rPr>
          <w:fldChar w:fldCharType="begin"/>
        </w:r>
        <w:r w:rsidRPr="009607E9">
          <w:rPr>
            <w:rFonts w:ascii="宋体" w:hAnsi="宋体"/>
            <w:noProof/>
            <w:sz w:val="24"/>
          </w:rPr>
          <w:instrText xml:space="preserve"> PAGEREF _Toc210145105 \h </w:instrText>
        </w:r>
        <w:r w:rsidRPr="009607E9">
          <w:rPr>
            <w:rFonts w:ascii="宋体" w:hAnsi="宋体"/>
            <w:noProof/>
            <w:sz w:val="24"/>
          </w:rPr>
        </w:r>
        <w:r w:rsidRPr="009607E9">
          <w:rPr>
            <w:rFonts w:ascii="宋体" w:hAnsi="宋体"/>
            <w:noProof/>
            <w:sz w:val="24"/>
          </w:rPr>
          <w:fldChar w:fldCharType="separate"/>
        </w:r>
        <w:r w:rsidRPr="009607E9">
          <w:rPr>
            <w:rFonts w:ascii="宋体" w:hAnsi="宋体"/>
            <w:noProof/>
            <w:sz w:val="24"/>
          </w:rPr>
          <w:t>104</w:t>
        </w:r>
        <w:r w:rsidRPr="009607E9">
          <w:rPr>
            <w:rFonts w:ascii="宋体" w:hAnsi="宋体"/>
            <w:noProof/>
            <w:sz w:val="24"/>
          </w:rPr>
          <w:fldChar w:fldCharType="end"/>
        </w:r>
      </w:hyperlink>
    </w:p>
    <w:p w:rsidR="009607E9" w:rsidRPr="009607E9" w:rsidRDefault="009607E9" w:rsidP="009607E9">
      <w:pPr>
        <w:pStyle w:val="10"/>
        <w:tabs>
          <w:tab w:val="right" w:leader="dot" w:pos="8550"/>
        </w:tabs>
        <w:spacing w:line="360" w:lineRule="auto"/>
        <w:rPr>
          <w:rFonts w:ascii="宋体" w:hAnsi="宋体" w:cstheme="minorBidi"/>
          <w:noProof/>
          <w:sz w:val="24"/>
        </w:rPr>
      </w:pPr>
      <w:hyperlink w:anchor="_Toc210145106" w:history="1">
        <w:r w:rsidRPr="009607E9">
          <w:rPr>
            <w:rStyle w:val="aa"/>
            <w:rFonts w:ascii="宋体" w:hAnsi="宋体" w:hint="eastAsia"/>
            <w:noProof/>
            <w:sz w:val="24"/>
          </w:rPr>
          <w:t>十九、基金合同的终止与基金财产的清算</w:t>
        </w:r>
        <w:r w:rsidRPr="009607E9">
          <w:rPr>
            <w:rFonts w:ascii="宋体" w:hAnsi="宋体"/>
            <w:noProof/>
            <w:sz w:val="24"/>
          </w:rPr>
          <w:tab/>
        </w:r>
        <w:r w:rsidRPr="009607E9">
          <w:rPr>
            <w:rFonts w:ascii="宋体" w:hAnsi="宋体"/>
            <w:noProof/>
            <w:sz w:val="24"/>
          </w:rPr>
          <w:fldChar w:fldCharType="begin"/>
        </w:r>
        <w:r w:rsidRPr="009607E9">
          <w:rPr>
            <w:rFonts w:ascii="宋体" w:hAnsi="宋体"/>
            <w:noProof/>
            <w:sz w:val="24"/>
          </w:rPr>
          <w:instrText xml:space="preserve"> PAGEREF _Toc210145106 \h </w:instrText>
        </w:r>
        <w:r w:rsidRPr="009607E9">
          <w:rPr>
            <w:rFonts w:ascii="宋体" w:hAnsi="宋体"/>
            <w:noProof/>
            <w:sz w:val="24"/>
          </w:rPr>
        </w:r>
        <w:r w:rsidRPr="009607E9">
          <w:rPr>
            <w:rFonts w:ascii="宋体" w:hAnsi="宋体"/>
            <w:noProof/>
            <w:sz w:val="24"/>
          </w:rPr>
          <w:fldChar w:fldCharType="separate"/>
        </w:r>
        <w:r w:rsidRPr="009607E9">
          <w:rPr>
            <w:rFonts w:ascii="宋体" w:hAnsi="宋体"/>
            <w:noProof/>
            <w:sz w:val="24"/>
          </w:rPr>
          <w:t>112</w:t>
        </w:r>
        <w:r w:rsidRPr="009607E9">
          <w:rPr>
            <w:rFonts w:ascii="宋体" w:hAnsi="宋体"/>
            <w:noProof/>
            <w:sz w:val="24"/>
          </w:rPr>
          <w:fldChar w:fldCharType="end"/>
        </w:r>
      </w:hyperlink>
    </w:p>
    <w:p w:rsidR="009607E9" w:rsidRPr="009607E9" w:rsidRDefault="009607E9" w:rsidP="009607E9">
      <w:pPr>
        <w:pStyle w:val="10"/>
        <w:tabs>
          <w:tab w:val="right" w:leader="dot" w:pos="8550"/>
        </w:tabs>
        <w:spacing w:line="360" w:lineRule="auto"/>
        <w:rPr>
          <w:rFonts w:ascii="宋体" w:hAnsi="宋体" w:cstheme="minorBidi"/>
          <w:noProof/>
          <w:sz w:val="24"/>
        </w:rPr>
      </w:pPr>
      <w:hyperlink w:anchor="_Toc210145107" w:history="1">
        <w:r w:rsidRPr="009607E9">
          <w:rPr>
            <w:rStyle w:val="aa"/>
            <w:rFonts w:ascii="宋体" w:hAnsi="宋体" w:hint="eastAsia"/>
            <w:noProof/>
            <w:sz w:val="24"/>
          </w:rPr>
          <w:t>二十、基金合同内容摘要</w:t>
        </w:r>
        <w:r w:rsidRPr="009607E9">
          <w:rPr>
            <w:rFonts w:ascii="宋体" w:hAnsi="宋体"/>
            <w:noProof/>
            <w:sz w:val="24"/>
          </w:rPr>
          <w:tab/>
        </w:r>
        <w:r w:rsidRPr="009607E9">
          <w:rPr>
            <w:rFonts w:ascii="宋体" w:hAnsi="宋体"/>
            <w:noProof/>
            <w:sz w:val="24"/>
          </w:rPr>
          <w:fldChar w:fldCharType="begin"/>
        </w:r>
        <w:r w:rsidRPr="009607E9">
          <w:rPr>
            <w:rFonts w:ascii="宋体" w:hAnsi="宋体"/>
            <w:noProof/>
            <w:sz w:val="24"/>
          </w:rPr>
          <w:instrText xml:space="preserve"> PAGEREF _Toc210145107 \h </w:instrText>
        </w:r>
        <w:r w:rsidRPr="009607E9">
          <w:rPr>
            <w:rFonts w:ascii="宋体" w:hAnsi="宋体"/>
            <w:noProof/>
            <w:sz w:val="24"/>
          </w:rPr>
        </w:r>
        <w:r w:rsidRPr="009607E9">
          <w:rPr>
            <w:rFonts w:ascii="宋体" w:hAnsi="宋体"/>
            <w:noProof/>
            <w:sz w:val="24"/>
          </w:rPr>
          <w:fldChar w:fldCharType="separate"/>
        </w:r>
        <w:r w:rsidRPr="009607E9">
          <w:rPr>
            <w:rFonts w:ascii="宋体" w:hAnsi="宋体"/>
            <w:noProof/>
            <w:sz w:val="24"/>
          </w:rPr>
          <w:t>114</w:t>
        </w:r>
        <w:r w:rsidRPr="009607E9">
          <w:rPr>
            <w:rFonts w:ascii="宋体" w:hAnsi="宋体"/>
            <w:noProof/>
            <w:sz w:val="24"/>
          </w:rPr>
          <w:fldChar w:fldCharType="end"/>
        </w:r>
      </w:hyperlink>
    </w:p>
    <w:p w:rsidR="009607E9" w:rsidRPr="009607E9" w:rsidRDefault="009607E9" w:rsidP="009607E9">
      <w:pPr>
        <w:pStyle w:val="10"/>
        <w:tabs>
          <w:tab w:val="right" w:leader="dot" w:pos="8550"/>
        </w:tabs>
        <w:spacing w:line="360" w:lineRule="auto"/>
        <w:rPr>
          <w:rFonts w:ascii="宋体" w:hAnsi="宋体" w:cstheme="minorBidi"/>
          <w:noProof/>
          <w:sz w:val="24"/>
        </w:rPr>
      </w:pPr>
      <w:hyperlink w:anchor="_Toc210145108" w:history="1">
        <w:r w:rsidRPr="009607E9">
          <w:rPr>
            <w:rStyle w:val="aa"/>
            <w:rFonts w:ascii="宋体" w:hAnsi="宋体" w:hint="eastAsia"/>
            <w:noProof/>
            <w:sz w:val="24"/>
          </w:rPr>
          <w:t>二十一、托管协议的内容摘要</w:t>
        </w:r>
        <w:r w:rsidRPr="009607E9">
          <w:rPr>
            <w:rFonts w:ascii="宋体" w:hAnsi="宋体"/>
            <w:noProof/>
            <w:sz w:val="24"/>
          </w:rPr>
          <w:tab/>
        </w:r>
        <w:r w:rsidRPr="009607E9">
          <w:rPr>
            <w:rFonts w:ascii="宋体" w:hAnsi="宋体"/>
            <w:noProof/>
            <w:sz w:val="24"/>
          </w:rPr>
          <w:fldChar w:fldCharType="begin"/>
        </w:r>
        <w:r w:rsidRPr="009607E9">
          <w:rPr>
            <w:rFonts w:ascii="宋体" w:hAnsi="宋体"/>
            <w:noProof/>
            <w:sz w:val="24"/>
          </w:rPr>
          <w:instrText xml:space="preserve"> PAGEREF _Toc210145108 \h </w:instrText>
        </w:r>
        <w:r w:rsidRPr="009607E9">
          <w:rPr>
            <w:rFonts w:ascii="宋体" w:hAnsi="宋体"/>
            <w:noProof/>
            <w:sz w:val="24"/>
          </w:rPr>
        </w:r>
        <w:r w:rsidRPr="009607E9">
          <w:rPr>
            <w:rFonts w:ascii="宋体" w:hAnsi="宋体"/>
            <w:noProof/>
            <w:sz w:val="24"/>
          </w:rPr>
          <w:fldChar w:fldCharType="separate"/>
        </w:r>
        <w:r w:rsidRPr="009607E9">
          <w:rPr>
            <w:rFonts w:ascii="宋体" w:hAnsi="宋体"/>
            <w:noProof/>
            <w:sz w:val="24"/>
          </w:rPr>
          <w:t>129</w:t>
        </w:r>
        <w:r w:rsidRPr="009607E9">
          <w:rPr>
            <w:rFonts w:ascii="宋体" w:hAnsi="宋体"/>
            <w:noProof/>
            <w:sz w:val="24"/>
          </w:rPr>
          <w:fldChar w:fldCharType="end"/>
        </w:r>
      </w:hyperlink>
    </w:p>
    <w:p w:rsidR="009607E9" w:rsidRPr="009607E9" w:rsidRDefault="009607E9" w:rsidP="009607E9">
      <w:pPr>
        <w:pStyle w:val="10"/>
        <w:tabs>
          <w:tab w:val="right" w:leader="dot" w:pos="8550"/>
        </w:tabs>
        <w:spacing w:line="360" w:lineRule="auto"/>
        <w:rPr>
          <w:rFonts w:ascii="宋体" w:hAnsi="宋体" w:cstheme="minorBidi"/>
          <w:noProof/>
          <w:sz w:val="24"/>
        </w:rPr>
      </w:pPr>
      <w:hyperlink w:anchor="_Toc210145109" w:history="1">
        <w:r w:rsidRPr="009607E9">
          <w:rPr>
            <w:rStyle w:val="aa"/>
            <w:rFonts w:ascii="宋体" w:hAnsi="宋体" w:hint="eastAsia"/>
            <w:noProof/>
            <w:sz w:val="24"/>
          </w:rPr>
          <w:t>二十二、对基金份额持有人的服务</w:t>
        </w:r>
        <w:r w:rsidRPr="009607E9">
          <w:rPr>
            <w:rFonts w:ascii="宋体" w:hAnsi="宋体"/>
            <w:noProof/>
            <w:sz w:val="24"/>
          </w:rPr>
          <w:tab/>
        </w:r>
        <w:r w:rsidRPr="009607E9">
          <w:rPr>
            <w:rFonts w:ascii="宋体" w:hAnsi="宋体"/>
            <w:noProof/>
            <w:sz w:val="24"/>
          </w:rPr>
          <w:fldChar w:fldCharType="begin"/>
        </w:r>
        <w:r w:rsidRPr="009607E9">
          <w:rPr>
            <w:rFonts w:ascii="宋体" w:hAnsi="宋体"/>
            <w:noProof/>
            <w:sz w:val="24"/>
          </w:rPr>
          <w:instrText xml:space="preserve"> PAGEREF _Toc210145109 \h </w:instrText>
        </w:r>
        <w:r w:rsidRPr="009607E9">
          <w:rPr>
            <w:rFonts w:ascii="宋体" w:hAnsi="宋体"/>
            <w:noProof/>
            <w:sz w:val="24"/>
          </w:rPr>
        </w:r>
        <w:r w:rsidRPr="009607E9">
          <w:rPr>
            <w:rFonts w:ascii="宋体" w:hAnsi="宋体"/>
            <w:noProof/>
            <w:sz w:val="24"/>
          </w:rPr>
          <w:fldChar w:fldCharType="separate"/>
        </w:r>
        <w:r w:rsidRPr="009607E9">
          <w:rPr>
            <w:rFonts w:ascii="宋体" w:hAnsi="宋体"/>
            <w:noProof/>
            <w:sz w:val="24"/>
          </w:rPr>
          <w:t>144</w:t>
        </w:r>
        <w:r w:rsidRPr="009607E9">
          <w:rPr>
            <w:rFonts w:ascii="宋体" w:hAnsi="宋体"/>
            <w:noProof/>
            <w:sz w:val="24"/>
          </w:rPr>
          <w:fldChar w:fldCharType="end"/>
        </w:r>
      </w:hyperlink>
    </w:p>
    <w:p w:rsidR="009607E9" w:rsidRPr="009607E9" w:rsidRDefault="009607E9" w:rsidP="009607E9">
      <w:pPr>
        <w:pStyle w:val="10"/>
        <w:tabs>
          <w:tab w:val="right" w:leader="dot" w:pos="8550"/>
        </w:tabs>
        <w:spacing w:line="360" w:lineRule="auto"/>
        <w:rPr>
          <w:rFonts w:ascii="宋体" w:hAnsi="宋体" w:cstheme="minorBidi"/>
          <w:noProof/>
          <w:sz w:val="24"/>
        </w:rPr>
      </w:pPr>
      <w:hyperlink w:anchor="_Toc210145110" w:history="1">
        <w:r w:rsidRPr="009607E9">
          <w:rPr>
            <w:rStyle w:val="aa"/>
            <w:rFonts w:ascii="宋体" w:hAnsi="宋体" w:hint="eastAsia"/>
            <w:noProof/>
            <w:sz w:val="24"/>
          </w:rPr>
          <w:t>二十三、其他应披露事项</w:t>
        </w:r>
        <w:r w:rsidRPr="009607E9">
          <w:rPr>
            <w:rFonts w:ascii="宋体" w:hAnsi="宋体"/>
            <w:noProof/>
            <w:sz w:val="24"/>
          </w:rPr>
          <w:tab/>
        </w:r>
        <w:r w:rsidRPr="009607E9">
          <w:rPr>
            <w:rFonts w:ascii="宋体" w:hAnsi="宋体"/>
            <w:noProof/>
            <w:sz w:val="24"/>
          </w:rPr>
          <w:fldChar w:fldCharType="begin"/>
        </w:r>
        <w:r w:rsidRPr="009607E9">
          <w:rPr>
            <w:rFonts w:ascii="宋体" w:hAnsi="宋体"/>
            <w:noProof/>
            <w:sz w:val="24"/>
          </w:rPr>
          <w:instrText xml:space="preserve"> PAGEREF _Toc210145110 \h </w:instrText>
        </w:r>
        <w:r w:rsidRPr="009607E9">
          <w:rPr>
            <w:rFonts w:ascii="宋体" w:hAnsi="宋体"/>
            <w:noProof/>
            <w:sz w:val="24"/>
          </w:rPr>
        </w:r>
        <w:r w:rsidRPr="009607E9">
          <w:rPr>
            <w:rFonts w:ascii="宋体" w:hAnsi="宋体"/>
            <w:noProof/>
            <w:sz w:val="24"/>
          </w:rPr>
          <w:fldChar w:fldCharType="separate"/>
        </w:r>
        <w:r w:rsidRPr="009607E9">
          <w:rPr>
            <w:rFonts w:ascii="宋体" w:hAnsi="宋体"/>
            <w:noProof/>
            <w:sz w:val="24"/>
          </w:rPr>
          <w:t>146</w:t>
        </w:r>
        <w:r w:rsidRPr="009607E9">
          <w:rPr>
            <w:rFonts w:ascii="宋体" w:hAnsi="宋体"/>
            <w:noProof/>
            <w:sz w:val="24"/>
          </w:rPr>
          <w:fldChar w:fldCharType="end"/>
        </w:r>
      </w:hyperlink>
    </w:p>
    <w:p w:rsidR="009607E9" w:rsidRPr="009607E9" w:rsidRDefault="009607E9" w:rsidP="009607E9">
      <w:pPr>
        <w:pStyle w:val="10"/>
        <w:tabs>
          <w:tab w:val="right" w:leader="dot" w:pos="8550"/>
        </w:tabs>
        <w:spacing w:line="360" w:lineRule="auto"/>
        <w:rPr>
          <w:rFonts w:ascii="宋体" w:hAnsi="宋体" w:cstheme="minorBidi"/>
          <w:noProof/>
          <w:sz w:val="24"/>
        </w:rPr>
      </w:pPr>
      <w:hyperlink w:anchor="_Toc210145111" w:history="1">
        <w:r w:rsidRPr="009607E9">
          <w:rPr>
            <w:rStyle w:val="aa"/>
            <w:rFonts w:ascii="宋体" w:hAnsi="宋体" w:hint="eastAsia"/>
            <w:noProof/>
            <w:sz w:val="24"/>
          </w:rPr>
          <w:t>二十四、招募说明书的存放及查阅方式</w:t>
        </w:r>
        <w:r w:rsidRPr="009607E9">
          <w:rPr>
            <w:rFonts w:ascii="宋体" w:hAnsi="宋体"/>
            <w:noProof/>
            <w:sz w:val="24"/>
          </w:rPr>
          <w:tab/>
        </w:r>
        <w:r w:rsidRPr="009607E9">
          <w:rPr>
            <w:rFonts w:ascii="宋体" w:hAnsi="宋体"/>
            <w:noProof/>
            <w:sz w:val="24"/>
          </w:rPr>
          <w:fldChar w:fldCharType="begin"/>
        </w:r>
        <w:r w:rsidRPr="009607E9">
          <w:rPr>
            <w:rFonts w:ascii="宋体" w:hAnsi="宋体"/>
            <w:noProof/>
            <w:sz w:val="24"/>
          </w:rPr>
          <w:instrText xml:space="preserve"> PAGEREF _Toc210145111 \h </w:instrText>
        </w:r>
        <w:r w:rsidRPr="009607E9">
          <w:rPr>
            <w:rFonts w:ascii="宋体" w:hAnsi="宋体"/>
            <w:noProof/>
            <w:sz w:val="24"/>
          </w:rPr>
        </w:r>
        <w:r w:rsidRPr="009607E9">
          <w:rPr>
            <w:rFonts w:ascii="宋体" w:hAnsi="宋体"/>
            <w:noProof/>
            <w:sz w:val="24"/>
          </w:rPr>
          <w:fldChar w:fldCharType="separate"/>
        </w:r>
        <w:r w:rsidRPr="009607E9">
          <w:rPr>
            <w:rFonts w:ascii="宋体" w:hAnsi="宋体"/>
            <w:noProof/>
            <w:sz w:val="24"/>
          </w:rPr>
          <w:t>149</w:t>
        </w:r>
        <w:r w:rsidRPr="009607E9">
          <w:rPr>
            <w:rFonts w:ascii="宋体" w:hAnsi="宋体"/>
            <w:noProof/>
            <w:sz w:val="24"/>
          </w:rPr>
          <w:fldChar w:fldCharType="end"/>
        </w:r>
      </w:hyperlink>
    </w:p>
    <w:p w:rsidR="009607E9" w:rsidRPr="009607E9" w:rsidRDefault="009607E9" w:rsidP="009607E9">
      <w:pPr>
        <w:pStyle w:val="10"/>
        <w:tabs>
          <w:tab w:val="right" w:leader="dot" w:pos="8550"/>
        </w:tabs>
        <w:spacing w:line="360" w:lineRule="auto"/>
        <w:rPr>
          <w:rFonts w:ascii="宋体" w:hAnsi="宋体" w:cstheme="minorBidi"/>
          <w:noProof/>
          <w:sz w:val="24"/>
        </w:rPr>
      </w:pPr>
      <w:hyperlink w:anchor="_Toc210145112" w:history="1">
        <w:r w:rsidRPr="009607E9">
          <w:rPr>
            <w:rStyle w:val="aa"/>
            <w:rFonts w:ascii="宋体" w:hAnsi="宋体" w:hint="eastAsia"/>
            <w:noProof/>
            <w:sz w:val="24"/>
          </w:rPr>
          <w:t>二十五、备查文件</w:t>
        </w:r>
        <w:r w:rsidRPr="009607E9">
          <w:rPr>
            <w:rFonts w:ascii="宋体" w:hAnsi="宋体"/>
            <w:noProof/>
            <w:sz w:val="24"/>
          </w:rPr>
          <w:tab/>
        </w:r>
        <w:r w:rsidRPr="009607E9">
          <w:rPr>
            <w:rFonts w:ascii="宋体" w:hAnsi="宋体"/>
            <w:noProof/>
            <w:sz w:val="24"/>
          </w:rPr>
          <w:fldChar w:fldCharType="begin"/>
        </w:r>
        <w:r w:rsidRPr="009607E9">
          <w:rPr>
            <w:rFonts w:ascii="宋体" w:hAnsi="宋体"/>
            <w:noProof/>
            <w:sz w:val="24"/>
          </w:rPr>
          <w:instrText xml:space="preserve"> PAGEREF _Toc210145112 \h </w:instrText>
        </w:r>
        <w:r w:rsidRPr="009607E9">
          <w:rPr>
            <w:rFonts w:ascii="宋体" w:hAnsi="宋体"/>
            <w:noProof/>
            <w:sz w:val="24"/>
          </w:rPr>
        </w:r>
        <w:r w:rsidRPr="009607E9">
          <w:rPr>
            <w:rFonts w:ascii="宋体" w:hAnsi="宋体"/>
            <w:noProof/>
            <w:sz w:val="24"/>
          </w:rPr>
          <w:fldChar w:fldCharType="separate"/>
        </w:r>
        <w:r w:rsidRPr="009607E9">
          <w:rPr>
            <w:rFonts w:ascii="宋体" w:hAnsi="宋体"/>
            <w:noProof/>
            <w:sz w:val="24"/>
          </w:rPr>
          <w:t>150</w:t>
        </w:r>
        <w:r w:rsidRPr="009607E9">
          <w:rPr>
            <w:rFonts w:ascii="宋体" w:hAnsi="宋体"/>
            <w:noProof/>
            <w:sz w:val="24"/>
          </w:rPr>
          <w:fldChar w:fldCharType="end"/>
        </w:r>
      </w:hyperlink>
    </w:p>
    <w:p w:rsidR="0018298E" w:rsidRPr="009607E9" w:rsidRDefault="009607E9" w:rsidP="009607E9">
      <w:pPr>
        <w:pStyle w:val="ad"/>
        <w:snapToGrid w:val="0"/>
        <w:spacing w:after="240" w:line="360" w:lineRule="auto"/>
        <w:jc w:val="center"/>
        <w:rPr>
          <w:rFonts w:ascii="宋体" w:hAnsi="宋体"/>
          <w:color w:val="000000"/>
          <w:sz w:val="24"/>
        </w:rPr>
      </w:pPr>
      <w:r w:rsidRPr="009607E9">
        <w:rPr>
          <w:rFonts w:ascii="宋体" w:hAnsi="宋体"/>
          <w:color w:val="000000"/>
          <w:position w:val="-4"/>
          <w:sz w:val="24"/>
          <w:szCs w:val="30"/>
        </w:rPr>
        <w:fldChar w:fldCharType="end"/>
      </w:r>
      <w:bookmarkStart w:id="3" w:name="_GoBack"/>
      <w:bookmarkEnd w:id="3"/>
    </w:p>
    <w:p w:rsidR="0018298E" w:rsidRDefault="0018298E">
      <w:pPr>
        <w:autoSpaceDE w:val="0"/>
        <w:autoSpaceDN w:val="0"/>
        <w:adjustRightInd w:val="0"/>
        <w:snapToGrid w:val="0"/>
        <w:spacing w:line="360" w:lineRule="auto"/>
        <w:ind w:left="120" w:rightChars="6" w:right="13"/>
        <w:rPr>
          <w:rFonts w:ascii="宋体" w:hAnsi="宋体"/>
          <w:kern w:val="0"/>
          <w:szCs w:val="24"/>
        </w:rPr>
        <w:sectPr w:rsidR="0018298E">
          <w:pgSz w:w="11920" w:h="16840"/>
          <w:pgMar w:top="1480" w:right="1680" w:bottom="280" w:left="1680" w:header="0" w:footer="1073" w:gutter="0"/>
          <w:cols w:space="720"/>
        </w:sectPr>
      </w:pPr>
    </w:p>
    <w:p w:rsidR="0018298E" w:rsidRDefault="00755277">
      <w:pPr>
        <w:pStyle w:val="1"/>
        <w:snapToGrid w:val="0"/>
        <w:spacing w:beforeLines="0" w:before="240" w:after="240"/>
        <w:rPr>
          <w:rFonts w:ascii="宋体" w:hAnsi="宋体"/>
          <w:szCs w:val="30"/>
        </w:rPr>
      </w:pPr>
      <w:bookmarkStart w:id="4" w:name="_Toc210145088"/>
      <w:r>
        <w:rPr>
          <w:rFonts w:ascii="Times New Roman" w:hAnsi="Times New Roman"/>
          <w:sz w:val="30"/>
        </w:rPr>
        <w:lastRenderedPageBreak/>
        <w:t>一、绪言</w:t>
      </w:r>
      <w:bookmarkEnd w:id="4"/>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上证180公司治理交易型开放式指数证券投资基金联接基金招募说明书》（以下简称“本招募说明书”）依据《中华人民共和国证券投资基金法》、《证券投资基金运作管理办法》、《证券投资基金销售管理办法》、《公开募集证券投资基金信息披露管理办法》、《公开募集开放式证券投资基金流动性风险管理规定》（以下简称“《流动性规定》”）、《公开募集证券投资基金运作指引第3号——指数基金指引》（以下简称“《指数基金指引》”）和其他相关法律法规的规定以及《交银施罗德上证180公司治理交易型开放式指数证券投资基金联接基金基金合同》（以下简称“基金合同”）编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核准。基金合同是约定基金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金合同。</w:t>
      </w:r>
    </w:p>
    <w:p w:rsidR="00B439CC" w:rsidRDefault="0075527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8298E" w:rsidRDefault="00755277">
      <w:pPr>
        <w:pStyle w:val="1"/>
        <w:snapToGrid w:val="0"/>
        <w:spacing w:beforeLines="0" w:before="240" w:after="240"/>
        <w:rPr>
          <w:rFonts w:ascii="宋体" w:hAnsi="宋体"/>
          <w:szCs w:val="30"/>
        </w:rPr>
      </w:pPr>
      <w:bookmarkStart w:id="5" w:name="_Toc210145089"/>
      <w:r>
        <w:rPr>
          <w:rFonts w:ascii="Times New Roman" w:hAnsi="Times New Roman"/>
          <w:sz w:val="30"/>
        </w:rPr>
        <w:lastRenderedPageBreak/>
        <w:t>二、释义</w:t>
      </w:r>
      <w:bookmarkEnd w:id="5"/>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1、基金或本基金：指交银施罗德上证180公司治理交易型开放式指数证券投资基金联接基金</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3、基金托管人：指中国农业银行股份有限公司（以下简称“中国农业银行”）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4、基金合同：指《交银施罗德上证180公司治理交易型开放式指数证券投资基金联接基金基金合同》及对基金合同的任何有效修订和补充</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5、托管协议：指基金管理人与基金托管人就本基金签订之《交银施罗德上证180公司治理交易型开放式指数证券投资基金联接基金托管协议》及对该托管协议的任何有效修订和补充</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6、招募说明书：指《交银施罗德上证180公司治理交易型开放式指数证券投资基金联接基金招募说明书》，及其更新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7、基金份额发售公告：指《交银施罗德上证180公司治理交易型开放式指数证券投资基金联接基金份额发售公告》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8、基金产品资料概要：指《交银施罗德上证180公司治理交易型开放式指数证券投资基金联接基金基金产品资料概要》及其更新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9、法律法规：指中国现行有效并公布实施的法律、行政法规、司法解释、部门规章、地方性法规、地方政府规章及其他对基金合同当事人有约束力的规范性文件及对该等法律法规不时作出的修订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10、《证券法》： 指2005年10月27日经第十届全国人民代表大会常务委员会第十八次会议通过，自2006年1月1日实施的《中华人民共和国证券法》及颁布机关对其不时做出的修订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11、《基金法》：指2003年10月28日经第十届全国人民代表大会常务委员会第五次会议通过，自2004年6月1日起实施的《中华人民共和国证券投资基金法》及颁布机关对其不时作出的修订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12、《销售办法》：指中国证监会2011年6月9日颁布、同年10月1日实施的《证券投资基金销售管理办法》及对其不时作出的修订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13、《信息披露办法》：指中国证监会2019年7月26日颁布、同年9月1日实施的《公开募集证券投资基金信息披露管理办法》及对其不时作出的修订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14、《运作办法》：指中国证监会2004年6月29日颁布、同年7月1日实施的《证券投资基金运作管理办法》及对其不时作出的修订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15、《流动性规定》：指中国证监会2017年8月31日颁布、同年10月1日实施的《公开募集开放式证券投资基金流动性风险管理规定》及颁布机关对其不时做出的修订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16、《指数基金指引》：指中国证监会2021年1月22日颁布、同年2月1日实施的《公开募集证券投资基金运作指引第3号——指数基金指引》及颁布机关对其不时做出的修订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17、中国：指中华人民共和国，就基金合同而言，不包括香港特别行政区、澳门特别行政区和台湾地区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18、中国证监会：指中国证券监督管理委员会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19、银行业监督管理机构：指中国银行业监督管理委员会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20、基金合同当事人：指受基金合同约束，根据基金合同享有权利并承担义务的法律主体，包括基金管理人、基金托管人和基金份额持有人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21、个人投资者：指符合法律法规规定的条件可以投资证券投资基金的自然人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22、机构投资者：指符合法律法规规定可以投资证券投资基金的在中华人民共和国注册登记或经政府有关部门批准设立的机构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23、合格境外机构投资者：指符合《合格境外机构投资者境内证券投资管理办法》及其他相关法律法规的可投资于中国境内证券的中国境外的机构投资者</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24、基金投资者或投资者：指个人投资者、机构投资者和合格境外机构投资者的合称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25、基金份额持有人：指依基金合同和招募说明书合法取得基金份额的基金投资者</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26、基金销售业务：指基金管理人或代销机构宣传推介基金，办理基金份额的认购、申购、赎回、转换、非交易过户、转托管及定期定额投资等业务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27、销售机构：指直销机构和代销机构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28、直销机构：指交银施罗德基金管理有限公司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29、代销机构：指符合《销售办法》和中国证监会规定的其他条件，取得基金</w:t>
      </w:r>
      <w:r>
        <w:rPr>
          <w:rFonts w:ascii="宋体" w:hAnsi="宋体"/>
          <w:sz w:val="24"/>
        </w:rPr>
        <w:lastRenderedPageBreak/>
        <w:t>代销业务资格并与基金管理人签订了基金销售服务代理协议，代为办理基金销售业务的机构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30、基金销售网点：指直销机构的直销中心及代销机构的代销网点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注册登记业务：指基金登记、存管、过户、清算和结算业务，具体内容包括基金投资者基金账户的建立和管理、基金份额注册登记、基金销售业务的确认、清算和结算、代理发放红利、建立并保管基金份额持有人名册等</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32、注册登记机构：指办理注册登记业务的机构。基金的注册登记机构为交银施罗德基金管理有限公司或接受交银施罗德基金管理有限公司委托代为办理注册登记业务的机构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33、基金账户：指注册登记机构为基金投资者开立的、记录其持有的、基金管理人所管理的基金份额余额及其变动情况的账户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34、基金交易账户：指销售机构为基金投资者开立的、记录基金投资者通过该销售机构买卖基金份额的变动及结余情况的账户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35、基金合同生效日：指基金募集期结束后达到法律法规规定及基金合同约定的备案条件，基金管理人聘请法定机构验资并向中国证监会办理基金备案手续完毕，并收到其书面确认的日期</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36、基金合同终止日：指基金合同规定的基金合同终止事由出现后，基金财产清算完毕，清算结果报中国证监会备案并予以公告的日期</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目标ETF：指另一获中国证监会核准的交易型开放式指数证券投资基金（简称ETF），该ETF和本基金所跟踪的标的指数相同，并且，该ETF的投资目标和本基金的投资目标类似，本基金主要投资于该ETF以求达到投资目标。发售时，本基金选择上证180公司治理交易型开放式指数证券投资基金为目标ETF</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38、ETF联接基金：指将绝大多数基金财产投资于跟踪同一标的指数的目标ETF，紧密跟踪标的指数表现，追求跟踪偏离度和跟踪误差最小化，采用开放式运作的基金，本基金是联接其所投资的目标ETF的ETF联接基金</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39、基金募集期：指自基金份额发售之日起至发售结束之日止的期间，最长不得超过3个月</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40、存续期：指基金合同生效至终止之间的不定期期限</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41、工作日：指上海证券交易所、深圳证券交易所的正常交易日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42、日：指公历日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43、月：指公历月</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44、T日：指销售机构在规定时间受理基金投资者有效业务申请的工作日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45、T+n日：指自T日起第n个工作日(不包含T日)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46、开放日：指为基金投资者办理基金份额申购、赎回或其他业务的工作日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47、交易时间：指开放日基金接受申购、赎回或其他交易的时间段</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48、《业务规则》：指《交银施罗德基金管理有限公司开放式基金业务规则》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49、认购：指在基金募集期间，基金投资者申请购买本基金基金份额的行为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50、申购：指在基金存续期内，基金投资者申请购买本基金基金份额的行为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51、赎回：指在基金存续期内，基金份额持有人按基金合同规定的条件，要求卖回本基金基金份额的行为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52、标的指数：指上海证券交易所编制并发布的上证180公司治理指数及其未来可能发生的变更</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53、基金转换：指基金份额持有人按照基金合同和基金管理人届时的公告，在本基金基金份额与基金管理人管理的，且由同一注册登记机构办理登记结算的其他基金基金份额间进行的转换行为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54、转托管：指基金份额持有人在本基金的不同销售机构之间实施变更所持基金份额销售机构的操作</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定期定额投资计划：指投资者通过向有关销售机构提交申请，约定每期申购日、扣款金额及扣款方式，由指定的销售机构在投资者指定资金账户内自动扣款并于每期约定申购日提交基金申购申请的一种投资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56、巨额赎回：本基金单个开放日，基金净赎回申请(赎回申请份额总数加上基金转换中转出申请份额总数后扣除申购申请份额总数及基金转换中转入申请份额总数后的余额)超过上一日基金总份额的10%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57、元：指人民币元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58、基金利润：指基金投资所得红利、股息、债券利息、买卖证券价差、投资目标ETF份额所得收益、银行存款利息、已实现的其他合法收入及因运用基金财产带来的成本和费用的节约</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59、基金资产总值：指基金拥有的包括目标ETF份额在内的各类有价证券、银行存款本息、基金应收申购款及其他资产的价值总和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60、基金资产净值：指基金资产总值减去基金负债后的价值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61、基金份额净值：指计算日基金资产净值除以计算日基金份额总数的数值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62、基金资产估值：指计算评估基金资产和负债的价值，以确定基金资产净值和基金份额净值的过程</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64、指定媒介：指中国证监会指定的用以进行信息披露的全国性报刊及指定互联网网站（包括基金管理人网站、基金托管人网站、中国证监会基金电子披露网站）等媒介</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不可抗力：指基金合同当事人不能预见、不能避免且不能克服，且在基金合同由基金管理人、基金托管人签署之日后发生的，使基金合同当事人无法全部或部分履行基金合同的任何事件，包括但不限于洪水、地震及其他自然灾害、战争、骚乱、火灾、政府征用、没收、法律法规变化、突发停电或其他突发事件、证券交易所非正常暂停或停止交易</w:t>
      </w:r>
    </w:p>
    <w:p w:rsidR="00B439CC" w:rsidRDefault="0075527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8298E" w:rsidRDefault="00755277">
      <w:pPr>
        <w:pStyle w:val="1"/>
        <w:snapToGrid w:val="0"/>
        <w:spacing w:beforeLines="0" w:before="240" w:after="240"/>
        <w:rPr>
          <w:rFonts w:ascii="宋体" w:hAnsi="宋体"/>
          <w:szCs w:val="30"/>
        </w:rPr>
      </w:pPr>
      <w:bookmarkStart w:id="6" w:name="_Toc210145090"/>
      <w:r>
        <w:rPr>
          <w:rFonts w:ascii="Times New Roman" w:hAnsi="Times New Roman"/>
          <w:sz w:val="30"/>
        </w:rPr>
        <w:lastRenderedPageBreak/>
        <w:t>三、基金管理人</w:t>
      </w:r>
      <w:bookmarkEnd w:id="6"/>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晓晖女士，董事，学士，现任交通银行总行董事会办公室资深专家，历任交通银行总行授信管理部副处长、处长，苏州分行副行长、高级信贷执行官，总行授信管理部副总经理，监事会办公室副主任、资深专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杜伟麒（Chris Durack）先生，董事，硕士。现任施罗德投资亚太区行政总裁。历任施罗德投资澳大利亚董事兼产品及分销主管、香港行政总裁兼亚太区机构业务主管、澳大利亚行政总裁兼亚太区联席主管等职。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管理有限公司风险管理部总经理，法国安盛投资管理（香港）有限公司亚洲风险经理等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郝爱群女士，独立董事，学士。历任人民银行稽核司副处长、处长，合作司调研员，非银司副巡视员、副司长，银监会非银部副主任，银行监管一部副主任、巡视员，汇金公司派出董事。</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子学先生，独立董事，博士。现任中国政法大学民商经济法学院教授，兼任基金业协会自律监察委员会委员。历任证监会办公厅副处长、上市公司监管部处长、行政处罚委员会专职委员、副主任审理员，兼任证监会上市公司并购重组审核委员会委员、行政复议委员会委员。</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黎建强先生，独立董事，博士，教育部长江学者讲座教授。现任香港大学工业工程系荣誉教授，亚洲风险及危机管理协会主席，兼任深交所上市的中联重科集团独立非执行董事。历任香港城市大学管理科学讲座教授，湖南省政协委员并兼任湖南大学工商管理学院院长。</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w:t>
      </w:r>
      <w:r>
        <w:rPr>
          <w:rFonts w:ascii="宋体" w:hAnsi="宋体"/>
          <w:sz w:val="24"/>
        </w:rPr>
        <w:lastRenderedPageBreak/>
        <w:t>证券有限责任公司综合发展部高级经理、投资银行部项目经理，银河基金管理有限公司监察部总监，交银施罗德基金管理有限公司监察稽核部总经理、监察风控副总监、投资运营总监。</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蔡铮先生:基金经理。复旦大学电子工程硕士，16年证券投资行业从业经验。2007年起在瑞士银行香港分行工作。2009年加入交银施罗德基金管理有限公司，曾任投资研究部数量分析师、基金经理助理、量化投资部助理总经理、量化投资部副总经理、多元资产管理副总监，现任量化投资部量化投资副总监、基金经理。曾任上证180公司治理交易型开放式指数证券投资基金(2012年12月27日至2021年04月30日)、深证300价值交易型开放式指数证券投资基金(2012年12月27日至2021年04月30日)、交银施罗德深证300价值交易型开放式指数证券投资基金联接基金(2012年12月27日至2021年04月30日)、交银施罗德沪深300行业分层等权重指数证券投资基金(2012年12月27日至2015年06月30日)、交银施罗德消费新驱动股票型证券投资基金(2012年12月27日至2015年06月30日)、交银施罗德上证180公司治理交易型开放式指数证券投资基金联接基金(2012年12月27日至2021年04月30日)、交银施罗德国证新能源指数证券投资基金（LOF）(2015年03月26日至2021年04月30日)、交银施罗德全球自然资源证券投资基金(2015年04月22日至2017年03月24日)、交银施罗德环球精选价值证券投资基金(2015年04月22日至2017年03月24日)、交银施罗德中证海外中国互联网指数型证券投资基金(LOF)(2015年05月27日至2021年04月30日)、交银施罗德中证互联网金融指数分级证券投资基金(2015年06月26日至2020年11月25日)、交银施罗德中证环境治理指数分级证券投资基金(2015年08月13日至2016年07月18日)、交银施罗德中证环境治理指数型证券投资基金(LOF)(2016年07月19日至2021年04月30日)、交银施罗德致远量化智投策略定期开放混合型证券投资基金</w:t>
      </w:r>
      <w:r>
        <w:rPr>
          <w:rFonts w:ascii="宋体" w:hAnsi="宋体"/>
          <w:sz w:val="24"/>
        </w:rPr>
        <w:lastRenderedPageBreak/>
        <w:t>(2018年05月18日至2020年07月17日)、交银施罗德创业板50指数型证券投资基金(2019年11月20日至2021年04月30日)、交银施罗德养老目标日期2035三年持有期混合型基金中基金（FOF）(2021年04月30日至2025年01月22日)、交银施罗德安享稳健养老目标一年持有期混合型基金中基金（FOF）(2021年04月30日至2025年01月22日)的基金经理。现任交银施罗德上证180公司治理交易型开放式指数证券投资基金联接基金(2025年02月27日至今)、交银施罗德创业板50指数型证券投资基金(2025年02月27日至今)、交银施罗德中证海外中国互联网指数型证券投资基金(LOF)(2025年02月27日至今)、上证180公司治理交易型开放式指数证券投资基金(2025年02月27日至今)、交银施罗德中证红利低波动100指数型证券投资基金(2025年02月27日至今)的基金经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邵文婷女士:多资产研究部副总监、基金经理。英国诺丁汉大学金融与投资硕士、西南财经大学数学与经济学双学士。9年证券投资行业从业经验。2016年加入交银施罗德基金管理有限公司，曾任量化投资部研究员、投资经理，现任多资产研究部副总监、基金经理。曾任交银施罗德定期支付月月丰债券型证券投资基金(2022年11月30日至2024年12月27日)的基金经理。现任深证300价值交易型开放式指数证券投资基金(2021年04月30日至今)、上证180公司治理交易型开放式指数证券投资基金(2021年04月30日至今)、交银施罗德上证180公司治理交易型开放式指数证券投资基金联接基金(2021年04月30日至今)、交银施罗德深证300价值交易型开放式指数证券投资基金联接基金(2021年04月30日至今)、交银施罗德国证新能源指数证券投资基金（LOF）(2021年04月30日至今)、交银施罗德中证环境治理指数型证券投资基金(LOF)(2021年04月30日至今)、交银施罗德中证海外中国互联网指数型证券投资基金(LOF)(2021年04月30日至今)、交银施罗德创业板50指数型证券投资基金(2021年04月30日至今)、交银施罗德中证红利低波动100指数型证券投资基金(2024年03月15日至今)、交银施罗德中证A500指数型证券投资基金(2025年01月22日至今)、交银施罗德上证科创板100指数型证券投资基金(2025年02月26日至今)、交银施罗德中证A50指数型证券投资基金(2025年04月02日至今)、交银施罗德恒生港股通创新药精选指数型证券投资基金(2025年08月20日至今)的基金经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屈乐伟先生(2009年09月29日至2013年03月29日)；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蔡铮先生(2012年12月27日至2021年04月30日)。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4、投资决策委员会成员</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委员：袁庆伟（总经理）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马俊（副总经理）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于海颖（混合资产投资总监兼多元资产管理总监、基金经理）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9、召集基金份额持有人大会；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（3）利用基金财产为基金份额持有人以外的第三人牟取利益；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（5）依照法律法规有关规定，由中国证监会规定禁止的其他行为。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w:t>
      </w:r>
      <w:r>
        <w:rPr>
          <w:rFonts w:ascii="宋体" w:hAnsi="宋体"/>
          <w:sz w:val="24"/>
        </w:rPr>
        <w:lastRenderedPageBreak/>
        <w:t>控制成本达到最佳的内部控制效果。</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（7）内控合规及法律事务部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（7）提供足够的培训</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75527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8298E" w:rsidRDefault="00755277">
      <w:pPr>
        <w:pStyle w:val="1"/>
        <w:snapToGrid w:val="0"/>
        <w:spacing w:beforeLines="0" w:before="240" w:after="240"/>
        <w:rPr>
          <w:rFonts w:ascii="宋体" w:hAnsi="宋体"/>
          <w:szCs w:val="30"/>
        </w:rPr>
      </w:pPr>
      <w:bookmarkStart w:id="7" w:name="_Toc210145091"/>
      <w:r>
        <w:rPr>
          <w:rFonts w:ascii="Times New Roman" w:hAnsi="Times New Roman"/>
          <w:sz w:val="30"/>
        </w:rPr>
        <w:lastRenderedPageBreak/>
        <w:t>四、基金托管人</w:t>
      </w:r>
      <w:bookmarkEnd w:id="7"/>
    </w:p>
    <w:p w:rsidR="0018298E" w:rsidRDefault="0075527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截止到2025年6月30日，中国农业银行托管的封闭式证券投资基金和开放式证券投资基金共957只。</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75527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8298E" w:rsidRDefault="00755277">
      <w:pPr>
        <w:pStyle w:val="1"/>
        <w:snapToGrid w:val="0"/>
        <w:spacing w:beforeLines="0" w:before="240" w:after="240"/>
        <w:rPr>
          <w:rFonts w:ascii="宋体" w:hAnsi="宋体"/>
          <w:szCs w:val="30"/>
        </w:rPr>
      </w:pPr>
      <w:bookmarkStart w:id="8" w:name="_Toc210145092"/>
      <w:r>
        <w:rPr>
          <w:rFonts w:ascii="Times New Roman" w:hAnsi="Times New Roman"/>
          <w:sz w:val="30"/>
        </w:rPr>
        <w:lastRenderedPageBreak/>
        <w:t>五、相关服务机构</w:t>
      </w:r>
      <w:bookmarkEnd w:id="8"/>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个人投资者可以通过本公司网上直销交易平台办理开户、本基金的申购、赎回、转换及定期定额投资等业务，具体交易细则请参阅本公司网站。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客户服务电话：96005</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（2）名称：中国建设银行股份有限公司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住所：北京市西城区金融大街25号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（3）名称：交通银行股份有限公司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（4）名称：招商银行股份有限公司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（5）名称：上海银行股份有限公司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电话：（021）68475888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传真：（021）68476111</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（6）名称：中信银行股份有限公司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（7）名称：江苏常熟农村商业银行股份有限公司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住所：江苏省常熟市新世纪大道58号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办公地址：江苏省常熟市新世纪大道58号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法定代表人：宋建明</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联系电话：（0512）52909128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传真：（0512）52909122</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联系人：黄晓</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客户服务电话：962000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网址：www.csrcbank.com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（8）名称：东莞农村商业银行股份有限公司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网址：www.drcbank.com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（9）名称：中国农业银行股份有限公司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（10）名称：中国银行股份有限公司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住所：北京市北京市复兴门内大街1号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办公地址：北京市西城区复兴门内大街1号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法定代表人：陈四清</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传真：（010）66594853</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客户服务电话：95566</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网址：www.boc.cn</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（11）名称：广发银行股份有限公司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住所：广州市越秀区东风东路713号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法定代表人：杨明生</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联系人：李晓鹏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客户服务电话：800-830-8003，400-830-8003</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网址：www.gdb.com.cn</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（12）名称：中国民生银行股份有限公司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 95568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（13）名称：中国光大银行股份有限公司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（14）名称：宁波银行股份有限公司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（15）名称：北京银行股份有限公司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住所：北京市西城区金融大街甲17号首层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办公地址：北京市西城区金融大街甲17号首层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法定代表人：张东宁</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传真：（010）66226045</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联系人：孔超</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客户服务电话：95526</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网址：www.bankofbeijing.com.cn</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（16）名称：平安银行股份有限公司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法定代表人：谢永林</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（17）名称：江苏银行股份有限公司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住所：南京市中华路26号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客户服务电话：95319</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（18）名称：华夏银行股份有限公司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住所：北京市东城区建国门内大街22号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办公地址：北京市东城区建国门内大街22号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法定代表人：李民吉</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客户服务电话：95577</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网址：www.hxb.com.cn</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（19）名称：杭州银行股份有限公司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住所：杭州市庆春路46号杭州银行大厦</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办公地址：杭州市庆春路46号杭州银行大厦</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法定代表人：陈震山</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电话：（0571）85108195、85120696</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传真：（0571）86475527</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联系人：严峻、夏帆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客户服务电话:96523</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网址：www.hzbank.com.cn</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（20）名称：中国工商银行股份有限公司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注册地址：北京市西城区复兴门内大街55号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办公地址：北京市西城区复兴门内大街55号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法定代表人：廖林</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网址：www.icbc.com.cn</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（21）名称：中国邮政储蓄银行股份有限公司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（22）名称：平安证券股份有限公司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（23）名称：中原证券股份有限公司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网址：https://www.ccnew.com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（24）名称：海通证券股份有限公司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（25）名称：华西证券股份有限公司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（26）名称：粤开证券股份有限公司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注册地址：广州市黄埔区科学大道60号开发区控股中心19、22、23层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办公地址：广州市黄埔区科学大道60号开发区控股中心19、22、23层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法定代表人：郭川舟</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客服电话：95564</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网址：www.ykzq.com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（27）名称：中国国际金融股份有限公司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传真：（010）85679203</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（28）名称：中国中金财富证券有限公司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（29）名称：中信建投证券股份有限公司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法定代表人：王常青</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电话：（010）85130588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传真：（010）65182261</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联系人：魏明</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（30）名称：山西证券股份有限公司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（31）名称：国金证券股份有限公司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住所：四川省成都市东城根上街95号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（32）名称：中信证券（山东）有限责任公司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法定代表人：姜晓林</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联系人：焦刚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（33）名称：中信证券股份有限公司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（34）名称：中信证券华南股份有限公司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法定代表人：胡伏云</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联系人：陈靖</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（35）名称：华龙证券股份有限公司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（36）名称：国元证券股份有限公司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住所：中国安徽省合肥市梅山路18号安徽国际金融中心A座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办公地址：中国安徽省合肥市梅山路18号安徽国际金融中心A座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法定代表人：俞仕新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联系电话：0551-62207400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传真：0551-62207148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联系人：汪先哲</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网址：www.gyzq.com.cn</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（37）名称：国投证券股份有限公司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（38）名称：开源证券股份有限公司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注册地址：陕西省西安市高新区锦业路一号都市之门B座5层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（39）名称：深圳市新兰德证券投资咨询有限公司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（40）名称：大连网金基金销售有限公司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（41）名称：阳光人寿保险股份有限公司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传真：（010）85632773</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（42）名称：玄元保险代理有限公司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（43）名称：京东肯特瑞基金销售有限公司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（44）名称：上海大智慧基金销售有限公司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网址：https://www.wg.com.cn</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（45）名称：腾安基金销售（深圳）有限公司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（46）名称：珠海盈米基金销售有限公司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（47）名称：上海华夏财富投资管理有限公司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（48）名称：北京度小满基金销售有限公司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法定代表人：葛新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（49）名称：南京苏宁基金销售有限公司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（50）名称：嘉实财富管理有限公司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（51）名称：北京汇成基金销售有限公司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传真：（010）62680827</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（52）名称：上海利得基金销售有限公司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（53）名称：北京虹点基金销售有限公司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（54）名称：上海陆金所基金销售有限公司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网址：www.lufunds.com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（55）名称：上海挖财基金销售有限公司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（56）名称：万家财富基金销售（天津）有限公司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（57）名称：上海万得基金销售有限公司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（58）名称：格上富信投资顾问有限公司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住所：北京市朝阳区东三环北路19号楼701内09室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（59）名称：深圳市金斧子基金销售有限公司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（60）名称：北京雪球基金销售有限公司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（61）名称：北京新浪仓石基金销售有限公司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w:t>
      </w:r>
      <w:r>
        <w:rPr>
          <w:rFonts w:ascii="宋体" w:hAnsi="宋体"/>
          <w:sz w:val="24"/>
        </w:rPr>
        <w:lastRenderedPageBreak/>
        <w:t>新浪总部科研楼5层518室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（62）名称：中证金牛（北京）基金销售有限公司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（63）名称：上海证达通基金销售有限公司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（64）名称：北京创金启富基金销售有限公司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魏素清</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（65）名称：奕丰基金销售有限公司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（66）名称：上海天天基金销售有限公司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（67）名称：和讯信息科技有限公司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网址：http://licaike.hexun.com/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（68）名称：诺亚正行基金销售有限公司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（69）名称：上海好买基金销售有限公司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（70）名称：上海长量基金销售有限公司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（71）名称：深圳众禄基金销售股份有限公司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法定代表人：薛峰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（72）名称：蚂蚁（杭州）基金销售有限公司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（73）名称：中信期货有限公司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（74）名称：上海基煜基金销售有限公司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法定代表人：王翔</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（75）名称：浙江同花顺基金销售有限公司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（76）名称：宜信普泽（北京）基金销售有限公司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（77）名称：上海联泰基金销售有限公司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联系人：兰敏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（78）名称：泛华普益基金销售有限公司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（79）名称：北京展恒基金销售股份有限公司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（80）名称：和耕传承基金销售有限公司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网址：www.hgccpb.com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（81）名称：济安财富（北京）基金销售有限公司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（82）名称：博时财富基金销售有限公司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（83）名称：深圳前海微众银行股份有限公司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（84）名称：上海中欧财富基金销售有限公司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住所：中国（上海）自由贸易试验区陆家嘴环路479号1008-1室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（85）名称：中国人寿保险股份有限公司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（86）名称：上海攀赢基金销售有限公司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客户服务电话：021-68889082</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网址：www.weonefunds.com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办公地址：上海市银城中路68号时代金融中心19楼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联系人：黎明</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经办律师：吕红、黎明</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75527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8298E" w:rsidRDefault="00755277">
      <w:pPr>
        <w:pStyle w:val="1"/>
        <w:snapToGrid w:val="0"/>
        <w:spacing w:beforeLines="0" w:before="240" w:after="240"/>
        <w:rPr>
          <w:rFonts w:ascii="宋体" w:hAnsi="宋体"/>
          <w:szCs w:val="30"/>
        </w:rPr>
      </w:pPr>
      <w:bookmarkStart w:id="9" w:name="_Toc210145093"/>
      <w:r>
        <w:rPr>
          <w:rFonts w:ascii="Times New Roman" w:hAnsi="Times New Roman"/>
          <w:sz w:val="30"/>
        </w:rPr>
        <w:lastRenderedPageBreak/>
        <w:t>六、基金的募集</w:t>
      </w:r>
      <w:bookmarkEnd w:id="9"/>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（一）本基金的募集情况</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本基金由基金管理人依照《基金法》、《运作办法》、基金合同及其他有关规定，并经中国证监会证监许可[2009]795号文核准募集发售。</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本基金为契约型开放式ETF联接基金。基金存续期间为不定期。</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本基金的募集期限不超过3个月，自基金份额开始发售之日起计算。</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本基金自2009年8月31日至2009年9月23日止进行发售。</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本基金设立募集期共募集7,090,257,767.14份基金份额，有效认购户数为78,610户。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 本基金与目标ETF的差异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1、交易方式的差异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本基金为目标ETF的联接基金，投资者可以通过本基金的销售机构申购赎回本基金的基金份额。</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目标ETF属于交易型开放式指数证券投资基金，投资者可以通过目标ETF的申购赎回代理券商申购赎回目标ETF的基金份额。此外，目标ETF符合上市条件申请上市成功后，投资者还可通过上海证券交易所的交易系统在二级市场买卖目标ETF的基金份额。</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2、申购赎回方式的差异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目标ETF的联接基金，属于开放式证券投资基金。投资者申购赎回本基金基金份额均采用现金方式，申购以金额申请，赎回以份额申请。投资者申购本基金时应支付现金申购款，赎回本基金时基金管理人应向投资者支付现金赎回款，申购与赎回价格以申请当日收市后计算的基金份额净值为基础；</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目标ETF属于交易型开放式证券投资基金。投资者申购赎回目标ETF基金份额均采用实物申购赎回方式，申购和赎回均以份额申请。投资者申购ETF基金份额时应根据基金管理人公告的申购赎回清单交付申购对价，包括组合证券、现金替代、现金差额及其他对价。投资者赎回基金份额时，基金管理人应根据申购赎回清单交付给投资者赎回对价，包括组合证券、现金替代、现金差额及其他对价。申购、赎回对价根据申购赎回清单和投资者申购、赎回的基金份额数额确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3、投资方法的差异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本基金为目标ETF的联接基金，属于开放式证券投资基金，以被动式的指数化投资管理方式，将90%以上的基金净资产投资于目标ETF，实现紧密跟踪标的指数的投资目标；</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本基金的目标ETF属于交易型开放式指数证券投资基金，采用完全复制法紧密跟踪标的指数，按照标的指数成份股组成及其权重构建基金股票投资组合，进行被动式指数化投资。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4、业绩表现的差异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本基金为目标ETF的联接基金，将90%以上的基金净资产投资于目标ETF，以紧密跟踪标的指数，但不能保证本基金的表现与目标ETF的表现完全一致，产生业绩表现差异的原因包括以下几个方面：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（1）本基金基金份额的赎回采用现金方式，为支付现金赎回款，相比目标ETF，本基金需要保留更多的现金资产；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（2）本基金基金份额的申购采用现金方式，在利用到账的申购资金投资目标ETF过程中，市场波动等原因会造成本基金与目标ETF表现的差异；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（3）本基金为应对投资者以现金方式申购赎回本基金基金份额而进行的证券交易需支付一定的手续费，此等费用将影响本基金相对于目标ETF的表现。</w:t>
      </w:r>
    </w:p>
    <w:p w:rsidR="00B439CC" w:rsidRDefault="0075527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8298E" w:rsidRDefault="00755277">
      <w:pPr>
        <w:pStyle w:val="1"/>
        <w:snapToGrid w:val="0"/>
        <w:spacing w:beforeLines="0" w:before="240" w:after="240"/>
        <w:rPr>
          <w:rFonts w:ascii="宋体" w:hAnsi="宋体"/>
          <w:szCs w:val="30"/>
        </w:rPr>
      </w:pPr>
      <w:bookmarkStart w:id="10" w:name="_Toc210145094"/>
      <w:r>
        <w:rPr>
          <w:rFonts w:ascii="Times New Roman" w:hAnsi="Times New Roman"/>
          <w:sz w:val="30"/>
        </w:rPr>
        <w:lastRenderedPageBreak/>
        <w:t>七、基金合同的生效</w:t>
      </w:r>
      <w:bookmarkEnd w:id="10"/>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根据有关规定，本基金满足基金合同生效条件，基金合同已于2009年9月29日正式生效。自基金合同生效之日起，本基金管理人正式开始管理本基金。</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合同生效后，基金份额持有人数量不满两百人或者基金资产净值低于五千万元的，基金管理人应当及时报告中国证监会；连续20个工作日出现上述情形的，基金管理人应向中国证监会说明原因并报送解决方案。</w:t>
      </w:r>
    </w:p>
    <w:p w:rsidR="00B439CC" w:rsidRDefault="0075527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8298E" w:rsidRDefault="00755277">
      <w:pPr>
        <w:pStyle w:val="1"/>
        <w:snapToGrid w:val="0"/>
        <w:spacing w:beforeLines="0" w:before="240" w:after="240"/>
        <w:rPr>
          <w:rFonts w:ascii="宋体" w:hAnsi="宋体"/>
          <w:szCs w:val="30"/>
        </w:rPr>
      </w:pPr>
      <w:bookmarkStart w:id="11" w:name="_Toc210145095"/>
      <w:r>
        <w:rPr>
          <w:rFonts w:ascii="Times New Roman" w:hAnsi="Times New Roman"/>
          <w:sz w:val="30"/>
        </w:rPr>
        <w:lastRenderedPageBreak/>
        <w:t>八、基金份额的申购与赎回</w:t>
      </w:r>
      <w:bookmarkEnd w:id="11"/>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投资者可通过下述场所按照规定的方式进行申购或赎回：</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本基金直销机构为本公司以及本公司的网上直销交易平台。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个人投资者可以通过本公司网上直销交易平台办理开户、本基金的申购、赎回、转换及定期定额投资等业务，具体交易细则请参阅本公司网站。网上直销交易平台网址：www.fund001.com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2、代销机构的代销网点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本基金的代销机构的代销网点请见本招募说明书“五、相关服务机构”章节或拨打本公司客户服务电话进行咨询。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投资者可通过上述场所按照规定的方式进行申购或赎回。本基金管理人可根据情况变更或增减基金代销机构，并在管理人网站公示。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若基金管理人或其指定的代销机构开通电话、传真或网上等交易方式，投资者可以通过上述方式进行申购与赎回。</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开放日是指为基金投资者办理基金份额申购、赎回或其他业务的工作日（但基金管理人根据法律法规、中国证监会的要求或基金合同的规定公告暂停申购、赎回时除外）。基金投资者在开放日申请办理基金份额的申购和赎回，具体办理时间为上海证券交易所、深圳证券交易所的正常交易日的交易时间。</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若出现新的证券交易市场、证券交易所交易时间变更或其他特殊情况，基金管理人将视情况对前述开放日及开放时间进行相应的调整，但应在实施日前依照《信息披露办法》的有关规定在指定媒介上公告。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基金投资者在基金合同约定之外的日期和时间提出申购、赎回或转换申请的，若该申请被成功确认，则其基金份额申购、赎回及转换价格为下次办理基金份额申购、赎回及转换时间所在开放日的价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2、申购的开始日及业务办理时间</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本基金已于2009年12月29日起开放申购业务。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3、赎回的开始日及业务办理时间</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本基金已于2009年12月29日起开放赎回业务。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（三）申购和赎回的原则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1、“未知价”原则，即基金份额的申购与赎回价格以申请当日收市后计算的基金份额净值为基准进行计算；</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2、基金采用金额申购和份额赎回的方式，即申购以金额申请，赎回以份额申请；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3、赎回遵循“先进先出”原则，即按照基金投资者认购、申购和红利再投的先后次序进行顺序赎回；</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4、当日的申购与赎回申请可以在基金管理人规定的时间以内撤销；</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5、基金管理人在不损害基金份额持有人权益的情况下可更改上述原则，但最迟应在新的原则实施前依照《信息披露办法》的有关规定在指定媒介上予以公告。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代销网点每个账户单笔申购的最低金额为单笔1元，如果代销机构业务规则规定的最低单笔申购金额高于1元，以代销机构的规定为准。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中心每个账户首次申购的最低金额为单笔100万元，追加申购的最低金额为单笔10万元；已在直销中心有认购或申购过本基金管理人管理的任一基金（包括本基金）记录的投资者不受首次申购最低金额的限制。通过本公司网上直销交易平台办理基金申购业务的不受直销中心单笔申购最低金额的限制，申购最低金额为单笔1元。本基金直销中心单笔申购最低金额可由基金管理人酌情调整。</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2、赎回份额的限制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赎回的最低份额为单笔1份基金份额，如果其他销售机构业务规则规定的单笔最低赎回份额高于1份，以该销售机构的规定为准。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每个工作日投资者在单个交易账户保留的本基金份额余额少于1份时，若当日该账户同时有份额减少类业务（如赎回、转换出等）被确认，则基金管理人有权将投资者在该账户保留的本基金份额一次性全部赎回。</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5、基金管理人可根据市场情况，在法律法规允许的情况下，调整上述规定的数量或比例限制，基金管理人必须在调整前依照《信息披露办法》的有关规定在指定的媒介上公告。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投资者必须根据基金销售机构规定的程序，在开放日的交易时间内向基金销售机构提出申购或赎回的申请。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投资者在申购本基金时须按销售机构规定的方式备足申购资金，否则所提交的申购申请无效而不予成交。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投资者在提交赎回申请时，必须持有足够的基金份额余额，否则所提交的赎回申请无效而不予成交。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2、申购和赎回申请的确认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以交易时间结束前收到申购和赎回申请的当日作为申购或赎回申请日(T日)，正常情况下，本基金注册登记机构在T+1日内对该交易的有效性进行确认。T日提交的有效申请，投资者可在T+2日后（包括该日）到销售网点柜台或以销售机构规定的其他方式查询申请的确认情况。</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3、申购和赎回的款项支付</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申购采用全额缴款方式，若申购资金在规定时间内未全额到账，则申购不成功。若申购不成功或无效，基金管理人或基金管理人指定的代销机构将投资者已缴</w:t>
      </w:r>
      <w:r>
        <w:rPr>
          <w:rFonts w:ascii="宋体" w:hAnsi="宋体"/>
          <w:sz w:val="24"/>
        </w:rPr>
        <w:lastRenderedPageBreak/>
        <w:t>付的申购款项本金退还给投资者。</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申请成功后，基金管理人将指示基金托管人在T＋7日（包括该日）内从托管账户将赎回款项划出，经销售机构划往基金份额持有人银行账户。在发生巨额赎回时，款项的支付办法参照基金合同的有关条款处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4、申购和赎回基金份额的份额注册登记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投资者申购基金成功后，注册登记机构在T+1日为投资者登记权益并办理份额注册登记手续，投资者自T+2日（含该日）后有权赎回该部分基金份额。</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投资者赎回基金成功后，注册登记机构在T+1日为投资者办理扣除权益的份额注册登记手续。</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基金管理人可以在法律法规允许的范围内，对上述份额注册登记办理时间进行调整，但不得影响投资者实质的合法权益，并依照《信息披露办法》的有关规定于开始实施前在指定媒介上公告。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本基金提供两种申购费用的支付模式。投资者可以选择前端收费模式，即在申购时支付申购费用；也可以选择后端收费模式，即在赎回时才支付相应的申购费用，该费用随基金份额的持有时间递减。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本基金的申购费用由基金申购人承担，不列入基金财产，主要用于本基金的市场推广、销售、注册登记等各项费用。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投资者可以多次申购本基金，申购费率按每笔申购申请单独计算。</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18298E">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申购费率（前端）</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前端申购费率</w:t>
            </w:r>
          </w:p>
        </w:tc>
      </w:tr>
      <w:tr w:rsidR="0018298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8298E" w:rsidRDefault="0018298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18298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8298E" w:rsidRDefault="0018298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18298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8298E" w:rsidRDefault="0018298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18298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8298E" w:rsidRDefault="0018298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18298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8298E" w:rsidRDefault="0018298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r w:rsidR="0018298E">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申购费率（后端）</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持有时间</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后端申购费率</w:t>
            </w:r>
          </w:p>
        </w:tc>
      </w:tr>
      <w:tr w:rsidR="0018298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8298E" w:rsidRDefault="0018298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年以内（含）</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p>
        </w:tc>
      </w:tr>
      <w:tr w:rsidR="0018298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8298E" w:rsidRDefault="0018298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18298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8298E" w:rsidRDefault="0018298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18298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8298E" w:rsidRDefault="0018298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因红利自动再投资而产生的基金份额，不收取相应的申购费用。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本基金自2013年4月11日起，对通过本公司直销柜台申购本基金前端基金份额的养老金客户实施特定申购费率。</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通过本公司直销柜台申购本基金前端基金份额的养老金客户特定申购费率如下表：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18298E">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特定申购费率（前端）</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前端特定申购费率</w:t>
            </w:r>
          </w:p>
        </w:tc>
      </w:tr>
      <w:tr w:rsidR="0018298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8298E" w:rsidRDefault="0018298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0.48%</w:t>
            </w:r>
          </w:p>
        </w:tc>
      </w:tr>
      <w:tr w:rsidR="0018298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8298E" w:rsidRDefault="0018298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18298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8298E" w:rsidRDefault="0018298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0.24%</w:t>
            </w:r>
          </w:p>
        </w:tc>
      </w:tr>
      <w:tr w:rsidR="0018298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8298E" w:rsidRDefault="0018298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0.16%</w:t>
            </w:r>
          </w:p>
        </w:tc>
      </w:tr>
      <w:tr w:rsidR="0018298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8298E" w:rsidRDefault="0018298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有关养老金客户实施特定申购费率的具体规定以及活动时间如有变化，敬请投资人留意本公司发布的相关公告。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赎回费用由基金赎回人承担，赎回费用的25%归基金财产，其余用于支付注册登记费和其他必要的手续费。但对持续持有期少于7日的基金份额持有人收取不低于1.5%的赎回费并全额计入基金财产。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18298E">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18298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8298E" w:rsidRDefault="0018298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18298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8298E" w:rsidRDefault="0018298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18298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8298E" w:rsidRDefault="0018298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rsidR="0018298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8298E" w:rsidRDefault="0018298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0.0%</w:t>
            </w:r>
          </w:p>
        </w:tc>
      </w:tr>
    </w:tbl>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3、基金管理人可以根据法律法规及基金合同的规定调整申购费率、降低赎回</w:t>
      </w:r>
      <w:r>
        <w:rPr>
          <w:rFonts w:ascii="宋体" w:hAnsi="宋体"/>
          <w:sz w:val="24"/>
        </w:rPr>
        <w:lastRenderedPageBreak/>
        <w:t>费率或调整收费方式，最新的申购费率和赎回费率以及收费方式在更新的招募说明书中列示。费率或收费方式如发生变更，基金管理人最迟应于新的费率或收费方式开始实施日前依照《信息披露办法》的有关规定在指定媒介上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4、对特定交易方式（如网上交易、电话交易等），在不违背法律法规规定的情况下，基金管理人可以采用低于柜台交易方式的基金申购费率和基金赎回费率。</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在不违背法律法规规定及基金合同约定的情况下根据市场情况制定基金促销计划，针对基金投资者定期和不定期地开展基金促销活动。在基金促销活动期间，基金管理人可以按中国证监会要求履行必要手续后，可适当调低基金申购费率、赎回费率和转换费率。</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（七）申购和赎回的数额和价格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份额余额的处理方式：申购的有效份额为按实际确认的申购金额在扣除相应的费用后，以申请当日基金份额净值为基准计算，四舍五入保留到小数点后两位，由此误差产生的收益或损失由基金财产承担。</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（2）赎回金额的处理方式：赎回金额为按实际确认的有效赎回份额乘以申请当日基金份额净值并扣除相应的费用，四舍五入保留到小数点后两位，由此误差产生的收益或损失由基金财产承担。</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T日基金份额净值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例一：某投资者投资40,000元申购本基金，假设申购当日基金份额净值为1.040元，如果其选择前端收费方式，申购费率为1.5%，则其可得到的申购份额为：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申购份额=（40,000-591.13）/1.040=37,893.14份</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（2）后端收费模式：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申购份额＝申购总金额/T日基金份额净值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当投资者提出赎回时，后端申购费用的计算方法为：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后端申购费用＝赎回份额×申购日基金份额净值×后端申购费率</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例二：某投资者投资40,000元申购本基金，假设申购当日基金份额净值为1.040元，如果其选择后端收费方式，则其可得到的申购份额为：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申购份额＝40,000/1.040＝38,461.54份</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即：投资者投资40,000元申购本基金，假设申购当日基金份额净值为1.040元，则可得到38,461.54份基金份额，但其在赎回时需根据其持有时间按对应的后端申购费率交纳后端申购费用。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赎回金额为按实际确认的有效赎回份额乘以当日基金份额净值并扣除相应的费用，赎回金额单位为元，计算结果保留到小数点后两位，第三位四舍五入。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（1）如果投资者在认（申）购时选择交纳前端认（申）购费用，则赎回金额的计算方法如下：</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赎回费用=赎回份额×T日基金份额净值×赎回费率</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赎回金额=赎回份额×T日基金份额净值-赎回费用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例三：某投资者赎回通过前端认购（申购）持有的10,000份基金份额，对应的赎回费率为0.5%，假设赎回当日基金份额净值是1.016元，则其可得到的赎回金额为：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10,000×1.016×0.5% ＝ 50.80元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10,000×1.016-50.80 ＝ 10,109.20元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即：投资者赎回本基金10,000份基金份额，假设赎回当日基金份额净值是1.016元，则其可得到的赎回金额为10,109.20元。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（2）如果投资者在认（申）购时选择交纳后端认（申）购费用，则赎回金额的计算方法如下：</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赎回总额＝赎回份额×T日基金份额净值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后端认（申）购费用＝赎回份额×认（申）购日基金份额净值×后端认（申）购费率</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赎回费用＝赎回总额×赎回费率</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赎回金额＝赎回总额－后端认（申）购费用－赎回费用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例四：某投资者赎回通过后端认购持有的10,000份基金份额，对应的后端认购费率为1.6%，赎回费率为0.5%，假设赎回当日基金份额净值是1.016元，则其可得到的赎回金额为：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后端认购费用 = 10,000×1.00×1.6% = 160.00元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10,000×1.016×0.5% ＝ 50.80元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10,000×1.016-160.00-50.80 ＝ 9,949.20元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即：投资者赎回通过后端认购所得本基金10,000份基金份额，假设赎回当日基金份额净值是1.0160元，则其可得到的赎回金额为9,949.20元。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例五：某投资者赎回通过后端申购持有的10,000份基金份额，对应的后端申购费率为1.8%，赎回费率为0.5%，假设申购当日基金份额净值是1.010元，赎回当日基金份额净值是1.016元，则其可得到的赎回金额为：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 = 10,000×1.010×1.8% = 181.80元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10,000×1.016×0.5% ＝ 50.80元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10,000×1.016-181.80-50.80 ＝ 9,927.40元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即：投资者赎回通过后端申购所得本基金10,000份基金份额，假设申购当日基金份额净值是1.010元，赎回当日基金份额净值是1.016元，则其可得到的赎回金额为9,927.40元。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基金份额净值＝基金资产净值总额/发行在外的基金份额总数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本基金T日的基金份额净值在当天收市后计算，并在T＋1日公告。遇特殊情况，经中国证监会同意，可以适当延迟计算或公告。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（八）拒绝或暂停申购的情形及处理方式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发生下列情况时，基金管理人可拒绝或暂停接受投资者的申购申请：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（2）证券交易场所在交易时间非正常停市，导致基金管理人无法计算当日的基金资产净值；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（3）所投资的目标ETF暂停估值，导致基金管理人无法计算当日基金资产净值；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（4）所投资的目标ETF暂停申购或二级市场交易停牌；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（5）发生基金合同规定的暂停基金资产估值情况；</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（6）基金财产规模过大，使基金管理人无法找到合适的投资品种，或基金管理人认为继续接受申购会损害已有基金份额持有人利益；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（7）基金管理人认为会有损于现有基金份额持有人利益的，或违反有关法律法规的某笔申购或某些申购；</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（8）当前一估值日基金资产净值50%以上的资产出现无可参考的活跃市场价格且采用估值技术仍导致公允价值存在重大不确定性时，经与基金托管人协商确认后，基金管理人应当暂停接受基金申购申请；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（9）法律法规规定或中国证监会认定的其他情形。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1－6、8、9项暂停申购情形时，基金管理人应当根据《信息披露办法》的有关规定在指定媒介上刊登暂停申购公告。如果投资者的申购申请被拒绝，被拒绝的申购款项将全额退还投资者。在暂停申购的情况消除时，基金管理人应及时恢复申购业务的办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（九）暂停赎回或者延缓支付赎回款项的情形及处理方式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发生下列情形时，基金管理人可暂停接受投资者的赎回申请或延缓支付赎回款项：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（2）证券交易场所交易时间非正常停市，导致基金管理人无法计算当日基金资产净值；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（3）连续两个或两个以上开放日发生巨额赎回；</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（4）所投资的目标ETF暂停估值，导致基金管理人无法计算当日基金资产净值；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（5）所投资的目标ETF暂停赎回；</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（7）发生基金合同规定的暂停基金资产估值情况；</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（8）法律法规规定或中国证监会认定的其他情形。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发生上述情形时，基金管理人应在当日报中国证监会报告，已接受的赎回申</w:t>
      </w:r>
      <w:r>
        <w:rPr>
          <w:rFonts w:ascii="宋体" w:hAnsi="宋体"/>
          <w:sz w:val="24"/>
        </w:rPr>
        <w:lastRenderedPageBreak/>
        <w:t>请，基金管理人应足额支付；如暂时不能足额支付，应将可支付部分按单个账户申请量占申请总量的比例分配给赎回申请人，未支付部分可延期支付，并以后续开放日的基金份额净值为依据计算赎回金额，若发生上述第（3）项所述情形，按基金合同的相关条款处理。投资者在申请赎回时可事先选择将当日可能未获受理部分予以撤销。在暂停赎回的情况消除时，基金管理人应及时恢复赎回业务的办理并予以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暂停基金的赎回，基金管理人应根据《信息披露办法》的有关规定及时在指定媒介上刊登暂停赎回公告。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内的基金份额净赎回申请（赎回申请份额总数加上基金转换中转出申请份额总数扣除申购申请份额总数及基金转换中转入申请份额总数后的余额）超过上一日基金总份额的10%时，即认为发生了巨额赎回。</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当基金出现巨额赎回时，基金管理人可以根据本基金当时的资产组合状况决定全额赎回或部分延期赎回。</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（1）全额赎回：当基金管理人认为有能力支付投资者的全部赎回申请时，按正常赎回程序执行。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基金投资者的赎回申请有困难或认为支付投资者的赎回申请而进行的财产变现可能会对基金资产净值造成较大波动时，基金管理人在当日接受赎回比例不低于上一日基金总份额的10%的前提下，对其余赎回申请延期办理。对于当日的赎回申请，应当按单个账户赎回申请量占赎回申请总量的比例，确定当日受理的赎回份额；基金投资者未能赎回部分，投资者在提交赎回申请时可以选择延期赎回或取消赎回。选择延期赎回的，将自动转入下一个开放日继续赎回，直到全部赎回为止；选择取消赎回的，当日未获赎回的部分申请将被撤销。延期的赎回申请与下一开放日赎回申请一并处理，无优先权并以该开放日的基金份额净值为基础计算赎回金额，并以此类推，直到全部赎回为止。如基金投资者在提交赎回申请时未作明确选择，投资者未能赎回部分作自动延期赎回处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w:t>
      </w:r>
      <w:r>
        <w:rPr>
          <w:rFonts w:ascii="宋体" w:hAnsi="宋体"/>
          <w:sz w:val="24"/>
        </w:rPr>
        <w:lastRenderedPageBreak/>
        <w:t>20%的情形下，基金管理人有权采取如下措施：对于该类基金份额持有人当日超过20%的赎回申请，可以对其赎回申请延期办理；对于该类基金份额持有人未超过上述比例的部分，基金管理人可以根据前段“（1）全额赎回”或“（2）部分顺延赎回”的约定方式与其他基金份额持有人的赎回申请一并办理。但是，如该类基金份额持有人在当日选择取消赎回，则其当日未获受理的部分赎回申请将被撤销。</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（3）当出现巨额赎回时，基金转换中转出份额的申请的处理方式遵照相关的业务规则及届时开展转换业务的公告。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正常支付时间20个工作日，并应当在指定媒介上进行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当发生巨额赎回并顺延赎回时，基金管理人应当通过邮寄、传真、刊登公告或者通知代销机构代为告知等方式在3个工作日内通知基金份额持有人，说明有关处理方法，并在2日内在指定媒介上刊登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（十一）暂停申购或赎回的公告和重新开放申购或赎回的公告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2、如发生暂停的时间为1日，第2个工作日基金管理人应依照《信息披露办法》的有关规定在指定媒介上刊登基金重新开放申购或赎回公告，并公布最近1个开放日的基金份额净值。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但少于两周，暂停结束，基金重新开放申购或赎回时，基金管理人应依照《信息披露办法》的有关规定在指定媒介上刊登基金重新开放申购或赎回公告，并公告最近1个开放日的基金份额净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发生暂停的时间超过两周，暂停期间，基金管理人应每2周至少刊登暂停公告1次。暂停结束，基金重新开放申购或赎回时，基金管理人应依照《信息披露办法》的有关规定在指定媒介上刊登基金重新开放申购或赎回公告，并公告最近1个开放日的基金份额净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（十二）转托管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本基金目前实行份额托管的交易制度。基金份额持有人可办理已持有基金份额在不同销售机构之间的转托管，基金销售机构可以按照规定的标准收取转托管费。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进行份额转托管时，基金份额持有人可以将其某个交易账户下的基金份额全部</w:t>
      </w:r>
      <w:r>
        <w:rPr>
          <w:rFonts w:ascii="宋体" w:hAnsi="宋体"/>
          <w:sz w:val="24"/>
        </w:rPr>
        <w:lastRenderedPageBreak/>
        <w:t>或部分转托管。办理转托管业务的基金份额持有人需在转出方办理基金份额转出手续，在转入方办理基金账户注册手续。</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如果基金管理人、注册登记机构、办理转托管的销售机构出现技术系统性能限制或出于其它合理原因，可以暂停该业务或者拒绝基金份额持有人的转托管申请。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（十三）定期定额投资计划</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2009年12月29日公告自即日起开通定期定额投资计划业务，具体开通销售机构名单和业务规则参见相关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（十四）定时不定额投资计划</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自2010年1月25日，投资者可通过中国工商银行股份有限公司的“基智定投”办理本基金的定时不定额投资业务。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基智定投业务是中国工商银行股份有限公司普通基金定投业务的升级业务，基智定投分为定时不定额和定时定额两种投资方式。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中国工商银行股份有限公司办理本公司旗下基金的基智定投业务，相关流程和业务规则遵循中国工商银行股份有限公司的有关规定。详情请咨询当地中国工商银行股份有限公司的代销网点或中国工商银行股份有限公司客户服务电话（95588）。</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（十五）定期定额赎回业务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中国农业银行股份有限公司申请办理本基金的定期定额赎回业务。定期定额赎回业务是指投资人可以委托中国农业银行股份有限公司每月固定时间从指定的基金账户代投资人赎回固定份额的基金。本基金2009年12月29日刊登公告自即日起在中国农业银行股份有限公司下属各代销网点开通定期定额赎回业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通过中国农业银行股份有限公司办理本基金的定期定额赎回业务，相关流程和业务规则遵循中国农业银行股份有限公司的有关规定。详情请咨询当地中国农业银行股份有限公司的代销网点或中国农业银行股份有限公司客户服务热线（95599）。</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（十六）基金的非交易过户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指基金注册登记机构受理继承、捐赠、司法强制执行和经注册登记机构认可的其它情况而产生的非交易过户。无论在上述何种情况下，接受划转的主体必须是依法可以持有本基金基金份额的基金投资者。</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注册登记机构要求提供的相关资料，对于符合条件的非交易过户申请按注册登记机构的规定办理，并按注册登记机构规定的标准收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（十七）基金的冻结和解冻</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基金份额冻结、解冻的业务，由注册登记机构办理。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基金注册登记机构只受理国家有权机关依法要求的基金份额的冻结与解冻，以及注册登记机构认可、符合法律法规的其他情况下的基金份额的冻结与解冻。</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当基金份额处于冻结状态时，基金注册登记机构或其他相关机构应拒绝该部分基金份额的赎回、转换出申请、非交易过户以及基金的转托管。</w:t>
      </w:r>
    </w:p>
    <w:p w:rsidR="00B439CC" w:rsidRDefault="0075527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8298E" w:rsidRDefault="00755277">
      <w:pPr>
        <w:pStyle w:val="1"/>
        <w:snapToGrid w:val="0"/>
        <w:spacing w:beforeLines="0" w:before="240" w:after="240"/>
        <w:rPr>
          <w:rFonts w:ascii="宋体" w:hAnsi="宋体"/>
          <w:szCs w:val="30"/>
        </w:rPr>
      </w:pPr>
      <w:bookmarkStart w:id="12" w:name="_Toc210145096"/>
      <w:r>
        <w:rPr>
          <w:rFonts w:ascii="Times New Roman" w:hAnsi="Times New Roman"/>
          <w:sz w:val="30"/>
        </w:rPr>
        <w:lastRenderedPageBreak/>
        <w:t>九、基金的转换</w:t>
      </w:r>
      <w:bookmarkEnd w:id="12"/>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（一）基金转换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（二）转换业务办理时间</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本基金2009年12月25日刊登公告自2009年12月29日起开放日常转换业务。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（三）基金转换的程序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（四）基金转换的数额限制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本基金遵循“份额转换”的原则，单笔转换份额不得低于1份。基金持有人可将其全部或部分基金份额转换成其它基金，单笔转换申请不受转入基金最低申购限额限制。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（五）基金转换费用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转出基金的赎回费用及归入基金财产的比例按照各基金最新的更新招募说明书及相关公告规定的赎回费率和计费方式收取。</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w:t>
      </w:r>
      <w:r>
        <w:rPr>
          <w:rFonts w:ascii="宋体" w:hAnsi="宋体"/>
          <w:sz w:val="24"/>
        </w:rPr>
        <w:lastRenderedPageBreak/>
        <w:t>基金后端申购费率减去转入基金后端申购费率差额进行补差。</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6、基金管理人可以根据法律法规及基金合同的规定对上述收费方式和费率进行调整，并应于调整后的收费方式和费率在实施前依照《信息披露办法》的有关规定在中国证监会指定媒介上公告。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（六）基金转换份额的计算公式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w:t>
      </w:r>
      <w:r>
        <w:rPr>
          <w:rFonts w:ascii="宋体" w:hAnsi="宋体"/>
          <w:sz w:val="24"/>
        </w:rPr>
        <w:lastRenderedPageBreak/>
        <w:t>额净值为2.2700元。若该投资者将100,000份交银趋势前端A类基金份额转换为交银成长前端基金份额，则转入交银成长确认的基金份额为：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转出基金的赎回费=0元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转出确认金额=100,000×1.2500=125,000元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（七）业务规则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w:t>
      </w:r>
      <w:r>
        <w:rPr>
          <w:rFonts w:ascii="宋体" w:hAnsi="宋体"/>
          <w:sz w:val="24"/>
        </w:rPr>
        <w:lastRenderedPageBreak/>
        <w:t>式的其他基金。货币市场基金、债券基金C类基金份额与其他基金之间的转换不受上述收费模式的限制。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（八）暂停基金转换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75527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8298E" w:rsidRDefault="00755277">
      <w:pPr>
        <w:pStyle w:val="1"/>
        <w:snapToGrid w:val="0"/>
        <w:spacing w:beforeLines="0" w:before="240" w:after="240"/>
        <w:rPr>
          <w:rFonts w:ascii="宋体" w:hAnsi="宋体"/>
          <w:szCs w:val="30"/>
        </w:rPr>
      </w:pPr>
      <w:bookmarkStart w:id="13" w:name="_Toc210145097"/>
      <w:r>
        <w:rPr>
          <w:rFonts w:ascii="Times New Roman" w:hAnsi="Times New Roman"/>
          <w:sz w:val="30"/>
        </w:rPr>
        <w:lastRenderedPageBreak/>
        <w:t>十、基金的投资</w:t>
      </w:r>
      <w:bookmarkEnd w:id="13"/>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紧密跟踪标的指数，追求跟踪偏离度与跟踪误差最小化。</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（二）投资理念</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本基金遵循指数化投资理念，以目标ETF为主要投资对象，帮助投资者以较低的成本获取与标的指数和目标ETF同步的收益。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（三）目标ETF的投资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本基金的目标ETF为上证180公司治理交易型开放式指数证券投资基金，经2009年8月17日中国证券监督管理委员会证监许可【2009】795号文核准募集。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目标ETF投资目标：紧密跟踪标的指数，追求跟踪偏离度与跟踪误差最小化。</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目标ETF的投资范围、投资策略以及投资组合管理等具体内容以目标ETF基金合同和招募说明书列示为准。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（四）投资范围</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目标ETF、标的指数成份股（含存托凭证）、备选成份股（含存托凭证）为主要投资对象，把全部或接近全部的基金资产用于跟踪标的指数的表现，正常情况下投资于目标ETF的资产比例不低于基金资产净值的90%，基金持有的现金或者到期日在一年以内的政府债券的比例不低于基金资产净值的5%，其中现金不包括结算备付金、存出保证金和应收申购款等。此外，为更好地实现投资目标，本基金也可少量投资于新股（含存托凭证）、债券及中国证监会允许基金投资的其它金融工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（五）投资策略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本基金通过把全部或接近全部的基金资产投资于目标ETF、标的指数成份股和备选成份股进行被动式指数化投资，正常情况下投资于目标ETF的比例不低于基金资产净值的90%。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本基金投资于目标ETF的方式以申购和赎回为主，但在目标ETF二级市场流动性较好的情况下，为了更好地实现本基金的投资目标，减小与标的指数的跟踪偏离度和跟踪误差，也可以通过二级市场交易买卖目标ETF。</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除流动性管理所需以外，本基金对于目标ETF以外的证券投资均进行被动式指数化投资。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本基金投资存托凭证的策略依照境内上市交易的股票投资策略执行。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法律法规或监管机构日后允许本基金投资的其他品种（如股指期货等），基金管理人在履行适当程序后，可以将其纳入投资范围。</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1、决策依据</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有关法律法规、基金合同和标的指数的相关规定是基金管理人运用基金财产的决策依据。</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2、决策和交易机制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本基金实行投资决策委员会领导下的基金经理负责制。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投资决策委员会的主要职责是决定有关指数重大调整的应对决策、其他重大组合调整决策以及重大的单项投资决策。</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基金经理的主要职责是决定日常指数跟踪维护过程中的组合构建、调整决策，特别是对目标ETF份额的投资决策。</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中央交易室负责交易执行和一线监控。通过严格的交易制度和实时的一线监控功能，保证基金经理的投资指令在合法、合规的前提下得到高效的执行。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3、投资程序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研究、决策、组合构建、交易、评估及组合维护的有机配合共同构成了本基金的投资管理程序。严格的投资管理程序可以保证投资理念的正确执行，避免重大风险的发生。</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研究支持：量化投资部依托公司整体研究平台，整合外部信息以及券商等外部研究力量的研究成果开展指数跟踪、成份股公司行为等相关信息的搜集与分析、目标ETF二级市场的流动性和折溢价分析、成份股流动性分析、误差及其归因分析等工作，以作为基金投资决策的重要依据。</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（2）投资决策：投资决策委员会依据量化投资部提供的研究报告，定期召开或遇重大事项时召开投资决策会议，决策相关事项。基金经理根据投资决策委员会的决议，每日进行基金投资管理的日常决策。</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（3）组合构建：根据标的指数情况，结合研究支持，基金经理构建以目标ETF为主的证券组合。在追求跟踪误差和偏离度最小化的前提下，基金经理将采取适当的方法，以降低买入成本、控制投资风险。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（4）交易执行：中央交易室负责具体的交易执行，同时履行一线监控的职责。</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绩效评估：量化投资部定期和不定期对基金进行投资绩效评估，并提供相关报告。绩效评估能够确认组合是否实现了投资预期、组合误差的来源及投资策略成功与否，基金经理可以据此检讨投资策略，进而调整投资组合。</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组合监控与调整：基金经理将跟踪目标ETF及标的指数变动，结合成份股基本面情况、成份股公司行为、流动性状况、基金申购和赎回的现金流量情况以及组合投资绩效评估的结果等，采取适当的跟踪技术对投资组合进行监控和调整，密切跟踪标的指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基金管理人在确保基金份额持有人利益的前提下有权根据环境变化和实际需要对上述投资管理程序做出调整，并在基金招募说明书更新中公告。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（六）投资组合管理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本基金的特殊性，本基金将以全部或接近全部的基金资产投资于目标ETF。正常情况下本基金投资于目标ETF的比例不低于基金资产净值的90%，剩余资产除流动性管理所需以外，均进行被动式指数化投资。本基金将在基金合同生效之日起3个月内达到这一投资比例。此后，如因证券市场波动、基金规模变动等因素导致基金不符合这一投资比例的，基金管理人将在10个交易日内进行调整。</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1、投资组合的建立</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基金管理人构建投资组合的过程主要分为三步：确定目标组合、确定建仓策略和逐步调整。</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（1）确定目标组合：基金管理人首先根据基金规模确定目标ETF的持有量，剩余资产，除流动性管理所需以外，均进行被动式指数化投资管理。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（2）确定建仓策略：基金经理根据对成份股流动性、公司行为、基本面等因素的分析，确定合理的建仓策略。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（3）逐步调整：基金经理在规定时间内采用适当的手段构建和调整实际组合直至达到跟踪指数要求。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2、日常投资组合管理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（1）对目标ETF二级市场流动性及折溢价进行跟踪与分析，适当制订目标ETF份额的申购赎回、二级市场买卖策略。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（2）跟踪本基金申购和赎回信息，分析其对组合的影响，并进行相应的流动性管理。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（3）本基金直接投资于标的指数成份股和备选成份股的部分，采用被动式指</w:t>
      </w:r>
      <w:r>
        <w:rPr>
          <w:rFonts w:ascii="宋体" w:hAnsi="宋体"/>
          <w:sz w:val="24"/>
        </w:rPr>
        <w:lastRenderedPageBreak/>
        <w:t>数化投资的方法进行日常管理。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3、投资绩效评估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（1）每日，基金经理分析基金的跟踪偏离度。</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（2）每月末，量化投资部对本基金的运行情况进行量化评估。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每月末，基金经理根据评估报告分析当月的投资操作、组合状况和跟踪误差等情况，重点分析基金的偏离度和跟踪误差产生原因、现金控制情况、标的指数成份股调整前后的操作、以及成份股未来可能发生的变化等。</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正常市场情况下，本基金日均跟踪偏离度的绝对值不超过0.3%，年跟踪误差不超过4%。在目标ETF日均跟踪偏离度符合其基金合同所设定目标的前提下，如因指数编制规则调整或其他因素导致跟踪偏离度超过上述范围，基金管理人应采取合理措施避免跟踪偏离度进一步扩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（七）标的指数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本基金的标的指数即目标ETF的标的指数，为上证180公司治理指数。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上证180公司治理指数由上海证券交易所委托中证指数有限公司管理。上证180公司治理指数的所有权归属上海证券交易所。</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本基金按照基金合同的约定通过适当程序变更目标ETF时，标的指数应相应变更。</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（八）业绩比较基准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本基金的业绩比较基准为：标的指数×95%＋银行活期存款税后收益率×5%。</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若出现标的指数不符合要求（不包括因成份股价格波动等指数编制方法变动之外的因素致使标的指数不符合要求的情形）、指数编制机构退出等情形，基金管理人应当自该情形发生之日起十个工作日内向中国证监会报告并提出解决方案，如更换基金标的指数、转换运作方式，与其他基金合并或者终止基金合同等，并在6个月内召集基金份额持有人大会进行表决，基金份额持有人大会未成功召开或就上述事项表决未通过的，基金合同终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自指数编制机构停止标的指数的编制及发布至解决方案确定期间，基金管理人应按照指数编制机构提供的最近一个交易日的指数信息遵循基金份额持有人利益优先原则维持基金投资运作。</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若基金标的指数发生变更，基金业绩比较基准随之变更，由基金管理人根据标的指数变更情形履行对应适当程序，并在调整实施前依照《信息披露办法》的有关</w:t>
      </w:r>
      <w:r>
        <w:rPr>
          <w:rFonts w:ascii="宋体" w:hAnsi="宋体"/>
          <w:sz w:val="24"/>
        </w:rPr>
        <w:lastRenderedPageBreak/>
        <w:t>规定在中国证监会指定媒介上刊登公告。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（九）风险收益特征</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ETF联接基金，风险与收益高于混合基金、债券基金与货币市场基金。本基金为指数型基金，紧密跟踪标的指数，具有和标的指数所代表的股票市场相似的风险收益特征，属于证券投资基金中风险较高、收益较高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（十）投资限制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本基金的投资组合将遵循以下限制：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(1)进入全国银行间同业市场的债券回购融入的资金余额不得超过基金资产净值的40%；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(2)本基金参与股票发行申购，本基金所申报的金额不超过本基金的总资产，本基金所申报的股票数量不超过拟发行股票公司本次发行股票的总量；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(3)保持不低于基金资产净值5%的现金或者到期日在一年以内的政府债券，其中现金不包括结算备付金、存出保证金和应收申购款等；</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(4)本基金投资权证，在任何交易日买入的总金额，不超过上一交易日基金资产净值的0.5%，基金持有的全部权证的市值不超过基金资产净值的 3%，本基金管理人管理的全部基金持有同一权证的比例不超过该权证的10%。投资于其他权证的投资比例，遵从法律法规或监管部门的相关规定；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资产支持证券的信用级别均在BBB级以上。本基金持有的同一（指同一信用级别）资产支持证券的比例，不得超过该资产支持证券规模的10%；本基金投资于同一原始权益人的各类资产支持证券的比例，不得超过该基金资产净值的10%；基金管理人管理的全部证券投资基金投资于同一原始权益人的各类资产支持证券，不得超过其各类资产支持证券合计规模的10%；本基金持有的全部资产支持证券，其市值不得超过该基金资产净值的20%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w:t>
      </w:r>
      <w:r>
        <w:rPr>
          <w:rFonts w:ascii="宋体" w:hAnsi="宋体"/>
          <w:sz w:val="24"/>
        </w:rPr>
        <w:lastRenderedPageBreak/>
        <w:t>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(7)本基金与私募类证券资管产品及中国证监会认定的其他主体为交易对手开展逆回购交易的，可接受质押品的资质要求应当与基金合同约定的投资范围保持一致；</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(8)本基金不得违反基金合同中有关投资范围、投资策略、投资比例的规定；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(9)本基金投资存托凭证的比例限制依照境内上市交易的股票执行；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(10)法律法规或监管部门对上述比例限制另有规定的，从其规定。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3个月内使基金的投资组合比例符合基金合同的约定。在符合相关法律法规规定的前提下，除上述第（3）、（6）、（7）项以外,因证券市场波动、上市公司合并、基金规模变动等非本基金管理人的因素致使基金的投资组合不符合上述规定的投资比例的，基金管理人应当在10个交易日内进行调整。法律法规或监管部门另有规定的，从其规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若法律法规或监管部门取消上述限制，履行适当程序后，本基金投资可不受上述规定限制。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（十一）禁止行为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为维护基金份额持有人的合法权益，本基金禁止从事下列行为：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2、向他人贷款或者提供担保；</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4、买卖其他基金份额，但是国务院另有规定和指定的目标ETF除外；</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5、向基金管理人、基金托管人出资或者买卖基金管理人、基金托管人发行的股票或者债券；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6、买卖与基金管理人、基金托管人有控股关系的股东或者与基金管理人、基金托管人有其他重大利害关系的公司发行的证券或者承销期内承销的证券，但指定的目标ETF除外；</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7、从事内幕交易、操纵证券交易价格及其他不正当的证券交易活动；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8、依照法律法规有关规定，由中国证监会规定禁止的其他活动。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若法律法规或监管部门取消上述禁止性规定，履行适当程序后，本基金投资可不受上述规定限制。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（十二）目标ETF的变更</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当出现以下情形时，基金管理人可以在履行适当的程序后变更本基金所联接的目标ETF，以与原目标ETF有类似投资目标的ETF作为新的目标ETF：</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（1）目标ETF的基金合同终止；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（2）目标ETF与其他基金进行合并；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（3）目标ETF变更标的指数；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（4）目标ETF的基金管理人或基金托管人发生变更；</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（5）中国证监会规定的其他情形。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（十三）基金管理人代表基金行使股东权利的处理原则及方法</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1、基金管理人按照国家有关规定代表基金独立行使股东权利，保护基金份额持有人的利益；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（十四）基金的融资、融券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本基金可以根据有关法律法规和政策的规定进行融资、融券。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（十五）基金投资组合报告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本基金托管人中国农业银行根据本基金合同规定，于2025年07月17日复核了本报告中的财务指标、净值表现和投资组合报告等内容，保证复核内容不存在虚假记载、误导性陈述或者重大遗漏。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本投资组合报告期为2025年04月01日起至06月30日，所载财务数据未经审计师审计。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220,471,409.97</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93.79</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14,563,271.71</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6.20</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41,555.73</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235,076,237.41</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9、报告期末按公允价值占基金资产净值比例大小排序的前十名基金投资明细</w:t>
      </w:r>
    </w:p>
    <w:tbl>
      <w:tblPr>
        <w:tblW w:w="5000" w:type="pct"/>
        <w:tblCellMar>
          <w:left w:w="0" w:type="dxa"/>
          <w:right w:w="0" w:type="dxa"/>
        </w:tblCellMar>
        <w:tblLook w:val="0000" w:firstRow="0" w:lastRow="0" w:firstColumn="0" w:lastColumn="0" w:noHBand="0" w:noVBand="0"/>
      </w:tblPr>
      <w:tblGrid>
        <w:gridCol w:w="1255"/>
        <w:gridCol w:w="1255"/>
        <w:gridCol w:w="1255"/>
        <w:gridCol w:w="1255"/>
        <w:gridCol w:w="1255"/>
        <w:gridCol w:w="1573"/>
        <w:gridCol w:w="822"/>
      </w:tblGrid>
      <w:tr w:rsidR="0018298E">
        <w:trPr>
          <w:cantSplit/>
          <w:trHeight w:val="375"/>
        </w:trPr>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基金名称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基金类型</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运作方式</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管理人</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829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上证</w:t>
            </w:r>
            <w:r>
              <w:rPr>
                <w:rFonts w:ascii="Times New Roman" w:hAnsi="Times New Roman"/>
                <w:color w:val="000000"/>
                <w:kern w:val="0"/>
                <w:sz w:val="25"/>
                <w:szCs w:val="24"/>
              </w:rPr>
              <w:t>180</w:t>
            </w:r>
            <w:r>
              <w:rPr>
                <w:rFonts w:ascii="Times New Roman" w:hAnsi="Times New Roman"/>
                <w:color w:val="000000"/>
                <w:kern w:val="0"/>
                <w:sz w:val="25"/>
                <w:szCs w:val="24"/>
              </w:rPr>
              <w:t>公司治理交易型开放式指数证券投资基金</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股票型</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交易型开放式</w:t>
            </w:r>
            <w:r>
              <w:rPr>
                <w:rFonts w:ascii="Times New Roman" w:hAnsi="Times New Roman"/>
                <w:color w:val="000000"/>
                <w:kern w:val="0"/>
                <w:sz w:val="25"/>
                <w:szCs w:val="24"/>
              </w:rPr>
              <w:t>(ETF)</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交银施罗德基金管理有限公司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220,471,409.97</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93.88</w:t>
            </w:r>
          </w:p>
        </w:tc>
      </w:tr>
    </w:tbl>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10、报告期末本基金投资的股指期货交易情况说明</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报告期末本基金投资的股指期货持仓和损益明细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本基金投资股指期货的投资政策</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11、报告期末本基金投资的国债期货交易情况说明</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本期国债期货投资政策</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报告期末本基金投资的国债期货持仓和损益明细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本期国债期货投资评价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12、投资组合报告附注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12.1 本基金投资的前十名证券的发行主体本期是否出现被监管部门立案调查，或在报告编制日前一年内受到公开谴责、处罚的情形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12.2 基金投资的前十名股票是否超出基金合同规定的备选股票库</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18,717.47</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3</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22,838.26</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right"/>
              <w:rPr>
                <w:rFonts w:ascii="宋体" w:hAnsi="宋体"/>
                <w:color w:val="000000"/>
                <w:kern w:val="0"/>
                <w:sz w:val="25"/>
                <w:szCs w:val="24"/>
              </w:rPr>
            </w:pPr>
            <w:r>
              <w:rPr>
                <w:rFonts w:ascii="Times New Roman" w:hAnsi="Times New Roman"/>
                <w:color w:val="000000"/>
                <w:kern w:val="0"/>
                <w:sz w:val="25"/>
                <w:szCs w:val="24"/>
              </w:rPr>
              <w:t>41,555.73</w:t>
            </w:r>
          </w:p>
        </w:tc>
      </w:tr>
    </w:tbl>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12.4 报告期末持有的处于转股期的可转换债券明细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12.5 报告期末前十名股票中存在流通受限情况的说明</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12.6 投资组合报告附注的其他文字描述部分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75527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8298E" w:rsidRDefault="00755277">
      <w:pPr>
        <w:pStyle w:val="1"/>
        <w:snapToGrid w:val="0"/>
        <w:spacing w:beforeLines="0" w:before="240" w:after="240"/>
        <w:rPr>
          <w:rFonts w:ascii="宋体" w:hAnsi="宋体"/>
          <w:szCs w:val="30"/>
        </w:rPr>
      </w:pPr>
      <w:bookmarkStart w:id="14" w:name="_Toc210145098"/>
      <w:r>
        <w:rPr>
          <w:rFonts w:ascii="Times New Roman" w:hAnsi="Times New Roman"/>
          <w:sz w:val="30"/>
        </w:rPr>
        <w:lastRenderedPageBreak/>
        <w:t>十一、基金的业绩</w:t>
      </w:r>
      <w:bookmarkEnd w:id="14"/>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基金业绩截止日为2025年06月30日，所载财务数据未经审计师审计。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1829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1829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2.55%</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0.87%</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1829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1.61%</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0.69%</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1829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18.13%</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1.04%</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17.33%</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1.06%</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1829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-4.81%</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0.78%</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2.81%</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1829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-9.73%</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1.14%</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-13.12%</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3.39%</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1829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2.08%</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-2.90%</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0.99%</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1829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20.28%</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1.26%</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7.62%</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1.29%</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12.66%</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1829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24.98%</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1.12%</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20.71%</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1.12%</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4.27%</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1829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-18.24%</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1.20%</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-19.65%</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1.21%</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1.41%</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1829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21.52%</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19.44%</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2.08%</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1829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-5.70%</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1.27%</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-7.85%</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1.28%</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2.15%</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1829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-2.44%</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2.37%</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-4.74%</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2.41%</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2.30%</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1829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65.09%</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1.28%</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61.43%</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1.28%</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3.66%</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1829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-7.58%</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1.45%</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-9.52%</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1.46%</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1.94%</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1829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2012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13.58%</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1.22%</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11.46%</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1.20%</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2.12%</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1829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2011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-18.74%</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1.26%</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-19.15%</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1.25%</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1829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2010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-16.95%</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1.49%</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-18.77%</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1.50%</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1.82%</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1829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2009</w:t>
            </w:r>
            <w:r>
              <w:rPr>
                <w:rFonts w:ascii="Times New Roman" w:hAnsi="Times New Roman"/>
                <w:color w:val="000000"/>
                <w:kern w:val="0"/>
                <w:sz w:val="25"/>
                <w:szCs w:val="24"/>
              </w:rPr>
              <w:t>年度（</w:t>
            </w:r>
            <w:r>
              <w:rPr>
                <w:rFonts w:ascii="Times New Roman" w:hAnsi="Times New Roman"/>
                <w:color w:val="000000"/>
                <w:kern w:val="0"/>
                <w:sz w:val="25"/>
                <w:szCs w:val="24"/>
              </w:rPr>
              <w:t>2009</w:t>
            </w:r>
            <w:r>
              <w:rPr>
                <w:rFonts w:ascii="Times New Roman" w:hAnsi="Times New Roman"/>
                <w:color w:val="000000"/>
                <w:kern w:val="0"/>
                <w:sz w:val="25"/>
                <w:szCs w:val="24"/>
              </w:rPr>
              <w:t>年</w:t>
            </w:r>
            <w:r>
              <w:rPr>
                <w:rFonts w:ascii="Times New Roman" w:hAnsi="Times New Roman"/>
                <w:color w:val="000000"/>
                <w:kern w:val="0"/>
                <w:sz w:val="25"/>
                <w:szCs w:val="24"/>
              </w:rPr>
              <w:t>9</w:t>
            </w:r>
            <w:r>
              <w:rPr>
                <w:rFonts w:ascii="Times New Roman" w:hAnsi="Times New Roman"/>
                <w:color w:val="000000"/>
                <w:kern w:val="0"/>
                <w:sz w:val="25"/>
                <w:szCs w:val="24"/>
              </w:rPr>
              <w:t>月</w:t>
            </w:r>
            <w:r>
              <w:rPr>
                <w:rFonts w:ascii="Times New Roman" w:hAnsi="Times New Roman"/>
                <w:color w:val="000000"/>
                <w:kern w:val="0"/>
                <w:sz w:val="25"/>
                <w:szCs w:val="24"/>
              </w:rPr>
              <w:t>29</w:t>
            </w:r>
            <w:r>
              <w:rPr>
                <w:rFonts w:ascii="Times New Roman" w:hAnsi="Times New Roman"/>
                <w:color w:val="000000"/>
                <w:kern w:val="0"/>
                <w:sz w:val="25"/>
                <w:szCs w:val="24"/>
              </w:rPr>
              <w:t>日至</w:t>
            </w:r>
            <w:r>
              <w:rPr>
                <w:rFonts w:ascii="Times New Roman" w:hAnsi="Times New Roman"/>
                <w:color w:val="000000"/>
                <w:kern w:val="0"/>
                <w:sz w:val="25"/>
                <w:szCs w:val="24"/>
              </w:rPr>
              <w:t>2009</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1.50%</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1.23%</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17.55%</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1.68%</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-16.05%</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r>
    </w:tbl>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18298E" w:rsidRDefault="00755277">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交银施罗德上证180公司治理交易型开放式指数证券投资基金联接基金</w:t>
      </w:r>
    </w:p>
    <w:p w:rsidR="0018298E" w:rsidRDefault="00755277">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lastRenderedPageBreak/>
        <w:t>份额累计净值增长率与业绩比较基准收益率的历史走势对比图</w:t>
      </w:r>
    </w:p>
    <w:p w:rsidR="0018298E" w:rsidRDefault="00755277">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（2009年9月29日至2025年06月30日）</w:t>
      </w:r>
    </w:p>
    <w:p w:rsidR="0018298E" w:rsidRDefault="009607E9">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346.5pt">
            <v:imagedata r:id="rId17" o:title="1521256610242020828"/>
          </v:shape>
        </w:pic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注：本基金建仓期为自基金合同生效日起的3个月。截至建仓期结束，本基金各项资产配置比例符合基金合同及招募说明书有关投资比例的约定。</w:t>
      </w:r>
    </w:p>
    <w:p w:rsidR="00B439CC" w:rsidRDefault="0075527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8298E" w:rsidRDefault="00755277">
      <w:pPr>
        <w:pStyle w:val="1"/>
        <w:snapToGrid w:val="0"/>
        <w:spacing w:beforeLines="0" w:before="240" w:after="240"/>
        <w:rPr>
          <w:rFonts w:ascii="宋体" w:hAnsi="宋体"/>
          <w:szCs w:val="30"/>
        </w:rPr>
      </w:pPr>
      <w:bookmarkStart w:id="15" w:name="_Toc210145099"/>
      <w:r>
        <w:rPr>
          <w:rFonts w:ascii="Times New Roman" w:hAnsi="Times New Roman"/>
          <w:sz w:val="30"/>
        </w:rPr>
        <w:lastRenderedPageBreak/>
        <w:t>十二、基金的财产</w:t>
      </w:r>
      <w:bookmarkEnd w:id="15"/>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（一）基金合同的终止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有下列情形之一的，基金合同经中国证监会核准后将终止：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2、基金管理人职责终止，而在6个月内没有新的基金管理人承接的；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3、基金托管人职责终止，而在6个月内没有新的基金托管人承接的；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基金合同终止时，基金管理人应予公告并组织清算小组对基金财产进行清算。</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（二）基金财产的清算</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1、基金合同终止后，成立基金清算小组，基金清算小组在中国证监会的监督下进行基金财产清算。</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2、基金清算小组成员由基金管理人、基金托管人、具有从事证券相关业务资格的注册会计师、律师以及中国证监会指定的人员组成。基金财产清算组可以聘用必要的工作人员。</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3、基金清算小组负责基金财产的保管、清理、估价、变现和分配。基金清算小组可以依法进行必要的民事活动。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基金合同终止，应当按法律法规和基金合同的有关规定对基金财产进行清算。基金财产清算程序主要包括：</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(1)基金合同终止时，由基金清算小组统一接管基金财产；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(2)对基金财产进行清理和确认；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(3)对基金财产进行估价和变现；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(5)聘请律师事务所对清算报告出具法律意见书；</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(6)聘请会计师事务所对清算报告进行审计；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(7)将基金清算结果报告中国证监会；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(8)公布基金清算报告；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(9)对基金剩余财产进行分配。</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（三）清算费用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清算费用是指基金财产清算组在进行基金清算过程中发生的所有合理费用，清算费用由基金财产清算组优先从基金财产中支付。</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（四）基金财产的清偿、分配顺序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基金财产按照下列顺序清偿和分配：</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公告于基金合同终止并报中国证监会备案后5个工作日内由基金清算小组公告；清算过程中的有关重大事项须及时公告；基金财产清算结果经会计师事务所审计，律师事务所出具法律意见书后，由基金财产清算小组报中国证监会备案并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75527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8298E" w:rsidRDefault="00755277">
      <w:pPr>
        <w:pStyle w:val="1"/>
        <w:snapToGrid w:val="0"/>
        <w:spacing w:beforeLines="0" w:before="240" w:after="240"/>
        <w:rPr>
          <w:rFonts w:ascii="宋体" w:hAnsi="宋体"/>
          <w:szCs w:val="30"/>
        </w:rPr>
      </w:pPr>
      <w:bookmarkStart w:id="16" w:name="_Toc210145100"/>
      <w:r>
        <w:rPr>
          <w:rFonts w:ascii="Times New Roman" w:hAnsi="Times New Roman"/>
          <w:sz w:val="30"/>
        </w:rPr>
        <w:lastRenderedPageBreak/>
        <w:t>十三、基金资产的估值</w:t>
      </w:r>
      <w:bookmarkEnd w:id="16"/>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（一）估值目的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基金资产的估值目的是客观、准确地反映基金资产是否保值、增值，并为基金份额提供计价依据。</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本基金的估值日为相关的证券交易场所的正常营业日，以及国家法律法规规定需要对外披露基金净值的非营业日。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（三）估值对象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基金依法拥有的目标ETF份额、股票、债券、权证和银行存款本息、应收款项、其它投资等资产。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（四）估值方法</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1、目标ETF估值方法：</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本基金投资的目标ETF份额以目标ETF估值日的净值估值。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2、股票估值方法：</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（1）上市股票的估值：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市流通股票按估值日其所在证券交易所的收盘价估值；估值日无交易的，且最近交易日后经济环境未发生重大变化，以最近交易日的收盘价估值；如果估值日无交易，且最近交易日后经济环境发生了重大变化的，将参考类似投资品种的现行市价及重大变化因素，调整最近交易日收盘价，确定公允价值进行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（2）未上市股票的估值：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 首次发行未上市的股票，采用估值技术确定公允价值，在估值技术难以可靠计量公允价值的情况下，按成本价估值；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 送股、转增股、配股和公开增发新股等发行未上市的股票，按估值日在证券交易所上市的同一股票的市价进行估值；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 首次公开发行有明确锁定期的股票，同一股票在交易所上市后，按估值日在证券交易所上市的同一股票的市价进行估值；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 非公开发行的且在发行时明确一定期限锁定期的股票，按监管机构或行业协会有关规定确定公允价值。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（3）本基金投资存托凭证的估值核算依照境内上市交易的股票执行。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在任何情况下，基金管理人如采用本项第（1）－（3）小项规定的方法对基金资产进行估值，均应被认为采用了适当的估值方法。但是，如果基金管理人认为按本项第（1）－（3）小项规定的方法对基金资产进行估值不能客观反映其公允价值的，基金管理人可根据具体情况，并与基金托管人商定后，按最能反映公允价值的价格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（5）国家有最新规定的，按其规定进行估值。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2、债券估值方法：</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（1）交易所市场上市交易或挂牌转让的固定收益品种（另有规定的除外），选取第三方估值机构提供的相应品种当日的估值净价进行估值。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证券交易所市场挂牌交易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估值；如果估值日无交易，且最近交易日后经济环境发生了重大变化的，将参考类似投资品种的现行市价及重大变化因素，调整最近交易日收盘价，确定公允价值进行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（3）首次发行未上市债券采用估值技术确定的公允价值进行估值，在估值技术难以可靠计量公允价值的情况下，按成本估值。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（4）交易所以大宗交易方式转让的资产支持证券，采用估值技术确定公允价值，在估值技术难以可靠计量公允价值的情况下，按成本进行后续计量。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（5）在全国银行间债券市场交易的债券、资产支持证券等固定收益品种，采用估值技术确定公允价值。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（6）同一债券同时在两个或两个以上市场交易的，按债券所处的市场分别估值。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任何情况下，基金管理人如采用本项第（1）－（6）小项规定的方法对基金资产进行估值，均应被认为采用了适当的估值方法。但是，如果基金管理人认为按本项第（1）－（6）小项规定的方法对基金资产进行估值不能客观反映其公允价值的，基金管理人在综合考虑市场成交价、市场报价、流动性、收益率曲线等多种因素基础上形成的债券估值，基金管理人可根据具体情况与基金托管人商定后，按最能反映公允价值的价格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（8）国家有最新规定的，按其规定进行估值。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3、权证估值办法：</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持有的权证，从持有确认日起到卖出日或行权日止，上市交易的权证按估值日在证券交易所挂牌的该权证的收盘价估值；估值日没有交易的，且最近交易日后经济环境未发生重大变化，按最近交易日的收盘价估值；如最近交易日后经济环境发生了重大变化的，可参考类似投资品种的现行市价及重大变化因素，调整最近交易市价，确定公允价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（2）首次发行未上市的权证，采用估值技术确定公允价值，在估值技术难以可靠计量公允价值的情况下，按成本估值。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（3）因持有股票而享有的配股权，以及停止交易、但未行权的权证，采用估值技术确定公允价值进行估值。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任何情况下，基金管理人如采用本项第（1）－（3）项规定的方法对基金资产进行估值，均应被认为采用了适当的估值方法。但是，如果基金管理人认为按本项第（1）－（3）项规定的方法对基金资产进行估值不能客观反映其公允价值的，基金管理人可根据具体情况，并与基金托管人商定后，按最能反映公允价值的价格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（5）国家有最新规定的，按其规定进行估值。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4、其他有价证券等资产按国家有关规定进行估值。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（五）估值程序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日常估值由基金管理人进行。基金份额净值由基金管理人完成估值后，将估值结果以书面形式报给基金托管人，基金托管人按基金合同规定的估值方法、时间、程序进行复核，基金托管人复核无误后签章返回给基金管理人，由基金管理人依据基金合同和有关法律法规的规定予以公布。月末、年中和年末估值复核与基金会计账目的核对同时进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（六）估值错误的处理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1、差错类型</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本基金运作过程中，如果由于基金管理人或基金托管人或注册登记机构或代销机构或投资者自身的过错造成差错，导致其他当事人遭受损失的，差错的责任人应</w:t>
      </w:r>
      <w:r>
        <w:rPr>
          <w:rFonts w:ascii="宋体" w:hAnsi="宋体"/>
          <w:sz w:val="24"/>
        </w:rPr>
        <w:lastRenderedPageBreak/>
        <w:t>当对由于该差错遭受损失的当事人（“受损方”）按下述“差错处理原则”给予赔偿，承担赔偿责任。</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差错的主要类型包括但不限于：资料申报差错、数据传输差错、数据计算差错、系统故障差错、下达指令差错等；对于因技术原因引起的差错，若系同行业现有技术水平不能预见、不能避免、不能克服，则属不可抗力，按照下述规定执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由于不可抗力原因造成投资者的交易资料灭失或被错误处理或造成其他差错，因不可抗力原因出现差错的当事人不对其他当事人承担赔偿责任，但因该差错取得不当得利的当事人仍应负有返还不当得利的义务。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2、差错处理原则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已发生，但尚未给当事人造成损失时，差错责任方应及时协调各方，及时进行更正，因更正差错发生的费用由差错责任方承担；由于差错责任方未及时更正已产生的差错，给当事人造成损失的，由差错责任方承担；若差错责任方已经积极协调，并且有协助义务的当事人有足够的时间进行更正而未更正，则其应当承担相应赔偿责任。差错责任方应对更正的情况向有关当事人进行确认，确保差错已得到更正；</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（2）差错的责任方对可能导致有关当事人的直接损失负责，不对间接损失负责，并且仅对差错的有关直接当事人负责，不对第三方负责；</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差错而获得不当得利的当事人负有及时返还不当得利的义务。但差错责任方仍应对差错负责。如果由于获得不当得利的当事人不返还或不全部返还不当得利造成其他当事人的利益损失，则差错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差错责任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（4）差错调整采用尽量恢复至假设未发生差错的正确情形的方式；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差错责任方拒绝进行赔偿时，如果因基金管理人的行为造成基金财产损失时，基金托管人应为基金的利益向基金管理人追偿，如果因基金托管人的行为造成基金财产损失时，基金管理人应为基金的利益向基金托管人追偿。基金管理人和基金托管人之外的第三方造成基金财产的损失，并拒绝进行赔偿时，由基金管理人</w:t>
      </w:r>
      <w:r>
        <w:rPr>
          <w:rFonts w:ascii="宋体" w:hAnsi="宋体"/>
          <w:sz w:val="24"/>
        </w:rPr>
        <w:lastRenderedPageBreak/>
        <w:t>负责向差错方追偿；</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果出现差错的当事人未按规定对受损方进行赔偿，并且依据法律法规、基金合同或其他规定，基金管理人自行或依据法院判决、仲裁裁决对受损方承担了赔偿责任，则基金管理人有权向有责任的当事人进行追索，并有权要求其赔偿或补偿由此发生的费用和遭受的损失；</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（7）按法律法规规定的其他原则处理差错。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3、差错处理程序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差错被发现后，有关的当事人应当及时进行处理，处理的程序如下：</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（1）查明差错发生的原因，列明所有的当事人，并根据差错发生的原因确定差错的责任方；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（2）根据差错处理原则或当事人协商的方法对因差错造成的损失进行评估；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（3）根据差错处理原则或当事人协商的方法由差错的责任方进行更正和赔偿损失；</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（4）根据差错处理的方法，需要修改基金注册登记机构交易数据的，由基金注册登记机构进行更正，并就差错的更正向有关当事人进行确认。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4、基金份额净值差错处理的原则和方法</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3位以内（含第3位）发生差错时，视为基金份额净值错误；基金份额净值出现错误时，基金管理人应当立即予以纠正，通报基金托管人，并采取合理的措施防止损失进一步扩大；当错误达到或超过基金份额净值的0.25%时，基金管理人应当及时通知基金托管人并报中国证监会；错误偏差达到基金份额净值的0.5%时，基金管理人应当公告、通报基金托管人并报中国证监会备案；当发生净值计算错误时，由基金管理人负责处理，由此给基金份额持有人和基金造成损失的，应由基金管理人先行赔付，基金管理人按差错情形，有权向其他当事人追偿。</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（2）当基金份额净值计算差错给基金和基金份额持有人造成损失需要进行赔偿时，基金管理人和基金托管人应根据实际情况界定双方承担的责任，经确认后按以下条款进行赔偿：</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 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② 若基金管理人计算的基金份额净值已由基金托管人复核确认后公告，而且基金托管人未对计算过程提出疑义或要求基金管理人书面说明，份额净值出错且造成基金份额持有人损失的，应根据法律法规的规定对投资者或基金支付赔偿金，就实际向投资者或基金支付的赔偿金额，其中基金管理人承担50%，基金托管人承担50%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 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 由于基金管理人提供的信息错误（包括但不限于基金申购或赎回金额等），进而导致基金份额净值计算错误而引起的基金份额持有人和基金的损失，由基金管理人负责赔付。</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（3）基金管理人和基金托管人由于各自技术系统设置而产生的净值计算尾差，以基金管理人计算结果为准。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（4）前述内容如法律法规或者监管部门另有规定的，从其规定。如果行业有通行做法，双方当事人应本着平等和保护基金份额持有人利益的原则进行协商。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1、基金投资所涉及的证券交易所遇法定节假日或因其他原因暂停营业时；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2、基金所投资之目标ETF发生暂停估值，暂停公告基金份额净值的情形；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3、因不可抗力或其他情形致使基金管理人、基金托管人无法准确评估基金资产价值时；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4、占基金相当比例的投资品种的估值出现重大转变，而基金管理人为保障投资者的利益，已决定延迟估值；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5、如出现基金管理人认为属于紧急事故的任何情况，会导致基金管理人不能出售或评估基金资产的；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7、中国证监会和基金合同认定的其他情形。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（八）基金净值的确认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用于基金信息披露的基金资产净值和基金份额净值由基金管理人负责计算，基金托管人负责进行复核。基金管理人应于每个工作日交易结束后将当日的净值计算结果发送给基金托管人。基金托管人对净值计算结果复核确认后发送给基金管理人，由基金管理人依据基金合同和有关法律法规的规定对基金净值予以公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基金份额净值的计算精确到0.001元，小数点后第四位四舍五入。国家另有规定的，从其规定。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（九）特殊情形的处理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1、基金管理人或基金托管人按股票估值方法的第（4）项、债券估值方法的第（7）项、权证估值方法的第（4）项进行估值时，所造成的误差不作为基金资产估值错误处理。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证券交易所及登记结算公司发送的数据错误，有关会计制度变化或由于其他不可抗力原因，基金管理人和基金托管人虽然已经采取必要、适当、合理的措施进行检查，但是未能发现该错误而造成的基金份额净值计算错误，基金管理人、基金托管人可以免除赔偿责任。但基金管理人、基金托管人应积极采取必要的措施消除由此造成的影响。</w:t>
      </w:r>
    </w:p>
    <w:p w:rsidR="00B439CC" w:rsidRDefault="0075527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8298E" w:rsidRDefault="00755277">
      <w:pPr>
        <w:pStyle w:val="1"/>
        <w:snapToGrid w:val="0"/>
        <w:spacing w:beforeLines="0" w:before="240" w:after="240"/>
        <w:rPr>
          <w:rFonts w:ascii="宋体" w:hAnsi="宋体"/>
          <w:szCs w:val="30"/>
        </w:rPr>
      </w:pPr>
      <w:bookmarkStart w:id="17" w:name="_Toc210145101"/>
      <w:r>
        <w:rPr>
          <w:rFonts w:ascii="Times New Roman" w:hAnsi="Times New Roman"/>
          <w:sz w:val="30"/>
        </w:rPr>
        <w:lastRenderedPageBreak/>
        <w:t>十四、基金的收益与分配</w:t>
      </w:r>
      <w:bookmarkEnd w:id="17"/>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1、买卖证券差价；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2、基金投资所得红利、股息、债券利息；</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3、投资目标ETF份额所得收益；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4、银行存款利息；</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5、已实现的其他合法收入。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因运用基金财产带来的成本或费用的节约应计入收益。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（二）基金净收益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基金净收益为基金利润扣除按国家有关规定可以在基金利润中扣除的费用后的余额。</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（三）收益分配原则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本基金收益分配应遵循下列原则：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1、本基金的每份基金份额享有同等分配权；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2、收益分配时所发生的银行转账或其他手续费用由基金投资者自行承担；</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3、若基金合同生效不满3个月则可不进行收益分配；</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收益每年最多分配4次，每次基金收益分配比例不低于可供分配利润的10%；基金的收益分配比例应当以收益分配基准日可供分配利润为基准计算。收益分配基准日可供分配利润指收益分配基准日资产负债表中未分配利润与未分配利润中已实现利润的孰低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收益分配方式分为两种：现金分红与红利再投资，基金投资者可选择现金红利或将现金红利按除息日的基金份额净值自动转为基金份额进行再投资；若投资者不选择，本基金默认的收益分配方式是现金分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6、法律法规或监管机构另有规定的从其规定。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基金收益分配方案中应载明基金期末可供分配利润、基金收益分配对象、分配时间、分配数额及比例、分配方式、支付方式等内容。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（五）收益分配的时间和程序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1、本基金收益分配方案由基金管理人拟定、由基金托管人核实后确定，依照</w:t>
      </w:r>
      <w:r>
        <w:rPr>
          <w:rFonts w:ascii="宋体" w:hAnsi="宋体"/>
          <w:sz w:val="24"/>
        </w:rPr>
        <w:lastRenderedPageBreak/>
        <w:t>《信息披露办法》的有关规定在指定媒介公告。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2、在分配方案公布后，依据具体方案的规定，基金管理人就支付的现金红利向基金托管人发送划款指令，基金托管人按照基金管理人的指令及时进行分红资金的划付。</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3、基金红利发放日距离收益分配基准日（可供分配利润计算截至日）的时间不得超过15个工作日。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（六）收益分配中发生的费用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1、收益分配采用红利再投资方式免收再投资的费用。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2、收益分配时发生的银行转账等手续费用由基金份额持有人自行承担。</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至销售机构办理收益分配方式的修改，投资者对不同的交易账户可设置不同的收益分配方式。投资者同一日多次申报分红方式变更的，按照《业务规则》执行，最终确认的分红方式以注册登记机构记录为准。</w:t>
      </w:r>
    </w:p>
    <w:p w:rsidR="00B439CC" w:rsidRDefault="0075527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8298E" w:rsidRDefault="00755277">
      <w:pPr>
        <w:pStyle w:val="1"/>
        <w:snapToGrid w:val="0"/>
        <w:spacing w:beforeLines="0" w:before="240" w:after="240"/>
        <w:rPr>
          <w:rFonts w:ascii="宋体" w:hAnsi="宋体"/>
          <w:szCs w:val="30"/>
        </w:rPr>
      </w:pPr>
      <w:bookmarkStart w:id="18" w:name="_Toc210145102"/>
      <w:r>
        <w:rPr>
          <w:rFonts w:ascii="Times New Roman" w:hAnsi="Times New Roman"/>
          <w:sz w:val="30"/>
        </w:rPr>
        <w:lastRenderedPageBreak/>
        <w:t>十五、基金的费用与税收</w:t>
      </w:r>
      <w:bookmarkEnd w:id="18"/>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3、基金合同生效后的信息披露费用；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4、基金份额持有人大会费用；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5、基金合同生效后与基金有关的会计师费和律师费；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7、基金财产拨划支付的银行费用；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8、按照国家有关规定可以在基金财产中列支的其他费用。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投资于目标ETF的部分不收取管理费。在通常情况下，按前一日基金资产净值扣除基金财产中目标ETF份额所对应资产净值后剩余部分（若为负数，则取0）的0.5%年费率计提基金管理费。计算方法如下：</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H＝E×年管理费率÷当年天数，本基金年管理费率为0.5%</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E为前一日基金资产净值扣除基金财产中目标ETF份额所对应资产净值后的剩余部分，若为负数，则E取0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财产中一次性支付给基金管理人，若遇法定节假日、休息日，支付日期顺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投资于目标ETF的部分不收取托管费。在通常情况下，按前一日基金资产净值扣除基金财产中目标ETF份额所对应资产净值后剩余部分（若为负数，则取0）的0.1%年费率计提基金托管费。计算方法如下：</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H＝E×年托管费率÷当年天数，本基金年托管费率为0.1%</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E为前一日基金资产净值扣除基金财产中目标ETF份额所对应资产净值后的剩余部分，若为负数，则E取0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财产中一次性支付给基金托管人，若遇法定节假日、休息日，支付日期顺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（3）上述(一)中3到8项费用由基金托管人根据其他有关法律法规及相应协议的规定，按费用支出金额支付，列入或摊入当期基金费用。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本基金转换费的费率水平、计算公式和收取方式详见“基金的转换”一章。</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因未履行或未完全履行义务导致的费用支出或基金财产的损失，以及处理与基金运作无关的事项发生的费用等不列入基金费用。基金募集期间所发生的信息披露费、律师费和会计师费以及其他费用不从基金财产中支付，基金收取认购费的，可以从认购费中列支。</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（四）基金管理费和托管费的调整</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可根据基金发展情况调整基金管理费率和基金托管费率。降低基金管理费率、基金托管费率或改变收费模式，无须召开基金份额持有人大会。基金管理人必须依照有关规定在新的费率或收费模式实施日前在指定媒介上刊登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（五）基金税收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基金和基金份额持有人根据国家法律法规的规定，履行纳税义务。</w:t>
      </w:r>
    </w:p>
    <w:p w:rsidR="00B439CC" w:rsidRDefault="0075527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8298E" w:rsidRDefault="00755277">
      <w:pPr>
        <w:pStyle w:val="1"/>
        <w:snapToGrid w:val="0"/>
        <w:spacing w:beforeLines="0" w:before="240" w:after="240"/>
        <w:rPr>
          <w:rFonts w:ascii="宋体" w:hAnsi="宋体"/>
          <w:szCs w:val="30"/>
        </w:rPr>
      </w:pPr>
      <w:bookmarkStart w:id="19" w:name="_Toc210145103"/>
      <w:r>
        <w:rPr>
          <w:rFonts w:ascii="Times New Roman" w:hAnsi="Times New Roman"/>
          <w:sz w:val="30"/>
        </w:rPr>
        <w:lastRenderedPageBreak/>
        <w:t>十六、基金的会计与审计</w:t>
      </w:r>
      <w:bookmarkEnd w:id="19"/>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1、基金管理人为本基金的会计责任方；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2、本基金的会计年度为公历每年的1月1日至12月31日；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3、本基金的会计核算以人民币为记账本位币，以人民币元为记账单位；</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4、会计制度执行国家有关的会计制度；</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6、基金管理人及基金托管人分别保留完整的会计账目、凭证并进行日常的会计核算，按照有关规定编制基金会计报表；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7、基金托管人定期与基金管理人就基金的会计核算、报表编制等进行核对并书面确认。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（二）基金的审计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1、基金管理人聘请具有证券、期货相关从业资格的会计师事务所及其注册会计师对本基金年度财务报表及其他规定事项进行审计。会计师事务所及其注册会计师与基金管理人、基金托管人相互独立。</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2、会计师事务所更换经办注册会计师时，应事先征得基金管理人同意。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3、基金管理人(或基金托管人)认为有充足理由更换会计师事务所，经基金托管人(或基金管理人)同意后可以更换。更换会计师事务所需按照《信息披露办法》的有关规定在指定媒介公告。</w:t>
      </w:r>
    </w:p>
    <w:p w:rsidR="00B439CC" w:rsidRDefault="0075527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8298E" w:rsidRDefault="00755277">
      <w:pPr>
        <w:pStyle w:val="1"/>
        <w:snapToGrid w:val="0"/>
        <w:spacing w:beforeLines="0" w:before="240" w:after="240"/>
        <w:rPr>
          <w:rFonts w:ascii="宋体" w:hAnsi="宋体"/>
          <w:szCs w:val="30"/>
        </w:rPr>
      </w:pPr>
      <w:bookmarkStart w:id="20" w:name="_Toc210145104"/>
      <w:r>
        <w:rPr>
          <w:rFonts w:ascii="Times New Roman" w:hAnsi="Times New Roman"/>
          <w:sz w:val="30"/>
        </w:rPr>
        <w:lastRenderedPageBreak/>
        <w:t>十七、基金的信息披露</w:t>
      </w:r>
      <w:bookmarkEnd w:id="20"/>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本基金的信息披露应符合《基金法》、《运作办法》、《信息披露办法》、《流动性规定》、《基金合同》及其他有关规定。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本基金信息披露义务人承诺公开披露的基金信息，不得有下列行为：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本基金公开披露的信息应采用中文文本。如同时采用外文文本的，基金信息披露义务人应保证不同文本的内容一致。不同文本之间发生歧义的，以中文文本为准。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（一）公开披露的基金信息</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1、招募说明书、基金合同、托管协议、基金产品资料概要</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《基金合同》生效后，在开始办理基金份额申购或者赎回前，基金管理人应当至少每周在指定网站披露一次基金份额净值和基金份额累计净值。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在开始办理基金份额申购或者赎回后，基金管理人应当在不晚于每个开放日的次日，通过指定网站、销售机构网站或者营业网点披露开放日的基金份额净值和基金份额累计净值。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w:t>
      </w:r>
      <w:r>
        <w:rPr>
          <w:rFonts w:ascii="宋体" w:hAnsi="宋体"/>
          <w:sz w:val="24"/>
        </w:rPr>
        <w:lastRenderedPageBreak/>
        <w:t>度和年度最后一日的基金份额净值和基金份额累计净值。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w:t>
      </w:r>
      <w:r>
        <w:rPr>
          <w:rFonts w:ascii="宋体" w:hAnsi="宋体"/>
          <w:sz w:val="24"/>
        </w:rPr>
        <w:lastRenderedPageBreak/>
        <w:t>务所；</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（16）基金份额净值计价错误达基金份额净值百分之零点五；</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（22）基金推出新业务或服务；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（23）基金信息披露义务人认为可能对基金份额持有人权益或者基金份额的价格产生重大影响的其他事项或中国证监会规定的其他事项。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11、中国证监会规定的其他信息。</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（二）信息披露事务管理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基金管理人、基金托管人除依法在指定媒介上披露信息外，还可以根据需要在其他公共媒介披露信息，但是其他公共媒介不得早于指定媒介披露信息，并且在不同媒介上披露同一信息的内容应当一致。</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（三）信息披露文件的存放与查阅</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（四）本基金信息披露事项以法律法规规定及本章节约定的内容为准。</w:t>
      </w:r>
    </w:p>
    <w:p w:rsidR="00B439CC" w:rsidRDefault="0075527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8298E" w:rsidRDefault="00755277">
      <w:pPr>
        <w:pStyle w:val="1"/>
        <w:snapToGrid w:val="0"/>
        <w:spacing w:beforeLines="0" w:before="240" w:after="240"/>
        <w:rPr>
          <w:rFonts w:ascii="宋体" w:hAnsi="宋体"/>
          <w:szCs w:val="30"/>
        </w:rPr>
      </w:pPr>
      <w:bookmarkStart w:id="21" w:name="_Toc210145105"/>
      <w:r>
        <w:rPr>
          <w:rFonts w:ascii="Times New Roman" w:hAnsi="Times New Roman"/>
          <w:sz w:val="30"/>
        </w:rPr>
        <w:lastRenderedPageBreak/>
        <w:t>十八、风险揭示</w:t>
      </w:r>
      <w:bookmarkEnd w:id="21"/>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者购买基金，既可能按其持有份额分享基金投资所产生的收益，也可能承担基金投资所带来的损失。</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者将可能无法及时赎回持有的全部基金份额。</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基金分为股票基金、混合基金、债券基金、货币市场基金等不同类型，投资者投资不同类型的基金将获得不同的收益预期，也将承担不同程度的风险。一般来说，基金的收益预期越高，投资者承担的风险也越大。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认真阅读基金合同、招募说明书、基金产品资料概要等基金法律文件，了解基金的风险收益特征，并根据自身的投资目的、投资期限、投资经验、资产状况等判断基金是否和投资者的风险承受能力相适应。</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充分了解基金定期定额投资和零存整取等储蓄方式的区别。定期定额投资是引导投资者进行长期投资、平均投资成本的一种简单易行的投资方式。但是定期定额投资并不能规避基金投资所固有的风险，不能保证投资者获得收益，也不是替代储蓄的等效理财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者基金投资的“买者自负”原则，在做出投资决策后，基金运营状况与基金净值变化引致的投资风险，由投资者自行负</w:t>
      </w:r>
      <w:r>
        <w:rPr>
          <w:rFonts w:ascii="宋体" w:hAnsi="宋体"/>
          <w:sz w:val="24"/>
        </w:rPr>
        <w:lastRenderedPageBreak/>
        <w:t>担。</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者的申购和赎回。如果基金资产不能迅速转变成现金，或者变现为现金时使资金净值产生不利的影响，都会影响基金运作和收益水平。尤其是在发生巨额赎回时，如</w:t>
      </w:r>
      <w:r>
        <w:rPr>
          <w:rFonts w:ascii="宋体" w:hAnsi="宋体"/>
          <w:sz w:val="24"/>
        </w:rPr>
        <w:lastRenderedPageBreak/>
        <w:t>果基金资产变现能力差，可能会产生基金仓位调整的困难，导致流动性风险，可能影响基金份额净值。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本基金的投资市场主要为证券交易所、全国银行间债券市场等流动性较好的规范型交易场所，主要投资对象为目标 ETF、标的指数成份股（含存托凭证）、备选成份股（含存托凭证），为更好地实现投资目标，本基金也可少量投资于新股（含存托凭证）、债券及中国证监会允许基金投资的其它金融工具，同时本基金基于分散投资的原则在行业和个券方面未有高集中度的特征，综合评估在正常市场环境下本基金的流动性风险适中。</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日的基金总份额的10%，即认为是发生了巨额赎回。</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当基金出现巨额赎回时，基金管理人可以根据基金当时的资产组合状况决定全额赎回或部分顺延赎回。</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(1)全额赎回：当基金管理人认为有能力支付基金投资者的赎回申请时，按正常赎回程序执行。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顺延赎回：当基金管理人认为支付基金投资者的赎回申请有困难或认为支付投资者的赎回申请而进行的财产变现可能会对基金资产净值造成较大波动时，基金管理人在当日接受赎回比例不低于上一日基金总份额的10%的前提下，对其余赎回申请延期办理。对于当日的赎回申请，应当按单个账户赎回申请量占赎回申请总量的比例，确定当日受理的赎回份额；基金投资者未能赎回部分，投资者在提交赎回申请时可以选择延期赎回或取消赎回。选择延期赎回的，将自动转入下一个开放日继续赎回，直到全部赎回为止；选择取消赎回的，当日未获赎回的部分申请将被撤销。延期的赎回申请与下一开放日赎回申请一并处理，无优先权并以该开</w:t>
      </w:r>
      <w:r>
        <w:rPr>
          <w:rFonts w:ascii="宋体" w:hAnsi="宋体"/>
          <w:sz w:val="24"/>
        </w:rPr>
        <w:lastRenderedPageBreak/>
        <w:t>放日的基金份额净值为基础计算赎回金额，并以此类推，直到全部赎回为止。如基金投资者在提交赎回申请时未作明确选择，投资者未能赎回部分作自动延期赎回处理。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顺延赎回”的约定方式与其他基金份额持有人的赎回申请一并办理。但是，如该类基金份额持有人在当日选择取消赎回，则其当日未获受理的部分赎回申请将被撤销。</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正常支付时间20个工作日，并应当在指定媒介进行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（四）信用风险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（五）投资本基金的特有风险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1、目标ETF的风险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本基金为ETF联接基金，主要投资对象是目标ETF，因此目标ETF面临的风险可能直接或间接成为本基金的风险。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2、标的指数回报与股票市场平均回报偏离的风险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标的指数并不能完全代表整个股票市场。标的指数成份股的平均回报率与整个</w:t>
      </w:r>
      <w:r>
        <w:rPr>
          <w:rFonts w:ascii="宋体" w:hAnsi="宋体"/>
          <w:sz w:val="24"/>
        </w:rPr>
        <w:lastRenderedPageBreak/>
        <w:t>股票市场的平均回报率可能存在偏离。</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3、标的指数波动的风险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标的指数成份股的价格可能受到政治因素、经济因素、上市公司经营状况、投资者心理和交易制度等各种因素的影响而波动，导致指数波动，从而使基金收益水平发生变化，产生风险。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4、基金投资组合回报与标的指数回报偏离的风险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（1）本基金90%以上的净资产投资于目标ETF，目标ETF回报与标的指数回报的偏离会造成本基金与标的指数的跟踪偏离；</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（2）本基金有投资成本、各种费用及税收，而指数编制不考虑费用和税收，这将导致本基金收益率落后于标的指数收益率，产生负的跟踪偏离度；</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受市场流动性风险的影响，本基金在实际管理过程中，由于投资者申购而增加的资金可能不能及时地转化为目标ETF份额和成份股、或在面临投资者赎回时无法以赎回价格将目标ETF份额和成份股及时地转化为现金，使得本基金在跟踪标的指数时存在一定的跟踪偏离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本基金实行指数化投资过程中，基金管理人对指数基金的管理能力，例如跟踪标的指数的水平、技术手段、买入卖出证券的时机选择等，都会对本基金的收益产生影响，从而影响本基金相对于对标的指数的偏离程度。</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5、跟踪误差控制未达约定目标的风险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本基金力争控制本基金日均跟踪偏离度的绝对值不超过0.3%，年跟踪误差不超过4%。但因标的指数编制规则调整或其他因素可能导致跟踪误差超过上述范围，本基金净值表现与指数价格走势可能发生较大偏离。</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6、指数编制机构停止服务的风险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标的指数由指数编制机构发布并管理和维护，未来指数编制机构可能由于各种原因停止对指数的管理和维护，本基金将根据基金合同的约定自该情形发生之日起十个工作日内向中国证监会报告并提出解决方案，如更换基金标的指数、转换运作方式，与其他基金合并或者终止基金合同等，并在6个月内召集基金份额持有人大会进行表决，基金份额持有人大会未成功召开或就上述事项表决未通过的，基金合同终止。 投资人将面临更换基金标的指数、转换运作方式，与其他基金合并或者终止基金合同等风险。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自指数编制机构停止标的指数的编制及发布至解决方案确定期间，基金管理人</w:t>
      </w:r>
      <w:r>
        <w:rPr>
          <w:rFonts w:ascii="宋体" w:hAnsi="宋体"/>
          <w:sz w:val="24"/>
        </w:rPr>
        <w:lastRenderedPageBreak/>
        <w:t>应按照指数编制机构提供的最近一个交易日的指数信息遵循基金份额持有人利益优先原则维持基金投资运作，该期间由于标的指数不再更新等原因可能导致指数表现与相关市场表现存在差异，影响投资收益。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7、成份股停牌的风险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标的指数成份股可能因各种原因临时或长期停牌，发生成份股停牌时可能面临如下风险：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（1）基金可能因无法及时调整投资组合而导致跟踪偏离度和跟踪误差扩大。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（2）若成份股停牌时间较长，在约定时间内仍未能及时买入或卖出的，由此可能影响投资者的投资损益并使基金产生跟踪偏离度和跟踪误差。</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极端情况下，标的指数成份股可能大面积停牌，基金可能无法及时卖出成份股以获取足额的符合要求的赎回款项，由此基金管理人可能采取暂停赎回的措施，投资者将面临无法赎回全部或部分基金份额的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当标的指数成份股发生明显负面事件面临退市，且指数编制机构暂未作出调整的，基金管理人应当按照持有人利益优先的原则，履行内部决策程序后及时对相关成份股进行调整，可能影响投资者的投资损益并使基金产生跟踪偏离度和跟踪误差。</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8、本基金为目标ETF的联接基金，但不能保证本基金的表现与目标ETF的表现完全一致，产生差异的原因包括以下几个方面：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（1）本基金赎回采用现金方式，为支付现金赎回款，相比目标ETF，本基金需要保留更多的现金资产；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（2）本基金申购采用现金方式，在利用到账的申购资金投资目标ETF过程中，市场波动等原因会造成本基金与目标ETF表现的差异；</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（3）本基金为应对现金申购赎回而进行的证券交易需支付一定的手续费，此等费用将影响本基金相对于目标ETF的表现。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9、本基金可投资创业板股票，创业板个股上市后的前五个交易日不设价格涨跌幅限制，第六个交易日开始涨跌幅限制比例为20%。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（六）投资科创板股票的特定风险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本基金可投资于科创板股票，会面临科创板机制下因投资标的、市场制度以及交易规则等差异带来的特有风险，包括但不限于市场风险、流动性风险、退市风险、系统性风险、政策风险等。</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（1）市场风险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（七）投资存托凭证的特定风险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w:t>
      </w:r>
      <w:r>
        <w:rPr>
          <w:rFonts w:ascii="宋体" w:hAnsi="宋体"/>
          <w:sz w:val="24"/>
        </w:rPr>
        <w:lastRenderedPageBreak/>
        <w:t>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（八）本基金法律文件风险收益特征表述与销售机构基金风险评价可能不一致的风险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（九）其他风险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75527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8298E" w:rsidRDefault="00755277">
      <w:pPr>
        <w:pStyle w:val="1"/>
        <w:snapToGrid w:val="0"/>
        <w:spacing w:beforeLines="0" w:before="240" w:after="240"/>
        <w:rPr>
          <w:rFonts w:ascii="宋体" w:hAnsi="宋体"/>
          <w:szCs w:val="30"/>
        </w:rPr>
      </w:pPr>
      <w:bookmarkStart w:id="22" w:name="_Toc210145106"/>
      <w:r>
        <w:rPr>
          <w:rFonts w:ascii="Times New Roman" w:hAnsi="Times New Roman"/>
          <w:sz w:val="30"/>
        </w:rPr>
        <w:lastRenderedPageBreak/>
        <w:t>十九、基金合同的终止与基金财产的清算</w:t>
      </w:r>
      <w:bookmarkEnd w:id="22"/>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（一）基金合同的终止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有下列情形之一的，基金合同经中国证监会核准后将终止：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2、基金管理人职责终止，而在6个月内没有新的基金管理人承接的；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3、基金托管人职责终止，而在6个月内没有新的基金托管人承接的；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基金合同终止时，基金管理人应予公告并组织清算小组对基金财产进行清算。</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（二）基金财产的清算</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1、基金合同终止后，成立基金清算小组，基金清算小组在中国证监会的监督下进行基金财产清算。</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2、基金清算小组成员由基金管理人、基金托管人、具有从事证券相关业务资格的注册会计师、律师以及中国证监会指定的人员组成。基金财产清算组可以聘用必要的工作人员。</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3、基金清算小组负责基金财产的保管、清理、估价、变现和分配。基金清算小组可以依法进行必要的民事活动。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基金合同终止，应当按法律法规和基金合同的有关规定对基金财产进行清算。基金财产清算程序主要包括：</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(1)基金合同终止时，由基金清算小组统一接管基金财产；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(2)对基金财产进行清理和确认；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(3)对基金财产进行估价和变现；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(5)聘请律师事务所对清算报告出具法律意见书；</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(6)聘请会计师事务所对清算报告进行审计；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(7)将基金清算结果报告中国证监会；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(8)公布基金清算报告；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(9)对基金剩余财产进行分配。</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（三）清算费用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清算费用是指基金财产清算组在进行基金清算过程中发生的所有合理费用，清算费用由基金财产清算组优先从基金财产中支付。</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（四）基金财产的清偿、分配顺序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基金财产按照下列顺序清偿和分配：</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公告于基金合同终止并报中国证监会备案后5个工作日内由基金清算小组公告；清算过程中的有关重大事项须及时公告；基金财产清算结果经会计师事务所审计，律师事务所出具法律意见书后，由基金财产清算小组报中国证监会备案并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75527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8298E" w:rsidRDefault="00755277">
      <w:pPr>
        <w:pStyle w:val="1"/>
        <w:snapToGrid w:val="0"/>
        <w:spacing w:beforeLines="0" w:before="240" w:after="240"/>
        <w:rPr>
          <w:rFonts w:ascii="宋体" w:hAnsi="宋体"/>
          <w:szCs w:val="30"/>
        </w:rPr>
      </w:pPr>
      <w:bookmarkStart w:id="23" w:name="_Toc210145107"/>
      <w:r>
        <w:rPr>
          <w:rFonts w:ascii="Times New Roman" w:hAnsi="Times New Roman"/>
          <w:sz w:val="30"/>
        </w:rPr>
        <w:lastRenderedPageBreak/>
        <w:t>二十、基金合同内容摘要</w:t>
      </w:r>
      <w:bookmarkEnd w:id="23"/>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（一）基金合同当事人及权利义务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（1）自本基金合同生效之日起，依照有关法律法规和本基金合同的规定独立运用基金财产；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（2）获得基金管理人报酬；</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（3）依照有关规定行使因基金财产投资于证券所产生的权利；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符合有关法律法规和本基金合同的前提下，制订和调整有关基金认购、申购、赎回、转换、非交易过户、转托管等业务的规则，在法律法规和本基金合同规定的范围内决定和调整基金的除调高托管费率、管理费率和赎回费率之外的费率结构和收费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根据本基金合同及有关规定监督基金托管人，对于基金托管人违反了本基金合同或有关法律法规规定的行为，对基金财产、其他基金当事人的利益造成重大损失的情形，应及时呈报中国证监会和银行业监督管理机构，并采取必要措施保护基金及相关基金当事人的利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（6）在基金合同约定的范围内，拒绝或暂停受理申购、赎回和转换申请；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（7）自行担任基金注册登记机构或选择、更换注册登记机构，并对注册登记机构的代理行为进行必要的监督和检查；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（8）选择、更换代销机构，并依据销售代理协议和有关法律法规，对其行为进行必要的监督和检查；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（9）在基金托管人更换时，提名新的基金托管人；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（10）依法召集基金份额持有人大会；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（11）选择、更换律师事务所、会计师事务所、证券经纪商或其他为基金提供服务的外部机构；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（12）根据国家有关规定，在法律法规允许的前提下，为基金的利益依法为基金融资、融券；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（13）法律法规规定的其他权利。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2、基金管理人的义务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（1）依法募集基金，办理或者委托经由证监会认定的其他机构代为办理基金</w:t>
      </w:r>
      <w:r>
        <w:rPr>
          <w:rFonts w:ascii="宋体" w:hAnsi="宋体"/>
          <w:sz w:val="24"/>
        </w:rPr>
        <w:lastRenderedPageBreak/>
        <w:t>份额的发售、申购、赎回和注册登记事宜；</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（3）自基金合同生效之日起，以诚实信用、勤勉尽责的原则管理和运用基金财产；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（5）建立健全内部风险控制、监察与稽核、财务管理及人事管理等制度，保证所管理的基金财产和基金管理人的财产相互独立，对所管理的不同基金财产分别管理，分别记账，进行证券投资；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（6）除依据《基金法》、基金合同及其他有关规定外，不得为自己及任何第三人谋取利益，不得委托第三人运作基金财产；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（8）计算并公告基金净值信息，确定基金份额申购、赎回价格；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（9）采取适当合理的措施使计算基金份额认购、申购、赎回和注销价格的方法符合基金合同等法律文件的规定；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（10）按规定受理基金份额的申购和赎回申请，及时、足额支付赎回款项；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（11）进行基金会计核算并编制基金财务会计报告；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（12）编制季度报告、中期报告和年度报告；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（13）严格按照《基金法》、基金合同及其他有关规定，履行信息披露及报告义务；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（14）保守基金商业秘密，不得泄露基金投资计划、投资意向等。除《基金法》、基金合同及其他有关规定另有规定外，在基金信息公开披露前应予保密，不得向他人泄露；</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（15）按照基金合同的约定确定基金收益分配方案，及时向基金份额持有人分配收益；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（16）依据《基金法》、基金合同及其他有关规定召集基金份额持有人大会或配合基金托管人、基金份额持有人依法召集基金份额持有人大会；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（17）保存基金财产管理业务活动的记录、账册、报表和其他相关资料；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（18）以基金管理人名义，代表基金份额持有人利益行使诉讼权利或者实施其他法律行为；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（19）组织并参加基金财产清算小组，参与基金财产的保管、清理、估价、变现和分配；</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（20）因违反基金合同导致基金财产的损失或损害基金份额持有人合法权益，应当承担赔偿责任，其赔偿责任不因其退任而免除；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（21）基金托管人违反基金合同造成基金财产损失时，应为基金份额持有人利益向基金托管人追偿；</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（22）按规定向基金托管人提供基金份额持有人名册资料；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（23）建立并保存基金份额持有人名册；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（24）面临解散、依法被撤销或者被依法宣告破产时，及时报告中国证监会并通知基金托管人；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（26）不从事任何有损基金及其他基金合同当事人利益的活动；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（27）依照法律法规为基金的利益对被投资公司行使股东权利，为基金的利益行使因基金财产投资于证券所产生的权利，不谋求对上市公司的控股和直接管理；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（28）法律法规、基金合同规定的以及中国证监会要求的其他义务。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3、基金托管人的权利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（1）获得基金托管费；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（2）自本基金合同生效之日起，依法保管基金财产；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（3）在基金管理人更换时，提名新任基金管理人；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本基金合同及有关规定监督基金管理人，对于基金管理人违反本基金合同或有关法律法规规定的行为，对基金财产、其他基金合同当事人的利益造成重大损失的情形，应及时呈报中国证监会，并采取必要措施保护基金及相关基金合同当事人的利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（5）依法召集基金份额持有人大会；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（6）按规定取得基金份额持有人名册；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（7）法律法规规定的其他权利。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4、基金托管人的义务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（2）设立专门的基金托管部，具有符合要求的营业场所，配备足够的、合格的熟悉基金托管业务的专职人员，负责基金财产托管事宜；</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建立健全内部风险控制、监察与稽核、财务管理及人事管理等制度，确保基金财产的安全，保证其托管的基金财产与基金托管人自有财产以及不同的基金财产相互独立；对所托管的不同基金财产分别设置账户，独立核算，分账管理，保证不同基金之间在名册登记、账户设置、资金划拨、账册记录等方面相互独立；</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（4）除依据《基金法》、基金合同及其他有关规定外，不得为自己及任何第三人谋取利益，不得委托第三人托管基金财产；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（7）保守基金商业秘密。除《基金法》、基金合同及其他有关规定另有规定外，在基金信息公开披露前应予保密，不得向他人泄露；</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（9）保存基金托管业务活动的记录、账册、报表和其他相关资料不少于15年；</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（10）按照基金合同的约定，根据基金管理人的投资指令，及时办理清算、交割事宜；</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（11）办理与基金托管业务活动有关的信息披露事项；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（12）复核、审查基金管理人计算的基金资产净值、基金份额净值和基金份额申购、赎回价格；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（13）按照规定监督基金管理人的投资运作；</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（14）按规定制作相关账册并与基金管理人核对；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（15）依据基金管理人的指令或有关规定向基金份额持有人支付基金收益和赎回款项；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（16）按照规定召集基金份额持有人大会或配合基金份额持有人依法自行召集基金份额持有人大会；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（17）因违反基金合同导致基金财产损失，应承担赔偿责任，其赔偿责任不因其退任而免除；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（18）按规定监督基金管理人按照法律法规规定和基金合同履行其义务，基金管理人因违反基金合同造成基金财产损失时，应为基金向基金管理人追偿；</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（19）根据本基金合同和托管协议规定建立并保存基金份额持有人名册；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（20）参加基金财产清算组，参与基金财产的保管、清理、估价、变现和分配；</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（21）面临解散、依法被撤销、破产或者由接管人接管其资产时，及时报告中国证监会和银行业监督管理机构，并通知基金管理人；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（22）执行生效的基金份额持有人大会的决定；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（23）法律法规、基金合同规定的以及中国证监会要求的其他义务。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5、基金份额持有人的权利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根据《基金法》、《运作办法》及其他有关法律法规的规定，基金份额持有人的权利包括但不限于：</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（3）依法转让或者根据基金合同约定申请赎回其持有的基金份额；</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（5）出席或者委派代表出席本基金基金份额持有人大会或目标ETF基金份额持有人大会，对本基金基金份额持有人大会或目标ETF基金份额持有人大会审议事项行使表决权；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（8）对基金管理人、基金托管人、基金份额代销机构损害其合法权益的行为依法提起诉讼；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（9）法律法规和基金合同规定的其他权利。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6、基金份额持有人的义务包括但不限于：</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根据《基金法》、《运作办法》及其他有关法律法规的规定，基金份额持有人的义务包括但不限于：</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（1）遵守法律法规、基金合同及其他有关规定；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（2）缴纳基金认购、申购款项及法律法规、基金合同和招募说明书规定的费用；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（3）在持有的基金份额范围内，承担基金亏损或者基金合同终止的有限责任；</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（4）不从事任何有损基金及其他基金份额持有人合法权益的活动；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（5）执行生效的基金份额持有人大会决议；</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（6）返还在基金交易过程中因任何原因，自基金管理人、基金托管人及基金管理人的代理人处获得的不当得利；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（7）法律法规和基金合同规定的其他义务。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本基金合同当事各方的权利义务以本基金合同为依据，不因基金财产账户名称而有所改变。</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1、基金份额持有人大会由基金份额持有人或基金份额持有人的合法授权代表共同组成。基金份额持有人持有的每一基金份额拥有平等的投票权。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2、召开事由</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经基金管理人、基金托管人或持有基金份额10%以上(“以上”含本数，下同)的基金份额持有人(以基金管理人收到提议当日的基金份额计算，下同)提议时，应当召开基金份额持有人大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2)转换基金运作方式；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3)变更基金类别、投资目标、投资范围或投资策略；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4)变更基金份额持有人大会议事程序；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5)更换基金管理人、基金托管人；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6)提高基金管理人、基金托管人的报酬标准以及赎回费率，但根据法律法规的要求提高该等报酬标准的除外；</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8)对基金合同当事人权利、义务产生重大影响，需召开基金份额持有人大会的变更基金合同等其他事项；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9)基金管理人代表本基金的基金份额持有人提议召开或召集目标ETF份额持有人大会；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10)法律法规、基金合同或中国证监会规定的其他情形。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（2）出现以下情形之一的，可由基金管理人和基金托管人协商后修改，不需召开基金份额持有人大会：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1)调低基金管理费、基金托管费、其他应由基金或基金份额持有人承担的费</w:t>
      </w:r>
      <w:r>
        <w:rPr>
          <w:rFonts w:ascii="宋体" w:hAnsi="宋体"/>
          <w:sz w:val="24"/>
        </w:rPr>
        <w:lastRenderedPageBreak/>
        <w:t>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2)在法律法规和本基金合同规定的范围内调整基金的申购费率、调低赎回费率或变更收费方式；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3)因为当事人名称、住所、法定代表人变更，当事人分立、合并等原因导致基金合同内容必须做出相应变动的；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4)因相应的法律法规发生变动必须对基金合同进行修改；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5)基金合同的修改不涉及本基金合同当事人权利义务关系发生变化；</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6)基金合同的修改对基金份额持有人利益无实质性不利影响；</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7)按照法律法规或本基金合同规定不需召开基金份额持有人大会的其他情形。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3、召集人和召集方式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（1）除法律法规或本基金合同另有约定外，基金份额持有人大会由基金管理人召集。基金管理人未按规定召集或者不能召集时，由基金托管人召集。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自行召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代表基金份额10%以上的基金份额持有人认为有必要召开基金份额持有人大会的，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的基金份额持有人就同一事项要求召开基金份额持有人大会，而基金管理人、基金托管人都不召集的，代表基金份额10%以上的基金份额持有人有权自行召集基金份额持有人大会，但应当至少提前30日向中国证监会备案。</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（5）基金份额持有人依法自行召集基金份额持有人大会的，基金管理人、基金托管人应当配合，不得阻碍、干扰。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4、召开基金份额持有人大会的通知时间、通知内容、通知方式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集人(以下简称“召集人”)负责选择确定开会时间、地点、方式和权益登记日。召开基金份额持有人大会，召集人必须至少于会议召开日前30日在指定媒介公告。基金份额持有人大会通知须至少载明以下内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1)会议召开的时间、地点和出席方式；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2)会议拟审议的主要事项；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3)会议形式；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4)议事程序；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5)有权出席基金份额持有人大会的基金份额持有人权益登记日；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6)授权委托证明的内容要求(包括但不限于代理人身份、代理权限和代理有效期限等)、送达时间和地点；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7)表决方式；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8)会务常设联系人姓名、电话；</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9)出席会议者必须准备的文件和必须履行的手续；</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10)召集人需要通知的其他事项。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用通讯方式开会并进行表决的情况下，由召集人决定通讯方式和书面表决方式，并在会议通知中说明本次基金份额持有人大会所采取的具体通讯方式、委托的公证机关及其联系方式和联系人、书面表达意见的寄交的截止时间和收取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基金管理人或基金托管人拒不派代表对书面表决意见的计票进行监督的，不影响计票和表决结果。</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5、基金份额持有人出席会议的方式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1)基金份额持有人大会的召开方式包括现场开会和通讯方式开会。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2)现场开会由基金份额持有人本人出席或授权委托委派其代理人出席，现场开会时基金管理人和基金托管人的授权代表应当出席，基金管理人或基金托管人拒不</w:t>
      </w:r>
      <w:r>
        <w:rPr>
          <w:rFonts w:ascii="宋体" w:hAnsi="宋体"/>
          <w:sz w:val="24"/>
        </w:rPr>
        <w:lastRenderedPageBreak/>
        <w:t>派代表出席的，不影响表决效力。</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3)通讯方式开会指按照本基金合同的相关规定以通讯的书面方式进行表决。</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（2）召开基金份额持有人大会的条件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在同时符合以下条件时，现场会议方可举行：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①经核对、汇总，到会者出示的在权益登记日持有基金份额的凭证显示，全部有效凭证所对应的基金份额应占权益登记日基金总份额的50%以上（含50%，下同）；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亲自出席会议者持有基金份额持有人凭证及身份证明和受托出席会议者身份证明及其出具的委托人持有基金份额的凭证及授权委托证明等文件符合有关法律法规和基金合同及会议通知的规定，并且持有基金份额的凭证与基金管理人持有的注册登记资料相符。</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未能满足上述条件的情况下，则召集人可另行确定并公告重新开会的时间(至少应在25个工作日后)和地点，但确定有权出席会议的基金份额持有人资格的权益登记日不变。</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在同时符合以下条件时，通讯会议方可举行：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①召集人按本基金合同规定公布会议通知后，在2个工作日内连续公布相关提示性公告；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召集人在基金托管人(如果基金托管人为召集人，则为基金管理人；以下称为“监督人”)和公证机关的监督下按照会议通知规定的方式收取和统计基金份额持有人的书面表决意见，监督人经通知拒不参加收取和统计书面表决意见的，不影响表决效力；</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③本人直接出具书面意见或授权他人代表出具书面意见的基金份额持有人所代表的基金份额应占权益登记日基金总份额的50%以上；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直接出具书面意见的基金份额持有人或受托代表他人出具书面意见的代表，同时提交的持有基金份额的凭证和受托出席会议者出具的委托人持有基金份额的凭证和授权委托证明等文件符合法律法规、基金合同和会议通知的规定，并与注册登记机构记录相符；</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如果开会条件达不到上述的条件，则召集人可另行确定并公告重新表决的时间</w:t>
      </w:r>
      <w:r>
        <w:rPr>
          <w:rFonts w:ascii="宋体" w:hAnsi="宋体"/>
          <w:sz w:val="24"/>
        </w:rPr>
        <w:lastRenderedPageBreak/>
        <w:t>(至少应在25个工作日后)，且确定有权出席会议的基金份额持有人资格的权益登记日不变。</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6、议事内容与程序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1)议事内容为本基金合同规定的召开基金份额持有人大会事由所涉及的内容以及会议召集人认为需提交基金份额持有人大会讨论的其他事项。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单独或合并持有权益登记日本基金总份额10%以上的基金份额持有人可以在大会召集人发出会议通知前就召开事由向大会召集人提交需由基金份额持有人大会审议表决的提案；也可以在会议通知发出后向大会召集人提交临时提案，临时提案应当在大会召开日前35日提交召集人。召集人对于临时提案应当在大会召开日前30日公告。否则，会议的召开日期应当顺延并保证至少与临时提案公告日期有30日的间隔期。</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3)对于基金份额持有人提交的提案(包括临时提案)，大会召集人应当按照以下原则对提案进行审核：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关联性。大会召集人对于基金份额持有人提案涉及事项与基金有直接关系，并且不超出法律法规和基金合同规定的基金份额持有人大会职权范围的，应提交大会审议；对于不符合上述要求的，不提交基金份额持有人大会审议。如果召集人决定不将基金份额持有人提案提交大会表决，应当在该次基金份额持有人大会上进行解释和说明。</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程序性。大会召集人可以对基金份额持有人的提案涉及的程序性问题作出决定。如将其提案进行分拆或合并表决，需征得原提案人同意；原提案人不同意变更的，大会主持人可以就程序性问题提请基金份额持有人大会作出决定，并按照基金份额持有人大会决定的程序进行审议。</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单独或合并持有权益登记日基金总份额10%以上的基金份额持有人提交基金份额持有人大会审议表决的提案、基金管理人或基金托管人提交基金份额持有人大会审议表决的提案，未获基金份额持有人大会审议通过，就同一提案再次提请基金份额持有人大会审议，其时间间隔不少于6个月。法律法规另有规定的除外。</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5)基金份额持有人大会的召集人发出召开会议的通知后，如果需要对原有提案进行修改，应当最迟在基金份额持有人大会召开日前30日公告。否则，会议的召开日期应当顺延并保证至少与公告日期有30日的间隔期。</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（2）议事程序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在现场开会的方式下，首先由大会主持人按照规定程序宣布会议议事程序及注意事项，确定和公布监票人，然后由大会主持人宣读提案，经讨论后进行表决，经合法执业的律师见证后形成大会决议。</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大会由基金管理人授权代表主持。在基金管理人授权代表未能主持大会的情况下，由基金托管人授权代表主持；如果基金管理人和基金托管人授权代表均未能主持大会，则由出席大会的基金份额持有人和代理人以所代表的基金份额50%以上多数选举产生一名代表作为该次基金份额持有人大会的主持人。基金管理人和基金托管人不出席或主持基金份额持有人大会，不影响基金份额持有人大会作出的决议的效力。</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召集人应当制作出席会议人员的签名册。签名册载明参加会议人员姓名(或单位名称)、身份证号码、住所地址、持有或代表有表决权的基金份额、委托人姓名(或单位名称)等事项。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2)通讯方式开会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表决开会的方式下，首先由召集人提前30日公布提案，在所通知的表决截止日期第2日在公证机构及监督人的监督下由召集人统计全部有效表决并形成决议。如监督人经通知但拒绝到场监督，则在公正机关监督下形成的决议有效。</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（3）基金份额持有人大会不得对未事先公告的议事内容进行表决。</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7、决议形成的条件、表决方式、程序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（1）基金份额持有人所持每一基金份额享有平等的表决权。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（2）基金份额持有人大会决议分为一般决议和特别决议：</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一般决议须经出席会议的基金份额持有人及其代理人所持表决权的50%以上通过方为有效，除下列2)所规定的须以特别决议通过事项以外的其他事项均以一般决议的方式通过；</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特别决议须经出席会议的基金份额持有人及代理人所持表决权的三分之二以上通过方为有效；更换基金管理人、更换基金托管人、转换基金运作方式、终止基金合同必须以特别决议通过方为有效。</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（3）基金份额持有人大会决定的事项，应当依法报中国证监会核准，或者备案，并予以公告。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采取通讯方式进行表决时，除非在计票时有充分的相反证据证明，否则表面符合法律法规和会议通知规定的书面表决意见即视为有效的表决，表决意见模糊不清或相互矛盾的视为弃权表决，但应当计入出具书面意见的基金份额持有人所代表的基金份额总数。</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（5）基金份额持有人大会采取记名方式进行投票表决。</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（6）基金份额持有人大会的各项提案或同一项提案内并列的各项议题应当分开审议、逐项表决。</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8、计票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基金份额持有人大会由基金管理人或基金托管人召集，则基金份额持有人大会的主持人应当在会议开始后宣布在出席会议的基金份额持有人和代理人中推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推举3名基金份额持有人担任监票人。基金管理人或基金托管人不出席大会的，不影响计票的效力及表决结果。</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2)监票人应当在基金份额持有人表决后立即进行清点，由大会主持人当场公布计票结果。</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会议主持人对于提交的表决结果有怀疑，可以对投票数进行重新清点；如会议主持人未进行重新清点，而出席会议的基金份额持有人或代理人对会议主持人宣布的表决结果有异议，其有权在宣布表决结果后立即要求重新清点，会议主持人应当立即重新清点并公布重新清点结果。重新清点仅限一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（2）通讯方式开会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方式开会的情况下，计票方式为：由大会召集人授权的两名监督员在监督人的监督下进行计票，并由公证机关对其计票过程予以公证。基金管理人或基金托管人不派代表监督计票的，不影响计票效力及表决结果。但基金管理人或基金托管人应当至少提前两个工作日通知召集人，由召集人邀请无直接利害关系的第三方</w:t>
      </w:r>
      <w:r>
        <w:rPr>
          <w:rFonts w:ascii="宋体" w:hAnsi="宋体"/>
          <w:sz w:val="24"/>
        </w:rPr>
        <w:lastRenderedPageBreak/>
        <w:t>担任监督计票人员。</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9、基金份额持有人大会决议报中国证监会核准或备案后的公告时间、方式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通过的一般决议和特别决议，召集人应当自通过之日起5日内报中国证监会核准或者备案。基金份额持有人大会决定的事项自中国证监会依法核准或者出具无异议意见之日起生效，并在生效后方可执行。关于本章第2款所规定的第1)-7)项召开事由的基金份额持有人大会决议经中国证监会核准生效后方可执行，关于本条第2款所规定的第8)、9)项召开事由的基金份额持有人大会决议经中国证监会核准或出具无异议意见后方可执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（2）生效的基金份额持有人大会决议对全体基金份额持有人、基金管理人、基金托管人均有约束力。基金管理人、基金托管人和基金份额持有人应当执行生效的基金份额持有人大会的决定。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（3）基金份额持有人大会决议应自生效之日起2日内在指定媒介公告。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（4）如果采用通讯方式进行表决，在公告基金份额持有人大会决议时，必须将公证书全文、公证机关、公证员姓名等一同公告。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鉴于本基金是目标ETF的联接基金，本基金的基金份额持有人可以凭所持有的本基金份额出席或者委派代表出席目标ETF的份额持有人大会并参与表决，其持有的享有表决权的基金份额数和表决票数为，在目标ETF基金份额持有人大会的权益登记日，本基金持有目标ETF份额的总数乘以该持有人所持有的本基金份额占本基金总份额的比例，计算结果按照四舍五入的方法，保留到整数位。</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不应以本基金的名义代表本基金的全体基金份额持有人以目标ETF的基金份额持有人的身份行使表决权，但可接受本基金的特定基金份额持有人的委托以本基金的基金份额持有人代理人的身份出席目标ETF的基金份额持有人大会并参与表决。</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代表本基金的基金份额持有人提议召开或召集目标ETF份额持有人大会的，须先遵照本基金基金合同的约定召开本基金的基金份额持有人大会，本基金的基金份额持有人大会决定提议召开或召集目标ETF份额持有人大会的，由本基金基金管理人代表本基金的基金份额持有人提议召开或召集目标ETF份额持有人大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11、法律法规或中国证监会对基金份额持有人大会另有规定的，从其规定。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（三）基金合同的变更与终止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1、基金合同的变更</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（1）下列涉及到基金合同内容变更的事项应召开基金份额持有人大会并经基金份额持有人大会决议同意：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1)转换基金运作方式；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2)变更基金类别，投资目标、投资范围或投资策略；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3)变更基金份额持有人大会议事程序；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5)提高基金管理人、基金托管人的报酬标准以及赎回费率，但根据法律法规的要求提高该等报酬标准的除外；</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6)本基金与其他基金的合并；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7)对基金合同当事人权利、义务产生重大影响，需召开基金份额持有人大会的变更基金合同等其他事项；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8)法律法规、基金合同或中国证监会规定的其他情形。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但出现下列情况时，可不经基金份额持有人大会决议，由基金管理人和基金托管人同意变更后公布经修订的基金合同，并报中国证监会备案：</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1)调低基金管理费、基金托管费、其他应由基金或基金份额持有人承担的费用；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2)在法律法规和本基金合同规定的范围内调整基金的申购费率、调低赎回费率或变更收费方式；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3)因为当事人名称、住所、法定代表人变更，当事人分立、合并等原因导致基金合同内容必须做出相应变动的；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4)因相应的法律法规发生变动必须对基金合同进行修改；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5)基金合同的修改不涉及本基金合同当事人权利义务关系发生变化；</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6)基金合同的修改对基金份额持有人利益无实质性不利影响；</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7)按照法律法规或本基金合同规定不需召开基金份额持有人大会的其他情形。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（2）关于变更基金合同的基金份额持有人大会决议经中国证监会核准或备案，并经中国证监会核准或出具无异议意见之日起生效。基金管理人应在上述基金份额持有人大会决议生效后2日内在指定媒介公告。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有下列情形之一的，本基金合同经中国证监会核准后将终止：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（1）基金份额持有人大会决定终止的；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（2）基金管理人职责终止，而在6个月内没有新的基金管理人承接的；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（3）基金托管人职责终止，而在6个月内没有新的基金托管人承接的；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（四）争议的处理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基金合同的订立、内容、履行和解释或与基金合同有关的争议，基金合同当事人应尽量通过协商、调解途径解决。不愿或者不能通过协商、调解解决的，任何一方均有权将争议提交中国国际经济贸易仲裁委员会，按照中国国际经济贸易仲裁委员会届时有效的仲裁规则进行仲裁。仲裁地点为北京市。仲裁裁决是终局的，对当事人均有约束力。</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本基金合同适用中华人民共和国法律并从其解释。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（五）基金合同存放地和投资者取得基金合同的方式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本基金合同正本一式六份，除上报相关监管部门两份外，基金管理人和基金托管人各持有两份。每份均具有同等的法律效力。</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本基金合同可印制成册，供基金投资者在基金管理人处、基金托管人处查阅。基金合同条款及内容应以基金合同正本为准。</w:t>
      </w:r>
    </w:p>
    <w:p w:rsidR="00B439CC" w:rsidRDefault="0075527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8298E" w:rsidRDefault="00755277">
      <w:pPr>
        <w:pStyle w:val="1"/>
        <w:snapToGrid w:val="0"/>
        <w:spacing w:beforeLines="0" w:before="240" w:after="240"/>
        <w:rPr>
          <w:rFonts w:ascii="宋体" w:hAnsi="宋体"/>
          <w:szCs w:val="30"/>
        </w:rPr>
      </w:pPr>
      <w:bookmarkStart w:id="24" w:name="_Toc210145108"/>
      <w:r>
        <w:rPr>
          <w:rFonts w:ascii="Times New Roman" w:hAnsi="Times New Roman"/>
          <w:sz w:val="30"/>
        </w:rPr>
        <w:lastRenderedPageBreak/>
        <w:t>二十一、托管协议的内容摘要</w:t>
      </w:r>
      <w:bookmarkEnd w:id="24"/>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注册资本：贰亿元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基金托管业务批准文号：中国证监会证监基字[1998]23号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注册资本：32,479,411.7万元人民币</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 算；办理票据承兑与贴现；发行金融债券；代理发行、代理兑付、承销政府债券；买卖政府债券、金融债券；从事同业拆借；买卖、代理买卖外汇；结汇、售汇；从事银行卡业务；提供信用证服务及担保；代理收付款项及代理保险业务；提供保管箱服务；代理资金清算；各类汇兑业务；代理政策性银行、外国政府和国际金融机构贷</w:t>
      </w:r>
      <w:r>
        <w:rPr>
          <w:rFonts w:ascii="宋体" w:hAnsi="宋体"/>
          <w:sz w:val="24"/>
        </w:rPr>
        <w:lastRenderedPageBreak/>
        <w:t>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 券投资托管业务；代理开放式基金业务；电话银行、手机银行、网上银行业务；金融衍生产品交易业务；经国务院银行业监督管理机构等监管部门批准的其他业务。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本基金以目标ETF、标的指数成份股（含存托凭证）、备选成份股（含存托凭证）为主要投资对象，把全部或接近全部的基金资产用于跟踪标的指数的表现，正常情况下投资于目标ETF的资产比例不低于基金资产净值的90%，基金持有的现金或者到期日在一年以内的政府债券的比例不低于基金资产净值的5%，其中现金不包括结算备付金、存出保证金和应收申购款等。此外，为更好地实现投资目标，本基金也可少量投资于新股（含存托凭证）、债券及中国证监会允许基金投资的其它金融工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2、基金托管人根据有关法律法规的规定及基金合同的约定，对基金投资、融资、融券比例进行监督。基金托管人按下述比例和调整期限进行监督：</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（1）进入全国银行间同业市场的债券回购融入的资金余额不得超过基金资产净值的40%；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（2）本基金参与股票发行申购，本基金所申报的金额不超过本基金的总资产，本基金所申报的股票数量不超过拟发行股票公司本次发行股票的总量；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（3）保持不低于基金资产净值5%的现金或者到期日在一年以内的政府债券，其中现金不包括结算备付金、存出保证金和应收申购款等；</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（4）本基金投资权证，在任何交易日买入的总金额，不超过上一交易日基金</w:t>
      </w:r>
      <w:r>
        <w:rPr>
          <w:rFonts w:ascii="宋体" w:hAnsi="宋体"/>
          <w:sz w:val="24"/>
        </w:rPr>
        <w:lastRenderedPageBreak/>
        <w:t>资产净值的0.5%，基金持有的全部权证的市值不超过基金资产净值的 3%，本基金管理人管理的全部基金持有同一权证的比例不超过该权证的10%。投资于其他权证的投资比例，遵从法律法规或监管部门的相关规定。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资产支持证券的信用级别均在BBB级以上。本基金持有的同一（指同一信用级别）资产支持证券的比例，不得超过该资产支持证券规模的10%；本基金投资于同一原始权益人的各类资产支持证券的比例，不得超过该基金资产净值的10%；基金管理人管理的全部证券投资基金投资于同一原始权益人的各类资产支持证券，不得超过其各类资产支持证券合计规模的10%；本基金持有的全部资产支持证券，其市值不得超过该基金资产净值的20%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（7）本基金与私募类证券资管产品及中国证监会认定的其他主体为交易对手开展逆回购交易的，可接受质押品的资质要求应当与基金合同约定的投资范围保持一致；</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（8）本基金不得违反基金合同中有关投资范围、投资策略、投资比例的规定；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（9）本基金投资存托凭证的比例限制依照境内上市交易的股票执行；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（10）法律法规或监管部门对上述比例限制另有规定的，从其规定。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除上述第（3）、（6）、（7）项以外,因证券市场波动、上市公司合并、基金规模变动等基金管理人之外的因素致使基金投资比例不符合上述规定的投资比例的，基金管理人应当在10个交易日内进行调整。</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基金管理人应当自基金合同生效之日起3个月内使基金的投资组合比例符合基金合同的有关约定。法律法规或监管部门另有规定的，从其规定。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上述投资组合限制条款中，若属法律法规的强制性规定，则当法律法规或监管部门取消上述限制，在履行适当程序后，本基金投资可不受上述规定限制。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基金托管人对基金投资的监督和检查自基金合同生效之日起开始。</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3、基金托管人根据有关法律法规的规定及基金合同的约定，对本协议第十五条第九项基金投资禁止行为进行监督。基金托管人通过事后监督方式对基金管理人</w:t>
      </w:r>
      <w:r>
        <w:rPr>
          <w:rFonts w:ascii="宋体" w:hAnsi="宋体"/>
          <w:sz w:val="24"/>
        </w:rPr>
        <w:lastRenderedPageBreak/>
        <w:t>基金投资禁止行为和关联交易进行监督。根据法律法规有关基金禁止从事关联交易的规定，基金管理人和基金托管人相互提供与本机构有控股关系的股东、与本机构有其他重大利害关系的公司名单及有关关联方交易证券名单。基金管理人和基金托管人有责任确保关联交易名单的真实性、准确性、完整性，并负责及时将更新后的名单发送给对方。</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托管人发现基金管理人与关联交易名单中列示的关联方进行法律法规禁止基金从事的关联交易时，基金托管人应及时提醒并协助基金管理人采取必要措施阻止该关联交易的发生，如基金托管人采取必要措施后仍无法阻止关联交易发生时，基金托管人有权向中国证监会报告。对于基金管理人已成交的关联交易，基金托管人事前无法阻止该关联交易的发生，只能进行事后结算，基金托管人不承担由此造成的损失，并向中国证监会报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3个工作日内与基金托管人协商解决。基金管理人收到基金托管人以双方约定方式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或交易方式进行交易时，基金托管人应及时提醒基金管理人，基金托管人不承担由此造成的任何损失和责任。</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6、基金托管人发现基金管理人的上述事项及投资指令或实际投资运作中违反</w:t>
      </w:r>
      <w:r>
        <w:rPr>
          <w:rFonts w:ascii="宋体" w:hAnsi="宋体"/>
          <w:sz w:val="24"/>
        </w:rPr>
        <w:lastRenderedPageBreak/>
        <w:t>法律法规和基金合同的规定，应及时以书面形式通知基金管理人限期纠正。基金管理人应积极配合和协助基金托管人的监督和核查。基金管理人收到通知后应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和证券账户、复核基金管理人计算的基金资产净值和基金份额净值、根据基金管理人指令办理清算交收、相关信息披露和监督基金投资运作等行为。</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w:t>
      </w:r>
      <w:r>
        <w:rPr>
          <w:rFonts w:ascii="宋体" w:hAnsi="宋体"/>
          <w:sz w:val="24"/>
        </w:rPr>
        <w:lastRenderedPageBreak/>
        <w:t>应积极配合基金管理人的核查行为，包括但不限于：提交相关资料以供基金管理人核查托管财产的完整性和真实性，在规定时间内答复基金管理人并改正。</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（1）基金募集期间的资金应存于中国证券登记结算有限责任公司。该账户由基金管理人委托的注册登记机构开立并管理。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开立的基金资金账户，同时在规定时间内，聘请具有从事证券相关业务资格的会计师事务所进行验资，出具验资报告。</w:t>
      </w:r>
      <w:r>
        <w:rPr>
          <w:rFonts w:ascii="宋体" w:hAnsi="宋体"/>
          <w:sz w:val="24"/>
        </w:rPr>
        <w:lastRenderedPageBreak/>
        <w:t>出具的验资报告由参加验资的2名或2名以上中国注册会计师签字方为有效。</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（3）若基金募集期限届满，未能达到基金合同生效的条件，由基金管理人按规定办理退款等事宜，基金托管人应提供充分协助。</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（1）基金托管人应负责本基金的资金账户的开设和管理。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可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（3）基金资金账户的开立和使用，限于满足开展本基金业务的需要。基金托管人和基金管理人不得假借本基金的名义开立任何其他银行账户；亦不得使用基金的任何账户进行本基金业务以外的活动。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（4）基金资金账户的开立和管理应符合相关法律法规的有关规定。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5、债券托管专户的开设和管理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的有关规定，在中央国债登记结算有限责任公司开立债券托管与结算账户，并代表基金进行银行间市场债券的结算。基金管理人和基金托管人同时代表基金签订全国银行间债券市场债券回购主协议。</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（1）因业务发展需要而开立的其他账户，可以根据法律法规和基金合同的规定，在基金管理人和基金托管人商议后由基金托管人负责开立。新账户按有关规则使用并管理。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托管人对托管人以外机构实际有效控制的证券不承担保管责任。</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为基金合同终止后15年。</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（五）基金资产估值、基金资产净值计算与复核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1、基金资产净值的计算及复核程序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基金资产净值是指基金资产总值减去负债后的金额。</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基金份额净值是指基金资产净值除以基金份额总数。基金份额净值的计算，精确到0.001元，小数点后第四位四舍五入，由此产生的误差计入基金财产。国家另有规定的，从其规定。</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每工作日计算基金资产净值及基金份额净值，经基金托管人复核后按规定公</w:t>
      </w:r>
      <w:r>
        <w:rPr>
          <w:rFonts w:ascii="宋体" w:hAnsi="宋体"/>
          <w:sz w:val="24"/>
        </w:rPr>
        <w:lastRenderedPageBreak/>
        <w:t>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基金管理人每工作日对基金资产进行估值后，将基金份额净值结果发送基金托管人，经基金托管人复核无误后，由基金管理人依据基金合同和有关法律法规的规定对外公布。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2、基金资产估值方法和特殊情形的处理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基金依法拥有的目标ETF份额、股票、债券、权证和银行存款本息、应收款项、其它投资等资产。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1）目标ETF估值方法：</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本基金投资的目标ETF份额以目标ETF估值日的净值估值。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2）股票估值方法：</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①上市股票的估值：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市流通股票按估值日其所在证券交易所的收盘价估值；估值日无交易的，且最近交易日后经济环境未发生重大变化，以最近交易日的收盘价估值；如果估值日无交易，且最近交易日后经济环境发生了重大变化的，将参考类似投资品种的现行市价及重大变化因素，调整最近交易日收盘价，确定公允价值进行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②未上市股票的估值。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a.首次发行未上市的股票，采用估值技术确定公允价值，在估值技术难以可靠计量公允价值的情况下，按成本价估值；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b.送股、转增股、配股和增发等方式发行的股票，按估值日在证券交易所上市的同一股票的市价进行估值；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c.首次公开发行有明确锁定期的股票，同一股票在交易所上市后，按估值日在证券交易所上市的同一股票的市价进行估值；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d.非公开发行的且在发行时明确一定期限锁定期的股票，按监管机构或行业协会有关规定确定公允价值。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③本基金投资存托凭证的估值核算依照境内上市交易的股票执行。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④在任何情况下，基金管理人如采用本项第①－③小项规定的方法对基金资产进行估值，均应被认为采用了适当的估值方法。但是，如果基金管理人认为按本项</w:t>
      </w:r>
      <w:r>
        <w:rPr>
          <w:rFonts w:ascii="宋体" w:hAnsi="宋体"/>
          <w:sz w:val="24"/>
        </w:rPr>
        <w:lastRenderedPageBreak/>
        <w:t>第①－③小项规定的方法对基金资产进行估值不能客观反映其公允价值的，基金管理人可根据具体情况，并与基金托管人商定后，按最能反映公允价值的价格估值；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⑤国家有最新规定的，按其规定进行估值。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3）债券估值办法：</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①交易所市场上市交易或挂牌转让的固定收益品种（另有规定的除外），选取第三方估值机构提供的相应品种当日的估值净价进行估值。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在证券交易所市场挂牌交易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估值；如果估值日无交易，且最近交易日后经济环境发生了重大变化的，将参考类似投资品种的现行市价及重大变化因素，调整最近交易日收盘价，确定公允价值进行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③首次发行未上市债券采用估值技术确定的公允价值进行估值，在估值技术难以可靠计量公允价值的情况下，按成本估值。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④交易所以大宗交易方式转让的资产支持证券，采用估值技术确定公允价值，在估值技术难以可靠计量公允价值的情况下，按成本进行后续计量。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⑤在全国银行间债券市场交易的债券、资产支持证券等固定收益品种，采用估值技术确定公允价值。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⑥同一债券同时在两个或两个以上市场交易的，按债券所处的市场分别估值。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⑦在任何情况下，基金管理人如采用本项第①－⑥小项规定的方法对基金资产进行估值，均应被认为采用了适当的估值方法。但是，如果基金管理人认为按本项第①－⑥小项规定的方法对基金资产进行估值不能客观反映其公允价值的，基金管理人在综合考虑市场成交价、市场报价、流动性、收益率曲线等多种因素基础上形成的债券估值，基金管理人可根据具体情况与基金托管人商定后，按最能反映公允价值的价格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⑧国家有最新规定的，按其规定进行估值。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4）权证估值方法：</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基金持有的权证，从持有确认日起到卖出日或行权日止，上市交易的权证按估值日在证券交易所挂牌的该权证的收盘价估值；估值日没有交易的，且最近交易日后经济环境未发生重大变化，按最近交易日的收盘价估值；如最近交易日后经济</w:t>
      </w:r>
      <w:r>
        <w:rPr>
          <w:rFonts w:ascii="宋体" w:hAnsi="宋体"/>
          <w:sz w:val="24"/>
        </w:rPr>
        <w:lastRenderedPageBreak/>
        <w:t>环境发生了重大变化的，可参考类似投资品种的现行市价及重大变化因素，调整最近交易市价，确定公允价格。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②首次发行未上市的权证，采用估值技术确定公允价值，在估值技术难以可靠计量公允价值的情况下，按成本估值。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③因持有股票而享有的配股权，以及停止交易、但未行权的权证，采用估值技术确定公允价值进行估值。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在任何情况下，基金管理人如采用本项第①－③项规定的方法对基金资产进行估值，均应被认为采用了适当的估值方法。但是，如果基金管理人认为按本项第①－③项规定的方法对基金资产进行估值不能客观反映其公允价值的，基金管理人可根据具体情况，并与基金托管人商定后，按最能反映公允价值的价格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⑤国家有最新规定的，按其规定进行估值。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5）其他有价证券等资产按国家有关规定进行估值。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（3）特殊情形的处理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基金管理人、基金托管人按股票估值方法的第④项、债券估值方法的第⑦项、权证估值方法的第④项进行估值时，所造成的误差不作为基金份额净值错误处理。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3、基金份额净值错误的处理方式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3位以内(含第3位)发生差错时，视为基金份额净值错误；基金份额净值出现错误时，基金管理人应当立即予以纠正，通报基金托管人，并采取合理的措施防止损失进一步扩大；错误偏差达到或超过基金份额净值的0.25%时，基金管理人应当及时通知基金托管人并报中国证监会；错误偏差达到基金份额净值的0.50%时，基金管理人应当公告、通报基金托管人并报中国证监会备案；当发生净值计算错误时，由基金管理人负责处理，由此给基金份额持有人和基金造成损失的，应由基金管理人先行赔付，基金管理人按差错情形，有权向其他当事人追偿。</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（2）当基金份额净值计算差错给基金和基金份额持有人造成损失需要进行赔偿时，基金管理人和基金托管人应根据实际情况界定双方承担的责任，经确认后按以下条款进行赔偿：</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管理人计算的基金份额净值已由基金托管人复核确认后公告，而且基金托管人未对计算过程提出疑义或要求基金管理人书面说明，基金份额净值出错且造成基金份额持有人损失的，应根据法律法规的规定对投资者或基金支付赔偿金，就实际向投资者或基金支付的赔偿金额，其中基金管理人承担50%，基金托管人承担50%。</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基金管理人提供的信息错误（包括但不限于基金申购或赎回金额等），基金托管人在采取必要的措施后仍不能发现该错误，进而导致基金份额净值计算错误而引起的基金份额持有人和基金财产的损失，由基金管理人负责赔付。</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证券交易所及登记结算公司发送的数据错误，有关会计制度变化或由于其他不可抗力原因，基金管理人和基金托管人虽然已经采取必要、适当、合理的措施进行检查，但是未能发现该错误而造成的基金份额净值计算错误，基金管理人、基金托管人可以免除赔偿责任。但基金管理人、基金托管人应积极采取必要的措施消除由此造成的影响。</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（4）基金管理人和基金托管人由于各自技术系统设置而产生的净值计算尾差，以基金管理人计算结果为准。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（5）前述内容如法律法规或监管机关另有规定的，从其规定处理。如果行业有通行做法，双方当事人应本着平等和保护基金份额持有人利益的原则进行协商。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4、暂停估值与公告基金份额净值的情形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（1）基金投资所涉及的证券交易所遇法定节假日或因其他原因暂停营业时；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（2）基金所投资之目标ETF发生暂停估值，暂停公告基金份额净值的情形；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（3）因不可抗力或其他情形致使基金管理人、基金托管人无法准确评估基金资产价值时；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（4）占基金相当比例的投资品种的估值出现重大转变，而基金管理人为保障</w:t>
      </w:r>
      <w:r>
        <w:rPr>
          <w:rFonts w:ascii="宋体" w:hAnsi="宋体"/>
          <w:sz w:val="24"/>
        </w:rPr>
        <w:lastRenderedPageBreak/>
        <w:t>基金份额持有人的利益，已决定延迟估值时；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（5）如果出现基金管理人认为属于紧急事故的任何情况，导致基金管理人不能出售或评估基金资产时；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（6）当前一估值日基金资产净值50%以上的资产出现无可参考的活跃市场价格且采用估值技术仍导致公允价值存在重大不确定性时，经与基金托管人协商确认后，基金管理人应当暂停估值；</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（7）中国证监会和基金合同认定的其他情形。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5、基金会计制度</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6、基金账册的建立</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进行基金会计核算并编制基金财务会计报告。基金合同生效后，基金管理人和基金托管人应按照双方约定的同一记账方法和会计处理原则分别独立地设置、记录和保管本基金的全套账册，定期与对方的账册进行核对，相互监督，以保证基金财产的安全。若基金管理人和基金托管人对会计处理方法存在分歧，应以基金管理人的处理方法为准。若当日核对不符，暂时无法查找到错账的原因而影响到基金资产净值的计算和公告的，以基金管理人的账册为准。</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7、基金财务报表与定期报告的编制和复核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基金财务报表由基金管理人和基金托管人每月分别独立编制。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编制并对外提供真实、完整的基金财务会计报告。月度报表的编制，基金管理人应于每月终了后5工作日内完成。季度报告应在季度结束之日起15个工作日内编制完毕并予以公告；中期报告在会计年度上半年终了后两个月内编制完毕并予以公告；年度报告在会计年度结束后三个月内编制完毕并予以公告。基金合同生效不足2个月的，基金管理人可以不编制当期季度报告、中期报告或者年度报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报表或定期报告完成当日，对报表盖章后，以加密传真方式或双方书面商定的其他方式将有关报表提供基金托管人复核。基金托管人在复核过程中，发现相关各方的报表存在不符时，基金管理人和基金托管人应共同查明原因，进行调整，调整以相关各方认可的账务处理方式为准。核对无误后，基金托管人在</w:t>
      </w:r>
      <w:r>
        <w:rPr>
          <w:rFonts w:ascii="宋体" w:hAnsi="宋体"/>
          <w:sz w:val="24"/>
        </w:rPr>
        <w:lastRenderedPageBreak/>
        <w:t>基金管理人提供的报告上加盖托管业务部业务专用章，或者出具加盖托管业务部业务专用章的复核意见书，相关各方各自留存一份。</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月度报表完成当日，将报表盖章后提供给基金托管人复核；基金托管人在收到后应在2日内进行复核，并将复核结果书面通知基金管理人。基金管理人在季度报告完成当日，将有关报告提供给基金托管人复核，基金托管人应在收到后5个工作日内完成复核，并将复核结果书面通知基金管理人。基金管理人在中期报告完成当日，将有关报告提供给基金托管人复核，基金托管人应在收到后20日内完成复核，并将复核结果书面通知基金管理人。基金管理人在年度报告完成当日，将有关报告提供基金托管人复核，基金托管人应在收到后30日内完成复核，并将复核结果书面通知基金管理人。基金管理人和基金托管人之间的上述文件往来均以加密传真的方式或双方商定的其他方式进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双方的报表存在不符时，基金管理人和基金托管人应共同查明原因，进行调整，调整以双方认可的账务处理方式为准；若双方无法达成一致，以基金管理人的账务处理为准。核对无误后，基金托管人在基金管理人提供的报告上加盖托管业务部门公章或者出具加盖托管业务专用章的复核意见书，双方各自留存一份。如果基金管理人与基金托管人不能于应当发布公告之日之前就相关报表达成一致，基金管理人有权按照其编制的报表对外发布公告，基金托管人有权就相关情况报中国证监会备案。</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（六）基金份额持有人名册的登记与保管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注册登记机构编制，由基金管理人审核并提交基金托管人保管。基金托管人有权要求基金管理人提供任意一个交易日或全部交易日的基金份额持有人名册，基金管理人应及时提供，不得拖延或拒绝提供。</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本协议适用中华人民共和国法律并从其解释。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本协议双方当事人经协商一致，可以对协议进行修改。修改后的新协议，其内容不得与基金合同的规定有任何冲突。基金托管协议的变更报中国证监会核准后生效。</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75527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8298E" w:rsidRDefault="00755277">
      <w:pPr>
        <w:pStyle w:val="1"/>
        <w:snapToGrid w:val="0"/>
        <w:spacing w:beforeLines="0" w:before="240" w:after="240"/>
        <w:rPr>
          <w:rFonts w:ascii="宋体" w:hAnsi="宋体"/>
          <w:szCs w:val="30"/>
        </w:rPr>
      </w:pPr>
      <w:bookmarkStart w:id="25" w:name="_Toc210145109"/>
      <w:r>
        <w:rPr>
          <w:rFonts w:ascii="Times New Roman" w:hAnsi="Times New Roman"/>
          <w:sz w:val="30"/>
        </w:rPr>
        <w:lastRenderedPageBreak/>
        <w:t>二十二、对基金份额持有人的服务</w:t>
      </w:r>
      <w:bookmarkEnd w:id="25"/>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公司网站的网上直销交易平台办理开户和本基金前端基金份额的申购、赎回、定期定额投资和转换等业务。本公司暂不开展网上直销后端基金份额的认/申购业务，通过转托管转入网上直销账户的后端收费模式的基金份额只能办理赎回业务。通过网上直销交易平台办理本基金前端基金份额申购和定期定额投资业务的个人投资者将享受前端申购费率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在条件成熟的时候，本基金管理人将根据基金网上直销业务的发展状况，适时调整可用于基金网上直销交易平台的银行卡种类，敬请投资者留意相关公告。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如果想查询申购、赎回等交易情况、分红方式状态、基金账户余额、基金产品与服务等信息，请拨打本基金管理人客户服务电话（400-700-5000，021-61055000）或登录本基金管理人网站（www.fund001.com）进行咨询、查询。</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本基金管理人为投资者预设基金查询密码，预设的基金查询密码为投资者开户证件号码的后6位数字，不足6位数字的，前面加“0”补足。基金查询密码用于投</w:t>
      </w:r>
      <w:r>
        <w:rPr>
          <w:rFonts w:ascii="宋体" w:hAnsi="宋体"/>
          <w:sz w:val="24"/>
        </w:rPr>
        <w:lastRenderedPageBreak/>
        <w:t>资者通过客户服务电话查询基金账户下的账户和交易信息。投资者请在其知晓基金账号后，及时拨打本基金管理人客户服务电话修改基金查询密码。</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投资者可以拨打本基金管理人客户服务电话投诉直销机构的人员和服务。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（四）基金红利再投资</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本基金收益分配时，投资者可以选择将当期分配所得的红利再投资于本基金，再投资红利按红利再投日（即除息日）除息后的基金份额净值自动转为基金份额，并免收申购费用。</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（五）定期定额投资计划和转换业务</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本基金已开通定期定额投资和转换业务，具体实施方法请参见相关公告。</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基金管理人的互联网地址及电子信箱</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75527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8298E" w:rsidRDefault="00755277">
      <w:pPr>
        <w:pStyle w:val="1"/>
        <w:snapToGrid w:val="0"/>
        <w:spacing w:beforeLines="0" w:before="240" w:after="240"/>
        <w:rPr>
          <w:rFonts w:ascii="宋体" w:hAnsi="宋体"/>
          <w:szCs w:val="30"/>
        </w:rPr>
      </w:pPr>
      <w:bookmarkStart w:id="26" w:name="_Toc210145110"/>
      <w:r>
        <w:rPr>
          <w:rFonts w:ascii="Times New Roman" w:hAnsi="Times New Roman"/>
          <w:sz w:val="30"/>
        </w:rPr>
        <w:lastRenderedPageBreak/>
        <w:t>二十三、其他应披露事项</w:t>
      </w:r>
      <w:bookmarkEnd w:id="26"/>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交银施罗德上证</w:t>
            </w:r>
            <w:r>
              <w:rPr>
                <w:rFonts w:ascii="Times New Roman" w:hAnsi="Times New Roman"/>
                <w:color w:val="000000"/>
                <w:kern w:val="0"/>
                <w:sz w:val="25"/>
                <w:szCs w:val="24"/>
              </w:rPr>
              <w:t>180</w:t>
            </w:r>
            <w:r>
              <w:rPr>
                <w:rFonts w:ascii="Times New Roman" w:hAnsi="Times New Roman"/>
                <w:color w:val="000000"/>
                <w:kern w:val="0"/>
                <w:sz w:val="25"/>
                <w:szCs w:val="24"/>
              </w:rPr>
              <w:t>公司治理交易型开放式指数证券投资基金联接基金基金产品资料概要更新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交银施罗德上证</w:t>
            </w:r>
            <w:r>
              <w:rPr>
                <w:rFonts w:ascii="Times New Roman" w:hAnsi="Times New Roman"/>
                <w:color w:val="000000"/>
                <w:kern w:val="0"/>
                <w:sz w:val="25"/>
                <w:szCs w:val="24"/>
              </w:rPr>
              <w:t>180</w:t>
            </w:r>
            <w:r>
              <w:rPr>
                <w:rFonts w:ascii="Times New Roman" w:hAnsi="Times New Roman"/>
                <w:color w:val="000000"/>
                <w:kern w:val="0"/>
                <w:sz w:val="25"/>
                <w:szCs w:val="24"/>
              </w:rPr>
              <w:t>公司治理交易型开放式指数证券投资基金联接基金招募说明书更新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交银施罗德基金管理有限公司关于增加华龙证券股份有限公司为旗下基金的销售机构的公告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2024-10-18</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交银施罗德上证</w:t>
            </w:r>
            <w:r>
              <w:rPr>
                <w:rFonts w:ascii="Times New Roman" w:hAnsi="Times New Roman"/>
                <w:color w:val="000000"/>
                <w:kern w:val="0"/>
                <w:sz w:val="25"/>
                <w:szCs w:val="24"/>
              </w:rPr>
              <w:t>180</w:t>
            </w:r>
            <w:r>
              <w:rPr>
                <w:rFonts w:ascii="Times New Roman" w:hAnsi="Times New Roman"/>
                <w:color w:val="000000"/>
                <w:kern w:val="0"/>
                <w:sz w:val="25"/>
                <w:szCs w:val="24"/>
              </w:rPr>
              <w:t>公司治理交易型开放式指数证券投资基金联接基金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交银施罗德基金管理有限公司关于董事长（法定代表人）任职的公告</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交银施罗德基金管理有限公司高级管理人员任职公告</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交银施罗德基金管理有限公司关于增加国元证券股份有限公司为旗下基金的销售机构的公告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2024-11-05</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交银施罗德上证</w:t>
            </w:r>
            <w:r>
              <w:rPr>
                <w:rFonts w:ascii="Times New Roman" w:hAnsi="Times New Roman"/>
                <w:color w:val="000000"/>
                <w:kern w:val="0"/>
                <w:sz w:val="25"/>
                <w:szCs w:val="24"/>
              </w:rPr>
              <w:t>180</w:t>
            </w:r>
            <w:r>
              <w:rPr>
                <w:rFonts w:ascii="Times New Roman" w:hAnsi="Times New Roman"/>
                <w:color w:val="000000"/>
                <w:kern w:val="0"/>
                <w:sz w:val="25"/>
                <w:szCs w:val="24"/>
              </w:rPr>
              <w:t>公司治理交易型开放式指数证券投资基金联接基金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交银施罗德基金管理有限公司关于增加上海攀赢基金销售有限公司为旗下基金的销售机构的公告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2025-02-24</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交银施罗德基金管理有限公司关于交银施罗德上证</w:t>
            </w:r>
            <w:r>
              <w:rPr>
                <w:rFonts w:ascii="Times New Roman" w:hAnsi="Times New Roman"/>
                <w:color w:val="000000"/>
                <w:kern w:val="0"/>
                <w:sz w:val="25"/>
                <w:szCs w:val="24"/>
              </w:rPr>
              <w:t>180</w:t>
            </w:r>
            <w:r>
              <w:rPr>
                <w:rFonts w:ascii="Times New Roman" w:hAnsi="Times New Roman"/>
                <w:color w:val="000000"/>
                <w:kern w:val="0"/>
                <w:sz w:val="25"/>
                <w:szCs w:val="24"/>
              </w:rPr>
              <w:t>公司治理交易型开放式指数证券投资基金联接基金基金经理变更公告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2025-02-27</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交银施罗德上证</w:t>
            </w:r>
            <w:r>
              <w:rPr>
                <w:rFonts w:ascii="Times New Roman" w:hAnsi="Times New Roman"/>
                <w:color w:val="000000"/>
                <w:kern w:val="0"/>
                <w:sz w:val="25"/>
                <w:szCs w:val="24"/>
              </w:rPr>
              <w:t>180</w:t>
            </w:r>
            <w:r>
              <w:rPr>
                <w:rFonts w:ascii="Times New Roman" w:hAnsi="Times New Roman"/>
                <w:color w:val="000000"/>
                <w:kern w:val="0"/>
                <w:sz w:val="25"/>
                <w:szCs w:val="24"/>
              </w:rPr>
              <w:t>公司治理交易型开放式指数证券投资基金联接基金基金产品资料概要更新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2025-03-04</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交银施罗德上证</w:t>
            </w:r>
            <w:r>
              <w:rPr>
                <w:rFonts w:ascii="Times New Roman" w:hAnsi="Times New Roman"/>
                <w:color w:val="000000"/>
                <w:kern w:val="0"/>
                <w:sz w:val="25"/>
                <w:szCs w:val="24"/>
              </w:rPr>
              <w:t>180</w:t>
            </w:r>
            <w:r>
              <w:rPr>
                <w:rFonts w:ascii="Times New Roman" w:hAnsi="Times New Roman"/>
                <w:color w:val="000000"/>
                <w:kern w:val="0"/>
                <w:sz w:val="25"/>
                <w:szCs w:val="24"/>
              </w:rPr>
              <w:t>公司治理交易型开放式指数证券投资基金联接基金招募说明书更新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2025-03-04</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交银施罗德上证</w:t>
            </w:r>
            <w:r>
              <w:rPr>
                <w:rFonts w:ascii="Times New Roman" w:hAnsi="Times New Roman"/>
                <w:color w:val="000000"/>
                <w:kern w:val="0"/>
                <w:sz w:val="25"/>
                <w:szCs w:val="24"/>
              </w:rPr>
              <w:t>180</w:t>
            </w:r>
            <w:r>
              <w:rPr>
                <w:rFonts w:ascii="Times New Roman" w:hAnsi="Times New Roman"/>
                <w:color w:val="000000"/>
                <w:kern w:val="0"/>
                <w:sz w:val="25"/>
                <w:szCs w:val="24"/>
              </w:rPr>
              <w:t>公司治理交易型开放式指数证券投资基金联接基金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交银施罗德上证</w:t>
            </w:r>
            <w:r>
              <w:rPr>
                <w:rFonts w:ascii="Times New Roman" w:hAnsi="Times New Roman"/>
                <w:color w:val="000000"/>
                <w:kern w:val="0"/>
                <w:sz w:val="25"/>
                <w:szCs w:val="24"/>
              </w:rPr>
              <w:t>180</w:t>
            </w:r>
            <w:r>
              <w:rPr>
                <w:rFonts w:ascii="Times New Roman" w:hAnsi="Times New Roman"/>
                <w:color w:val="000000"/>
                <w:kern w:val="0"/>
                <w:sz w:val="25"/>
                <w:szCs w:val="24"/>
              </w:rPr>
              <w:t>公司治理交易型开放式指数证券投资基金联接基金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2025-04-29</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交银施罗德基金管理有限公司关于增加国投证券股份有限公司为旗下基金的销售机构的公告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2025-06-05</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21</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交银施罗德基金管理有限公司关于增加开源证券股份有限公司为旗下基金的销售机构的公告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2025-06-19</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交银施罗德上证</w:t>
            </w:r>
            <w:r>
              <w:rPr>
                <w:rFonts w:ascii="Times New Roman" w:hAnsi="Times New Roman"/>
                <w:color w:val="000000"/>
                <w:kern w:val="0"/>
                <w:sz w:val="25"/>
                <w:szCs w:val="24"/>
              </w:rPr>
              <w:t>180</w:t>
            </w:r>
            <w:r>
              <w:rPr>
                <w:rFonts w:ascii="Times New Roman" w:hAnsi="Times New Roman"/>
                <w:color w:val="000000"/>
                <w:kern w:val="0"/>
                <w:sz w:val="25"/>
                <w:szCs w:val="24"/>
              </w:rPr>
              <w:t>公司治理交易型开放式指数证券投资基金联接基金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2025-08-08</w:t>
            </w:r>
          </w:p>
        </w:tc>
      </w:tr>
      <w:tr w:rsidR="001829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交银施罗德上证</w:t>
            </w:r>
            <w:r>
              <w:rPr>
                <w:rFonts w:ascii="Times New Roman" w:hAnsi="Times New Roman"/>
                <w:color w:val="000000"/>
                <w:kern w:val="0"/>
                <w:sz w:val="25"/>
                <w:szCs w:val="24"/>
              </w:rPr>
              <w:t>180</w:t>
            </w:r>
            <w:r>
              <w:rPr>
                <w:rFonts w:ascii="Times New Roman" w:hAnsi="Times New Roman"/>
                <w:color w:val="000000"/>
                <w:kern w:val="0"/>
                <w:sz w:val="25"/>
                <w:szCs w:val="24"/>
              </w:rPr>
              <w:t>公司治理交易型开放式指数证券投资基金联接基金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8298E" w:rsidRDefault="00755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bl>
    <w:p w:rsidR="00B439CC" w:rsidRDefault="0075527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8298E" w:rsidRDefault="00755277">
      <w:pPr>
        <w:pStyle w:val="1"/>
        <w:snapToGrid w:val="0"/>
        <w:spacing w:beforeLines="0" w:before="240" w:after="240"/>
        <w:rPr>
          <w:rFonts w:ascii="宋体" w:hAnsi="宋体"/>
          <w:szCs w:val="30"/>
        </w:rPr>
      </w:pPr>
      <w:bookmarkStart w:id="27" w:name="_Toc210145111"/>
      <w:r>
        <w:rPr>
          <w:rFonts w:ascii="Times New Roman" w:hAnsi="Times New Roman"/>
          <w:sz w:val="30"/>
        </w:rPr>
        <w:lastRenderedPageBreak/>
        <w:t>二十四、招募说明书的存放及查阅方式</w:t>
      </w:r>
      <w:bookmarkEnd w:id="27"/>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处，投资者可在办公时间查阅；投资者在支付工本费后，可在合理时间内取得上述文件复制件或复印件。对投资者按此种方式所获得的文件及其复印件，基金管理人和基金托管人保证文本的内容与所公告的内容完全一致。</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投资者还可以直接登录基金管理人的网站(www.fund001.com)查阅和下载招募说明书。</w:t>
      </w:r>
    </w:p>
    <w:p w:rsidR="00B439CC" w:rsidRDefault="0075527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8298E" w:rsidRDefault="00755277">
      <w:pPr>
        <w:pStyle w:val="1"/>
        <w:snapToGrid w:val="0"/>
        <w:spacing w:beforeLines="0" w:before="240" w:after="240"/>
        <w:rPr>
          <w:rFonts w:ascii="宋体" w:hAnsi="宋体"/>
          <w:szCs w:val="30"/>
        </w:rPr>
      </w:pPr>
      <w:bookmarkStart w:id="28" w:name="_Toc210145112"/>
      <w:r>
        <w:rPr>
          <w:rFonts w:ascii="Times New Roman" w:hAnsi="Times New Roman"/>
          <w:sz w:val="30"/>
        </w:rPr>
        <w:lastRenderedPageBreak/>
        <w:t>二十五、备查文件</w:t>
      </w:r>
      <w:bookmarkEnd w:id="28"/>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（一）中国证监会核准交银施罗德上证180公司治理交易型开放式指数证券投资基金联接基金募集的文件</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（二）《交银施罗德上证180公司治理交易型开放式指数证券投资基金联接基金基金合同》</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（三）《交银施罗德上证180公司治理交易型开放式指数证券投资基金联接基金托管协议》</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18298E" w:rsidRDefault="0075527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（六）关于申请募集交银施罗德上证180公司治理交易型开放式指数证券投资基金联接基金之法律意见书</w:t>
      </w:r>
    </w:p>
    <w:sectPr w:rsidR="0018298E">
      <w:footerReference w:type="default" r:id="rId18"/>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1953" w:rsidRDefault="00755277">
      <w:r>
        <w:separator/>
      </w:r>
    </w:p>
  </w:endnote>
  <w:endnote w:type="continuationSeparator" w:id="0">
    <w:p w:rsidR="00101953" w:rsidRDefault="00755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298E" w:rsidRDefault="0018298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298E" w:rsidRDefault="009607E9">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7728;mso-position-horizontal-relative:page;mso-position-vertical-relative:page;mso-width-relative:page;mso-height-relative:page" o:allowincell="f" filled="f" stroked="f">
          <v:textbox inset="0,0,0,0">
            <w:txbxContent>
              <w:p w:rsidR="0018298E" w:rsidRDefault="00755277">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9607E9">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298E" w:rsidRDefault="0018298E">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298E" w:rsidRDefault="009607E9">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6704;mso-position-horizontal-relative:page;mso-position-vertical-relative:page;mso-width-relative:page;mso-height-relative:page" o:allowincell="f" filled="f" stroked="f">
          <v:textbox inset="0,0,0,0">
            <w:txbxContent>
              <w:p w:rsidR="0018298E" w:rsidRDefault="00755277">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9607E9">
                  <w:rPr>
                    <w:rFonts w:ascii="Times New Roman" w:hAnsi="Times New Roman"/>
                    <w:noProof/>
                    <w:kern w:val="0"/>
                    <w:sz w:val="18"/>
                    <w:szCs w:val="18"/>
                  </w:rPr>
                  <w:t>150</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1953" w:rsidRDefault="00755277">
      <w:r>
        <w:separator/>
      </w:r>
    </w:p>
  </w:footnote>
  <w:footnote w:type="continuationSeparator" w:id="0">
    <w:p w:rsidR="00101953" w:rsidRDefault="007552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298E" w:rsidRDefault="0018298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5D0" w:rsidRDefault="00755277">
    <w:pPr>
      <w:pStyle w:val="a3"/>
      <w:jc w:val="right"/>
    </w:pPr>
    <w:r>
      <w:rPr>
        <w:noProof/>
      </w:rPr>
      <w:drawing>
        <wp:anchor distT="0" distB="0" distL="114300" distR="114300" simplePos="0" relativeHeight="251655680"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3" name="图片 3"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18298E" w:rsidRDefault="00755277">
    <w:pPr>
      <w:pStyle w:val="a3"/>
      <w:jc w:val="right"/>
      <w:rPr>
        <w:rFonts w:ascii="宋体" w:hAnsi="宋体"/>
      </w:rPr>
    </w:pPr>
    <w:r>
      <w:rPr>
        <w:rFonts w:ascii="宋体" w:hAnsi="宋体" w:hint="eastAsia"/>
      </w:rPr>
      <w:t>交银施罗德上证180公司治理交易型开放式指数证券投资基金联接基金招募说明书更新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298E" w:rsidRDefault="0018298E">
    <w:pPr>
      <w:pStyle w:val="10"/>
      <w:jc w:val="right"/>
    </w:pPr>
  </w:p>
  <w:p w:rsidR="0018298E" w:rsidRDefault="0018298E">
    <w:pPr>
      <w:pStyle w:val="10"/>
      <w:jc w:val="right"/>
    </w:pPr>
  </w:p>
  <w:p w:rsidR="0018298E" w:rsidRDefault="0018298E">
    <w:pPr>
      <w:pStyle w:val="a3"/>
      <w:jc w:val="right"/>
    </w:pPr>
  </w:p>
  <w:p w:rsidR="009E65D0" w:rsidRDefault="00755277">
    <w:pPr>
      <w:pStyle w:val="a3"/>
      <w:jc w:val="right"/>
    </w:pPr>
    <w:r>
      <w:rPr>
        <w:noProof/>
      </w:rPr>
      <w:drawing>
        <wp:anchor distT="0" distB="0" distL="114300" distR="114300" simplePos="0" relativeHeight="251656704"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1"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18298E" w:rsidRDefault="00755277">
    <w:pPr>
      <w:pStyle w:val="a3"/>
      <w:jc w:val="right"/>
      <w:rPr>
        <w:rFonts w:ascii="宋体" w:hAnsi="宋体"/>
      </w:rPr>
    </w:pPr>
    <w:r>
      <w:rPr>
        <w:rFonts w:ascii="宋体" w:hAnsi="宋体" w:hint="eastAsia"/>
      </w:rPr>
      <w:t>交银施罗德上证180公司治理交易型开放式指数证券投资基金联接基金招募说明书更新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298E" w:rsidRDefault="0018298E">
    <w:pPr>
      <w:pStyle w:val="a3"/>
      <w:jc w:val="right"/>
    </w:pPr>
  </w:p>
  <w:p w:rsidR="0018298E" w:rsidRDefault="0018298E">
    <w:pPr>
      <w:pStyle w:val="a3"/>
      <w:jc w:val="right"/>
    </w:pPr>
  </w:p>
  <w:p w:rsidR="0018298E" w:rsidRDefault="0018298E">
    <w:pPr>
      <w:pStyle w:val="a3"/>
      <w:jc w:val="right"/>
    </w:pPr>
  </w:p>
  <w:p w:rsidR="009E65D0" w:rsidRDefault="00755277">
    <w:pPr>
      <w:pStyle w:val="a3"/>
      <w:jc w:val="right"/>
    </w:pPr>
    <w:r>
      <w:rPr>
        <w:noProof/>
      </w:rPr>
      <w:drawing>
        <wp:anchor distT="0" distB="0" distL="114300" distR="114300" simplePos="0" relativeHeight="251657728"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4" name="图片 4"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18298E" w:rsidRDefault="00755277">
    <w:pPr>
      <w:pStyle w:val="a3"/>
      <w:jc w:val="right"/>
      <w:rPr>
        <w:rFonts w:ascii="宋体" w:hAnsi="宋体"/>
      </w:rPr>
    </w:pPr>
    <w:r>
      <w:rPr>
        <w:rFonts w:ascii="宋体" w:hAnsi="宋体" w:hint="eastAsia"/>
      </w:rPr>
      <w:t>交银施罗德上证180公司治理交易型开放式指数证券投资基金联接基金招募说明书更新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01953"/>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298E"/>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5277"/>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7E9"/>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EF629DA1-10AD-4752-8D5F-20872A34C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151</Pages>
  <Words>15797</Words>
  <Characters>90045</Characters>
  <Application>Microsoft Office Word</Application>
  <DocSecurity>0</DocSecurity>
  <Lines>750</Lines>
  <Paragraphs>211</Paragraphs>
  <ScaleCrop>false</ScaleCrop>
  <Company>Microsoft</Company>
  <LinksUpToDate>false</LinksUpToDate>
  <CharactersWithSpaces>105631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2025-09-30T09:17:00Z</dcterms:created>
  <dcterms:modified xsi:type="dcterms:W3CDTF">2025-09-30T09:17:00Z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