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上证180公司治理交易型开放式指数证券投资基金</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2025-09-03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2025-10-10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3"/>
        <w:gridCol w:w="1562"/>
        <w:gridCol w:w="3279"/>
        <w:gridCol w:w="192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交银上证180公司治理ETF</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510010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2009-09-25</w:t>
            </w:r>
          </w:p>
        </w:tc>
        <w:tc>
          <w:tcPr>
            <w:tcW w:w="3649" w:type="dxa"/>
            <w:vAlign w:val="center"/>
          </w:tcPr>
          <w:p>
            <w:pPr>
              <w:rPr>
                <w:rFonts w:ascii="仿宋_GB2312" w:hAnsi="宋体" w:eastAsia="仿宋_GB2312" w:cs="宋体"/>
                <w:szCs w:val="21"/>
              </w:rPr>
            </w:pPr>
            <w:r>
              <w:rPr>
                <w:rFonts w:hint="eastAsia" w:ascii="仿宋_GB2312" w:eastAsia="仿宋_GB2312"/>
                <w:szCs w:val="21"/>
              </w:rPr>
              <w:t>上市交易所及上市日期</w:t>
            </w:r>
          </w:p>
        </w:tc>
        <w:tc>
          <w:tcPr>
            <w:tcW w:w="1275" w:type="dxa"/>
            <w:vAlign w:val="center"/>
          </w:tcPr>
          <w:p>
            <w:pPr>
              <w:rPr>
                <w:rFonts w:ascii="仿宋_GB2312" w:eastAsia="仿宋_GB2312"/>
                <w:szCs w:val="21"/>
              </w:rPr>
            </w:pPr>
            <w:r>
              <w:rPr>
                <w:rFonts w:hint="eastAsia" w:ascii="仿宋_GB2312" w:eastAsia="仿宋_GB2312"/>
                <w:szCs w:val="21"/>
              </w:rPr>
              <w:t>上海证券交易所/2009-12-15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股票型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邵文婷</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2021-04-30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2016-01-25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蔡铮</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2025-02-27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2009-12-14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场内简称：治理ETF；场内扩位简称：180治理ETF；交易代码：510010；申购赎回简称：治理ETF；申购赎回代码：510010。</w:t>
            </w:r>
          </w:p>
          <w:p>
            <w:pPr>
              <w:ind w:firstLine="420"/>
              <w:jc w:val="left"/>
              <w:rPr>
                <w:rFonts w:ascii="仿宋_GB2312" w:eastAsia="仿宋_GB2312"/>
                <w:szCs w:val="21"/>
              </w:rPr>
            </w:pPr>
            <w:r>
              <w:rPr>
                <w:rFonts w:ascii="仿宋_GB2312" w:eastAsia="仿宋_GB2312"/>
                <w:szCs w:val="21"/>
              </w:rPr>
              <w:t>本基金基金合同生效后，基金份额持有人数量不满两百人或者基金资产净值低于五千万元的，基金管理人应当及时报告中国证监会；连续20个工作日出现上述情形的，基金管理人应向中国证监会说明原因并报送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紧密跟踪标的指数，追求跟踪偏离度与跟踪误差最小化。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以标的指数成份股（含存托凭证）、备选成份股（含存托凭证）为主要投资对象，把全部或接近全部的基金资产用于跟踪标的指数的表现，正常情况下指数化投资比例，即投资于标的指数成份股（含存托凭证）和备选成份股（含存托凭证）的资产比例，不低于基金资产净值的95%。此外，为更好地实现投资目标，本基金也可少量投资于新股（含存托凭证）、债券及中国证监会允许基金投资的其它金融工具。如因标的指数成份股调整、基金份额申购、赎回清单内现金替代、现金差额等因素导致基金投资比例不符合上述标准的，基金管理人将在10个交易日内进行调整。法律法规或监管机构日后允许本基金投资的其他品种(如股指期货等)，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本基金标的指数为上证180公司治理指数。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采用完全复制法，跟踪上证180公司治理指数，以完全按照标的指数成份股组成及其权重构建基金股票投资组合为原则，进行被动式指数化投资。股票在投资组合中的权重原则上根据标的指数成份股及其权重的变动而进行相应调整。但在因特殊情况（如流动性不足等）导致无法获得足够数量的股票时，基金管理人将搭配使用其他合理方法进行适当的替代。</w:t>
            </w:r>
          </w:p>
          <w:p>
            <w:pPr>
              <w:ind w:firstLine="420"/>
              <w:jc w:val="left"/>
              <w:rPr>
                <w:rFonts w:ascii="仿宋_GB2312" w:eastAsia="仿宋_GB2312"/>
                <w:szCs w:val="21"/>
              </w:rPr>
            </w:pPr>
            <w:r>
              <w:rPr>
                <w:rFonts w:hint="eastAsia" w:ascii="仿宋_GB2312" w:eastAsia="仿宋_GB2312"/>
                <w:szCs w:val="21"/>
              </w:rPr>
              <w:t>本基金投资存托凭证的策略依照境内上市交易的股票投资策略执行。</w:t>
            </w:r>
          </w:p>
          <w:p>
            <w:pPr>
              <w:ind w:firstLine="420"/>
              <w:jc w:val="left"/>
              <w:rPr>
                <w:rFonts w:ascii="仿宋_GB2312" w:eastAsia="仿宋_GB2312"/>
                <w:szCs w:val="21"/>
              </w:rPr>
            </w:pPr>
            <w:r>
              <w:rPr>
                <w:rFonts w:hint="eastAsia" w:ascii="仿宋_GB2312" w:eastAsia="仿宋_GB2312"/>
                <w:szCs w:val="21"/>
              </w:rPr>
              <w:t>法律法规或监管机构日后允许本基金投资的其他品种（如股指期货等），基金管理人在履行适当程序后，可以将其纳入投资范围。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1、决策依据；2、决策和交易机制；3、投资程序。</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上证180公司治理指数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属股票基金，风险与收益高于混合基金、债券基金与货币市场基金。本基金为指数型基金，紧密跟踪标的指数，具有和标的指数所代表的股票市场相似的风险收益特征，属于证券投资基金中风险较高、收益较高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详见《上证180公司治理交易型开放式指数证券投资基金招募说明书》第十一部分“基金的投资”。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240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p>
      <w:pPr>
        <w:jc w:val="left"/>
        <w:rPr>
          <w:rFonts w:ascii="仿宋_GB2312" w:eastAsia="仿宋_GB2312"/>
          <w:szCs w:val="21"/>
        </w:rPr>
      </w:pPr>
      <w:r>
        <w:rPr>
          <w:rFonts w:hint="eastAsia" w:ascii="仿宋_GB2312" w:eastAsia="仿宋_GB2312"/>
          <w:szCs w:val="21"/>
        </w:rPr>
        <w:t>注：1、投资者在申购或赎回基金份额时，申购赎回代理券商可按照不超过申购或赎回份额0.5%的标准收取佣金。2、场内交易费用以证券公司实际收取为准。</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0.50%</w:t>
            </w:r>
          </w:p>
        </w:tc>
        <w:tc>
          <w:tcPr>
            <w:tcW w:w="3078" w:type="dxa"/>
          </w:tcPr>
          <w:p>
            <w:pPr>
              <w:rPr>
                <w:rFonts w:ascii="仿宋_GB2312" w:eastAsia="仿宋_GB2312"/>
                <w:szCs w:val="21"/>
              </w:rPr>
            </w:pPr>
            <w:r>
              <w:rPr>
                <w:rFonts w:hint="eastAsia" w:ascii="仿宋_GB2312" w:eastAsia="仿宋_GB2312"/>
                <w:szCs w:val="21"/>
              </w:rPr>
              <w:t>基金管理人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20000.00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0.70%</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1、投资本基金的特有风险</w:t>
      </w:r>
    </w:p>
    <w:p>
      <w:pPr>
        <w:ind w:firstLine="420"/>
        <w:jc w:val="left"/>
        <w:rPr>
          <w:rFonts w:ascii="仿宋_GB2312" w:eastAsia="仿宋_GB2312"/>
          <w:szCs w:val="21"/>
        </w:rPr>
      </w:pPr>
      <w:r>
        <w:rPr>
          <w:rFonts w:hint="eastAsia" w:ascii="仿宋_GB2312" w:eastAsia="仿宋_GB2312"/>
          <w:szCs w:val="21"/>
        </w:rPr>
        <w:t>（1）标的指数回报与股票市场平均回报偏离的风险</w:t>
      </w:r>
    </w:p>
    <w:p>
      <w:pPr>
        <w:ind w:firstLine="420"/>
        <w:jc w:val="left"/>
        <w:rPr>
          <w:rFonts w:ascii="仿宋_GB2312" w:eastAsia="仿宋_GB2312"/>
          <w:szCs w:val="21"/>
        </w:rPr>
      </w:pPr>
      <w:r>
        <w:rPr>
          <w:rFonts w:hint="eastAsia" w:ascii="仿宋_GB2312" w:eastAsia="仿宋_GB2312"/>
          <w:szCs w:val="21"/>
        </w:rPr>
        <w:t>标的指数并不能完全代表整个股票市场。标的指数成份股的平均回报率与整个股票市场的平均回报率可能存在偏离。</w:t>
      </w:r>
    </w:p>
    <w:p>
      <w:pPr>
        <w:ind w:firstLine="420"/>
        <w:jc w:val="left"/>
        <w:rPr>
          <w:rFonts w:ascii="仿宋_GB2312" w:eastAsia="仿宋_GB2312"/>
          <w:szCs w:val="21"/>
        </w:rPr>
      </w:pPr>
      <w:r>
        <w:rPr>
          <w:rFonts w:hint="eastAsia" w:ascii="仿宋_GB2312" w:eastAsia="仿宋_GB2312"/>
          <w:szCs w:val="21"/>
        </w:rPr>
        <w:t>（2）标的指数波动的风险</w:t>
      </w:r>
    </w:p>
    <w:p>
      <w:pPr>
        <w:ind w:firstLine="420"/>
        <w:jc w:val="left"/>
        <w:rPr>
          <w:rFonts w:ascii="仿宋_GB2312" w:eastAsia="仿宋_GB2312"/>
          <w:szCs w:val="21"/>
        </w:rPr>
      </w:pPr>
      <w:r>
        <w:rPr>
          <w:rFonts w:hint="eastAsia" w:ascii="仿宋_GB2312" w:eastAsia="仿宋_GB2312"/>
          <w:szCs w:val="21"/>
        </w:rPr>
        <w:t>标的指数成份股的价格可能受到政治因素、经济因素、上市公司经营状况、投资者心理和交易制度等各种因素的影响而波动，导致指数波动，从而使基金收益水平发生变化，产生风险。</w:t>
      </w:r>
    </w:p>
    <w:p>
      <w:pPr>
        <w:ind w:firstLine="420"/>
        <w:jc w:val="left"/>
        <w:rPr>
          <w:rFonts w:ascii="仿宋_GB2312" w:eastAsia="仿宋_GB2312"/>
          <w:szCs w:val="21"/>
        </w:rPr>
      </w:pPr>
      <w:r>
        <w:rPr>
          <w:rFonts w:hint="eastAsia" w:ascii="仿宋_GB2312" w:eastAsia="仿宋_GB2312"/>
          <w:szCs w:val="21"/>
        </w:rPr>
        <w:t>（3）基金投资组合回报与标的指数回报偏离的风险</w:t>
      </w:r>
    </w:p>
    <w:p>
      <w:pPr>
        <w:ind w:firstLine="420"/>
        <w:jc w:val="left"/>
        <w:rPr>
          <w:rFonts w:ascii="仿宋_GB2312" w:eastAsia="仿宋_GB2312"/>
          <w:szCs w:val="21"/>
        </w:rPr>
      </w:pPr>
      <w:r>
        <w:rPr>
          <w:rFonts w:hint="eastAsia" w:ascii="仿宋_GB2312" w:eastAsia="仿宋_GB2312"/>
          <w:szCs w:val="21"/>
        </w:rPr>
        <w:t>（4）标的指数变更的风险</w:t>
      </w:r>
    </w:p>
    <w:p>
      <w:pPr>
        <w:ind w:firstLine="420"/>
        <w:jc w:val="left"/>
        <w:rPr>
          <w:rFonts w:ascii="仿宋_GB2312" w:eastAsia="仿宋_GB2312"/>
          <w:szCs w:val="21"/>
        </w:rPr>
      </w:pPr>
      <w:r>
        <w:rPr>
          <w:rFonts w:hint="eastAsia" w:ascii="仿宋_GB2312" w:eastAsia="仿宋_GB2312"/>
          <w:szCs w:val="21"/>
        </w:rPr>
        <w:t>尽管可能性很小，但根据基金合同规定，如出现变更标的指数的情形，本基金将变更标的指数。基于原标的指数的投资政策将会改变，投资组合将随之调整，基金的收益风险特征将与新的标的指数保持一致，投资者须承担此项调整带来的风险与成本。</w:t>
      </w:r>
    </w:p>
    <w:p>
      <w:pPr>
        <w:ind w:firstLine="420"/>
        <w:jc w:val="left"/>
        <w:rPr>
          <w:rFonts w:ascii="仿宋_GB2312" w:eastAsia="仿宋_GB2312"/>
          <w:szCs w:val="21"/>
        </w:rPr>
      </w:pPr>
      <w:r>
        <w:rPr>
          <w:rFonts w:hint="eastAsia" w:ascii="仿宋_GB2312" w:eastAsia="仿宋_GB2312"/>
          <w:szCs w:val="21"/>
        </w:rPr>
        <w:t>（5）跟踪误差控制未达约定目标的风险</w:t>
      </w:r>
    </w:p>
    <w:p>
      <w:pPr>
        <w:ind w:firstLine="420"/>
        <w:jc w:val="left"/>
        <w:rPr>
          <w:rFonts w:ascii="仿宋_GB2312" w:eastAsia="仿宋_GB2312"/>
          <w:szCs w:val="21"/>
        </w:rPr>
      </w:pPr>
      <w:r>
        <w:rPr>
          <w:rFonts w:hint="eastAsia" w:ascii="仿宋_GB2312" w:eastAsia="仿宋_GB2312"/>
          <w:szCs w:val="21"/>
        </w:rPr>
        <w:t>（6）指数编制机构停止服务的风险</w:t>
      </w:r>
    </w:p>
    <w:p>
      <w:pPr>
        <w:ind w:firstLine="420"/>
        <w:jc w:val="left"/>
        <w:rPr>
          <w:rFonts w:ascii="仿宋_GB2312" w:eastAsia="仿宋_GB2312"/>
          <w:szCs w:val="21"/>
        </w:rPr>
      </w:pPr>
      <w:r>
        <w:rPr>
          <w:rFonts w:hint="eastAsia" w:ascii="仿宋_GB2312" w:eastAsia="仿宋_GB2312"/>
          <w:szCs w:val="21"/>
        </w:rPr>
        <w:t>（7）成份股停牌的风险</w:t>
      </w:r>
    </w:p>
    <w:p>
      <w:pPr>
        <w:ind w:firstLine="420"/>
        <w:jc w:val="left"/>
        <w:rPr>
          <w:rFonts w:ascii="仿宋_GB2312" w:eastAsia="仿宋_GB2312"/>
          <w:szCs w:val="21"/>
        </w:rPr>
      </w:pPr>
      <w:r>
        <w:rPr>
          <w:rFonts w:hint="eastAsia" w:ascii="仿宋_GB2312" w:eastAsia="仿宋_GB2312"/>
          <w:szCs w:val="21"/>
        </w:rPr>
        <w:t>（8）基金份额二级市场交易价格折溢价的风险</w:t>
      </w:r>
    </w:p>
    <w:p>
      <w:pPr>
        <w:ind w:firstLine="420"/>
        <w:jc w:val="left"/>
        <w:rPr>
          <w:rFonts w:ascii="仿宋_GB2312" w:eastAsia="仿宋_GB2312"/>
          <w:szCs w:val="21"/>
        </w:rPr>
      </w:pPr>
      <w:r>
        <w:rPr>
          <w:rFonts w:hint="eastAsia" w:ascii="仿宋_GB2312" w:eastAsia="仿宋_GB2312"/>
          <w:szCs w:val="21"/>
        </w:rPr>
        <w:t>尽管本基金将通过有效的套利机制使基金份额二级市场交易价格的折溢价控制在一定范围内，但基金份额在证券交易所的交易价格受诸多因素影响，存在不同于基金份额净值的情形，即存在价格折溢价的风险。</w:t>
      </w:r>
    </w:p>
    <w:p>
      <w:pPr>
        <w:ind w:firstLine="420"/>
        <w:jc w:val="left"/>
        <w:rPr>
          <w:rFonts w:ascii="仿宋_GB2312" w:eastAsia="仿宋_GB2312"/>
          <w:szCs w:val="21"/>
        </w:rPr>
      </w:pPr>
      <w:r>
        <w:rPr>
          <w:rFonts w:hint="eastAsia" w:ascii="仿宋_GB2312" w:eastAsia="仿宋_GB2312"/>
          <w:szCs w:val="21"/>
        </w:rPr>
        <w:t>（9）参考IOPV决策和IOPV计算错误的风险</w:t>
      </w:r>
    </w:p>
    <w:p>
      <w:pPr>
        <w:ind w:firstLine="420"/>
        <w:jc w:val="left"/>
        <w:rPr>
          <w:rFonts w:ascii="仿宋_GB2312" w:eastAsia="仿宋_GB2312"/>
          <w:szCs w:val="21"/>
        </w:rPr>
      </w:pPr>
      <w:r>
        <w:rPr>
          <w:rFonts w:hint="eastAsia" w:ascii="仿宋_GB2312" w:eastAsia="仿宋_GB2312"/>
          <w:szCs w:val="21"/>
        </w:rPr>
        <w:t>证券交易所在开市后根据申购赎回清单和组合证券内各只证券的实时成交数据，计算并发布基金份额参考净值(IOPV)，供投资者交易、申购、赎回基金份额时参考。IOPV与实时的基金份额净值可能存在差异，IOPV计算可能出现错误，投资者若参考IOPV进行投资决策可能导致损失，需投资者自行承担。</w:t>
      </w:r>
    </w:p>
    <w:p>
      <w:pPr>
        <w:ind w:firstLine="420"/>
        <w:jc w:val="left"/>
        <w:rPr>
          <w:rFonts w:ascii="仿宋_GB2312" w:eastAsia="仿宋_GB2312"/>
          <w:szCs w:val="21"/>
        </w:rPr>
      </w:pPr>
      <w:r>
        <w:rPr>
          <w:rFonts w:hint="eastAsia" w:ascii="仿宋_GB2312" w:eastAsia="仿宋_GB2312"/>
          <w:szCs w:val="21"/>
        </w:rPr>
        <w:t>（10）退市风险</w:t>
      </w:r>
    </w:p>
    <w:p>
      <w:pPr>
        <w:ind w:firstLine="420"/>
        <w:jc w:val="left"/>
        <w:rPr>
          <w:rFonts w:ascii="仿宋_GB2312" w:eastAsia="仿宋_GB2312"/>
          <w:szCs w:val="21"/>
        </w:rPr>
      </w:pPr>
      <w:r>
        <w:rPr>
          <w:rFonts w:hint="eastAsia" w:ascii="仿宋_GB2312" w:eastAsia="仿宋_GB2312"/>
          <w:szCs w:val="21"/>
        </w:rPr>
        <w:t>因本基金不再符合证券交易所上市条件被终止上市，或被基金份额持有人大会决议提前终止上市，导致基金份额不能继续进行二级市场交易的风险。</w:t>
      </w:r>
    </w:p>
    <w:p>
      <w:pPr>
        <w:ind w:firstLine="420"/>
        <w:jc w:val="left"/>
        <w:rPr>
          <w:rFonts w:ascii="仿宋_GB2312" w:eastAsia="仿宋_GB2312"/>
          <w:szCs w:val="21"/>
        </w:rPr>
      </w:pPr>
      <w:r>
        <w:rPr>
          <w:rFonts w:hint="eastAsia" w:ascii="仿宋_GB2312" w:eastAsia="仿宋_GB2312"/>
          <w:szCs w:val="21"/>
        </w:rPr>
        <w:t>（11）投资者申购失败的风险</w:t>
      </w:r>
    </w:p>
    <w:p>
      <w:pPr>
        <w:ind w:firstLine="420"/>
        <w:jc w:val="left"/>
        <w:rPr>
          <w:rFonts w:ascii="仿宋_GB2312" w:eastAsia="仿宋_GB2312"/>
          <w:szCs w:val="21"/>
        </w:rPr>
      </w:pPr>
      <w:r>
        <w:rPr>
          <w:rFonts w:hint="eastAsia" w:ascii="仿宋_GB2312" w:eastAsia="仿宋_GB2312"/>
          <w:szCs w:val="21"/>
        </w:rPr>
        <w:t>本基金的申购赎回清单中，可能仅允许对部分成份股使用现金替代，且设置现金替代比例上限，因此，投资者在进行申购时，可能存在因个别成份股涨停、临时停牌等原因而无法买入申购所需的足够的成份股，导致申购失败的风险。</w:t>
      </w:r>
    </w:p>
    <w:p>
      <w:pPr>
        <w:ind w:firstLine="420"/>
        <w:jc w:val="left"/>
        <w:rPr>
          <w:rFonts w:ascii="仿宋_GB2312" w:eastAsia="仿宋_GB2312"/>
          <w:szCs w:val="21"/>
        </w:rPr>
      </w:pPr>
      <w:r>
        <w:rPr>
          <w:rFonts w:hint="eastAsia" w:ascii="仿宋_GB2312" w:eastAsia="仿宋_GB2312"/>
          <w:szCs w:val="21"/>
        </w:rPr>
        <w:t>（12）投资者赎回失败的风险</w:t>
      </w:r>
    </w:p>
    <w:p>
      <w:pPr>
        <w:ind w:firstLine="420"/>
        <w:jc w:val="left"/>
        <w:rPr>
          <w:rFonts w:ascii="仿宋_GB2312" w:eastAsia="仿宋_GB2312"/>
          <w:szCs w:val="21"/>
        </w:rPr>
      </w:pPr>
      <w:r>
        <w:rPr>
          <w:rFonts w:hint="eastAsia" w:ascii="仿宋_GB2312" w:eastAsia="仿宋_GB2312"/>
          <w:szCs w:val="21"/>
        </w:rPr>
        <w:t>投资者在提出赎回申请时，如基金组合中不具备足额的符合条件的赎回对价，可能导致赎回失败的情形。</w:t>
      </w:r>
    </w:p>
    <w:p>
      <w:pPr>
        <w:ind w:firstLine="420"/>
        <w:jc w:val="left"/>
        <w:rPr>
          <w:rFonts w:ascii="仿宋_GB2312" w:eastAsia="仿宋_GB2312"/>
          <w:szCs w:val="21"/>
        </w:rPr>
      </w:pPr>
      <w:r>
        <w:rPr>
          <w:rFonts w:hint="eastAsia" w:ascii="仿宋_GB2312" w:eastAsia="仿宋_GB2312"/>
          <w:szCs w:val="21"/>
        </w:rPr>
        <w:t>基金管理人可能根据成份股市值规模变化等因素调整最小申购赎回单位，由此可能导致投资者按原最小申购赎回单位申购并持有的基金份额，可能无法按照新的最小申购赎回单位全部赎回，而只能在二级市场卖出全部或部分基金份额。</w:t>
      </w:r>
    </w:p>
    <w:p>
      <w:pPr>
        <w:ind w:firstLine="420"/>
        <w:jc w:val="left"/>
        <w:rPr>
          <w:rFonts w:ascii="仿宋_GB2312" w:eastAsia="仿宋_GB2312"/>
          <w:szCs w:val="21"/>
        </w:rPr>
      </w:pPr>
      <w:r>
        <w:rPr>
          <w:rFonts w:hint="eastAsia" w:ascii="仿宋_GB2312" w:eastAsia="仿宋_GB2312"/>
          <w:szCs w:val="21"/>
        </w:rPr>
        <w:t>（13）基金份额赎回对价的变现风险</w:t>
      </w:r>
    </w:p>
    <w:p>
      <w:pPr>
        <w:ind w:firstLine="420"/>
        <w:jc w:val="left"/>
        <w:rPr>
          <w:rFonts w:ascii="仿宋_GB2312" w:eastAsia="仿宋_GB2312"/>
          <w:szCs w:val="21"/>
        </w:rPr>
      </w:pPr>
      <w:r>
        <w:rPr>
          <w:rFonts w:hint="eastAsia" w:ascii="仿宋_GB2312" w:eastAsia="仿宋_GB2312"/>
          <w:szCs w:val="21"/>
        </w:rPr>
        <w:t>本基金赎回对价主要为组合证券，在组合证券变现过程中，由于市场变化、部分成份股流动性差等因素，导致投资者变现后的价值与赎回时赎回对价的价值有差异，存在变现风险。</w:t>
      </w:r>
    </w:p>
    <w:p>
      <w:pPr>
        <w:ind w:firstLine="420"/>
        <w:jc w:val="left"/>
        <w:rPr>
          <w:rFonts w:ascii="仿宋_GB2312" w:eastAsia="仿宋_GB2312"/>
          <w:szCs w:val="21"/>
        </w:rPr>
      </w:pPr>
      <w:r>
        <w:rPr>
          <w:rFonts w:hint="eastAsia" w:ascii="仿宋_GB2312" w:eastAsia="仿宋_GB2312"/>
          <w:szCs w:val="21"/>
        </w:rPr>
        <w:t>（14）本基金可投资创业板股票，创业板个股上市后的前五个交易日不设价格涨跌幅限制，第六个交易日开始涨跌幅限制比例为20%。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2、流动性风险</w:t>
      </w:r>
    </w:p>
    <w:p>
      <w:pPr>
        <w:ind w:firstLine="420"/>
        <w:jc w:val="left"/>
        <w:rPr>
          <w:rFonts w:ascii="仿宋_GB2312" w:eastAsia="仿宋_GB2312"/>
          <w:szCs w:val="21"/>
        </w:rPr>
      </w:pPr>
      <w:r>
        <w:rPr>
          <w:rFonts w:hint="eastAsia" w:ascii="仿宋_GB2312" w:eastAsia="仿宋_GB2312"/>
          <w:szCs w:val="21"/>
        </w:rPr>
        <w:t>3、投资科创板股票的特定风险</w:t>
      </w:r>
    </w:p>
    <w:p>
      <w:pPr>
        <w:ind w:firstLine="420"/>
        <w:jc w:val="left"/>
        <w:rPr>
          <w:rFonts w:ascii="仿宋_GB2312" w:eastAsia="仿宋_GB2312"/>
          <w:szCs w:val="21"/>
        </w:rPr>
      </w:pPr>
      <w:r>
        <w:rPr>
          <w:rFonts w:hint="eastAsia" w:ascii="仿宋_GB2312" w:eastAsia="仿宋_GB2312"/>
          <w:szCs w:val="21"/>
        </w:rPr>
        <w:t>本基金可投资于科创板股票，会面临科创板机制下因投资标的、市场制度以及交易规则等差异带来的特有风险，包括但不限于市场风险、流动性风险、退市风险、系统性风险、政策风险等。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4、投资存托凭证的特定风险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5、本基金法律文件风险收益特征表述与销售机构基金风险评价可能不一致的风险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6、其他风险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●《上证180公司治理交易型开放式指数证券投资基金基金合同》、</w:t>
      </w:r>
    </w:p>
    <w:p>
      <w:pPr>
        <w:ind w:firstLine="420"/>
        <w:jc w:val="left"/>
        <w:rPr>
          <w:rFonts w:ascii="仿宋_GB2312" w:eastAsia="仿宋_GB2312"/>
          <w:szCs w:val="21"/>
        </w:rPr>
      </w:pPr>
      <w:r>
        <w:rPr>
          <w:rFonts w:hint="eastAsia" w:ascii="仿宋_GB2312" w:eastAsia="仿宋_GB2312"/>
          <w:szCs w:val="21"/>
        </w:rPr>
        <w:t>《上证180公司治理交易型开放式指数证券投资基金托管协议》、</w:t>
      </w:r>
    </w:p>
    <w:p>
      <w:pPr>
        <w:ind w:firstLine="420"/>
        <w:jc w:val="left"/>
        <w:rPr>
          <w:rFonts w:ascii="仿宋_GB2312" w:eastAsia="仿宋_GB2312"/>
          <w:szCs w:val="21"/>
        </w:rPr>
      </w:pPr>
      <w:r>
        <w:rPr>
          <w:rFonts w:hint="eastAsia" w:ascii="仿宋_GB2312" w:eastAsia="仿宋_GB2312"/>
          <w:szCs w:val="21"/>
        </w:rPr>
        <w:t>《上证180公司治理交易型开放式指数证券投资基金招募说明书》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7E6F43"/>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124312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764</Words>
  <Characters>4358</Characters>
  <Lines>36</Lines>
  <Paragraphs>10</Paragraphs>
  <TotalTime>7</TotalTime>
  <ScaleCrop>false</ScaleCrop>
  <LinksUpToDate>false</LinksUpToDate>
  <CharactersWithSpaces>5112</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2025-09-24T06:26:00Z</dcterms:created>
  <dc:creator>Cc</dc:creator>
  <cp:lastModifiedBy>haotingting</cp:lastModifiedBy>
  <dcterms:modified xsi:type="dcterms:W3CDTF">2025-09-30T05:38:09Z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9D44825CCE34451F9515716EA5DF4B58</vt:lpwstr>
  </property>
</Properties>
</file>