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04822">
      <w:pPr>
        <w:rPr>
          <w:sz w:val="32"/>
        </w:rPr>
      </w:pPr>
    </w:p>
    <w:p w:rsidR="00C92FC0" w:rsidRPr="00EB07BC" w:rsidRDefault="00304822">
      <w:pPr>
        <w:rPr>
          <w:sz w:val="32"/>
        </w:rPr>
      </w:pPr>
    </w:p>
    <w:p w:rsidR="00C92FC0" w:rsidRPr="00EB07BC" w:rsidRDefault="00304822">
      <w:pPr>
        <w:rPr>
          <w:sz w:val="32"/>
        </w:rPr>
      </w:pPr>
    </w:p>
    <w:p w:rsidR="00C92FC0" w:rsidRPr="00EB07BC" w:rsidRDefault="00A76ED3">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716B75" w:rsidRDefault="00716B7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16B75" w:rsidRDefault="00716B7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16B75" w:rsidRDefault="00A76ED3">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交银施罗德深证</w:t>
      </w:r>
      <w:r>
        <w:rPr>
          <w:rFonts w:ascii="Times New Roman" w:hAnsi="Times New Roman"/>
          <w:b/>
          <w:spacing w:val="2"/>
          <w:w w:val="99"/>
          <w:kern w:val="0"/>
          <w:position w:val="-4"/>
          <w:sz w:val="44"/>
          <w:szCs w:val="44"/>
        </w:rPr>
        <w:t>300</w:t>
      </w:r>
      <w:r>
        <w:rPr>
          <w:rFonts w:ascii="Times New Roman" w:hAnsi="Times New Roman"/>
          <w:b/>
          <w:spacing w:val="2"/>
          <w:w w:val="99"/>
          <w:kern w:val="0"/>
          <w:position w:val="-4"/>
          <w:sz w:val="44"/>
          <w:szCs w:val="44"/>
        </w:rPr>
        <w:t>价值交易型开放式指数证券投资基金联接基金</w:t>
      </w:r>
    </w:p>
    <w:p w:rsidR="00716B75" w:rsidRDefault="00A76ED3">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16B75" w:rsidRDefault="00716B75">
      <w:pPr>
        <w:snapToGrid w:val="0"/>
        <w:spacing w:line="360" w:lineRule="auto"/>
        <w:jc w:val="center"/>
        <w:rPr>
          <w:rFonts w:ascii="宋体" w:hAnsi="宋体"/>
          <w:b/>
          <w:sz w:val="30"/>
          <w:szCs w:val="30"/>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A76ED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16B75" w:rsidRDefault="00A76ED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716B7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16B75" w:rsidRDefault="00A76ED3">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716B75" w:rsidRDefault="00716B75">
      <w:pPr>
        <w:autoSpaceDE w:val="0"/>
        <w:autoSpaceDN w:val="0"/>
        <w:adjustRightInd w:val="0"/>
        <w:snapToGrid w:val="0"/>
        <w:spacing w:line="360" w:lineRule="auto"/>
        <w:ind w:left="1347" w:rightChars="6" w:right="13"/>
        <w:rPr>
          <w:rFonts w:ascii="宋体" w:hAnsi="宋体"/>
          <w:kern w:val="0"/>
          <w:sz w:val="32"/>
          <w:szCs w:val="32"/>
        </w:rPr>
        <w:sectPr w:rsidR="00716B75">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716B75" w:rsidRDefault="00A76ED3">
      <w:pPr>
        <w:pStyle w:val="1"/>
        <w:snapToGrid w:val="0"/>
        <w:spacing w:beforeLines="0" w:before="240" w:after="240"/>
        <w:rPr>
          <w:rFonts w:ascii="宋体" w:hAnsi="宋体"/>
          <w:kern w:val="0"/>
        </w:rPr>
      </w:pPr>
      <w:bookmarkStart w:id="0" w:name="_Toc324920538"/>
      <w:bookmarkStart w:id="1" w:name="_Toc496884613"/>
      <w:bookmarkStart w:id="2" w:name="_Toc210897879"/>
      <w:r>
        <w:rPr>
          <w:rFonts w:ascii="Times New Roman" w:hAnsi="Times New Roman"/>
          <w:kern w:val="0"/>
        </w:rPr>
        <w:lastRenderedPageBreak/>
        <w:t>重要提示</w:t>
      </w:r>
      <w:bookmarkEnd w:id="0"/>
      <w:bookmarkEnd w:id="1"/>
      <w:bookmarkEnd w:id="2"/>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交银施罗德深证</w:t>
      </w:r>
      <w:r>
        <w:rPr>
          <w:rFonts w:ascii="Times New Roman" w:hAnsi="Times New Roman"/>
          <w:kern w:val="0"/>
          <w:sz w:val="24"/>
        </w:rPr>
        <w:t>300</w:t>
      </w:r>
      <w:r>
        <w:rPr>
          <w:rFonts w:ascii="Times New Roman" w:hAnsi="Times New Roman"/>
          <w:kern w:val="0"/>
          <w:sz w:val="24"/>
        </w:rPr>
        <w:t>价值交易型开放式指数证券投资基金联接基金（以下简称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2011</w:t>
      </w:r>
      <w:r>
        <w:rPr>
          <w:rFonts w:ascii="Times New Roman" w:hAnsi="Times New Roman"/>
          <w:kern w:val="0"/>
          <w:sz w:val="24"/>
        </w:rPr>
        <w:t>】</w:t>
      </w:r>
      <w:r>
        <w:rPr>
          <w:rFonts w:ascii="Times New Roman" w:hAnsi="Times New Roman"/>
          <w:kern w:val="0"/>
          <w:sz w:val="24"/>
        </w:rPr>
        <w:t>967</w:t>
      </w:r>
      <w:r>
        <w:rPr>
          <w:rFonts w:ascii="Times New Roman" w:hAnsi="Times New Roman"/>
          <w:kern w:val="0"/>
          <w:sz w:val="24"/>
        </w:rPr>
        <w:t>号文核准募集。本基金基金合同于</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以及本基金投资策略所特有的风险等等。本基金为</w:t>
      </w:r>
      <w:r>
        <w:rPr>
          <w:rFonts w:ascii="Times New Roman" w:hAnsi="Times New Roman"/>
          <w:kern w:val="0"/>
          <w:sz w:val="24"/>
        </w:rPr>
        <w:t>ETF</w:t>
      </w:r>
      <w:r>
        <w:rPr>
          <w:rFonts w:ascii="Times New Roman" w:hAnsi="Times New Roman"/>
          <w:kern w:val="0"/>
          <w:sz w:val="24"/>
        </w:rPr>
        <w:t>联接基金，紧密跟踪标的指数，具有和标的指数所代表的股票市场相似的风险收益特征，风险与收益高于混合基金、债券基金与货币市场基金，属于证券投资基金中风险较高、预期收益较高的品种。</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本基金主要投资于目标</w:t>
      </w:r>
      <w:r>
        <w:rPr>
          <w:rFonts w:ascii="Times New Roman" w:hAnsi="Times New Roman"/>
          <w:kern w:val="0"/>
          <w:sz w:val="24"/>
        </w:rPr>
        <w:t>ETF</w:t>
      </w:r>
      <w:r>
        <w:rPr>
          <w:rFonts w:ascii="Times New Roman" w:hAnsi="Times New Roman"/>
          <w:kern w:val="0"/>
          <w:sz w:val="24"/>
        </w:rPr>
        <w:t>，投资者投资于本基金面临跟踪误差控制未达约定目标、指数编制机构停止服务、成份券停牌等潜在风险。</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本基金标的指数为深证</w:t>
      </w:r>
      <w:r>
        <w:rPr>
          <w:rFonts w:ascii="Times New Roman" w:hAnsi="Times New Roman"/>
          <w:kern w:val="0"/>
          <w:sz w:val="24"/>
        </w:rPr>
        <w:t>300</w:t>
      </w:r>
      <w:r>
        <w:rPr>
          <w:rFonts w:ascii="Times New Roman" w:hAnsi="Times New Roman"/>
          <w:kern w:val="0"/>
          <w:sz w:val="24"/>
        </w:rPr>
        <w:t>价值价格指数。</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深证</w:t>
      </w:r>
      <w:r>
        <w:rPr>
          <w:rFonts w:ascii="Times New Roman" w:hAnsi="Times New Roman"/>
          <w:kern w:val="0"/>
          <w:sz w:val="24"/>
        </w:rPr>
        <w:t>300</w:t>
      </w:r>
      <w:r>
        <w:rPr>
          <w:rFonts w:ascii="Times New Roman" w:hAnsi="Times New Roman"/>
          <w:kern w:val="0"/>
          <w:sz w:val="24"/>
        </w:rPr>
        <w:t>指数样本股。</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）计算价值因子的变量数值</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价值因子有四个变量：每股收益与价格比率、每股经营现金流与价格比率、股息收益率、每股净资产与价格比率。</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）计算风格</w:t>
      </w:r>
      <w:r>
        <w:rPr>
          <w:rFonts w:ascii="Times New Roman" w:hAnsi="Times New Roman"/>
          <w:kern w:val="0"/>
          <w:sz w:val="24"/>
        </w:rPr>
        <w:t>Z</w:t>
      </w:r>
      <w:r>
        <w:rPr>
          <w:rFonts w:ascii="Times New Roman" w:hAnsi="Times New Roman"/>
          <w:kern w:val="0"/>
          <w:sz w:val="24"/>
        </w:rPr>
        <w:t>值</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计算出每只股票的变量值之后，在样本空间内对所有变量值进行标准化</w:t>
      </w:r>
      <w:r>
        <w:rPr>
          <w:rFonts w:ascii="Times New Roman" w:hAnsi="Times New Roman"/>
          <w:kern w:val="0"/>
          <w:sz w:val="24"/>
        </w:rPr>
        <w:t>z</w:t>
      </w:r>
      <w:r>
        <w:rPr>
          <w:rFonts w:ascii="Times New Roman" w:hAnsi="Times New Roman"/>
          <w:kern w:val="0"/>
          <w:sz w:val="24"/>
        </w:rPr>
        <w:t>分处理。</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为确保用于标准化处理的市场均值不会因为极值而受到太大影响，计算增长率变量时，先对样本空间内所有股票的数值按照升序排列。对于处在下端</w:t>
      </w:r>
      <w:r>
        <w:rPr>
          <w:rFonts w:ascii="Times New Roman" w:hAnsi="Times New Roman"/>
          <w:kern w:val="0"/>
          <w:sz w:val="24"/>
        </w:rPr>
        <w:t>10%</w:t>
      </w:r>
      <w:r>
        <w:rPr>
          <w:rFonts w:ascii="Times New Roman" w:hAnsi="Times New Roman"/>
          <w:kern w:val="0"/>
          <w:sz w:val="24"/>
        </w:rPr>
        <w:t>或者上端</w:t>
      </w:r>
      <w:r>
        <w:rPr>
          <w:rFonts w:ascii="Times New Roman" w:hAnsi="Times New Roman"/>
          <w:kern w:val="0"/>
          <w:sz w:val="24"/>
        </w:rPr>
        <w:t>90%</w:t>
      </w:r>
      <w:r>
        <w:rPr>
          <w:rFonts w:ascii="Times New Roman" w:hAnsi="Times New Roman"/>
          <w:kern w:val="0"/>
          <w:sz w:val="24"/>
        </w:rPr>
        <w:t>等级的数值，分别设定为第</w:t>
      </w:r>
      <w:r>
        <w:rPr>
          <w:rFonts w:ascii="Times New Roman" w:hAnsi="Times New Roman"/>
          <w:kern w:val="0"/>
          <w:sz w:val="24"/>
        </w:rPr>
        <w:t>10%</w:t>
      </w:r>
      <w:r>
        <w:rPr>
          <w:rFonts w:ascii="Times New Roman" w:hAnsi="Times New Roman"/>
          <w:kern w:val="0"/>
          <w:sz w:val="24"/>
        </w:rPr>
        <w:t>等级与</w:t>
      </w:r>
      <w:r>
        <w:rPr>
          <w:rFonts w:ascii="Times New Roman" w:hAnsi="Times New Roman"/>
          <w:kern w:val="0"/>
          <w:sz w:val="24"/>
        </w:rPr>
        <w:t>90%</w:t>
      </w:r>
      <w:r>
        <w:rPr>
          <w:rFonts w:ascii="Times New Roman" w:hAnsi="Times New Roman"/>
          <w:kern w:val="0"/>
          <w:sz w:val="24"/>
        </w:rPr>
        <w:t>等级的数值。</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一个公司股票的价值</w:t>
      </w:r>
      <w:r>
        <w:rPr>
          <w:rFonts w:ascii="Times New Roman" w:hAnsi="Times New Roman"/>
          <w:kern w:val="0"/>
          <w:sz w:val="24"/>
        </w:rPr>
        <w:t>Z</w:t>
      </w:r>
      <w:r>
        <w:rPr>
          <w:rFonts w:ascii="Times New Roman" w:hAnsi="Times New Roman"/>
          <w:kern w:val="0"/>
          <w:sz w:val="24"/>
        </w:rPr>
        <w:t>值是四个价值因子变量</w:t>
      </w:r>
      <w:r>
        <w:rPr>
          <w:rFonts w:ascii="Times New Roman" w:hAnsi="Times New Roman"/>
          <w:kern w:val="0"/>
          <w:sz w:val="24"/>
        </w:rPr>
        <w:t>Z</w:t>
      </w:r>
      <w:r>
        <w:rPr>
          <w:rFonts w:ascii="Times New Roman" w:hAnsi="Times New Roman"/>
          <w:kern w:val="0"/>
          <w:sz w:val="24"/>
        </w:rPr>
        <w:t>值的均值。</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）指数选样</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在深证</w:t>
      </w:r>
      <w:r>
        <w:rPr>
          <w:rFonts w:ascii="Times New Roman" w:hAnsi="Times New Roman"/>
          <w:kern w:val="0"/>
          <w:sz w:val="24"/>
        </w:rPr>
        <w:t>300</w:t>
      </w:r>
      <w:r>
        <w:rPr>
          <w:rFonts w:ascii="Times New Roman" w:hAnsi="Times New Roman"/>
          <w:kern w:val="0"/>
          <w:sz w:val="24"/>
        </w:rPr>
        <w:t>中选取价值</w:t>
      </w:r>
      <w:r>
        <w:rPr>
          <w:rFonts w:ascii="Times New Roman" w:hAnsi="Times New Roman"/>
          <w:kern w:val="0"/>
          <w:sz w:val="24"/>
        </w:rPr>
        <w:t>Z</w:t>
      </w:r>
      <w:r>
        <w:rPr>
          <w:rFonts w:ascii="Times New Roman" w:hAnsi="Times New Roman"/>
          <w:kern w:val="0"/>
          <w:sz w:val="24"/>
        </w:rPr>
        <w:t>值最高的</w:t>
      </w:r>
      <w:r>
        <w:rPr>
          <w:rFonts w:ascii="Times New Roman" w:hAnsi="Times New Roman"/>
          <w:kern w:val="0"/>
          <w:sz w:val="24"/>
        </w:rPr>
        <w:t>100</w:t>
      </w:r>
      <w:r>
        <w:rPr>
          <w:rFonts w:ascii="Times New Roman" w:hAnsi="Times New Roman"/>
          <w:kern w:val="0"/>
          <w:sz w:val="24"/>
        </w:rPr>
        <w:t>只股票作为深证</w:t>
      </w:r>
      <w:r>
        <w:rPr>
          <w:rFonts w:ascii="Times New Roman" w:hAnsi="Times New Roman"/>
          <w:kern w:val="0"/>
          <w:sz w:val="24"/>
        </w:rPr>
        <w:t>300</w:t>
      </w:r>
      <w:r>
        <w:rPr>
          <w:rFonts w:ascii="Times New Roman" w:hAnsi="Times New Roman"/>
          <w:kern w:val="0"/>
          <w:sz w:val="24"/>
        </w:rPr>
        <w:t>价值指数初始样本股。</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、指数计算</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指数采用派氏加权法，依据下列公式逐日连锁实时计算：</w:t>
      </w:r>
    </w:p>
    <w:p w:rsidR="00716B75" w:rsidRDefault="00304822">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7pt">
            <v:imagedata r:id="rId15" o:title="1521256610242020828"/>
          </v:shape>
        </w:pic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有关标的指数具体编制方案及成份股信息详见深圳证券信息有限公司国证指数网网站，网址：</w:t>
      </w:r>
      <w:r>
        <w:rPr>
          <w:rFonts w:ascii="Times New Roman" w:hAnsi="Times New Roman"/>
          <w:kern w:val="0"/>
          <w:sz w:val="24"/>
        </w:rPr>
        <w:t>www.cnindex.com.cn</w:t>
      </w:r>
      <w:r>
        <w:rPr>
          <w:rFonts w:ascii="Times New Roman" w:hAnsi="Times New Roman"/>
          <w:kern w:val="0"/>
          <w:sz w:val="24"/>
        </w:rPr>
        <w:t>。</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投资有风险，投资者在投资本基金前应认真阅读本基金的招募说明书、基金合同、基金产品资料概要。基金的过往业绩并不代表其未来表现。基金管理人管理的其他基金的业绩并不构成对本基金业绩表现的保证。</w:t>
      </w:r>
    </w:p>
    <w:p w:rsidR="00716B75" w:rsidRDefault="00A76ED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w:t>
      </w:r>
      <w:r>
        <w:rPr>
          <w:rFonts w:ascii="Times New Roman" w:hAnsi="Times New Roman"/>
          <w:kern w:val="0"/>
          <w:sz w:val="24"/>
        </w:rPr>
        <w:lastRenderedPageBreak/>
        <w:t>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716B75" w:rsidRDefault="00716B75">
      <w:pPr>
        <w:autoSpaceDE w:val="0"/>
        <w:autoSpaceDN w:val="0"/>
        <w:adjustRightInd w:val="0"/>
        <w:snapToGrid w:val="0"/>
        <w:spacing w:before="51" w:line="360" w:lineRule="auto"/>
        <w:ind w:left="120" w:rightChars="6" w:right="13" w:firstLine="480"/>
        <w:rPr>
          <w:rFonts w:ascii="宋体" w:hAnsi="宋体"/>
          <w:kern w:val="0"/>
          <w:szCs w:val="24"/>
        </w:rPr>
        <w:sectPr w:rsidR="00716B75">
          <w:headerReference w:type="default" r:id="rId16"/>
          <w:pgSz w:w="11920" w:h="16840"/>
          <w:pgMar w:top="1440" w:right="1680" w:bottom="280" w:left="1680" w:header="0" w:footer="1073" w:gutter="0"/>
          <w:pgNumType w:start="1"/>
          <w:cols w:space="720"/>
        </w:sectPr>
      </w:pPr>
    </w:p>
    <w:p w:rsidR="00304822" w:rsidRPr="00304822" w:rsidRDefault="00A76ED3" w:rsidP="00304822">
      <w:pPr>
        <w:pStyle w:val="ad"/>
        <w:snapToGrid w:val="0"/>
        <w:spacing w:after="240" w:line="360" w:lineRule="auto"/>
        <w:jc w:val="center"/>
        <w:rPr>
          <w:rFonts w:ascii="宋体" w:hAnsi="宋体"/>
          <w:noProof/>
          <w:sz w:val="24"/>
        </w:rPr>
      </w:pPr>
      <w:r w:rsidRPr="00304822">
        <w:rPr>
          <w:rFonts w:ascii="宋体" w:hAnsi="宋体"/>
          <w:color w:val="000000"/>
          <w:position w:val="-4"/>
          <w:sz w:val="24"/>
          <w:szCs w:val="30"/>
        </w:rPr>
        <w:lastRenderedPageBreak/>
        <w:t>目</w:t>
      </w:r>
      <w:r w:rsidRPr="00304822">
        <w:rPr>
          <w:rFonts w:ascii="宋体" w:hAnsi="宋体"/>
          <w:color w:val="000000"/>
          <w:position w:val="-4"/>
          <w:sz w:val="24"/>
          <w:szCs w:val="30"/>
        </w:rPr>
        <w:tab/>
        <w:t>录</w:t>
      </w:r>
      <w:r w:rsidR="00304822" w:rsidRPr="00304822">
        <w:rPr>
          <w:rFonts w:ascii="宋体" w:hAnsi="宋体"/>
          <w:color w:val="000000"/>
          <w:position w:val="-4"/>
          <w:sz w:val="24"/>
          <w:szCs w:val="30"/>
        </w:rPr>
        <w:fldChar w:fldCharType="begin"/>
      </w:r>
      <w:r w:rsidR="00304822" w:rsidRPr="00304822">
        <w:rPr>
          <w:rFonts w:ascii="宋体" w:hAnsi="宋体"/>
          <w:color w:val="000000"/>
          <w:position w:val="-4"/>
          <w:sz w:val="24"/>
          <w:szCs w:val="30"/>
        </w:rPr>
        <w:instrText xml:space="preserve"> TOC \o "1-3" \f - \h \t "-1" </w:instrText>
      </w:r>
      <w:r w:rsidR="00304822" w:rsidRPr="00304822">
        <w:rPr>
          <w:rFonts w:ascii="宋体" w:hAnsi="宋体"/>
          <w:color w:val="000000"/>
          <w:position w:val="-4"/>
          <w:sz w:val="24"/>
          <w:szCs w:val="30"/>
        </w:rPr>
        <w:fldChar w:fldCharType="separate"/>
      </w:r>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79" w:history="1">
        <w:r w:rsidRPr="00304822">
          <w:rPr>
            <w:rStyle w:val="aa"/>
            <w:rFonts w:ascii="宋体" w:hAnsi="宋体" w:hint="eastAsia"/>
            <w:noProof/>
            <w:kern w:val="0"/>
            <w:sz w:val="24"/>
          </w:rPr>
          <w:t>重要提示</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_Toc210897879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0" w:history="1">
        <w:r w:rsidRPr="00304822">
          <w:rPr>
            <w:rStyle w:val="aa"/>
            <w:rFonts w:ascii="宋体" w:hAnsi="宋体" w:hint="eastAsia"/>
            <w:noProof/>
            <w:sz w:val="24"/>
          </w:rPr>
          <w:t>一、绪言</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_Toc210897880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5</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1" w:history="1">
        <w:r w:rsidRPr="00304822">
          <w:rPr>
            <w:rStyle w:val="aa"/>
            <w:rFonts w:ascii="宋体" w:hAnsi="宋体" w:hint="eastAsia"/>
            <w:noProof/>
            <w:sz w:val="24"/>
          </w:rPr>
          <w:t>二、释义</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_Toc210897881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6</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2" w:history="1">
        <w:r w:rsidRPr="00304822">
          <w:rPr>
            <w:rStyle w:val="aa"/>
            <w:rFonts w:ascii="宋体" w:hAnsi="宋体" w:hint="eastAsia"/>
            <w:noProof/>
            <w:sz w:val="24"/>
          </w:rPr>
          <w:t>三、基金管理人</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_Toc210897882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11</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3" w:history="1">
        <w:r w:rsidRPr="00304822">
          <w:rPr>
            <w:rStyle w:val="aa"/>
            <w:rFonts w:ascii="宋体" w:hAnsi="宋体" w:hint="eastAsia"/>
            <w:noProof/>
            <w:sz w:val="24"/>
          </w:rPr>
          <w:t>四、基金托管人</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_Toc210897883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19</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4" w:history="1">
        <w:r w:rsidRPr="00304822">
          <w:rPr>
            <w:rStyle w:val="aa"/>
            <w:rFonts w:ascii="宋体" w:hAnsi="宋体" w:hint="eastAsia"/>
            <w:noProof/>
            <w:sz w:val="24"/>
          </w:rPr>
          <w:t>五、相关服务机构</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_Toc210897884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22</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5" w:history="1">
        <w:r w:rsidRPr="00304822">
          <w:rPr>
            <w:rStyle w:val="aa"/>
            <w:rFonts w:ascii="宋体" w:hAnsi="宋体" w:hint="eastAsia"/>
            <w:noProof/>
            <w:sz w:val="24"/>
          </w:rPr>
          <w:t>六、基金的募集</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_Toc210897885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47</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6" w:history="1">
        <w:r w:rsidRPr="00304822">
          <w:rPr>
            <w:rStyle w:val="aa"/>
            <w:rFonts w:ascii="宋体" w:hAnsi="宋体" w:hint="eastAsia"/>
            <w:noProof/>
            <w:sz w:val="24"/>
          </w:rPr>
          <w:t>七、基金合同的生效</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_Toc210897886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49</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7" w:history="1">
        <w:r w:rsidRPr="00304822">
          <w:rPr>
            <w:rStyle w:val="aa"/>
            <w:rFonts w:ascii="宋体" w:hAnsi="宋体" w:hint="eastAsia"/>
            <w:noProof/>
            <w:sz w:val="24"/>
          </w:rPr>
          <w:t>八、基金份额的申购与赎回</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_Toc210897887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50</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8" w:history="1">
        <w:r w:rsidRPr="00304822">
          <w:rPr>
            <w:rStyle w:val="aa"/>
            <w:rFonts w:ascii="宋体" w:hAnsi="宋体" w:hint="eastAsia"/>
            <w:noProof/>
            <w:sz w:val="24"/>
          </w:rPr>
          <w:t>九、基金的转换</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_Toc210897888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63</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89" w:history="1">
        <w:r w:rsidRPr="00304822">
          <w:rPr>
            <w:rStyle w:val="aa"/>
            <w:rFonts w:ascii="宋体" w:hAnsi="宋体" w:hint="eastAsia"/>
            <w:noProof/>
            <w:sz w:val="24"/>
          </w:rPr>
          <w:t>十、基金的投资</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_Toc210897889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70</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0" w:history="1">
        <w:r w:rsidRPr="00304822">
          <w:rPr>
            <w:rStyle w:val="aa"/>
            <w:rFonts w:ascii="宋体" w:hAnsi="宋体" w:hint="eastAsia"/>
            <w:noProof/>
            <w:sz w:val="24"/>
          </w:rPr>
          <w:t>十一、基金的业绩</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_Toc210897890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81</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1" w:history="1">
        <w:r w:rsidRPr="00304822">
          <w:rPr>
            <w:rStyle w:val="aa"/>
            <w:rFonts w:ascii="宋体" w:hAnsi="宋体" w:hint="eastAsia"/>
            <w:noProof/>
            <w:sz w:val="24"/>
          </w:rPr>
          <w:t>十二、基金的财产</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_Toc210897891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83</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2" w:history="1">
        <w:r w:rsidRPr="00304822">
          <w:rPr>
            <w:rStyle w:val="aa"/>
            <w:rFonts w:ascii="宋体" w:hAnsi="宋体" w:hint="eastAsia"/>
            <w:noProof/>
            <w:sz w:val="24"/>
          </w:rPr>
          <w:t>十三、基金资产的估值</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_Toc210897892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84</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3" w:history="1">
        <w:r w:rsidRPr="00304822">
          <w:rPr>
            <w:rStyle w:val="aa"/>
            <w:rFonts w:ascii="宋体" w:hAnsi="宋体" w:hint="eastAsia"/>
            <w:noProof/>
            <w:sz w:val="24"/>
          </w:rPr>
          <w:t>十四、基金的收益与分配</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_Toc210897893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91</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4" w:history="1">
        <w:r w:rsidRPr="00304822">
          <w:rPr>
            <w:rStyle w:val="aa"/>
            <w:rFonts w:ascii="宋体" w:hAnsi="宋体" w:hint="eastAsia"/>
            <w:noProof/>
            <w:sz w:val="24"/>
          </w:rPr>
          <w:t>十五、基金的费用与税收</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_Toc210897894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93</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5" w:history="1">
        <w:r w:rsidRPr="00304822">
          <w:rPr>
            <w:rStyle w:val="aa"/>
            <w:rFonts w:ascii="宋体" w:hAnsi="宋体" w:hint="eastAsia"/>
            <w:noProof/>
            <w:sz w:val="24"/>
          </w:rPr>
          <w:t>十六、基金的会计与审计</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_Toc210897895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95</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6" w:history="1">
        <w:r w:rsidRPr="00304822">
          <w:rPr>
            <w:rStyle w:val="aa"/>
            <w:rFonts w:ascii="宋体" w:hAnsi="宋体" w:hint="eastAsia"/>
            <w:noProof/>
            <w:sz w:val="24"/>
          </w:rPr>
          <w:t>十七、基金的信息披露</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_Toc210897896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96</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7" w:history="1">
        <w:r w:rsidRPr="00304822">
          <w:rPr>
            <w:rStyle w:val="aa"/>
            <w:rFonts w:ascii="宋体" w:hAnsi="宋体" w:hint="eastAsia"/>
            <w:noProof/>
            <w:sz w:val="24"/>
          </w:rPr>
          <w:t>十八、风险揭示</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_Toc210897897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102</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8" w:history="1">
        <w:r w:rsidRPr="00304822">
          <w:rPr>
            <w:rStyle w:val="aa"/>
            <w:rFonts w:ascii="宋体" w:hAnsi="宋体" w:hint="eastAsia"/>
            <w:noProof/>
            <w:sz w:val="24"/>
          </w:rPr>
          <w:t>十九、基金合同的终止与基金财产的清算</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_Toc210897898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109</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899" w:history="1">
        <w:r w:rsidRPr="00304822">
          <w:rPr>
            <w:rStyle w:val="aa"/>
            <w:rFonts w:ascii="宋体" w:hAnsi="宋体" w:hint="eastAsia"/>
            <w:noProof/>
            <w:sz w:val="24"/>
          </w:rPr>
          <w:t>二十、基金合同的内容摘要</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_Toc210897899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111</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900" w:history="1">
        <w:r w:rsidRPr="00304822">
          <w:rPr>
            <w:rStyle w:val="aa"/>
            <w:rFonts w:ascii="宋体" w:hAnsi="宋体" w:hint="eastAsia"/>
            <w:noProof/>
            <w:sz w:val="24"/>
          </w:rPr>
          <w:t>二十一、托管协议的内容摘要</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_Toc210897900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127</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901" w:history="1">
        <w:r w:rsidRPr="00304822">
          <w:rPr>
            <w:rStyle w:val="aa"/>
            <w:rFonts w:ascii="宋体" w:hAnsi="宋体" w:hint="eastAsia"/>
            <w:noProof/>
            <w:sz w:val="24"/>
          </w:rPr>
          <w:t>二十二、对基金份额持有人的服务</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_Toc210897901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144</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902" w:history="1">
        <w:r w:rsidRPr="00304822">
          <w:rPr>
            <w:rStyle w:val="aa"/>
            <w:rFonts w:ascii="宋体" w:hAnsi="宋体" w:hint="eastAsia"/>
            <w:noProof/>
            <w:sz w:val="24"/>
          </w:rPr>
          <w:t>二十三、其他应披露事项</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_Toc210897902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146</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903" w:history="1">
        <w:r w:rsidRPr="00304822">
          <w:rPr>
            <w:rStyle w:val="aa"/>
            <w:rFonts w:ascii="宋体" w:hAnsi="宋体" w:hint="eastAsia"/>
            <w:noProof/>
            <w:sz w:val="24"/>
          </w:rPr>
          <w:t>二十四、招募说明书的存放及查阅方式</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_Toc210897903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148</w:t>
        </w:r>
        <w:r w:rsidRPr="00304822">
          <w:rPr>
            <w:rFonts w:ascii="宋体" w:hAnsi="宋体"/>
            <w:noProof/>
            <w:sz w:val="24"/>
          </w:rPr>
          <w:fldChar w:fldCharType="end"/>
        </w:r>
      </w:hyperlink>
    </w:p>
    <w:p w:rsidR="00304822" w:rsidRPr="00304822" w:rsidRDefault="00304822" w:rsidP="00304822">
      <w:pPr>
        <w:pStyle w:val="10"/>
        <w:tabs>
          <w:tab w:val="right" w:leader="dot" w:pos="8550"/>
        </w:tabs>
        <w:spacing w:line="360" w:lineRule="auto"/>
        <w:rPr>
          <w:rFonts w:ascii="宋体" w:hAnsi="宋体" w:cstheme="minorBidi"/>
          <w:noProof/>
          <w:sz w:val="24"/>
        </w:rPr>
      </w:pPr>
      <w:hyperlink w:anchor="_Toc210897904" w:history="1">
        <w:r w:rsidRPr="00304822">
          <w:rPr>
            <w:rStyle w:val="aa"/>
            <w:rFonts w:ascii="宋体" w:hAnsi="宋体" w:hint="eastAsia"/>
            <w:noProof/>
            <w:sz w:val="24"/>
          </w:rPr>
          <w:t>二十五、备查文件</w:t>
        </w:r>
        <w:r w:rsidRPr="00304822">
          <w:rPr>
            <w:rFonts w:ascii="宋体" w:hAnsi="宋体"/>
            <w:noProof/>
            <w:sz w:val="24"/>
          </w:rPr>
          <w:tab/>
        </w:r>
        <w:r w:rsidRPr="00304822">
          <w:rPr>
            <w:rFonts w:ascii="宋体" w:hAnsi="宋体"/>
            <w:noProof/>
            <w:sz w:val="24"/>
          </w:rPr>
          <w:fldChar w:fldCharType="begin"/>
        </w:r>
        <w:r w:rsidRPr="00304822">
          <w:rPr>
            <w:rFonts w:ascii="宋体" w:hAnsi="宋体"/>
            <w:noProof/>
            <w:sz w:val="24"/>
          </w:rPr>
          <w:instrText xml:space="preserve"> PAGEREF _Toc210897904 \h </w:instrText>
        </w:r>
        <w:r w:rsidRPr="00304822">
          <w:rPr>
            <w:rFonts w:ascii="宋体" w:hAnsi="宋体"/>
            <w:noProof/>
            <w:sz w:val="24"/>
          </w:rPr>
        </w:r>
        <w:r w:rsidRPr="00304822">
          <w:rPr>
            <w:rFonts w:ascii="宋体" w:hAnsi="宋体"/>
            <w:noProof/>
            <w:sz w:val="24"/>
          </w:rPr>
          <w:fldChar w:fldCharType="separate"/>
        </w:r>
        <w:r w:rsidRPr="00304822">
          <w:rPr>
            <w:rFonts w:ascii="宋体" w:hAnsi="宋体"/>
            <w:noProof/>
            <w:sz w:val="24"/>
          </w:rPr>
          <w:t>149</w:t>
        </w:r>
        <w:r w:rsidRPr="00304822">
          <w:rPr>
            <w:rFonts w:ascii="宋体" w:hAnsi="宋体"/>
            <w:noProof/>
            <w:sz w:val="24"/>
          </w:rPr>
          <w:fldChar w:fldCharType="end"/>
        </w:r>
      </w:hyperlink>
    </w:p>
    <w:p w:rsidR="00716B75" w:rsidRPr="00304822" w:rsidRDefault="00304822" w:rsidP="00304822">
      <w:pPr>
        <w:pStyle w:val="ad"/>
        <w:snapToGrid w:val="0"/>
        <w:spacing w:after="240" w:line="360" w:lineRule="auto"/>
        <w:jc w:val="center"/>
        <w:rPr>
          <w:rFonts w:ascii="宋体" w:hAnsi="宋体"/>
          <w:color w:val="000000"/>
          <w:sz w:val="24"/>
        </w:rPr>
      </w:pPr>
      <w:r w:rsidRPr="00304822">
        <w:rPr>
          <w:rFonts w:ascii="宋体" w:hAnsi="宋体"/>
          <w:color w:val="000000"/>
          <w:position w:val="-4"/>
          <w:sz w:val="24"/>
          <w:szCs w:val="30"/>
        </w:rPr>
        <w:fldChar w:fldCharType="end"/>
      </w:r>
      <w:bookmarkStart w:id="3" w:name="_GoBack"/>
      <w:bookmarkEnd w:id="3"/>
    </w:p>
    <w:p w:rsidR="00716B75" w:rsidRDefault="00716B75">
      <w:pPr>
        <w:autoSpaceDE w:val="0"/>
        <w:autoSpaceDN w:val="0"/>
        <w:adjustRightInd w:val="0"/>
        <w:snapToGrid w:val="0"/>
        <w:spacing w:line="360" w:lineRule="auto"/>
        <w:ind w:left="120" w:rightChars="6" w:right="13"/>
        <w:rPr>
          <w:rFonts w:ascii="宋体" w:hAnsi="宋体"/>
          <w:kern w:val="0"/>
          <w:szCs w:val="24"/>
        </w:rPr>
        <w:sectPr w:rsidR="00716B75">
          <w:pgSz w:w="11920" w:h="16840"/>
          <w:pgMar w:top="1480" w:right="1680" w:bottom="280" w:left="1680" w:header="0" w:footer="1073" w:gutter="0"/>
          <w:cols w:space="720"/>
        </w:sectPr>
      </w:pPr>
    </w:p>
    <w:p w:rsidR="00716B75" w:rsidRDefault="00A76ED3">
      <w:pPr>
        <w:pStyle w:val="1"/>
        <w:snapToGrid w:val="0"/>
        <w:spacing w:beforeLines="0" w:before="240" w:after="240"/>
        <w:rPr>
          <w:rFonts w:ascii="宋体" w:hAnsi="宋体"/>
          <w:szCs w:val="30"/>
        </w:rPr>
      </w:pPr>
      <w:bookmarkStart w:id="4" w:name="_Toc210897880"/>
      <w:r>
        <w:rPr>
          <w:rFonts w:ascii="Times New Roman" w:hAnsi="Times New Roman"/>
          <w:sz w:val="30"/>
        </w:rPr>
        <w:lastRenderedPageBreak/>
        <w:t>一、绪言</w:t>
      </w:r>
      <w:bookmarkEnd w:id="4"/>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深证300价值交易型开放式指数证券投资基金联接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公开募集证券投资基金运作指引第3号——指数基金指引》（以下简称“《指数基金指引》”）和其他相关法律法规的规定以及《交银施罗德深证300价值交易型开放式指数证券投资基金联接基金基金合同》（以下简称“基金合同”）编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5" w:name="_Toc210897881"/>
      <w:r>
        <w:rPr>
          <w:rFonts w:ascii="Times New Roman" w:hAnsi="Times New Roman"/>
          <w:sz w:val="30"/>
        </w:rPr>
        <w:lastRenderedPageBreak/>
        <w:t>二、释义</w:t>
      </w:r>
      <w:bookmarkEnd w:id="5"/>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1、基金或本基金：指交银施罗德深证300价值交易型开放式指数证券投资基金联接基金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4、基金合同或本基金合同：指《交银施罗德深证300价值交易型开放式指数证券投资基金联接基金基金合同》及对基金合同的任何有效修订和补充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5、托管协议：指基金管理人与基金托管人就本基金签订之《交银施罗德深证300价值交易型开放式指数证券投资基金联接基金托管协议》及对该托管协议的任何有效修订和补充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6、招募说明书或本招募说明书：指《交银施罗德深证300价值交易型开放式指数证券投资基金联接基金招募说明书》，及其更新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7、基金份额发售公告：指《交银施罗德深证300价值交易型开放式指数证券投资基金联接基金份额发售公告》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8、基金产品资料概要：指《交银施罗德深证300价值交易型开放式指数证券投资基金基金产品资料概要》及其更新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9、法律法规：指中国现行有效并公布实施的法律、行政法规、部门规章、规范性文件及对该等法律法规不时作出的修订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10、《基金法》：指2003年10月28日经第十届全国人民代表大会常务委员会第五次会议通过，自2004年6月1日起实施的《中华人民共和国证券投资基金法》及颁布机关对其不时作出的修订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11、《证券法》：指2005年10月27日经第十届全国人民代表大会常务委员会第十八次会议通过，自2006年1月1日实施的《中华人民共和国证券法》及对其不时做出的修订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12、《销售办法》：指中国证监会2011年6月9日颁布、同年10月1日实施的《证券投资基金销售管理办法》及对其不时作出的修订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13、《信息披露办法》：指中国证监会2019年7月26日颁布、同年9月1日实施的《公开募集证券投资基金信息披露管理办法》及对其不时作出的修订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14、《运作办法》：指中国证监会2004年6月29日颁布、同年7月1日实施的《证券投资基金运作管理办法》及对其不时作出的修订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15、《流动性规定》：指中国证监会2017年8月31日颁布、同年10月1日实施的《公开募集开放式证券投资基金流动性风险管理规定》及颁布机关对其不时做出的修订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16、《指数基金指引》：指中国证监会2021年1月22日颁布、同年2月1日实施的《公开募集证券投资基金运作指引第3号——指数基金指引》及颁布机关对其不时做出的修订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17、中国：指中华人民共和国，就本基金合同而言，不包括香港特别行政区、澳门特别行政区和台湾地区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18、中国证监会：指中国证券监督管理委员会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19、中国银监会：指中国银行业监督管理委员会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20、基金合同当事人：指受基金合同约束，根据基金合同享有权利并承担义务的法律主体，包括基金管理人、基金托管人和基金份额持有人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21、个人投资者：指符合法律法规规定的条件可以投资证券投资基金的自然人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22、机构投资者：指符合法律法规规定可以投资证券投资基金的在中国境内注册登记或经政府有关部门批准设立的机构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合格境外机构投资者：指符合《合格境外机构投资者境内证券投资管理办法》及其他相关法律法规规定的条件，经中国证监会批准可投资于中国证券市场，并取得国家外汇管理局额度批准的中国境外的机构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24、基金投资者或投资者：指个人投资者、机构投资者和合格境外机构投资者，以及法律法规或中国证监会允许购买证券投资基金的其他投资者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25、基金份额持有人：指依招募说明书和基金合同合法取得基金份额的基金投资者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26、基金销售业务：指基金的宣传推介、认购、申购、赎回、转换、转托管及定期定额投资等业务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28、直销机构：指交银施罗德基金管理有限公司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29、代销机构：指符合《销售办法》和中国证监会规定的其他条件，取得基金代销业务资格并与基金管理人签订了基金销售服务代理协议，代为办理基金销售业</w:t>
      </w:r>
      <w:r>
        <w:rPr>
          <w:rFonts w:ascii="宋体" w:hAnsi="宋体"/>
          <w:sz w:val="24"/>
        </w:rPr>
        <w:lastRenderedPageBreak/>
        <w:t>务的机构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30、基金销售网点：指直销机构的直销中心及代销机构的代销网点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注册登记业务：指基金登记、存管、过户、清算和结算业务，具体内容包括基金投资者基金账户的建立和管理、基金份额注册登记、基金销售业务的确认、清算和结算、代理发放红利、建立并保管基金份额持有人名册、办理非交易过户业务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32、注册登记机构：指办理注册登记业务的机构。基金的注册登记机构为交银施罗德基金管理有限公司或接受交银施罗德基金管理有限公司委托代为办理注册登记业务的机构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33、基金账户：指注册登记机构为基金投资者开立的、记录其持有的、基金管理人所管理的基金份额余额及其变动情况的账户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34、基金交易账户：指销售机构为基金投资者开立的、记录基金投资者通过该销售机构办理交易业务而引起的基金份额的变动及结余情况的账户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35、基金合同生效日：指基金募集期结束后达到法律法规规定及基金合同约定的备案条件，基金管理人聘请法定机构验资并向中国证监会办理基金备案手续完毕，并收到其书面确认的日期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目标ETF：指另一获中国证监会核准的交易型开放式指数证券投资基金（简称ETF），该ETF和本基金所跟踪的标的指数相同，并且该ETF的投资目标和本基金的投资目标类似，本基金主要投资于该ETF以求达到投资目标。发售时，本基金选择深证300价值交易型开放式指数证券投资基金为目标ETF</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ETF联接基金或联接基金：指将绝大多数基金财产投资于跟踪同一标的指数的目标ETF，紧密跟踪标的指数表现，追求跟踪偏离度和跟踪误差最小化，采用开放式运作方式的基金，本基金是联接其所投资的目标ETF的ETF联接基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39、基金募集期：指自基金份额发售之日起至发售结束之日止的期间，最长不得超过3个月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40、存续期：指基金合同生效至终止之间的不定期期限</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41、工作日：指上海证券交易所、深圳证券交易所的正常交易日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42、日：指公历日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43、月：指公历月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44、T日：指销售机构在规定时间受理基金投资者申购、赎回或其他基金业务申请的工作日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45、T+n日：指自T日起第n个工作日（不包含T日）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46、开放日：指为基金投资者办理基金份额申购、赎回或其他业务的工作日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47、交易时间：指开放日基金接受申购、赎回或其他交易的时间段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48、认购：指在基金募集期间，基金投资者申请购买基金份额的行为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49、申购：指在基金存续期内，基金投资者按基金合同和招募说明书的规定申请购买基金份额的行为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50、赎回：指在基金存续期内基金份额持有人按基金合同和招募说明书的规定的条件要求申请将基金份额兑换为现金的行为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51、标的指数：指深证300价值价格指数及其未来可能发生的变更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转换：基金份额持有人按照基金合同和基金管理人届时有效公告规定的条件，向基金管理人提出申请将其所持有的基金管理人管理的某一开放式基金（转出基金）的全部或部分基金份额转换为基金管理人管理的其他开放式基金（转入基金）的基金份额的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定期定额投资计划：指基金投资者通过有关销售机构提出申请，约定每期申购日、扣款金额及扣款方式，由销售机构在基金投资者指定银行账户内自动完成扣款并于每期约定的申购日提交基金申购申请的一种投资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54、转托管：指基金份额持有人在本基金的不同销售机构之间实施变更所持基金份额销售机构的操作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巨额赎回：指本基金单个开放日，基金净赎回申请（赎回申请份额总数加上基金转换中转出申请份额总数后扣除申购申请份额总数及基金转换中转入申请份额总数后的余额）超过上一工作日基金总份额的10%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56、元：指人民币元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57、基金利润：指基金利息收入、投资收益、公允价值变动收益和其他收入扣除相关费用后的余额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58、基金资产总值：指基金拥有的包括目标ETF份额在内的各类有价证券、银行存款本息、基金应收款项及其他资产的价值总和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59、基金资产净值：指基金资产总值减去基金负债后的净资产值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60、基金份额净值：指计算日基金资产净值除以计算日基金份额总数的数值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61、基金资产估值：指计算评估基金资产和负债的价值，以确定基金资产净值和基金份额净值的过程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63、指定媒介：指中国证监会指定的用以进行信息披露的全国性报刊及指定互联网网站（包括基金管理人网站、基金托管人网站、中国证监会基金电子披露网站）等媒介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64、《业务规则》：指《交银施罗德基金管理有限公司开放式基金业务规则》，是规范基金管理人所管理的开放式证券投资基金注册登记方面的业务规则，由基金管理人制订、解释与修订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不可抗力：指本基金合同当事人不能预见、不能避免且不能克服，且在本基金合同由基金管理人、基金托管人签署之日后发生的，使本基金合同当事人无法全部或部分履行本基金合同的任何事件，包括但不限于洪水、地震及其他自然灾害、战争、骚乱、火灾、政府征用、没收、法律法规变化、突发停电或其他突发事件、证券交易所非正常暂停或停止交易</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6" w:name="_Toc210897882"/>
      <w:r>
        <w:rPr>
          <w:rFonts w:ascii="Times New Roman" w:hAnsi="Times New Roman"/>
          <w:sz w:val="30"/>
        </w:rPr>
        <w:lastRenderedPageBreak/>
        <w:t>三、基金管理人</w:t>
      </w:r>
      <w:bookmarkEnd w:id="6"/>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海外中国互联网指数型证券投资基金(LOF)(2021年04月30日至今)、交银施罗德深证300价值交易型开放式指数证券投资基金联接基金(2021年04月30日至今)、交银施罗德上证180公司治理交易型开放式指数证券投资基金联接基金(2021年04月30日至今)、深证300价值交易型开放式指数证券投资基金(2021年04月30日至今)、交银施罗德中证环境治理指数型证券投资基金(LOF)(2021年04月30日至今)、交银施罗德国证新能源指数证券投资基金（LOF）(2021年04月30日至今)、交银施罗德创业板50指数型证券投资基金(2021年04月30日至今)、上证180公司治理交易型开放式指数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屈乐伟先生(2011年09月28日至2013年03月29日)；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蔡铮先生(2012年12月27日至2021年04月30日)。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（2）不公平地对待管理的不同基金财产；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w:t>
      </w:r>
      <w:r>
        <w:rPr>
          <w:rFonts w:ascii="宋体" w:hAnsi="宋体"/>
          <w:sz w:val="24"/>
        </w:rPr>
        <w:lastRenderedPageBreak/>
        <w:t>控制和规避，尽可能地减少损失。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7" w:name="_Toc210897883"/>
      <w:r>
        <w:rPr>
          <w:rFonts w:ascii="Times New Roman" w:hAnsi="Times New Roman"/>
          <w:sz w:val="30"/>
        </w:rPr>
        <w:lastRenderedPageBreak/>
        <w:t>四、基金托管人</w:t>
      </w:r>
      <w:bookmarkEnd w:id="7"/>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8" w:name="_Toc210897884"/>
      <w:r>
        <w:rPr>
          <w:rFonts w:ascii="Times New Roman" w:hAnsi="Times New Roman"/>
          <w:sz w:val="30"/>
        </w:rPr>
        <w:lastRenderedPageBreak/>
        <w:t>五、相关服务机构</w:t>
      </w:r>
      <w:bookmarkEnd w:id="8"/>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具有基金代销资格的上海证券交易所场内会员单位（具体名单见基金份额发售公告）。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（2）名称：中国工商银行股份有限公司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（3）名称：华夏银行股份有限公司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（4）名称：中国建设银行股份有限公司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（5）名称：交通银行股份有限公司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（9）名称：江苏常熟农村商业银行股份有限公司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办公地址：江苏省常熟市新世纪大道58号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（10）名称：东莞农村商业银行股份有限公司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（11）名称：中国农业银行股份有限公司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传真：（010）57092611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（13）名称：宁波银行股份有限公司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（14）名称：北京银行股份有限公司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（16）名称：中国邮政储蓄银行股份有限公司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（17）名称：申万宏源证券有限公司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（18）名称：红塔证券股份有限公司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住所：云南省昆明市北京路155号附1号红塔大厦9楼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办公地址：云南省昆明市北京路155号附1号红塔大厦9楼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法定代表人：况雨林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客户服务电话：0871-3577888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网址：www.hongtastock.com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（19）名称：海通证券股份有限公司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（20）名称：华西证券股份有限公司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（21）名称：粤开证券股份有限公司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（22）名称：中国国际金融股份有限公司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客户服务电话：95511-8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（24）名称：中国中金财富证券有限公司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（25）名称：申万宏源西部证券有限公司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（26）名称：山西证券股份有限公司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（27）名称：国金证券股份有限公司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（28）名称：中信证券（山东）有限责任公司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（29）名称：中信证券股份有限公司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（30）名称：中信证券华南股份有限公司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客服电话：（020）95396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（31）名称：国泰海通证券股份有限公司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（32）名称：华龙证券股份有限公司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（33）名称：深圳市新兰德证券投资咨询有限公司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（34）名称：大连网金基金销售有限公司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辽宁省大连市沙河口区体坛路22号诺德大厦2层202室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（35）名称：阳光人寿保险股份有限公司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（36）名称：玄元保险代理有限公司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（37）名称：京东肯特瑞基金销售有限公司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电话：95118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（38）名称：上海大智慧基金销售有限公司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（39）名称：珠海盈米基金销售有限公司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（40）名称：上海华夏财富投资管理有限公司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（41）名称：北京度小满基金销售有限公司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（42）名称：南京苏宁基金销售有限公司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（43）名称：嘉实财富管理有限公司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（44）名称：北京汇成基金销售有限公司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（45）名称：上海利得基金销售有限公司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（46）名称：北京虹点基金销售有限公司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（47）名称：上海陆金所基金销售有限公司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电话：（021）20665952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（48）名称：上海挖财基金销售有限公司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（49）名称：万家财富基金销售（天津）有限公司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（50）名称：上海万得基金销售有限公司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（51）名称：格上富信投资顾问有限公司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（52）名称：深圳市金斧子基金销售有限公司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（53）名称：北京雪球基金销售有限公司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（54）名称：北京新浪仓石基金销售有限公司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（55）名称：中证金牛（北京）基金销售有限公司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（56）名称：上海证达通基金销售有限公司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（57）名称：北京创金启富基金销售有限公司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（58）名称：奕丰基金销售有限公司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（59）名称：上海天天基金销售有限公司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（60）名称：和讯信息科技有限公司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电话：（021）20835789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（61）名称：诺亚正行基金销售有限公司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（62）名称：上海好买基金销售有限公司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（63）名称：上海长量基金销售有限公司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（64）名称：深圳众禄基金销售股份有限公司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（65）名称：蚂蚁（杭州）基金销售有限公司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（66）名称：中信期货有限公司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（67）名称：上海基煜基金销售有限公司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（68）名称：浙江同花顺基金销售有限公司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（69）名称：宜信普泽（北京）基金销售有限公司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（70）名称：上海联泰基金销售有限公司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（71）名称：泛华普益基金销售有限公司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（73）名称：和耕传承基金销售有限公司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（74）名称：腾安基金销售（深圳）有限公司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（75）名称：济安财富（北京）基金销售有限公司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（76）名称：博时财富基金销售有限公司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客户服务电话：400-610-5568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（77）名称：上海中欧财富基金销售有限公司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（78）名称：上海攀赢基金销售有限公司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9" w:name="_Toc210897885"/>
      <w:r>
        <w:rPr>
          <w:rFonts w:ascii="Times New Roman" w:hAnsi="Times New Roman"/>
          <w:sz w:val="30"/>
        </w:rPr>
        <w:lastRenderedPageBreak/>
        <w:t>六、基金的募集</w:t>
      </w:r>
      <w:bookmarkEnd w:id="9"/>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（一）本基金的募集情况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本基金由基金管理人依照《基金法》、《运作办法》、基金合同及其他有关规定，并经中国证监会证监许可[2011]967号文核准募集发售。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本基金为契约型开放式ETF联接基金。基金存续期间为不定期。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本基金自2011年8月29日至2011年9月23日止进行发售。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本基金设立募集期共募集374,322,437.11份基金份额，有效认购户数为5,973户。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（二）本基金与目标ETF的差异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1、交易方式的差异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本基金为目标ETF的联接基金，投资者可以通过本基金的销售机构申购赎回本基金的基金份额。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指数证券投资基金，投资者可以通过目标ETF的申购赎回代理券商申购赎回目标ETF的基金份额。此外，目标ETF符合上市条件申请上市成功后，投资者还可通过深圳证券交易所的交易系统在二级市场买卖目标ETF的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2、申购赎回方式的差异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属于开放式证券投资基金。投资者申购赎回本基金基金份额均采用现金方式，申购以金额申请，赎回以份额申请。投资者申购本基金时应支付现金申购款，赎回本基金时基金管理人应向投资者支付现金赎回款，申购与赎回价格以申请当日收市后计算的基金份额净值为基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指数证券投资基金。投资者申购赎回目标ETF基金份额均采用实物申购赎回方式，申购和赎回均以份额申请。申购、赎回对价根据申购赎回清单和投资者申购、赎回的基金份额数额确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3、投资方法的差异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本基金为目标ETF的联接基金，属于开放式证券投资基金，以被动式的指数化投资管理方式，将90%以上的基金净资产投资于目标ETF，实现紧密跟踪标的指数的</w:t>
      </w:r>
      <w:r>
        <w:rPr>
          <w:rFonts w:ascii="宋体" w:hAnsi="宋体"/>
          <w:sz w:val="24"/>
        </w:rPr>
        <w:lastRenderedPageBreak/>
        <w:t>投资目标；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本基金的目标ETF属于交易型开放式指数证券投资基金，绝大部分资产采用完全复制法跟踪标的指数，以完全按照标的指数成份股组成及其权重构建基金股票投资组合为原则，进行被动式指数化投资。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4、业绩表现的差异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本基金为目标ETF的联接基金，将90%以上的基金净资产投资于目标ETF，以紧密跟踪标的指数，但不能保证本基金的表现与目标ETF的表现完全一致，产生业绩表现差异的原因包括以下几个方面：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（1）本基金基金份额的赎回采用现金方式，为支付现金赎回款，相比目标ETF，本基金需要保留更多的现金资产；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（2）本基金基金份额的申购采用现金方式，在利用到账的申购资金投资目标ETF过程中，市场波动等原因会造成本基金与目标ETF表现的差异；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（3）本基金为应对投资者以现金方式申购赎回本基金基金份额而进行的证券交易需支付一定的手续费，此等费用将影响本基金相对于目标ETF的表现。</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0" w:name="_Toc210897886"/>
      <w:r>
        <w:rPr>
          <w:rFonts w:ascii="Times New Roman" w:hAnsi="Times New Roman"/>
          <w:sz w:val="30"/>
        </w:rPr>
        <w:lastRenderedPageBreak/>
        <w:t>七、基金合同的生效</w:t>
      </w:r>
      <w:bookmarkEnd w:id="10"/>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根据有关规定，本基金满足基金合同生效条件，基金合同已于2011年9月28日正式生效。自基金合同生效之日起，本基金管理人正式开始管理本基金。</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1" w:name="_Toc210897887"/>
      <w:r>
        <w:rPr>
          <w:rFonts w:ascii="Times New Roman" w:hAnsi="Times New Roman"/>
          <w:sz w:val="30"/>
        </w:rPr>
        <w:lastRenderedPageBreak/>
        <w:t>八、基金份额的申购与赎回</w:t>
      </w:r>
      <w:bookmarkEnd w:id="11"/>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个人投资者可以通过本公司网上直销交易平台办理开户、本基金的申购、赎回、转换及定期定额投资等业务，具体交易细则请参阅本公司网站。网上直销交易平台网址：www.fund001.com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本基金的场内代销机构为通过上海证券交易所交易系统办理相关业务的上海证券交易所会员单位，目前场内交易只支持前端收费模式下基金份额的申购。具体名单详见上海证券交易所网站。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投资者可通过上述场所按照规定的方式进行申购或赎回。本基金管理人可根据情况变更或增减基金代销机构，并在管理人网站公示。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申购和赎回的开放日为证券交易所交易日（基金管理人公告暂停申购或赎回时</w:t>
      </w:r>
      <w:r>
        <w:rPr>
          <w:rFonts w:ascii="宋体" w:hAnsi="宋体"/>
          <w:sz w:val="24"/>
        </w:rPr>
        <w:lastRenderedPageBreak/>
        <w:t>除外），基金投资者在开放日申请办理基金份额的申购和赎回，具体办理时间为上海证券交易所、深圳证券交易所的正常交易日的交易时间。但基金管理人根据法律法规、中国证监会的要求或本基金合同的规定公告暂停申购、赎回时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本基金已于2011年10月24日起开放场内、场外申购业务。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本基金已于2011年10月24日起开放场内、场外赎回业务。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2、基金采用金额申购和份额赎回的原则，即申购以金额申请，赎回以份额申请；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4、当日的申购与赎回申请可以在基金管理人规定的时间以内撤销；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5、基金管理人在不损害基金份额持有人权益的情况下可更改上述原则，但最迟应在新的原则实施前依照有关规定在指定媒介上公告。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网点每个账户单笔申购的最低金额为单笔1元，如果代销机构业务规则规定的最低单笔申购金额高于1元，以代销机构的规定为准。场内申购时，每笔申购金额最低为1000元人民币，同时每笔申购必须是100元的整数倍，并且单笔申购最高不超过99,999,900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直销机构每个账户首次申购的最低金额为单笔100万元，追加申购的最低金额为单笔10万元；已在直销中心有认购或申购过本基金管理人管理的任一基金（包括</w:t>
      </w:r>
      <w:r>
        <w:rPr>
          <w:rFonts w:ascii="宋体" w:hAnsi="宋体"/>
          <w:sz w:val="24"/>
        </w:rPr>
        <w:lastRenderedPageBreak/>
        <w:t>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单笔1份基金份额，如果其他销售机构业务规则规定的单笔最低赎回份额高于1份，以该销售机构的规定为准。场内赎回时，赎回的最低份额为50份基金份额，同时赎回份额必须是整数份额，并且单笔赎回最多不超过99,999,999份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5、基金管理人可根据市场情况，在法律法规允许的情况下，调整上述规定的数量或比例限制，基金管理人必须在调整前依照《信息披露办法》的有关规定在指定的媒体上公告并报中国证监会备案。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基金投资者必须根据销售机构规定的程序，在开放日的具体业务办理时间内提出申购或赎回的申请。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基金投资者在提交申购申请时须按销售机构规定的方式备足申购资金，基金投资者在提交赎回申请时须持有足够的基金份额余额，否则所提交的申购、赎回申请无效而不予成交。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 日规定时间受理的申请，正常情况下，注册登记机构在T+1 日内（包括该日）为投资者对该交易的有效性进行确认，基金投资者应在T+2日后（包括该日）及时到销售网点柜台或以销售机构规定的其他方式查询申请的确认情况。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基金管理人可以在法律法规允许的范围内，依法对上述申购和赎回申请的确认时间进行调整，并必须在调整实施日前按照《信息披露办法》的有关规定在指定媒介上公告。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销售机构对申购、赎回申请的受理并不代表该申请一定成功，而仅代表销售机构确实接收到申购、赎回申请。申购、赎回申请的确认以注册登记机构的确认结果为准。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基金投资者赎回申请成功后，基金管理人将通过注册登记机构及其相关销售机构在T＋7日（包括该日）内将赎回款项划往基金份额持有人账户。在发生巨额赎回时，款项的支付办法参照本基金合同有关条款处理。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日申购基金成功后，正常情况下，注册登记机构在T＋1 日为投资者增加权益并办理注册登记手续，投资者自T＋2 日（包括该日）起有权赎回该部分基金份额。投资者应及时查询有关申请的确认情况。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日赎回基金成功后，正常情况下，基金注册登记机构在T＋1 日为投资者扣除权益并办理相应的注册登记手续。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（3）基金管理人可在法律法规允许的范围内，对上述注册登记办理时间进行调整，并最迟于开始实施前按照《信息披露办法》的有关规定在指定媒介上公告。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本基金提供两种申购费用的支付模式。投资者可以选择前端收费模式，即在申购时支付申购费用；也可以选择后端收费模式，即在赎回时才支付相应的申购费用，该费用随基金份额的持有时间递减。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本基金的申购费用由基金申购人承担，不列入基金财产，主要用于本基金的市场推广、销售、注册登记等各项费用。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16B7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716B7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716B7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赎回费用由基金赎回人承担，赎回费用的25%归基金财产，其余用于支付注册登记费和其他必要的手续费。其中，对持续持有期少于7日的基金份额持有人收取不低于1.5%的赎回费并全额计入基金财产。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16B7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716B7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16B75" w:rsidRDefault="00716B75">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3、基金管理人可以在履行相关手续后，在基金合同约定的范围内调整申购、赎回费率或调整收费方式，基金管理人于新的费率或收费方式实施日前依照《信息披露办法》的有关规定在指定媒介上公告。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4、对特定交易方式（如网上交易、电话交易等），基金管理人可以采用低于柜台交易方式的基金申购费率和基金赎回费率。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基金投资者定期和不定期地开展基金促销活动。在基金促销活动期间，基金管理人可以按中国证监会要求履行必要手续后，对基金投资者适当调整基金申购费率、赎回费率和转换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为按实际确认的申购金额在扣除相应的费用后，以当日基金份额净值为基准计算，场外申购份额计算结果保留到小数点后两位，小数点后两位以后的部分四舍五入，由此产生的误差计入基金财产。场内申购有效份额的计算截位保留到整数位，剩余部分折回金额返还投资者，折回金额的计算保留到小数点后两位，小数点两位以后的部分四舍五入，由此产生的误差计入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（2）赎回金额的处理方式：赎回金额为按实际确认的有效赎回份额乘以申请当日基金份额净值并扣除相应的费用，四舍五入保留到小数点后两位，由此误差产生的收益或损失由基金财产承担。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场外申购可以采取前端收费模式和后端收费模式，场内申购目前只支持前端收</w:t>
      </w:r>
      <w:r>
        <w:rPr>
          <w:rFonts w:ascii="宋体" w:hAnsi="宋体"/>
          <w:sz w:val="24"/>
        </w:rPr>
        <w:lastRenderedPageBreak/>
        <w:t>费模式。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例一：某投资者投资40,000元申购本基金，假设申购当日基金份额净值为1.040元，如果其选择前端收费方式，申购费率为1.5%，则其可得到的申购份额为：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 份，其余0.14 份对应金额返回给投资者。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例二：某投资者投资40,000元申购本基金，假设申购当日基金份额净值为1.040元，如果其选择后端收费方式，则其可得到的申购份额为：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申购份额＝40,000/1.040＝38,461.54份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即：投资者投资40,000元申购本基金，假设申购当日基金份额净值为1.040元，则可得到38,461.54份基金份额，但其在赎回时需根据其持有时间按对应的后端申购费率交纳后端申购费用。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3、赎回金额的计算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（1）如果投资者在认（申）购时选择交纳前端认（申）购费用，则赎回金额的计算方法如下：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例三：某投资者赎回通过前端认购（申购）持有的10,000份基金份额，对应的赎回费率为0.5%，假设赎回当日基金份额净值是1.016元，则其可得到的赎回金额为：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即：投资者赎回本基金10,000份基金份额，假设赎回当日基金份额净值是1.016元，则其可得到的赎回金额为10,109.20元。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（2）如果投资者在认（申）购时选择交纳后端认（申）购费用，则赎回金额的计算方法如下：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例四：某投资者赎回通过后端认购持有的10,000份基金份额，对应的后端认购费率为1.6%，赎回费率为0.5%，假设赎回当日基金份额净值是1.016元，则其可得到的赎回金额为：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10,000×1.00×1.6% = 160.00元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10,000×1.016-160.00-50.80 ＝ 9,949.20元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即：投资者赎回通过后端认购所得本基金10,000份基金份额，假设赎回当日基金份额净值是1.016元，则其可得到的赎回金额为9,949.20元。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例五：某投资者赎回通过后端申购持有的10,000份基金份额，对应的后端申购</w:t>
      </w:r>
      <w:r>
        <w:rPr>
          <w:rFonts w:ascii="宋体" w:hAnsi="宋体"/>
          <w:sz w:val="24"/>
        </w:rPr>
        <w:lastRenderedPageBreak/>
        <w:t>费率为1.8%，赎回费率为0.5%，假设申购当日基金份额净值是1.010元，赎回当日基金份额净值是1.016元，则其可得到的赎回金额为：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 = 10,000×1.010×1.8% = 181.80元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10,000×1.016-181.80-50.80 ＝ 9,927.40元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即：投资者赎回通过后端申购所得本基金10,000份基金份额，假设申购当日基金份额净值是1.010元，赎回当日基金份额净值是1.016元，则其可得到的赎回金额为9,927.40元。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1、因不可抗力导致基金无法正常运作或无法接受申购；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3、所投资的目标ETF暂停估值，导致基金管理人无法计算当日基金资产净值；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4、所投资的目标ETF暂停申购或二级市场交易停牌，基金管理人认为有必要暂停本基金申购的情形；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5、发生本基金合同规定的暂停基金资产估值情况；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6、基金管理人、基金托管人、基金销售机构或注册登记机构等因异常情况无法办理申购（上述异常情况包括但不限于系统故障、网络故障、通讯故障、电力故障、数据错误等）；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7、基金资产规模过大，使基金管理人无法找到合适的投资品种，或基金管理人认为会损害已有基金份额持有人利益的其他情形；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9、基金管理人认为会有损于现有基金份额持有人利益的某笔申购；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10、法律法规规定或中国证监会认定的其他情形。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9项以外的暂停申购情形且基金管理人决定暂停接受基金投资者的申购申请时，基金管理人应当根据有关规定在指定媒介上刊登暂停申购公告。如果基金投资者的申购申请被拒绝，被拒绝的申购款项将退还给投资者。在暂停申购的情况消除时，基金管理人应及时恢复申购业务的办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2、证券交易所交易时间临时停市，导致基金管理人无法计算当日基金资产净值；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3、连续两个或两个以上开放日发生巨额赎回，导致本基金的现金支付出现困难；</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4、所投资的目标ETF暂停估值，导致基金管理人无法计算当日基金资产净值；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5、所投资的目标ETF暂停赎回或二级市场交易停牌，基金管理人认为有必要暂停本基金赎回的情形；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6、发生本基金合同规定的暂停基金资产估值情况；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7、基金管理人、基金托管人、基金销售机构或注册登记机构的技术保障等异常情况发生导致基金销售系统或基金注册登记系统或基金会计系统无法正常运行；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且基金管理人决定暂停接受基金投资者的赎回申请或延缓支付赎回款项时，基金管理人应在当日向中国证监会备案，已成功确认的赎回申请，基金管理人应足额支付；如不能足额支付，可延期支付。若连续两个或两个以上开放日发生巨额赎回，延期支付最长不得超过20个工作日，并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上述第3项所述情形，按基金合同的相关条款处理。投资者在申请赎回时可事先选择将当日可能未获受理部分予以撤销。暂停赎回或延缓支付款项的场内处理，按照上海证券交易所及中国证券登记结算有限责任公司的有关规定办理。在</w:t>
      </w:r>
      <w:r>
        <w:rPr>
          <w:rFonts w:ascii="宋体" w:hAnsi="宋体"/>
          <w:sz w:val="24"/>
        </w:rPr>
        <w:lastRenderedPageBreak/>
        <w:t>暂停赎回的情况消除时，基金管理人应及时恢复赎回业务的办理并公告。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基金份额净值为基础计算赎回金额，并以此类推，直到全部赎回为止。如基金投资者在提交赎回申请时未作明确选择，投资者未能赎回部分作自动延期赎回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当发生巨额赎回并顺延赎回时，基金管理人应当通过邮寄、传真、刊登公告或</w:t>
      </w:r>
      <w:r>
        <w:rPr>
          <w:rFonts w:ascii="宋体" w:hAnsi="宋体"/>
          <w:sz w:val="24"/>
        </w:rPr>
        <w:lastRenderedPageBreak/>
        <w:t>者通知代销机构代为告知等方式在3个交易日内通知基金份额持有人，说明有关处理方法，并在2日内在指定媒介上刊登公告。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连续2日以上（含本数）发生巨额赎回，如基金管理人认为有必要，可暂停接受基金的赎回申请；已经确认成功的赎回申请可以延缓支付赎回款项，但不得超过20个工作日，并应当在指定媒介上进行公告。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2、暂停结束，基金重新开放申购或赎回时，基金管理人应依照《信息披露管理办法》的有关规定，在指定媒介上刊登基金重新开放申购或赎回公告，并公告最近1个工作日的基金份额净值。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注册登记机构要求提供的相关资料，对于符合条件的非交易过户申请按注册登记机构的有关规定办理，并按注册登记机构规定的标准收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 基金的转托管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如果基金管理人、注册登记机构、办理转托管的销售机构出现技术系统性能限制或出于其它合理原因，可以暂停该业务或者拒绝基金份额持有人的转托管申请。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w:t>
      </w:r>
      <w:r>
        <w:rPr>
          <w:rFonts w:ascii="宋体" w:hAnsi="宋体"/>
          <w:sz w:val="24"/>
        </w:rPr>
        <w:lastRenderedPageBreak/>
        <w:t>计划并不构成对基金日常申购、赎回等业务的影响，投资人在办理相关基金定期定额投资计划的同时，仍然可以进行日常申购、赎回业务。本基金2011年12月7日刊登公告自2011年12月9日起开通定期定额投资计划业务，具体开通销售机构名单和业务规则参见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（十五）定期定额赎回业务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2011年12月7日刊登公告自2011年12月9日起在中国农业银行股份有限公司下属各代销网点开通定期定额赎回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基金份额的冻结和解冻的业务，由注册登记机构办理。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只受理国家有关机关依法要求的基金份额的冻结与解冻以及注册登记机构认可的其他情况的基金份额的冻结与解冻。基金份额被冻结的，被冻结部分所产生的权益按照法律法规、监管规章以及国家有权机关的要求来决定是否冻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当基金份额处于冻结状态时，注册登记机构或其他相关机构有权拒绝该部分基金份额的赎回、转出、非交易过户以及基金的转托管。</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2" w:name="_Toc210897888"/>
      <w:r>
        <w:rPr>
          <w:rFonts w:ascii="Times New Roman" w:hAnsi="Times New Roman"/>
          <w:sz w:val="30"/>
        </w:rPr>
        <w:lastRenderedPageBreak/>
        <w:t>九、基金的转换</w:t>
      </w:r>
      <w:bookmarkEnd w:id="12"/>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本基金2011年12月7日刊登公告自2011年12月9日起开放日常转换业务。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3" w:name="_Toc210897889"/>
      <w:r>
        <w:rPr>
          <w:rFonts w:ascii="Times New Roman" w:hAnsi="Times New Roman"/>
          <w:sz w:val="30"/>
        </w:rPr>
        <w:lastRenderedPageBreak/>
        <w:t>十、基金的投资</w:t>
      </w:r>
      <w:bookmarkEnd w:id="13"/>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紧密跟踪标的指数，追求跟踪偏离度与跟踪误差最小化。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（二）标的指数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即目标ETF的标的指数，为深证300价值价格指数。深证300价值价格指数是由深圳证券信息公司编制，并以深证300指数为基础开发的风格指数，它以深证300指数的成份股为样本空间，选取采用价值因子评分最高的100只股票为指数的成份股，并于每年1月和7月对指数成份股进行调整。该指数的基期为2004年12月31日，基点为1000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本基金按照基金合同的约定通过适当程序变更目标ETF时，标的指数应相应变更。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鉴于本基金与目标ETF的相关性，若目标ETF变更标的指数，本基金的标的指数应相应变更。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（三）投资理念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指数化投资理念，指数化投资具有低成本、管理透明及分散化程度高等优点，能稳定地获得与标的指数相近的回报。本基金遵循指数化投资理念，以目标ETF为主要投资对象，力求帮助投资者以较低的成本获取与标的指数和目标ETF相似的收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（四）投资范围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目标ETF、标的指数成份股、备选成份股为主要投资对象（含中小板股票和创业板股票及其他经中国证监会核准的上市股票、存托凭证），把全部或接近全部的基金资产用于跟踪标的指数的表现，正常情况下投资于目标ETF的资产比例不低于基金资产净值的90%，基金持有的现金及到期日在一年以内的政府债券的投资比例合计不低于基金资产净值的5%，其中现金不包括结算备付金、存出保证金和应收申购款等。此外，为更好地实现投资目标，本基金也可少量投资于新股（含存托凭证）、债券、回购、权证及中国证监会允许基金投资的其它金融工具（但须符合中国证监会的相关规定）。如法律法规或监管机构以后允许基金投资其它品种，基金管理人在履行适当程序后，可以将其纳入投资范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（五）投资策略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通过把全部或接近全部的基金资产投资于目标ETF、标的指数成份股和备选成份股进行被动式指数化投资，正常情况下投资于目标ETF的资产比例不低于基金资产净值的90%，其余资产可投资于标的指数成份股、备选成份股、新股、债券、回购、权证及中国证监会允许基金投资的其它金融工具，其目的是为了使本基金在应付申购赎回的前提下，更好地实现跟踪标的指数的投资目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本基金投资目标ETF的方式以申购和赎回为主，但在目标ETF二级市场流动性较好的情况下，也可以通过二级市场交易买卖目标ETF，以降低成本、提高效率。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标的指数成份股和备选成份股部分的投资，主要采用完全复制法，按照标的指数成份股组成及其权重构建基金股票投资组合为原则，并根据标的指数成份股及其权重的变动而进行相应调整。但在因特殊情况（如法律法规限制、流动性不足等）导致无法获得足够数量的股票时，基金管理人将搭配使用其他合理方法进行适当的替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有关法律法规、基金合同和标的指数的相关规定是基金管理人运用基金财产的决策依据。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投资决策委员会的主要职责是决定有关指数重大调整的应对决策、其他重大组合调整决策以及重大的单项投资决策。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基金经理的主要职责是决定日常指数跟踪维护过程中的组合构建、调整决策，特别是对目标ETF份额的投资决策。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研究、决策、组合构建、交易、评估及组合维护的有机配合共同构成了本基金的投资管理程序。严格的投资管理程序可以保证投资理念的正确执行，避免重大风险的发生。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（1）研究支持：量化投资部依托公司整体研究平台，整合外部信息以及券商等外部研究力量的研究成果开展指数跟踪、成份股公司行为等相关信息的搜集与分</w:t>
      </w:r>
      <w:r>
        <w:rPr>
          <w:rFonts w:ascii="宋体" w:hAnsi="宋体"/>
          <w:sz w:val="24"/>
        </w:rPr>
        <w:lastRenderedPageBreak/>
        <w:t>析、目标ETF申购赎回清单分析、目标ETF二级市场的流动性和折溢价分析、成分股流动性分析、误差及其归因分析等工作，以作为基金投资决策的重要依据。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（2）投资决策：投资决策委员会定期召开或遇重大事项时召开投资决策会议，决策相关事项。基金经理根据投资决策委员会的决议，每日进行基金投资管理的日常决策。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（3）组合构建：根据标的指数情况，结合研究支持，基金经理构建以目标ETF为主的证券组合。在追求跟踪误差和偏离度最小化的前提下，基金经理将采取适当的方法，以降低买入成本、控制投资风险。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（4）交易执行：中央交易室负责具体的交易执行，同时履行一线监控的职责。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组合监控与调整：基金经理将跟踪目标ETF申购赎回清单特征、二级市场交易特征及标的指数变动，结合成份股基本面情况、成份股公司行为、流动性状况、基金申购和赎回的现金流量情况以及组合投资绩效评估的结果等，采取适当的跟踪技术对投资组合进行监控和调整，密切跟踪标的指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基金管理人在确保基金份额持有人利益的前提下有权根据环境变化和实际需要对上述投资管理程序做出调整，并在基金招募说明书更新中公告。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（六）投资组合管理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的特殊性，本基金将以全部或接近全部的基金资产投资于目标ETF。正常情况下本基金投资于目标ETF的比例不低于基金资产净值的90%。本基金将在基金合同生效之日起6个月内达到这一投资比例。此后，如因证券市场波动、上市公司合并、基金规模变动、标的指数成分股调整、基金申购或赎回带来现金等因素导致基金不符合这一投资比例的，基金管理人将在10个交易日内进行调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1、投资组合的建立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基金管理人构建投资组合的过程主要分为两步：确定建仓策略和实施建仓策略。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（1）确定建仓策略：基金管理人综合考虑基金规模、目标ETF二级市场的流动性和折溢价，以及成份股流动性、公司行为、基本面等因素，确定合理的建仓策</w:t>
      </w:r>
      <w:r>
        <w:rPr>
          <w:rFonts w:ascii="宋体" w:hAnsi="宋体"/>
          <w:sz w:val="24"/>
        </w:rPr>
        <w:lastRenderedPageBreak/>
        <w:t>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（2）实施建仓策略：基金管理人在基金合同约定的期限内，基于建仓策略，根据当时的市场情况，采用适当的手段构建和调整投资组合直至达到本基金投资范围的要求。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2、日常投资组合管理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（1）对目标ETF二级市场流动性及折溢价进行跟踪与分析，适当制订目标ETF份额的申购赎回、二级市场买卖策略。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（2）跟踪本基金申购和赎回信息，分析其对组合的影响，并进行相应的流动性管理。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3、投资绩效评估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（1）每日，基金经理分析基金的跟踪偏离度。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（2）每月末，量化投资部对本基金的运行情况进行量化评估。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月末，基金经理根据评估报告分析当月的投资操作、组合状况和跟踪误差等情况，重点分析基金的偏离度和跟踪误差产生原因、现金控制情况、标的指数成份股调整前后的操作、以及成份股未来可能发生的变化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本基金日均跟踪偏离度的绝对值不超过0.3%，年跟踪误差不超过4%。在目标ETF日均跟踪偏离度符合其基金合同所设定目标的前提下，如因指数编制规则调整或其他因素导致跟踪偏离度和跟踪误差超过上述范围，基金管理人应采取合理措施力争避免跟踪偏离度、跟踪误差进一步扩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 业绩比较基准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本基金的业绩比较基准为：标的指数收益率×95% ＋银行活期存款税后收益率×5%。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w:t>
      </w:r>
      <w:r>
        <w:rPr>
          <w:rFonts w:ascii="宋体" w:hAnsi="宋体"/>
          <w:sz w:val="24"/>
        </w:rPr>
        <w:lastRenderedPageBreak/>
        <w:t>先原则维持基金投资运作。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 风险收益特征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ETF联接基金，风险与预期收益高于混合基金、债券基金与货币市场基金。本基金为指数型基金，紧密跟踪标的指数，具有和标的指数所代表的股票市场相似的风险收益特征，相当于股票基金中风险较高，预期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 投资限制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本基金的投资组合将遵循以下限制：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（1）进入全国银行间同业市场的债券回购融入的资金余额不得超过基金资产净值的40%。债券回购最长期限为1年，债券回购到期后不得展期；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（2）本基金参与股票发行申购，本基金所申报的金额不超过本基金的总资产，本基金所申报的股票数量不超过拟发行股票公司本次发行股票的总量；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（3）保持不低于基金资产净值5%的现金或者到期日在一年以内的政府债券，其中现金不包括结算备付金、存出保证金和应收申购款等；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（4）本基金投资权证，在任何交易日买入的总金额，不超过上一交易日基金资产净值的0.5%，基金持有的全部权证的市值不超过基金资产净值的 3%，本基金管理人管理的全部基金持有同一权证的比例不超过该权证的10%；法律法规或监管部门另有规定的，遵从其规定；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（6）本基金不得违反基金合同中有关投资范围、投资策略、投资比例的规</w:t>
      </w:r>
      <w:r>
        <w:rPr>
          <w:rFonts w:ascii="宋体" w:hAnsi="宋体"/>
          <w:sz w:val="24"/>
        </w:rPr>
        <w:lastRenderedPageBreak/>
        <w:t>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（8）本基金与私募类证券资管产品及中国证监会认定的其他主体为交易对手开展逆回购交易的，可接受质押品的资质要求应当与本基金合同约定的投资范围保持一致；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（9）本基金投资存托凭证的比例限制依照境内上市交易的股票执行；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（10）法律法规或监管部门对上述比例限制另有规定的，从其规定。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在符合相关法律法规规定的前提下，除上述第（3）、（7）、（8）项以外，因证券市场波动、上市公司合并、基金规模变动、标的指数成分股调整、基金申购或赎回带来现金等非本基金管理人的因素致使基金的投资组合不符合上述规定的投资比例的，基金管理人应当在10个交易日内进行调整。法律法规或监管部门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若法律法规或监管部门对上述约定的投资组合比例限制规定进行变更的，以变更后的规定为准。若法律法规或监管部门取消上述限制，履行适当程序后，本基金投资可不受上述规定限制。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 禁止行为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4、买卖其他基金份额，但是法律法规或国务院另有规定和指定的目标ETF的除外；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5、向基金管理人、基金托管人出资或者买卖基金管理人、基金托管人发行的股票或者债券；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6、买卖与基金管理人、基金托管人有控股关系的股东或者与基金管理人、基金托管人有其他重大利害关系的公司发行的证券或者承销期内承销的证券，但指定</w:t>
      </w:r>
      <w:r>
        <w:rPr>
          <w:rFonts w:ascii="宋体" w:hAnsi="宋体"/>
          <w:sz w:val="24"/>
        </w:rPr>
        <w:lastRenderedPageBreak/>
        <w:t>的目标ETF除外；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若法律法规或监管部门取消上述禁止性规定，履行适当程序后，本基金投资可不受上述规定限制。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 基金管理人代表基金行使股东及债权人权利的处理原则及方法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 基金的融资、融券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本基金可以根据有关法律法规和政策的规定进行融资、融券。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（十三）基金投资组合报告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本投资组合报告期为2025年04月01日起至06月30日，所载财务数据未经审计师审计。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418,435.00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418,435.00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59,207,362.50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92.90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4,032,267.03</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6.33</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73,511.36</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63,731,691.62</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12,603.00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4,473.00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301,381.00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13,364.00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20,354.00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3,458.00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47,610.00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5,458.00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7,910.00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418,435.00</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36,100.00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33,191.00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000651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格力电器</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22,460.00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002352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14,628.00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京东方</w:t>
            </w: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3,200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12,768.00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002714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牧原股份</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12,603.00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000568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泸州老窖</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11,340.00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10,944.00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000661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长春高新</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9,918.00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000063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中兴通讯</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9,747.00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tbl>
      <w:tblPr>
        <w:tblW w:w="5000" w:type="pct"/>
        <w:tblCellMar>
          <w:left w:w="0" w:type="dxa"/>
          <w:right w:w="0" w:type="dxa"/>
        </w:tblCellMar>
        <w:tblLook w:val="0000" w:firstRow="0" w:lastRow="0" w:firstColumn="0" w:lastColumn="0" w:noHBand="0" w:noVBand="0"/>
      </w:tblPr>
      <w:tblGrid>
        <w:gridCol w:w="1276"/>
        <w:gridCol w:w="1276"/>
        <w:gridCol w:w="1276"/>
        <w:gridCol w:w="1276"/>
        <w:gridCol w:w="1276"/>
        <w:gridCol w:w="1448"/>
        <w:gridCol w:w="842"/>
      </w:tblGrid>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基金类型</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运作方式</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股票型</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w:t>
            </w: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交银施罗德基金管理有限公司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59,207,362.50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93.38</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10、报告期末本基金投资的股指期货交易情况说明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报告期末本基金投资的股指期货持仓和损益明细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本基金投资股指期货的投资政策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11、报告期末本基金投资的国债期货交易情况说明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本期国债期货投资政策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报告期末本基金投资的国债期货持仓和损益明细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本期国债期货投资评价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12、投资组合报告附注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 本基金投资的前十名证券的发行主体本期是否出现被监管部门立案调查，或在报告编制日前一年内受到公开谴责、处罚的情形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2024年11月22日,国家金融监督管理总局宁波监管局公示甬金罚决字</w:t>
      </w:r>
      <w:r>
        <w:rPr>
          <w:rFonts w:ascii="宋体" w:hAnsi="宋体"/>
          <w:sz w:val="24"/>
        </w:rPr>
        <w:lastRenderedPageBreak/>
        <w:t>[2024]108号行政处罚决定书,给予宁波银行股份有限公司120万元人民币的行政处罚。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 基金投资的前十名股票是否超出基金合同规定的备选股票库</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4,054.22</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69,457.14</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right"/>
              <w:rPr>
                <w:rFonts w:ascii="宋体" w:hAnsi="宋体"/>
                <w:color w:val="000000"/>
                <w:kern w:val="0"/>
                <w:sz w:val="25"/>
                <w:szCs w:val="24"/>
              </w:rPr>
            </w:pPr>
            <w:r>
              <w:rPr>
                <w:rFonts w:ascii="Times New Roman" w:hAnsi="Times New Roman"/>
                <w:color w:val="000000"/>
                <w:kern w:val="0"/>
                <w:sz w:val="25"/>
                <w:szCs w:val="24"/>
              </w:rPr>
              <w:t>73,511.36</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 报告期末持有的处于转股期的可转换债券明细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 报告期末前十名股票中存在流通受限情况的说明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 投资组合报告附注的其他文字描述部分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4" w:name="_Toc210897890"/>
      <w:r>
        <w:rPr>
          <w:rFonts w:ascii="Times New Roman" w:hAnsi="Times New Roman"/>
          <w:sz w:val="30"/>
        </w:rPr>
        <w:lastRenderedPageBreak/>
        <w:t>十一、基金的业绩</w:t>
      </w:r>
      <w:bookmarkEnd w:id="14"/>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-4.32%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15.77%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14.29%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-18.97%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-21.06%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-6.96%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-11.31%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4.35%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19.67%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16.32%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3.35%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49.46%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49.41%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-27.55%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-28.35%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30.04%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30.37%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-8.20%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-8.69%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12.99%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15.28%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2.47%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-2.29%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42.89%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42.42%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-3.02%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3.96%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716B7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-9.20%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-14.50%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5.30%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16B75" w:rsidRDefault="00A76ED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交银施罗德深证300价值交易型开放式指数证券投资基金联接基金</w:t>
      </w:r>
    </w:p>
    <w:p w:rsidR="00716B75" w:rsidRDefault="00A76ED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716B75" w:rsidRDefault="00A76ED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（2011年9月28日至2025年06月30日)</w:t>
      </w:r>
    </w:p>
    <w:p w:rsidR="00716B75" w:rsidRDefault="0030482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345pt">
            <v:imagedata r:id="rId17" o:title="1521256610242020828"/>
          </v:shape>
        </w:pic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5" w:name="_Toc210897891"/>
      <w:r>
        <w:rPr>
          <w:rFonts w:ascii="Times New Roman" w:hAnsi="Times New Roman"/>
          <w:sz w:val="30"/>
        </w:rPr>
        <w:lastRenderedPageBreak/>
        <w:t>十二、基金的财产</w:t>
      </w:r>
      <w:bookmarkEnd w:id="15"/>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基金资产总值是指基金拥有的包括目标ETF份额在内的各类有价证券、银行存款本息、基金应收款项以及其他资产的价值总和。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基金资产净值是指基金资产总值减去基金负债后的净资产值。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6" w:name="_Toc210897892"/>
      <w:r>
        <w:rPr>
          <w:rFonts w:ascii="Times New Roman" w:hAnsi="Times New Roman"/>
          <w:sz w:val="30"/>
        </w:rPr>
        <w:lastRenderedPageBreak/>
        <w:t>十三、基金资产的估值</w:t>
      </w:r>
      <w:bookmarkEnd w:id="16"/>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基金依法拥有的目标ETF份额、股票、债券、权证及其他基金资产和负债。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目标ETF以该ETF份额当日净值估值；若估值日非证券交易所的营业日，以该基金最近工作日的基金份额净值估值。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（1）上市股票的估值：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首次发行未上市的股票，采用估值技术确定公允价值，在估值技术难以可靠计量公允价值的情况下，按成本价估值；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送股、转增股、配股和公开增发新股等发行未上市的股票，按估值日在证券交易所上市的同一股票的市价进行估值；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首次公开发行有明确锁定期的股票，同一股票在交易所上市后，按估值日在证券交易所上市的同一股票的市价进行估值；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非公开发行的且在发行时明确一定期限锁定期的股票，按监管机构或行业协会有关规定确定公允价值。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4、权证估值方法：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5、衍生品及其他有价证券等资产按国家有关规定进行估值。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6、如基金管理人或基金托管人发现基金估值违反基金合同订明的估值方法、程序及相关法律法规的规定或者未能充分维护基金份额持有人利益时，应立即通知对方，共同查明原因，双方协商解决。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份额净值由基金管理人完成估值后，将估值结果以书面形式或双方约定的其他形式报给基金托管人，基金托管人按基金合同规定的估值方法、时间、程序进行复核，基金托管人复核无误后签章返回给基金管理人，由基金管理人依据本基金合同和有关法律法规的规定予以公布。月末、年中和年末估值复核与基金会计账目的核对同时进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者自身的过错造成差错，导致其他当事人遭受损失的，差错的责任人应当对由于该差错遭受损失的当事人（“受损方”）按下述“差错处理原则”给予赔偿，承担赔偿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该当事人应当承担相应赔偿责任。差错责任方应对更正的情况向有关当事人进行确认，确保差错已得到更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w:t>
      </w:r>
      <w:r>
        <w:rPr>
          <w:rFonts w:ascii="宋体" w:hAnsi="宋体"/>
          <w:sz w:val="24"/>
        </w:rPr>
        <w:lastRenderedPageBreak/>
        <w:t>付给差错责任方；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基金托管人之外的第三方造成基金财产的损失，并拒绝进行赔偿时，由基金管理人负责向差错方追偿，追偿过程中产生的有关费用，由责任方承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当错误达到或超过基金资产净值的0.25%时，基金管理人应当及时通知基金托管人并报中国证监会；错误偏差达到基金资产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（2）当基金份额净值计算差错给基金和基金份额持有人造成损失需要进行赔偿时，基金管理人和基金托管人应根据实际情况界定双方承担的责任，经确认后按以下条款进行赔偿：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2、基金所投资之目标ETF发生暂停估值，暂停公告基金份额净值的情形；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3、因不可抗力或其他情形致使基金管理人、基金托管人无法准确评估基金资产价值时；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4、占基金相当比例的投资品种的估值出现重大转变，而基金管理人为保障基金份额持有人的利益，决定延迟估值；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基金管理人应当暂停估值；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6、中国证监会和基金合同认定的其他情形。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本基金合同和有关法律法规的规定对基金净值予以公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基金份额净值的计算精确到0.001元，小数点后第四位四舍五入。国家另有规定的，从其规定。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1、基金管理人或基金托管人按股票估值方法的第（4）项、债券估值方法的第（7）项、权证估值方法的第（4）项进行估值时，所造成的误差不作为基金资产估值错误处理。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7" w:name="_Toc210897893"/>
      <w:r>
        <w:rPr>
          <w:rFonts w:ascii="Times New Roman" w:hAnsi="Times New Roman"/>
          <w:sz w:val="30"/>
        </w:rPr>
        <w:lastRenderedPageBreak/>
        <w:t>十四、基金的收益与分配</w:t>
      </w:r>
      <w:bookmarkEnd w:id="17"/>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基金利润的构成</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（三）收益分配原则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2、收益分配时所发生的银行转账或其他手续费用由基金投资者自行承担；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3、在符合有关基金分红条件的前提下，本基金每年收益分配次数最多为4次，每份基金份额每次分配比例不得低于收益分配基准日每份基金份额可供分配利润的10%；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4、本基金收益分配方式分为两种：现金分红与红利再投资，基金投资者可选择现金红利或将现金红利自动转为基金份额进行再投资；若投资者不选择，本基金默认的收益分配方式是现金分红；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在不影响基金份额持有人利益的情况下，基金管理人可在法律法规允许的前提下酌情调整以上基金收益分配原则，并于变更实施日前在指定媒介上公告。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基金收益分配方案中应载明基金收益分配基准日可供分配利润、基金收益分配对象、分配时间、分配数额及比例、分配方式等内容。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1、本基金收益分配方案由基金管理人拟定、由基金托管人复核，依照《信息披露办法》的有关规定在指定媒介公告。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的发放日距离收益分配基准日的时间不超过15个工作日。在分配方案公布后（依据具体方案的规定），基金管理人就支付的现金红利向基金托管人发送划款指令，基金托管人按照基金管理人的指令及时进行分红资金的划</w:t>
      </w:r>
      <w:r>
        <w:rPr>
          <w:rFonts w:ascii="宋体" w:hAnsi="宋体"/>
          <w:sz w:val="24"/>
        </w:rPr>
        <w:lastRenderedPageBreak/>
        <w:t>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时所发生的银行转账或其他手续费用由投资者自行承担。当投资者的现金红利小于一定金额，不足于支付银行转账或其他手续费用时，注册登记机构可将基金份额持有人的现金红利自动转为基金份额。红利再投资的计算方法，依照《业务规则》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投资者同一日多次申报分红方式变更的，按照《业务规则》执行，最终确认的分红方式以基金注册登记机构记录为准。</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8" w:name="_Toc210897894"/>
      <w:r>
        <w:rPr>
          <w:rFonts w:ascii="Times New Roman" w:hAnsi="Times New Roman"/>
          <w:sz w:val="30"/>
        </w:rPr>
        <w:lastRenderedPageBreak/>
        <w:t>十五、基金的费用与税收</w:t>
      </w:r>
      <w:bookmarkEnd w:id="18"/>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5、基金合同生效后与基金有关的会计师费和律师费；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7、基金财产拨划支付的银行费用；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8、证券账户开户费用和银行账户维护费；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9、按照国家有关规定可以在基金财产中列支的其他费用。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投资于目标ETF的部分不收取管理费。在通常情况下，按前一日基金资产净值扣除基金财产中目标ETF份额所对应资产净值后剩余部分（若为负数，则取0）的0.5%年费率计提基金管理费。计算方法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H＝E×年管理费率÷当年天数，本基金年管理费率为0.5%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E为前一日基金资产净值扣除基金财产中目标ETF份额所对应资产净值后的剩余部分，若为负数，则E取0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投资于目标ETF的部分不收取托管费。在通常情况下，按前一日基金资产净值扣除基金财产中目标ETF份额所对应资产净值后剩余部分（若为负数，则取0）的0.1%年费率计提基金托管费。计算方法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H＝E×年托管费率÷当年天数，本基金年托管费率为0.1%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E为前一日基金资产净值扣除基金财产中目标ETF份额所对应资产净值后的剩余部分，若为负数，则E取0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（3）上述（一）中3到9项费用由基金托管人根据其他有关法律法规及相应协议的规定，按费用支出金额支付，列入或摊入当期基金费用。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本基金转换费的费率水平、计算方式和收取方式详见 “基金的转换”一章</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和基金托管费率。降低基金管理费率和基金托管费率，无须召开基金份额持有人大会。基金管理人必须依照有关规定最迟于新的费率实施日前在指定媒介上刊登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19" w:name="_Toc210897895"/>
      <w:r>
        <w:rPr>
          <w:rFonts w:ascii="Times New Roman" w:hAnsi="Times New Roman"/>
          <w:sz w:val="30"/>
        </w:rPr>
        <w:lastRenderedPageBreak/>
        <w:t>十六、基金的会计与审计</w:t>
      </w:r>
      <w:bookmarkEnd w:id="19"/>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（一）基金的会计政策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1、基金管理人聘请具有证券、期货相关从业资格的会计师事务所及其注册会计师对本基金年度财务报表及其他规定事项进行审计。会计师事务所及其注册会计师与基金管理人、基金托管人相互独立。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3、基金管理人认为有充足理由更换会计师事务所，经通报基金托管人后可以更换。更换会计师事务所需按照《信息披露办法》的有关规定在指定媒介公告。</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0" w:name="_Toc210897896"/>
      <w:r>
        <w:rPr>
          <w:rFonts w:ascii="Times New Roman" w:hAnsi="Times New Roman"/>
          <w:sz w:val="30"/>
        </w:rPr>
        <w:lastRenderedPageBreak/>
        <w:t>十七、基金的信息披露</w:t>
      </w:r>
      <w:bookmarkEnd w:id="20"/>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（三）本基金信息披露义务人在承诺公开披露的基金信息时，不得有下列行为：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次日，通过指定网站、基金销售机构网站或者营业网点披露开放日的基金份额净值和基金份额累计净值。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（2）《基金合同》终止、基金清算；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（21）发生涉及基金申购、赎回事项调整或潜在影响投资者赎回等重大事项时；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（22）基金推出新业务或服务；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基金管理人、基金托管人应当在指定报刊中选择一家报刊披露本基金信息。基金管理人、基金托管人应当向中国证监会基金电子披露网站报送拟披露的基金信息，并保证相关报送信息的真实、准确、完整、及时。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1" w:name="_Toc210897897"/>
      <w:r>
        <w:rPr>
          <w:rFonts w:ascii="Times New Roman" w:hAnsi="Times New Roman"/>
          <w:sz w:val="30"/>
        </w:rPr>
        <w:lastRenderedPageBreak/>
        <w:t>十八、风险揭示</w:t>
      </w:r>
      <w:bookmarkEnd w:id="21"/>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本基金的投资市场主要为证券交易所、全国银行间债券市场等流动性较好的规范型交易场所，主要投资对象为目标 ETF、标的指数成份股、备选成份股，此外，为更好地实现投资目标，本基金也可少量投资于新股（含存托凭证）、债券、回购、权证及中国证监会允许基金投资的其它金融工具（但须符合中国证监会相关规定），同时本基金基于分散投资的原则在行业和个券方面未有高集中度的特征，综合评估在正常市场环境下本基金的流动性风险适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w:t>
      </w:r>
      <w:r>
        <w:rPr>
          <w:rFonts w:ascii="宋体" w:hAnsi="宋体"/>
          <w:sz w:val="24"/>
        </w:rPr>
        <w:lastRenderedPageBreak/>
        <w:t>以该开放日的基金份额净值为基础计算赎回金额，并以此类推，直到全部赎回为止。如基金投资者在提交赎回申请时未作明确选择，投资者未能赎回部分作自动延期赎回处理。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指定媒介上进行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（五）投资本基金的特有风险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本基金为ETF联接基金，主要投资对象是目标ETF，因此目标ETF面临的风险可能直接或间接成为本基金的风险。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2、标的指数回报与股票市场平均回报偏离的风险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w:t>
      </w:r>
      <w:r>
        <w:rPr>
          <w:rFonts w:ascii="宋体" w:hAnsi="宋体"/>
          <w:sz w:val="24"/>
        </w:rPr>
        <w:lastRenderedPageBreak/>
        <w:t>股票市场的平均回报率可能存在偏离。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3、标的指数波动的风险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标的指数成份股的价格可能受到政治因素、经济因素、上市公司经营状况、投资者心理和交易制度等各种因素的影响而波动，导致指数波动，从而使基金收益水平发生变化，产生风险。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4、基金投资组合回报与标的指数回报偏离的风险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（1）本基金90%以上的净资产投资于目标ETF，目标ETF回报与标的指数回报的偏离会造成本基金与标的指数的跟踪偏离；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（2）本基金有投资成本、各种费用及税收，而指数编制不考虑费用和税收，这将导致本基金收益率落后于标的指数收益率，产生负的跟踪偏离度；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受市场流动性风险的影响，本基金在实际管理过程中，由于投资者申购而增加的资金可能不能及时地转化为目标ETF份额和成份股、或在面临投资者赎回时无法以赎回价格将目标ETF份额和成份股及时地转化为现金，使得本基金在跟踪标的指数时存在一定的跟踪偏离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本基金实行指数化投资过程中，基金管理人对指数基金的管理能力，例如跟踪标的指数的水平、技术手段、买入卖出证券的时机选择等，都会对本基金的收益产生影响，从而影响本基金相对于对标的指数的偏离程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本基金力争控制日均跟踪偏离度的绝对值不超过0.3%，年跟踪误差不超过4%。但因标的指数编制规则调整或其他因素可能导致跟踪误差超过上述范围，本基金净值表现与指数价格走势可能发生较大偏离。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w:t>
      </w:r>
      <w:r>
        <w:rPr>
          <w:rFonts w:ascii="宋体" w:hAnsi="宋体"/>
          <w:sz w:val="24"/>
        </w:rPr>
        <w:lastRenderedPageBreak/>
        <w:t>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8、本基金为目标ETF的联接基金，但不能保证本基金的表现与目标ETF的表现完全一致，产生差异的原因包括以下几个方面：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（1）本基金赎回采用现金方式，为支付现金赎回款，相比目标ETF，本基金需要保留更多的现金资产；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（2）本基金申购采用现金方式，在利用到账的申购资金投资目标ETF过程中，市场波动等原因会造成本基金与目标ETF表现的差异；</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（3）本基金为应对现金申购赎回而进行的证券交易需支付一定的手续费，此等费用将影响本基金相对于目标ETF的表现。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（六）投资存托凭证的特定风险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2" w:name="_Toc210897898"/>
      <w:r>
        <w:rPr>
          <w:rFonts w:ascii="Times New Roman" w:hAnsi="Times New Roman"/>
          <w:sz w:val="30"/>
        </w:rPr>
        <w:lastRenderedPageBreak/>
        <w:t>十九、基金合同的终止与基金财产的清算</w:t>
      </w:r>
      <w:bookmarkEnd w:id="22"/>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（1）基金合同终止后，成立基金清算小组，基金清算小组在中国证监会的监督下进行基金清算。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（9）对基金剩余财产进行分配。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3" w:name="_Toc210897899"/>
      <w:r>
        <w:rPr>
          <w:rFonts w:ascii="Times New Roman" w:hAnsi="Times New Roman"/>
          <w:sz w:val="30"/>
        </w:rPr>
        <w:lastRenderedPageBreak/>
        <w:t>二十、基金合同的内容摘要</w:t>
      </w:r>
      <w:bookmarkEnd w:id="23"/>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（2）依照本基金合同获得基金管理费以及法律法规规定或中国证监会批准的其他收入；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（3）根据法律法规和基金合同之规定销售基金份额；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（4）根据法律法规和基金合同的规定制定基金收益分配方案；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（5）依照有关规定为基金的利益行使因基金财产投资于证券所产生的权利；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（6）在符合有关法律法规和本基金合同的前提下，制订和调整有关基金认购、申购、赎回、转换、转托管等业务的规则，决定基金的除调高托管费和管理费之外的费率结构和收费方式；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基金当事人的利益造成重大损失的情形，应及时呈报中国证监会和中国银监会，并采取必要措施保护基金及相关基金当事人的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（8）在基金合同约定的范围内，拒绝或暂停受理申购、赎回和转换申请；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（9）自行担任注册登记机构或选择、更换注册登记机构，并对注册登记机构的代理行为进行必要的监督和检查；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（10）选择、更换代销机构，并依据销售代理协议和有关法律法规，对其行为进行必要的监督和检查；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（11）在基金托管人更换时，提名新的基金托管人；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（12）依法召集基金份额持有人大会；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（13）以基金管理人名义代表基金份额持有人利益行使诉讼权利或者实施其他法律行为；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（14）选择、更换律师事务所、会计师事务所、证券经纪商或其他为基金提供服务的外部机构；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（15）根据国家有关规定，在法律法规允许的前提下，为基金的利益依法为基金融资、融券；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（16）法律法规、基金合同以及依据基金合同制定的其它法律文件规定的其他权利。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（1）依法募集基金，办理或者委托经由证监会认定的其他机构代为办理基金份额的发售、申购、赎回和注册登记事宜；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（9）采取适当合理的措施使计算基金份额认购、申购、赎回价格的方法符合基金合同等法律文件的规定；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w:t>
      </w:r>
      <w:r>
        <w:rPr>
          <w:rFonts w:ascii="宋体" w:hAnsi="宋体"/>
          <w:sz w:val="24"/>
        </w:rPr>
        <w:lastRenderedPageBreak/>
        <w:t>配收益；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（26）不从事任何有损基金及其他基金合同当事人合法权益的活动；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（1）依照基金合同的约定获得基金托管费；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（3）自本基金合同生效之日起，依照法律法规和基金合同、托管协议的规定依法保管基金财产；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w:t>
      </w:r>
      <w:r>
        <w:rPr>
          <w:rFonts w:ascii="宋体" w:hAnsi="宋体"/>
          <w:sz w:val="24"/>
        </w:rPr>
        <w:lastRenderedPageBreak/>
        <w:t>重大损失的情形，应及时呈报中国证监会，并采取必要措施保护基金及相关基金合同当事人的利益；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（6）依法提议召开或召集基金份额持有人大会；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（8）法律法规规定的其他权利。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（9）保存基金托管业务活动的记录、账册、报表和其他相关资料不少于15年；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（14）按规定制作相关账册并与基金管理人核对；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（16）按照规定召集基金份额持有人大会或配合基金管理人、基金份额持有人依法自行召集基金份额持有人大会；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（21）面临解散、依法被撤销、破产或者由接管人接管其资产时，及时报告中国证监会和中国银监会，并通知基金管理人；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根据《基金法》、《运作办法》及其他有关法律法规的规定，基金份额持有人的权利包括但不限于：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（6）根据基金合同的约定，出席或者委派代表出席目标ETF份额持有人大会，对目标ETF份额持有人大会审议事项行使表决权；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（7）查阅或者复制公开披露的基金信息资料；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（8）监督基金管理人的投资运作；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（9）对基金管理人、基金托管人、基金份额代销机构损害其合法权益的行为依法提起诉讼；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（10）法律法规和基金合同规定的其他权利。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（2）缴纳基金认购、申购款项及法律法规、基金合同和招募说明书规定的费用；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（6）遵守基金管理人、基金托管人及销售机构和注册登记机构的相关交易及业务规则；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（7）返还在基金交易过程中因任何原因，自基金管理人、基金托管人、代销机构或其他基金份额持有人处获得的不当得利；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（8）法律法规和基金合同规定的其他义务。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4、本基金合同当事人各方的权利义务以本基金合同为依据，不因基金账户名称而有所改变。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1、基金份额持有人大会由基金份额持有人组成，基金份额持有人的合法授权代表有权代表基金份额持有人出席会议并表决。基金份额持有人持有的每一基金份额拥有平等的投票权。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当出现或需要决定下列事由之一的，经基金管理人、基金托管人或持有基金份额10%以上（“以上”含本数，下同）的基金份额持有人（以基金管理人收到提议</w:t>
      </w:r>
      <w:r>
        <w:rPr>
          <w:rFonts w:ascii="宋体" w:hAnsi="宋体"/>
          <w:sz w:val="24"/>
        </w:rPr>
        <w:lastRenderedPageBreak/>
        <w:t>当日的基金份额计算，下同）提议时，应当召开基金份额持有人大会：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（4）变更基金投资目标、投资范围或投资策略（法律法规和中国证监会另有规定的除外）；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（7）提高基金管理人、基金托管人的报酬标准。但根据法律法规的要求提高该等报酬标准的除外；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（10）基金管理人代表本基金的基金份额持有人提议召开或召集目标ETF份额持有人大会；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（11）法律法规、基金合同或中国证监会规定的其他情形。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出现以下情形之一的，可由基金管理人和基金托管人协商后修改，不需召开基金份额持有人大会：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（1）调低基金管理费、基金托管费等其他应由基金或基金份额持有人承担的费用；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（3）在法律法规和本基金合同规定的范围内调整基金的申购费率、调低赎回费率、变更或增加收费方式；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（4）因相应的法律法规、证券交易所或者注册登记机构的相关业务规则发生变动必须对基金合同进行修改；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（1）除法律法规或本基金合同另有约定外，基金份额持有人大会由基金管理人召集。基金管理人未按规定召集或者不能召集时，由基金托管人召集。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40日在指定媒介公告。基金份额持有人大会通知须至少载明以下内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（5）有权出席基金份额持有人大会的基金份额持有人的权益登记日；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w:t>
      </w:r>
      <w:r>
        <w:rPr>
          <w:rFonts w:ascii="宋体" w:hAnsi="宋体"/>
          <w:sz w:val="24"/>
        </w:rPr>
        <w:lastRenderedPageBreak/>
        <w:t>有效期限等）、送达时间和地点；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2）现场开会由基金份额持有人本人出席或通过授权委托证明委派其代理人出席，现场开会时基金管理人和基金托管人的授权代表应当出席，基金管理人或基金托管人拒不派代表出席的，不影响表决效力。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经核对、汇总，到会者出示的在权益登记日持有基金份额的凭证显示，全部有效凭证所对应的基金份额应占权益登记日基金总份额的50%以上（含50%，下同）；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w:t>
      </w:r>
      <w:r>
        <w:rPr>
          <w:rFonts w:ascii="宋体" w:hAnsi="宋体"/>
          <w:sz w:val="24"/>
        </w:rPr>
        <w:lastRenderedPageBreak/>
        <w:t>的规定，并且持有基金份额的凭证与基金管理人持有的登记资料相符。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响表决效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在法律法规或监管机构允许的情况下，经会议通知载明，基金份额持有人也可以采用网络、电话或其他方式进行表决，或者采用网络、电话或其他方式授权他人代为出席会议并表决。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w:t>
      </w:r>
      <w:r>
        <w:rPr>
          <w:rFonts w:ascii="宋体" w:hAnsi="宋体"/>
          <w:sz w:val="24"/>
        </w:rPr>
        <w:lastRenderedPageBreak/>
        <w:t>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w:t>
      </w:r>
      <w:r>
        <w:rPr>
          <w:rFonts w:ascii="宋体" w:hAnsi="宋体"/>
          <w:sz w:val="24"/>
        </w:rPr>
        <w:lastRenderedPageBreak/>
        <w:t>数选举产生一名代表作为该次基金份额持有人大会的主持人。基金管理人和基金托管人不出席或主持基金份额持有人大会，不影响基金份额持有人大会作出的决议的效力。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第2日在公证机构监督下由召集人统计全部有效表决并形成决议。如监督人经通知但拒绝到场监督，则在公正机关监督下形成的决议有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w:t>
      </w:r>
      <w:r>
        <w:rPr>
          <w:rFonts w:ascii="宋体" w:hAnsi="宋体"/>
          <w:sz w:val="24"/>
        </w:rPr>
        <w:lastRenderedPageBreak/>
        <w:t>开审议、逐项表决。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并在生效后方可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（3）基金份额持有人大会决议应自生效之日起2个工作日内在指定媒介上公告。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10、鉴于本基金是目标ETF 的联接基金，本基金的基金份额持有人可以凭所持有的本基金份额出席或者委派代表出席目标ETF 的基金份额持有人大会并参与表决。在计算参会份额和计票时，本基金持有人其持有的享有表决权的基金份额数和表决票数为：在目标ETF 基金份额持有人大会的权益登记日，本基金持有目标ETF 份额的总数乘以该基金份额持有人所持有的本基金份额占本基金总份额的比例。计算结果按照四舍五入的方法，保留到整数位。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本基金的基金管理人不应以本基金的名义代表本基金的全体基金份额持有人以目标ETF 的基金份额持有人的身份行使表决权，但可接受本基金的特定基金份额持有人的委托以本基金的基金份额持有人代理人的身份出席目标ETF 的基金份额持有人大会并参与表决。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本基金的基金管理人代表本基金的基金份额持有人提议召开或召集目标ETF 基金份额持有人大会的，须先遵照本基金《基金合同》的约定召开本基金的基金份额持有人大会。本基金的基金份额持有人大会决定提议召开或召集目标ETF 基金份额持有人大会的，由本基金基金管理人代表本基金的基金份额持有人提议召开或召集目标ETF基金份额持有人大会。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（1）按照法律法规或本基金合同的规定，对基金合同的变更应当召开基金份额持有人大会的，基金合同变更的内容应经基金份额持有人大会决议通过，并依法报中国证监会核准，自中国证监会核准之日起生效。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1）调低基金管理费、基金托管费等应由基金或基金份额持有人承担的费用；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3）在法律法规和本基金合同规定的范围内调整基金的申购费率、调低赎回费率、变更或增加收费方式；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4）因相应的法律法规、证券交易所或者注册登记机构的相关业务规则发生变动必须对基金合同进行修改；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本基金合同正本一式六份，除上报相关监管部门两份外，基金管理人和基金托管人各持有两份。每份均具有同等的法律效力。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本基金合同可印制成册，供基金投资者在基金管理人和基金托管人办公场所查阅。基金合同条款及内容应以基金合同正本为准。</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16B75" w:rsidRDefault="00A76ED3">
      <w:pPr>
        <w:pStyle w:val="1"/>
        <w:snapToGrid w:val="0"/>
        <w:spacing w:beforeLines="0" w:before="240" w:after="240"/>
        <w:rPr>
          <w:rFonts w:ascii="宋体" w:hAnsi="宋体"/>
          <w:szCs w:val="30"/>
        </w:rPr>
      </w:pPr>
      <w:bookmarkStart w:id="24" w:name="_Toc210897900"/>
      <w:r>
        <w:rPr>
          <w:rFonts w:ascii="Times New Roman" w:hAnsi="Times New Roman"/>
          <w:sz w:val="30"/>
        </w:rPr>
        <w:lastRenderedPageBreak/>
        <w:t>二十一、托管协议的内容摘要</w:t>
      </w:r>
      <w:bookmarkEnd w:id="24"/>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注册资本：32,479,411.7万元人民币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w:t>
      </w:r>
      <w:r>
        <w:rPr>
          <w:rFonts w:ascii="宋体" w:hAnsi="宋体"/>
          <w:sz w:val="24"/>
        </w:rPr>
        <w:lastRenderedPageBreak/>
        <w:t>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目标ETF、标的指数成份股、备选成份股为主要投资对象（含中小板股票和创业板股票及其他经中国证监会核准的上市股票、存托凭证），把全部或接近全部的基金资产用于跟踪标的指数的表现，正常情况下投资于目标ETF的资产比例不低于基金资产净值的90%，基金持有的现金及到期日在一年以内的政府债券的投资比例合计不低于基金资产净值的5%，其中现金不包括结算备付金、存出保证金和应收申购款等。此外，为更好地实现投资目标，本基金也可少量投资于新股（含存托凭证）、债券、回购、权证及中国证监会允许基金投资的其它金融工具（但须符合中国证监会的相关规定）。如法律法规或监管机构以后允许基金投资其它品种，基金管理人在履行适当程序后，可以将其纳入投资范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（1）进入全国银行间同业市场的债券回购融入的资金余额不超过基金资产净值的40%。债券回购最长期限为１年，债券回购到期后不得展期；</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（2）本基金参与股票发行申购，本基金所申报的金额不超过本基金的总资</w:t>
      </w:r>
      <w:r>
        <w:rPr>
          <w:rFonts w:ascii="宋体" w:hAnsi="宋体"/>
          <w:sz w:val="24"/>
        </w:rPr>
        <w:lastRenderedPageBreak/>
        <w:t>产，本基金所申报的股票数量不超过拟发行股票公司本次发行股票的总量；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权证，在任何交易日买入权证的总金额，不得超过上一交易日基金资产净值的0.5%；本基金持有的全部权证，其市值不得超过基金资产净值的3%；本基金与本基金管理人管理的其他基金持有的同一权证，不得超过该权证的10%；法律法规或监管部门另有规定的，遵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同一（指同一信用级别）资产支持证券的比例，不得超过该资产支持证券规模的10%；本基金投资于同一原始权益人的各类资产支持证券的比例，不得超过该基金资产净值的10%；本基金管理人管理的全部证券投资基金投资于同一原始权益人的各类资产支持证券，不得超过其各类资产支持证券合计规模的10%；本基金持有的全部资产支持证券，其市值不得超过该基金资产净值的20%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（5）保持不低于基金资产净值5%的现金或者到期日在一年以内的政府债券，其中现金不包括结算备付金、存出保证金和应收申购款等；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（6）本基金持有一家公司发行的流通受限证券，其市值不得超过基金资产净值的2%；本基金持有的所有流通受限证券，其市值不得超过该基金资产净值的15%；</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（7）本基金不得违反基金合同中有关投资范围、投资策略、投资比例的规定；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（9）本基金与私募类证券资管产品及中国证监会认定的其他主体为交易对手开展逆回购交易的，可接受质押品的资质要求应当与基金合同约定的投资范围保持一致；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（10）本基金投资存托凭证的比例限制依照境内上市交易的股票执行；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（11）法律法规或监管部门对上述比例限制另有规定的，从其规定。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在符合相关法律法规规定的前提下，除上述第（5）、（8）、（9）项以外,因证券市场波动、上市公司合并、基金规模变动、标的指数成分股调整、基金申购或赎回带来现金等基金管理人之外的因素致使基金投资组合比例不符合上述</w:t>
      </w:r>
      <w:r>
        <w:rPr>
          <w:rFonts w:ascii="宋体" w:hAnsi="宋体"/>
          <w:sz w:val="24"/>
        </w:rPr>
        <w:lastRenderedPageBreak/>
        <w:t>规定的投资比例的，基金管理人应当在10个交易日内进行调整。法律法规或监管部门另有规定的，从其规定。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w:t>
      </w:r>
      <w:r>
        <w:rPr>
          <w:rFonts w:ascii="宋体" w:hAnsi="宋体"/>
          <w:sz w:val="24"/>
        </w:rPr>
        <w:lastRenderedPageBreak/>
        <w:t>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（1）基金投资流通受限证券，应遵守《关于规范基金投资非公开发行证券行为的紧急通知》、《关于基金投资非公开发行股票等流通受限证券有关问题的通知》等有关法律法规规定。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受限证券登记存管在本基金名下，并确保基金托管人能够正常查询。因基金管理人原因产生的受限证券登记存管问题，造成基金财产的损失或基金托管人无法安全保管基金财产的责任与损失，由基金管理人承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w:t>
      </w:r>
      <w:r>
        <w:rPr>
          <w:rFonts w:ascii="宋体" w:hAnsi="宋体"/>
          <w:sz w:val="24"/>
        </w:rPr>
        <w:lastRenderedPageBreak/>
        <w:t>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（4）基金托管人对所托管的不同基金财产分别设置账户，与基金托管人的其他业务和其他基金的托管业务实行严格的分帐管理，确保基金财产的完整与独立。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（1）基金募集期间的认购款项应存于专用账户。该账户由基金管理人委托的注册登记机构开立并管理。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为基金开立的基金托管资金账户，同时在规定时间内，聘请具有从事证券相关业务资格的会计师事务所进行验资，出具验资报告。出具的验资报告由参加验资的2名或2名以上中国注册会计师签字方为有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w:t>
      </w:r>
      <w:r>
        <w:rPr>
          <w:rFonts w:ascii="宋体" w:hAnsi="宋体"/>
          <w:sz w:val="24"/>
        </w:rPr>
        <w:lastRenderedPageBreak/>
        <w:t>算有限责任公司的规定执行。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基金的名义在中央国债登记结算有限责任公司开立债券托管与结算账户，并代表基金进行银行间市场债券的结算。基金管理人和基金托管人同时代表基金签订全国银行间债券市场债券回购主协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（五）基金资产净值计算和会计复核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基金份额净值是指基金资产净值除以基金份额总数。基金份额净值的计算，精确到0.001元，小数点后第四位四舍五入，由此产生的误差计入基金财产。国家另有规定的，从其规定。</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每工作日计算基金资产净值及基金份额净值，并按规定公告。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基金管理人每工作日对基金资产进行估值后，将基金份额净值结果发送基金托管人，经基金托管人复核无误后，由基金管理人依据基金合同和有关法律法规的规定对外公布。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基金依法拥有的目标ETF份额、股票、债券、权证及其他基金资产和负债。</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1）目标ETF估值方法：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目标ETF以该ETF份额当日净值估值；若估值日非证券交易所的营业日，以该基金最近工作日的基金份额净值估值。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A.上市股票的估值：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B.未上市股票的估值：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①首次发行未上市的股票，采用估值技术确定公允价值，在估值技术难以可靠计量公允价值的情况下，按成本价估值；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②送股、转增股、配股和公开增发新股等发行未上市的股票，按估值日在证券交易所上市的同一股票的市价进行估值；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③首次公开发行有明确锁定期的股票，同一股票在交易所上市后，按估值日在证券交易所上市的同一股票的市价进行估值；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④非公开发行的且在发行时明确一定期限锁定期的股票，按监管机构或行业协会有关规定确定公允价值。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 本基金投资存托凭证的估值核算依照境内上市交易的股票执行。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在任何情况下，基金管理人如采用本项第A－C小项规定的方法对基金资产进行估值，均应被认为采用了适当的估值方法。但是，如果基金管理人认为按本项第A－C小项规定的方法对基金资产进行估值不能客观反映其公允价值的，基金管理人可根据具体情况，并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⑤在全国银行间债券市场交易的债券、资产支持证券等固定收益品种，采用估值技术确定公允价值。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⑥同一债券同时在两个或两个以上市场交易的，按债券所处的市场分别估值。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⑧国家有最新规定的，按其规定进行估值。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4）权证估值方法：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③因持有股票而享有的配股权，以及停止交易、但未行权的权证，采用估值技术确定公允价值进行估值。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5）衍生品及其他有价证券等资产按国家有关规定进行估值。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1）基金管理人、基金托管人按股票估值方法的第D项、债券估值方法的第⑦项、权证估值方法的第④项进行估值时，所造成的误差不作为基金份额净值错误处理。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计算错误，基金管理</w:t>
      </w:r>
      <w:r>
        <w:rPr>
          <w:rFonts w:ascii="宋体" w:hAnsi="宋体"/>
          <w:sz w:val="24"/>
        </w:rPr>
        <w:lastRenderedPageBreak/>
        <w:t>人、基金托管人免除赔偿责任。但基金管理人、基金托管人应积极采取必要的措施消除由此造成的影响。</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错误偏差达到或超过基金资产净值的0.25%时，基金管理人应当及时通知基金托管人并报中国证监会；错误偏差达到基金资产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（4）前述内容如法律法规或监管机关另有规定的，从其规定处理。如果行业有通行做法，双方当事人应本着平等和保护基金份额持有人利益的原则进行协商。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（2）基金所投资之目标ETF发生暂停估值，暂停公告基金份额净值的情形；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（3）因不可抗力或其他情形致使基金管理人、基金托管人无法准确评估基金资产价值时；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（4）占基金相当比例的投资品种的估值出现重大转变，而基金管理人为保障基金份额持有人的利益，决定延迟估值时；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（5）当前一估值日基金资产净值50%以上的资产出现无可参考的活跃市场价格且采用估值技术仍导致公允价值存在重大不确定性时，经与基金托管人协商确认后，基金管理人应当暂停估值；</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（6）中国证监会和基金合同认定的其他情形。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基金管理人在报表或定期报告完成当日，对报表盖章后，以加密传真方式或双方书面商定的其他方式将有关报表提供基金托管人复核。</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w:t>
      </w:r>
      <w:r>
        <w:rPr>
          <w:rFonts w:ascii="宋体" w:hAnsi="宋体"/>
          <w:sz w:val="24"/>
        </w:rPr>
        <w:lastRenderedPageBreak/>
        <w:t>金份额持有人名册，应按有关法规规定各自承担相应的责任。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5" w:name="_Toc210897901"/>
      <w:r>
        <w:rPr>
          <w:rFonts w:ascii="Times New Roman" w:hAnsi="Times New Roman"/>
          <w:sz w:val="30"/>
        </w:rPr>
        <w:lastRenderedPageBreak/>
        <w:t>二十二、对基金份额持有人的服务</w:t>
      </w:r>
      <w:bookmarkEnd w:id="25"/>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人可以直接通过本基金管理人网站的网上直销交易平台办理开户和本基金前端基金份额的申购、赎回、定期定额投资和转换等业务。本公司暂不开展网上直销本基金后端基金份额的认/申购业务，通过转托管转入网上直销账户的本基金后端基金份额只能办理赎回业务。通过网上直销交易平台办理本基金前端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6" w:name="_Toc210897902"/>
      <w:r>
        <w:rPr>
          <w:rFonts w:ascii="Times New Roman" w:hAnsi="Times New Roman"/>
          <w:sz w:val="30"/>
        </w:rPr>
        <w:lastRenderedPageBreak/>
        <w:t>二十三、其他应披露事项</w:t>
      </w:r>
      <w:bookmarkEnd w:id="26"/>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交银施罗德基金管理有限公司关于增加华龙证券股份有限公司为旗下基金的销售机构的公告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2024-10-18</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2025-04-29</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16B7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价值交易型开放式指数证券投资基金联接基金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16B75" w:rsidRDefault="00A76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7" w:name="_Toc210897903"/>
      <w:r>
        <w:rPr>
          <w:rFonts w:ascii="Times New Roman" w:hAnsi="Times New Roman"/>
          <w:sz w:val="30"/>
        </w:rPr>
        <w:lastRenderedPageBreak/>
        <w:t>二十四、招募说明书的存放及查阅方式</w:t>
      </w:r>
      <w:bookmarkEnd w:id="27"/>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A76ED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16B75" w:rsidRDefault="00A76ED3">
      <w:pPr>
        <w:pStyle w:val="1"/>
        <w:snapToGrid w:val="0"/>
        <w:spacing w:beforeLines="0" w:before="240" w:after="240"/>
        <w:rPr>
          <w:rFonts w:ascii="宋体" w:hAnsi="宋体"/>
          <w:szCs w:val="30"/>
        </w:rPr>
      </w:pPr>
      <w:bookmarkStart w:id="28" w:name="_Toc210897904"/>
      <w:r>
        <w:rPr>
          <w:rFonts w:ascii="Times New Roman" w:hAnsi="Times New Roman"/>
          <w:sz w:val="30"/>
        </w:rPr>
        <w:lastRenderedPageBreak/>
        <w:t>二十五、备查文件</w:t>
      </w:r>
      <w:bookmarkEnd w:id="28"/>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（一）中国证监会核准交银施罗德深证300价值交易型开放式指数证券投资基金联接基金募集的文件</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（二）《交银施罗德深证300价值交易型开放式指数证券投资基金联接基金基金合同》</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（三）《交银施罗德深证300价值交易型开放式指数证券投资基金联接基金托管协议》</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16B75" w:rsidRDefault="00A76ED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（六）关于申请募集交银施罗德深证300价值交易型开放式指数证券投资基金联接基金之法律意见书</w:t>
      </w:r>
    </w:p>
    <w:sectPr w:rsidR="00716B75">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C25" w:rsidRDefault="00A76ED3">
      <w:r>
        <w:separator/>
      </w:r>
    </w:p>
  </w:endnote>
  <w:endnote w:type="continuationSeparator" w:id="0">
    <w:p w:rsidR="00572C25" w:rsidRDefault="00A76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716B7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30482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716B75" w:rsidRDefault="00A76ED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04822">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716B7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30482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716B75" w:rsidRDefault="00A76ED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04822">
                  <w:rPr>
                    <w:rFonts w:ascii="Times New Roman" w:hAnsi="Times New Roman"/>
                    <w:noProof/>
                    <w:kern w:val="0"/>
                    <w:sz w:val="18"/>
                    <w:szCs w:val="18"/>
                  </w:rPr>
                  <w:t>149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C25" w:rsidRDefault="00A76ED3">
      <w:r>
        <w:separator/>
      </w:r>
    </w:p>
  </w:footnote>
  <w:footnote w:type="continuationSeparator" w:id="0">
    <w:p w:rsidR="00572C25" w:rsidRDefault="00A76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716B7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A76ED3">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16B75" w:rsidRDefault="00A76ED3">
    <w:pPr>
      <w:pStyle w:val="a3"/>
      <w:jc w:val="right"/>
      <w:rPr>
        <w:rFonts w:ascii="宋体" w:hAnsi="宋体"/>
      </w:rPr>
    </w:pPr>
    <w:r>
      <w:rPr>
        <w:rFonts w:ascii="宋体" w:hAnsi="宋体" w:hint="eastAsia"/>
      </w:rPr>
      <w:t>交银施罗德深证300价值交易型开放式指数证券投资基金联接基金招募说明书更新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716B75">
    <w:pPr>
      <w:pStyle w:val="10"/>
      <w:jc w:val="right"/>
    </w:pPr>
  </w:p>
  <w:p w:rsidR="00716B75" w:rsidRDefault="00716B75">
    <w:pPr>
      <w:pStyle w:val="10"/>
      <w:jc w:val="right"/>
    </w:pPr>
  </w:p>
  <w:p w:rsidR="00716B75" w:rsidRDefault="00716B75">
    <w:pPr>
      <w:pStyle w:val="a3"/>
      <w:jc w:val="right"/>
    </w:pPr>
  </w:p>
  <w:p w:rsidR="009E65D0" w:rsidRDefault="00A76ED3">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16B75" w:rsidRDefault="00A76ED3">
    <w:pPr>
      <w:pStyle w:val="a3"/>
      <w:jc w:val="right"/>
      <w:rPr>
        <w:rFonts w:ascii="宋体" w:hAnsi="宋体"/>
      </w:rPr>
    </w:pPr>
    <w:r>
      <w:rPr>
        <w:rFonts w:ascii="宋体" w:hAnsi="宋体" w:hint="eastAsia"/>
      </w:rPr>
      <w:t>交银施罗德深证300价值交易型开放式指数证券投资基金联接基金招募说明书更新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B75" w:rsidRDefault="00716B75">
    <w:pPr>
      <w:pStyle w:val="a3"/>
      <w:jc w:val="right"/>
    </w:pPr>
  </w:p>
  <w:p w:rsidR="00716B75" w:rsidRDefault="00716B75">
    <w:pPr>
      <w:pStyle w:val="a3"/>
      <w:jc w:val="right"/>
    </w:pPr>
  </w:p>
  <w:p w:rsidR="00716B75" w:rsidRDefault="00716B75">
    <w:pPr>
      <w:pStyle w:val="a3"/>
      <w:jc w:val="right"/>
    </w:pPr>
  </w:p>
  <w:p w:rsidR="009E65D0" w:rsidRDefault="00A76ED3">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716B75" w:rsidRDefault="00A76ED3">
    <w:pPr>
      <w:pStyle w:val="a3"/>
      <w:jc w:val="right"/>
      <w:rPr>
        <w:rFonts w:ascii="宋体" w:hAnsi="宋体"/>
      </w:rPr>
    </w:pPr>
    <w:r>
      <w:rPr>
        <w:rFonts w:ascii="宋体" w:hAnsi="宋体" w:hint="eastAsia"/>
      </w:rPr>
      <w:t>交银施罗德深证300价值交易型开放式指数证券投资基金联接基金招募说明书更新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4822"/>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2C25"/>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B75"/>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6ED3"/>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BBC245A2-A601-45BB-B593-5B2EE989B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150</Pages>
  <Words>15800</Words>
  <Characters>90066</Characters>
  <Application>Microsoft Office Word</Application>
  <DocSecurity>0</DocSecurity>
  <Lines>750</Lines>
  <Paragraphs>211</Paragraphs>
  <ScaleCrop>false</ScaleCrop>
  <Company>Microsoft</Company>
  <LinksUpToDate>false</LinksUpToDate>
  <CharactersWithSpaces>105655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2025-10-09T02:24:00Z</dcterms:created>
  <dcterms:modified xsi:type="dcterms:W3CDTF">2025-10-09T02:24:00Z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