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交银施罗德裕祥纯债债券型证券投资基金（C类份额）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2025-09-03</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2025-10-10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交银裕祥纯债债券C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006368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江苏银行股份有限公司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2018-09-26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张顺晨</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2024-02-08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苏建文</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2025-07-03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2019-07-01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可向中国证监会报告并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本基金在严格控制风险和保持资产流动性的基础上，通过积极主动的投资管理，力争持续稳定地实现超越业绩比较基准的投资回报。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国债、金融债、央行票据、地方政府债、政府支持机构债、企业债、公司债、中小企业私募债、中期票据、短期融资券、超级短期融资券、资产支持证券、次级债、可分离交易可转债的纯债部分、债券回购、同业存单、银行存款、货币市场工具以及法律法规或中国证监会允许基金投资的其他金融工具(但须符合中国证监会相关规定)。本基金不投资于股票、权证等权益类资产，也不投资于可转换债券(可分离交易可转债的纯债部分除外)、可交换债券。</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债券资产的比例不低于基金资产的80%；每个交易日日终，现金或到期日在一年以内的政府债券的投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对宏观经济运行趋势、财政以及货币政策变化趋势作出分析和判断，对未来市场利率趋势及市场信用环境变化作出预测，确定本基金债券组合久期、期限结构、债券类别配置策略，在严谨深入的分析和严格的风险控制基础上，综合考虑经济变量的变动对不同券种收益率、信用趋势和风险的潜在影响，深入挖掘价值被低估的标的券种。</w:t>
            </w:r>
          </w:p>
          <w:p>
            <w:pPr>
              <w:ind w:firstLine="420"/>
              <w:jc w:val="left"/>
              <w:rPr>
                <w:rFonts w:ascii="仿宋_GB2312" w:eastAsia="仿宋_GB2312"/>
                <w:szCs w:val="21"/>
              </w:rPr>
            </w:pPr>
            <w:r>
              <w:rPr>
                <w:rFonts w:hint="eastAsia" w:ascii="仿宋_GB2312" w:eastAsia="仿宋_GB2312"/>
                <w:szCs w:val="21"/>
              </w:rPr>
              <w:t>1、久期管理策略；2、期限结构配置策略；3、债券的类别配置策略；4、骑乘策略；5、杠杆放大策略；6、信用债券投资策略；7、资产支持证券投资策略；8、中小企业私募债券投资策略。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详见《交银施罗德裕祥纯债债券型证券投资基金招募说明书》第十部分“基金的投资”。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240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ind w:firstLine="420"/>
        <w:jc w:val="left"/>
        <w:rPr>
          <w:rFonts w:ascii="仿宋_GB2312" w:eastAsia="仿宋_GB2312"/>
          <w:szCs w:val="21"/>
        </w:rPr>
      </w:pPr>
      <w:r>
        <w:rPr>
          <w:rFonts w:hint="eastAsia" w:ascii="仿宋_GB2312" w:eastAsia="仿宋_GB2312"/>
          <w:szCs w:val="21"/>
        </w:rPr>
        <w:t>无。</w:t>
      </w:r>
    </w:p>
    <w:p>
      <w:pPr>
        <w:ind w:firstLine="420"/>
        <w:jc w:val="left"/>
        <w:rPr>
          <w:rFonts w:ascii="仿宋_GB2312" w:eastAsia="仿宋_GB2312"/>
          <w:szCs w:val="21"/>
        </w:rPr>
      </w:pPr>
      <w:r>
        <w:rPr>
          <w:rFonts w:hint="eastAsia" w:ascii="仿宋_GB2312" w:eastAsia="仿宋_GB2312"/>
          <w:szCs w:val="21"/>
        </w:rPr>
        <w:t>注：截至最近一次披露的年度报告期末，本基金C类份额为0。</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w:t>
            </w:r>
            <w:r>
              <w:rPr>
                <w:rFonts w:hint="eastAsia" w:ascii="仿宋_GB2312" w:eastAsia="仿宋_GB2312"/>
                <w:szCs w:val="21"/>
                <w:lang w:val="en-US" w:eastAsia="zh-CN"/>
              </w:rPr>
              <w:t>10</w:t>
            </w: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0.42%</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（1）本基金为债券型基金，投资于债券资产的比例不低于基金资产的80%，因投资债券资产而面临债券资产市场的系统性风险和个券风险；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（3）基金合同提前终止风险。连续六十个工作日出现基金份额持有人数量不满200人或者基金资产净值低于5000万元情形的，基金管理人可向中国证监会报告并提前终止基金合同，不需召开基金份额持有人大会。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6、投资中小企业私募债的特定风险</w:t>
      </w:r>
    </w:p>
    <w:p>
      <w:pPr>
        <w:ind w:firstLine="420"/>
        <w:jc w:val="left"/>
        <w:rPr>
          <w:rFonts w:ascii="仿宋_GB2312" w:eastAsia="仿宋_GB2312"/>
          <w:szCs w:val="21"/>
        </w:rPr>
      </w:pPr>
      <w:r>
        <w:rPr>
          <w:rFonts w:hint="eastAsia" w:ascii="仿宋_GB2312" w:eastAsia="仿宋_GB2312"/>
          <w:szCs w:val="21"/>
        </w:rPr>
        <w:t>本基金可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因基金合同而产生的或与基金合同有关的一切争议，如经友好协商未能解决的，任何一方均有权将争议提交上海国际经济贸易仲裁委员会，按其届时有效的仲裁规则进行仲裁。仲裁地点为上海市。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●《交银施罗德裕祥纯债债券型证券投资基金基金合同》、</w:t>
      </w:r>
    </w:p>
    <w:p>
      <w:pPr>
        <w:ind w:firstLine="420"/>
        <w:jc w:val="left"/>
        <w:rPr>
          <w:rFonts w:ascii="仿宋_GB2312" w:eastAsia="仿宋_GB2312"/>
          <w:szCs w:val="21"/>
        </w:rPr>
      </w:pPr>
      <w:r>
        <w:rPr>
          <w:rFonts w:hint="eastAsia" w:ascii="仿宋_GB2312" w:eastAsia="仿宋_GB2312"/>
          <w:szCs w:val="21"/>
        </w:rPr>
        <w:t>《交银施罗德裕祥纯债债券型证券投资基金托管协议》、</w:t>
      </w:r>
    </w:p>
    <w:p>
      <w:pPr>
        <w:ind w:firstLine="420"/>
        <w:jc w:val="left"/>
        <w:rPr>
          <w:rFonts w:ascii="仿宋_GB2312" w:eastAsia="仿宋_GB2312"/>
          <w:szCs w:val="21"/>
        </w:rPr>
      </w:pPr>
      <w:r>
        <w:rPr>
          <w:rFonts w:hint="eastAsia" w:ascii="仿宋_GB2312" w:eastAsia="仿宋_GB2312"/>
          <w:szCs w:val="21"/>
        </w:rPr>
        <w:t>《交银施罗德裕祥纯债债券型证券投资基金招募说明书》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11DDE"/>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142E2112"/>
    <w:rsid w:val="53355436"/>
    <w:rsid w:val="61374B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607</Words>
  <Characters>3460</Characters>
  <Lines>28</Lines>
  <Paragraphs>8</Paragraphs>
  <TotalTime>4</TotalTime>
  <ScaleCrop>false</ScaleCrop>
  <LinksUpToDate>false</LinksUpToDate>
  <CharactersWithSpaces>4059</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2025-09-24T06:26:00Z</dcterms:created>
  <dc:creator>Cc</dc:creator>
  <cp:lastModifiedBy>haotingting</cp:lastModifiedBy>
  <dcterms:modified xsi:type="dcterms:W3CDTF">2025-09-30T06:01:58Z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A46A6568BAF347FD99062589ADD2C6E3</vt:lpwstr>
  </property>
</Properties>
</file>