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深证300价值交易型开放式指数证券投资基金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3"/>
        <w:gridCol w:w="1562"/>
        <w:gridCol w:w="3279"/>
        <w:gridCol w:w="192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交银深证300价值ETF</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159913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2011-09-22</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深圳证券交易所/2011-10-25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场内简称：深价值；场内扩位简称：深价值ETF；交易代码：159913；申购赎回简称：深价值；申购赎回代码：159913。</w:t>
            </w:r>
          </w:p>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及时向中国证监会报告，说明出现上述情况的原因并提出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紧密跟踪标的指数，追求跟踪偏离度和跟踪误差最小化。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以标的指数成份股、备选成份股为主要投资对象（含中小板股票和创业板股票及其他经中国证监会核准的上市股票、存托凭证），把全部或接近全部的基金资产用于跟踪标的指数的表现，正常情况下指数化投资比例，即投资于标的指数成份股（含存托凭证）和备选成份股（含存托凭证）的资产比例不低于基金资产净值的95%。此外，为更好地实现投资目标，本基金也可少量投资于新股（含存托凭证）、债券、回购、权证及中国证监会允许基金投资的其它金融工具（但须符合中国证监会的相关规定）。 如因标的指数成份股调整、基金份额申购赎回清单内现金替代、现金差额等因素导致基金投资比例不符合上述标准的，基金管理人将在10个交易日内进行调整。法律法规或监管机构日后允许本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本基金标的指数为深证300价值价格指数。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本基金绝大部分资产采用完全复制法，跟踪深证300价值价格指数，以完全按照标的指数成份股组成及其权重构建基金股票投资组合为原则，进行被动式指数化投资。</w:t>
            </w:r>
          </w:p>
          <w:p>
            <w:pPr>
              <w:ind w:firstLine="420"/>
              <w:jc w:val="left"/>
              <w:rPr>
                <w:rFonts w:ascii="仿宋_GB2312" w:eastAsia="仿宋_GB2312"/>
                <w:szCs w:val="21"/>
              </w:rPr>
            </w:pPr>
            <w:r>
              <w:rPr>
                <w:rFonts w:hint="eastAsia" w:ascii="仿宋_GB2312" w:eastAsia="仿宋_GB2312"/>
                <w:szCs w:val="21"/>
              </w:rPr>
              <w:t>股票在投资组合中的权重原则上根据标的指数成份股及其权重的变动而进行相应调整。当预期成份股发生调整和成份股发生配股、增发、分红等行为时，或因基金的申购和赎回等对本基金跟踪标的指数的效果可能带来影响时，或因某些特殊情况导致流动性不足时，或其他原因导致无法有效复制和跟踪标的指数时，基金管理人可以对投资组合管理进行适当变通和调整，从而使得投资组合紧密地跟踪标的指数。</w:t>
            </w:r>
          </w:p>
          <w:p>
            <w:pPr>
              <w:ind w:firstLine="420"/>
              <w:jc w:val="left"/>
              <w:rPr>
                <w:rFonts w:ascii="仿宋_GB2312" w:eastAsia="仿宋_GB2312"/>
                <w:szCs w:val="21"/>
              </w:rPr>
            </w:pPr>
            <w:r>
              <w:rPr>
                <w:rFonts w:hint="eastAsia" w:ascii="仿宋_GB2312" w:eastAsia="仿宋_GB2312"/>
                <w:szCs w:val="21"/>
              </w:rPr>
              <w:t>本基金投资存托凭证的策略依照境内上市交易的股票投资策略执行。</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深证300价值价格指数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本基金属于股票基金，风险与预期收益高于混合基金、债券基金与货币市场基金。同时本基金为指数型基金，具有与标的指数、以及标的指数所代表的股票市场相似的风险收益特征。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详见《深证300价值交易型开放式指数证券投资基金招募说明书》第十部分“基金的投资”。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2、本基金合同于2011年9月22日生效，合同生效当年净值增长率按实际存续期计算。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p>
      <w:pPr>
        <w:jc w:val="left"/>
        <w:rPr>
          <w:rFonts w:ascii="仿宋_GB2312" w:eastAsia="仿宋_GB2312"/>
          <w:szCs w:val="21"/>
        </w:rPr>
      </w:pPr>
      <w:r>
        <w:rPr>
          <w:rFonts w:hint="eastAsia" w:ascii="仿宋_GB2312" w:eastAsia="仿宋_GB2312"/>
          <w:szCs w:val="21"/>
        </w:rPr>
        <w:t>注：1、投资者在申购或赎回基金份额时，申购赎回代理券商可按照不超过申购或赎回份额0.5%的标准收取佣金。2、场内交易费用以证券公司实际收取为准。</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15000.00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80000.00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2、投资本基金的特有风险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8）基金份额二级市场交易价格折溢价的风险、（9）参考IOPV决策和IOPV计算错误的风险、（10）退市风险、（11）投资者申购失败的风险、（12）投资者赎回失败的风险、（13）基金份额赎回对价的变现风险、（14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5、本基金法律文件风险收益特征表述与销售机构基金风险评价可能不一致的风险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6、其他风险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●《深证300价值交易型开放式指数证券投资基金基金合同》、</w:t>
      </w:r>
    </w:p>
    <w:p>
      <w:pPr>
        <w:ind w:firstLine="420"/>
        <w:jc w:val="left"/>
        <w:rPr>
          <w:rFonts w:ascii="仿宋_GB2312" w:eastAsia="仿宋_GB2312"/>
          <w:szCs w:val="21"/>
        </w:rPr>
      </w:pPr>
      <w:r>
        <w:rPr>
          <w:rFonts w:hint="eastAsia" w:ascii="仿宋_GB2312" w:eastAsia="仿宋_GB2312"/>
          <w:szCs w:val="21"/>
        </w:rPr>
        <w:t>《深证300价值交易型开放式指数证券投资基金托管协议》、</w:t>
      </w:r>
    </w:p>
    <w:p>
      <w:pPr>
        <w:ind w:firstLine="420"/>
        <w:jc w:val="left"/>
        <w:rPr>
          <w:rFonts w:ascii="仿宋_GB2312" w:eastAsia="仿宋_GB2312"/>
          <w:szCs w:val="21"/>
        </w:rPr>
      </w:pPr>
      <w:r>
        <w:rPr>
          <w:rFonts w:hint="eastAsia" w:ascii="仿宋_GB2312" w:eastAsia="仿宋_GB2312"/>
          <w:szCs w:val="21"/>
        </w:rPr>
        <w:t>《深证300价值交易型开放式指数证券投资基金招募说明书》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121D9"/>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DB34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611</Words>
  <Characters>3486</Characters>
  <Lines>29</Lines>
  <Paragraphs>8</Paragraphs>
  <TotalTime>1</TotalTime>
  <ScaleCrop>false</ScaleCrop>
  <LinksUpToDate>false</LinksUpToDate>
  <CharactersWithSpaces>4089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2025-09-30T05:40:00Z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FC934486F9484442929F1E4646F470A5</vt:lpwstr>
  </property>
</Properties>
</file>