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30014">
      <w:pPr>
        <w:rPr>
          <w:sz w:val="32"/>
        </w:rPr>
      </w:pPr>
    </w:p>
    <w:p w:rsidR="00C92FC0" w:rsidRPr="00EB07BC" w:rsidRDefault="00730014">
      <w:pPr>
        <w:rPr>
          <w:sz w:val="32"/>
        </w:rPr>
      </w:pPr>
    </w:p>
    <w:p w:rsidR="00C92FC0" w:rsidRPr="00EB07BC" w:rsidRDefault="00730014">
      <w:pPr>
        <w:rPr>
          <w:sz w:val="32"/>
        </w:rPr>
      </w:pPr>
    </w:p>
    <w:p w:rsidR="00C92FC0" w:rsidRPr="00EB07BC" w:rsidRDefault="004A6E99">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161A68" w:rsidRDefault="00161A6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61A68" w:rsidRDefault="00161A6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61A68" w:rsidRDefault="004A6E9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交银施罗德现金宝货币市场基金</w:t>
      </w:r>
    </w:p>
    <w:p w:rsidR="00161A68" w:rsidRDefault="004A6E9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161A68" w:rsidRDefault="00161A68">
      <w:pPr>
        <w:snapToGrid w:val="0"/>
        <w:spacing w:line="360" w:lineRule="auto"/>
        <w:jc w:val="center"/>
        <w:rPr>
          <w:rFonts w:ascii="宋体" w:hAnsi="宋体"/>
          <w:b/>
          <w:sz w:val="30"/>
          <w:szCs w:val="30"/>
        </w:rPr>
      </w:pP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4A6E9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161A68" w:rsidRDefault="004A6E9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161A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61A68" w:rsidRDefault="004A6E9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161A68" w:rsidRDefault="00161A68">
      <w:pPr>
        <w:autoSpaceDE w:val="0"/>
        <w:autoSpaceDN w:val="0"/>
        <w:adjustRightInd w:val="0"/>
        <w:snapToGrid w:val="0"/>
        <w:spacing w:line="360" w:lineRule="auto"/>
        <w:ind w:left="1347" w:rightChars="6" w:right="13"/>
        <w:rPr>
          <w:rFonts w:ascii="宋体" w:hAnsi="宋体"/>
          <w:kern w:val="0"/>
          <w:sz w:val="32"/>
          <w:szCs w:val="32"/>
        </w:rPr>
        <w:sectPr w:rsidR="00161A68">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161A68" w:rsidRDefault="004A6E99">
      <w:pPr>
        <w:pStyle w:val="1"/>
        <w:snapToGrid w:val="0"/>
        <w:spacing w:beforeLines="0" w:before="240" w:after="240"/>
        <w:rPr>
          <w:rFonts w:ascii="宋体" w:hAnsi="宋体"/>
          <w:kern w:val="0"/>
        </w:rPr>
      </w:pPr>
      <w:bookmarkStart w:id="0" w:name="_Toc324920538"/>
      <w:bookmarkStart w:id="1" w:name="_Toc496884613"/>
      <w:bookmarkStart w:id="2" w:name="_Toc210145117"/>
      <w:r>
        <w:rPr>
          <w:rFonts w:ascii="Times New Roman" w:hAnsi="Times New Roman"/>
          <w:kern w:val="0"/>
        </w:rPr>
        <w:lastRenderedPageBreak/>
        <w:t>重要提示</w:t>
      </w:r>
      <w:bookmarkEnd w:id="0"/>
      <w:bookmarkEnd w:id="1"/>
      <w:bookmarkEnd w:id="2"/>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交银施罗德现金宝货币市场基金（以下简称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12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2014</w:t>
      </w:r>
      <w:r>
        <w:rPr>
          <w:rFonts w:ascii="Times New Roman" w:hAnsi="Times New Roman"/>
          <w:kern w:val="0"/>
          <w:sz w:val="24"/>
        </w:rPr>
        <w:t>】</w:t>
      </w:r>
      <w:r>
        <w:rPr>
          <w:rFonts w:ascii="Times New Roman" w:hAnsi="Times New Roman"/>
          <w:kern w:val="0"/>
          <w:sz w:val="24"/>
        </w:rPr>
        <w:t>595</w:t>
      </w:r>
      <w:r>
        <w:rPr>
          <w:rFonts w:ascii="Times New Roman" w:hAnsi="Times New Roman"/>
          <w:kern w:val="0"/>
          <w:sz w:val="24"/>
        </w:rPr>
        <w:t>号文核准募集注册。本基金基金合同于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12</w:t>
      </w:r>
      <w:r>
        <w:rPr>
          <w:rFonts w:ascii="Times New Roman" w:hAnsi="Times New Roman"/>
          <w:kern w:val="0"/>
          <w:sz w:val="24"/>
        </w:rPr>
        <w:t>日正式生效。</w:t>
      </w:r>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本基金特有的其他风险等等。本基金属于货币市场基金，长期风险收益水平低于股票型基金、混合型基金和债券型基金。</w:t>
      </w:r>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投资者购买本货币市场基金并不等于将资金作为存款存放在银行或存款类金融机构，基金管理人不保证基金一定盈利，也不保证最低收益。</w:t>
      </w:r>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w:t>
      </w:r>
      <w:r>
        <w:rPr>
          <w:rFonts w:ascii="Times New Roman" w:hAnsi="Times New Roman"/>
          <w:kern w:val="0"/>
          <w:sz w:val="24"/>
        </w:rPr>
        <w:lastRenderedPageBreak/>
        <w:t>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161A68" w:rsidRDefault="004A6E9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161A68" w:rsidRDefault="00161A68">
      <w:pPr>
        <w:autoSpaceDE w:val="0"/>
        <w:autoSpaceDN w:val="0"/>
        <w:adjustRightInd w:val="0"/>
        <w:snapToGrid w:val="0"/>
        <w:spacing w:before="51" w:line="360" w:lineRule="auto"/>
        <w:ind w:left="120" w:rightChars="6" w:right="13" w:firstLine="480"/>
        <w:rPr>
          <w:rFonts w:ascii="宋体" w:hAnsi="宋体"/>
          <w:kern w:val="0"/>
          <w:szCs w:val="24"/>
        </w:rPr>
        <w:sectPr w:rsidR="00161A68">
          <w:headerReference w:type="default" r:id="rId15"/>
          <w:pgSz w:w="11920" w:h="16840"/>
          <w:pgMar w:top="1440" w:right="1680" w:bottom="280" w:left="1680" w:header="0" w:footer="1073" w:gutter="0"/>
          <w:pgNumType w:start="1"/>
          <w:cols w:space="720"/>
        </w:sectPr>
      </w:pPr>
    </w:p>
    <w:p w:rsidR="00730014" w:rsidRPr="00730014" w:rsidRDefault="004A6E99" w:rsidP="00730014">
      <w:pPr>
        <w:pStyle w:val="ad"/>
        <w:snapToGrid w:val="0"/>
        <w:spacing w:after="240" w:line="360" w:lineRule="auto"/>
        <w:jc w:val="center"/>
        <w:rPr>
          <w:rFonts w:ascii="宋体" w:hAnsi="宋体"/>
          <w:noProof/>
          <w:sz w:val="24"/>
        </w:rPr>
      </w:pPr>
      <w:r w:rsidRPr="00730014">
        <w:rPr>
          <w:rFonts w:ascii="宋体" w:hAnsi="宋体"/>
          <w:color w:val="000000"/>
          <w:position w:val="-4"/>
          <w:sz w:val="24"/>
          <w:szCs w:val="30"/>
        </w:rPr>
        <w:lastRenderedPageBreak/>
        <w:t>目</w:t>
      </w:r>
      <w:r w:rsidRPr="00730014">
        <w:rPr>
          <w:rFonts w:ascii="宋体" w:hAnsi="宋体"/>
          <w:color w:val="000000"/>
          <w:position w:val="-4"/>
          <w:sz w:val="24"/>
          <w:szCs w:val="30"/>
        </w:rPr>
        <w:tab/>
        <w:t>录</w:t>
      </w:r>
      <w:r w:rsidR="00730014" w:rsidRPr="00730014">
        <w:rPr>
          <w:rFonts w:ascii="宋体" w:hAnsi="宋体"/>
          <w:color w:val="000000"/>
          <w:position w:val="-4"/>
          <w:sz w:val="24"/>
          <w:szCs w:val="30"/>
        </w:rPr>
        <w:fldChar w:fldCharType="begin"/>
      </w:r>
      <w:r w:rsidR="00730014" w:rsidRPr="00730014">
        <w:rPr>
          <w:rFonts w:ascii="宋体" w:hAnsi="宋体"/>
          <w:color w:val="000000"/>
          <w:position w:val="-4"/>
          <w:sz w:val="24"/>
          <w:szCs w:val="30"/>
        </w:rPr>
        <w:instrText xml:space="preserve"> TOC \o "1-3" \f - \h \t "-1" </w:instrText>
      </w:r>
      <w:r w:rsidR="00730014" w:rsidRPr="00730014">
        <w:rPr>
          <w:rFonts w:ascii="宋体" w:hAnsi="宋体"/>
          <w:color w:val="000000"/>
          <w:position w:val="-4"/>
          <w:sz w:val="24"/>
          <w:szCs w:val="30"/>
        </w:rPr>
        <w:fldChar w:fldCharType="separate"/>
      </w:r>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17" w:history="1">
        <w:r w:rsidRPr="00730014">
          <w:rPr>
            <w:rStyle w:val="aa"/>
            <w:rFonts w:ascii="宋体" w:hAnsi="宋体" w:hint="eastAsia"/>
            <w:noProof/>
            <w:kern w:val="0"/>
            <w:sz w:val="24"/>
          </w:rPr>
          <w:t>重要提示</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_Toc210145117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18" w:history="1">
        <w:r w:rsidRPr="00730014">
          <w:rPr>
            <w:rStyle w:val="aa"/>
            <w:rFonts w:ascii="宋体" w:hAnsi="宋体" w:hint="eastAsia"/>
            <w:noProof/>
            <w:sz w:val="24"/>
          </w:rPr>
          <w:t>一、绪言</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_Toc210145118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4</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19" w:history="1">
        <w:r w:rsidRPr="00730014">
          <w:rPr>
            <w:rStyle w:val="aa"/>
            <w:rFonts w:ascii="宋体" w:hAnsi="宋体" w:hint="eastAsia"/>
            <w:noProof/>
            <w:sz w:val="24"/>
          </w:rPr>
          <w:t>二、释义</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_Toc210145119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5</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0" w:history="1">
        <w:r w:rsidRPr="00730014">
          <w:rPr>
            <w:rStyle w:val="aa"/>
            <w:rFonts w:ascii="宋体" w:hAnsi="宋体" w:hint="eastAsia"/>
            <w:noProof/>
            <w:sz w:val="24"/>
          </w:rPr>
          <w:t>三、基金管理人</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_Toc210145120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10</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1" w:history="1">
        <w:r w:rsidRPr="00730014">
          <w:rPr>
            <w:rStyle w:val="aa"/>
            <w:rFonts w:ascii="宋体" w:hAnsi="宋体" w:hint="eastAsia"/>
            <w:noProof/>
            <w:sz w:val="24"/>
          </w:rPr>
          <w:t>四、基金托管人</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_Toc210145121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18</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2" w:history="1">
        <w:r w:rsidRPr="00730014">
          <w:rPr>
            <w:rStyle w:val="aa"/>
            <w:rFonts w:ascii="宋体" w:hAnsi="宋体" w:hint="eastAsia"/>
            <w:noProof/>
            <w:sz w:val="24"/>
          </w:rPr>
          <w:t>五、相关服务机构</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_Toc210145122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22</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3" w:history="1">
        <w:r w:rsidRPr="00730014">
          <w:rPr>
            <w:rStyle w:val="aa"/>
            <w:rFonts w:ascii="宋体" w:hAnsi="宋体" w:hint="eastAsia"/>
            <w:noProof/>
            <w:sz w:val="24"/>
          </w:rPr>
          <w:t>六、基金的历史沿革</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_Toc210145123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37</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4" w:history="1">
        <w:r w:rsidRPr="00730014">
          <w:rPr>
            <w:rStyle w:val="aa"/>
            <w:rFonts w:ascii="宋体" w:hAnsi="宋体" w:hint="eastAsia"/>
            <w:noProof/>
            <w:sz w:val="24"/>
          </w:rPr>
          <w:t>七、基金合同的生效</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_Toc210145124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38</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5" w:history="1">
        <w:r w:rsidRPr="00730014">
          <w:rPr>
            <w:rStyle w:val="aa"/>
            <w:rFonts w:ascii="宋体" w:hAnsi="宋体" w:hint="eastAsia"/>
            <w:noProof/>
            <w:sz w:val="24"/>
          </w:rPr>
          <w:t>八、基金份额的申购与赎回</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_Toc210145125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39</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6" w:history="1">
        <w:r w:rsidRPr="00730014">
          <w:rPr>
            <w:rStyle w:val="aa"/>
            <w:rFonts w:ascii="宋体" w:hAnsi="宋体" w:hint="eastAsia"/>
            <w:noProof/>
            <w:sz w:val="24"/>
          </w:rPr>
          <w:t>九、基金的转换</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_Toc210145126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49</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7" w:history="1">
        <w:r w:rsidRPr="00730014">
          <w:rPr>
            <w:rStyle w:val="aa"/>
            <w:rFonts w:ascii="宋体" w:hAnsi="宋体" w:hint="eastAsia"/>
            <w:noProof/>
            <w:sz w:val="24"/>
          </w:rPr>
          <w:t>十、基金的投资</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_Toc210145127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54</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8" w:history="1">
        <w:r w:rsidRPr="00730014">
          <w:rPr>
            <w:rStyle w:val="aa"/>
            <w:rFonts w:ascii="宋体" w:hAnsi="宋体" w:hint="eastAsia"/>
            <w:noProof/>
            <w:sz w:val="24"/>
          </w:rPr>
          <w:t>十一、基金的业绩</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_Toc210145128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67</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29" w:history="1">
        <w:r w:rsidRPr="00730014">
          <w:rPr>
            <w:rStyle w:val="aa"/>
            <w:rFonts w:ascii="宋体" w:hAnsi="宋体" w:hint="eastAsia"/>
            <w:noProof/>
            <w:sz w:val="24"/>
          </w:rPr>
          <w:t>十二、基金的财产</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_Toc210145129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70</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0" w:history="1">
        <w:r w:rsidRPr="00730014">
          <w:rPr>
            <w:rStyle w:val="aa"/>
            <w:rFonts w:ascii="宋体" w:hAnsi="宋体" w:hint="eastAsia"/>
            <w:noProof/>
            <w:sz w:val="24"/>
          </w:rPr>
          <w:t>十三、基金资产的估值</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_Toc210145130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71</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1" w:history="1">
        <w:r w:rsidRPr="00730014">
          <w:rPr>
            <w:rStyle w:val="aa"/>
            <w:rFonts w:ascii="宋体" w:hAnsi="宋体" w:hint="eastAsia"/>
            <w:noProof/>
            <w:sz w:val="24"/>
          </w:rPr>
          <w:t>十四、基金收益与分配</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_Toc210145131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75</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2" w:history="1">
        <w:r w:rsidRPr="00730014">
          <w:rPr>
            <w:rStyle w:val="aa"/>
            <w:rFonts w:ascii="宋体" w:hAnsi="宋体" w:hint="eastAsia"/>
            <w:noProof/>
            <w:sz w:val="24"/>
          </w:rPr>
          <w:t>十五、基金的费用与税收</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_Toc210145132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77</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3" w:history="1">
        <w:r w:rsidRPr="00730014">
          <w:rPr>
            <w:rStyle w:val="aa"/>
            <w:rFonts w:ascii="宋体" w:hAnsi="宋体" w:hint="eastAsia"/>
            <w:noProof/>
            <w:sz w:val="24"/>
          </w:rPr>
          <w:t>十六、基金的会计与审计</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_Toc210145133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80</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4" w:history="1">
        <w:r w:rsidRPr="00730014">
          <w:rPr>
            <w:rStyle w:val="aa"/>
            <w:rFonts w:ascii="宋体" w:hAnsi="宋体" w:hint="eastAsia"/>
            <w:noProof/>
            <w:sz w:val="24"/>
          </w:rPr>
          <w:t>十七、基金的信息披露</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_Toc210145134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81</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5" w:history="1">
        <w:r w:rsidRPr="00730014">
          <w:rPr>
            <w:rStyle w:val="aa"/>
            <w:rFonts w:ascii="宋体" w:hAnsi="宋体" w:hint="eastAsia"/>
            <w:noProof/>
            <w:sz w:val="24"/>
          </w:rPr>
          <w:t>十八、风险揭示</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_Toc210145135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87</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6" w:history="1">
        <w:r w:rsidRPr="00730014">
          <w:rPr>
            <w:rStyle w:val="aa"/>
            <w:rFonts w:ascii="宋体" w:hAnsi="宋体" w:hint="eastAsia"/>
            <w:noProof/>
            <w:sz w:val="24"/>
          </w:rPr>
          <w:t>十九、基金合同的变更、终止与基金财产的清算</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_Toc210145136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92</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7" w:history="1">
        <w:r w:rsidRPr="00730014">
          <w:rPr>
            <w:rStyle w:val="aa"/>
            <w:rFonts w:ascii="宋体" w:hAnsi="宋体" w:hint="eastAsia"/>
            <w:noProof/>
            <w:sz w:val="24"/>
          </w:rPr>
          <w:t>二十、基金合同内容摘要</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_Toc210145137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97</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8" w:history="1">
        <w:r w:rsidRPr="00730014">
          <w:rPr>
            <w:rStyle w:val="aa"/>
            <w:rFonts w:ascii="宋体" w:hAnsi="宋体" w:hint="eastAsia"/>
            <w:noProof/>
            <w:sz w:val="24"/>
          </w:rPr>
          <w:t>二十一、托管协议的内容摘要</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_Toc210145138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115</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39" w:history="1">
        <w:r w:rsidRPr="00730014">
          <w:rPr>
            <w:rStyle w:val="aa"/>
            <w:rFonts w:ascii="宋体" w:hAnsi="宋体" w:hint="eastAsia"/>
            <w:noProof/>
            <w:sz w:val="24"/>
          </w:rPr>
          <w:t>二十二、对基金份额持有人的服务</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_Toc210145139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128</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40" w:history="1">
        <w:r w:rsidRPr="00730014">
          <w:rPr>
            <w:rStyle w:val="aa"/>
            <w:rFonts w:ascii="宋体" w:hAnsi="宋体" w:hint="eastAsia"/>
            <w:noProof/>
            <w:sz w:val="24"/>
          </w:rPr>
          <w:t>二十三、其他应披露事项</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_Toc210145140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130</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41" w:history="1">
        <w:r w:rsidRPr="00730014">
          <w:rPr>
            <w:rStyle w:val="aa"/>
            <w:rFonts w:ascii="宋体" w:hAnsi="宋体" w:hint="eastAsia"/>
            <w:noProof/>
            <w:sz w:val="24"/>
          </w:rPr>
          <w:t>二十四、招募说明书的存放及查阅方式</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_Toc210145141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132</w:t>
        </w:r>
        <w:r w:rsidRPr="00730014">
          <w:rPr>
            <w:rFonts w:ascii="宋体" w:hAnsi="宋体"/>
            <w:noProof/>
            <w:sz w:val="24"/>
          </w:rPr>
          <w:fldChar w:fldCharType="end"/>
        </w:r>
      </w:hyperlink>
    </w:p>
    <w:p w:rsidR="00730014" w:rsidRPr="00730014" w:rsidRDefault="00730014" w:rsidP="00730014">
      <w:pPr>
        <w:pStyle w:val="10"/>
        <w:tabs>
          <w:tab w:val="right" w:leader="dot" w:pos="8550"/>
        </w:tabs>
        <w:spacing w:line="360" w:lineRule="auto"/>
        <w:rPr>
          <w:rFonts w:ascii="宋体" w:hAnsi="宋体" w:cstheme="minorBidi"/>
          <w:noProof/>
          <w:sz w:val="24"/>
        </w:rPr>
      </w:pPr>
      <w:hyperlink w:anchor="_Toc210145142" w:history="1">
        <w:r w:rsidRPr="00730014">
          <w:rPr>
            <w:rStyle w:val="aa"/>
            <w:rFonts w:ascii="宋体" w:hAnsi="宋体" w:hint="eastAsia"/>
            <w:noProof/>
            <w:sz w:val="24"/>
          </w:rPr>
          <w:t>二十五、备查文件</w:t>
        </w:r>
        <w:r w:rsidRPr="00730014">
          <w:rPr>
            <w:rFonts w:ascii="宋体" w:hAnsi="宋体"/>
            <w:noProof/>
            <w:sz w:val="24"/>
          </w:rPr>
          <w:tab/>
        </w:r>
        <w:r w:rsidRPr="00730014">
          <w:rPr>
            <w:rFonts w:ascii="宋体" w:hAnsi="宋体"/>
            <w:noProof/>
            <w:sz w:val="24"/>
          </w:rPr>
          <w:fldChar w:fldCharType="begin"/>
        </w:r>
        <w:r w:rsidRPr="00730014">
          <w:rPr>
            <w:rFonts w:ascii="宋体" w:hAnsi="宋体"/>
            <w:noProof/>
            <w:sz w:val="24"/>
          </w:rPr>
          <w:instrText xml:space="preserve"> PAGEREF _Toc210145142 \h </w:instrText>
        </w:r>
        <w:r w:rsidRPr="00730014">
          <w:rPr>
            <w:rFonts w:ascii="宋体" w:hAnsi="宋体"/>
            <w:noProof/>
            <w:sz w:val="24"/>
          </w:rPr>
        </w:r>
        <w:r w:rsidRPr="00730014">
          <w:rPr>
            <w:rFonts w:ascii="宋体" w:hAnsi="宋体"/>
            <w:noProof/>
            <w:sz w:val="24"/>
          </w:rPr>
          <w:fldChar w:fldCharType="separate"/>
        </w:r>
        <w:r w:rsidRPr="00730014">
          <w:rPr>
            <w:rFonts w:ascii="宋体" w:hAnsi="宋体"/>
            <w:noProof/>
            <w:sz w:val="24"/>
          </w:rPr>
          <w:t>133</w:t>
        </w:r>
        <w:r w:rsidRPr="00730014">
          <w:rPr>
            <w:rFonts w:ascii="宋体" w:hAnsi="宋体"/>
            <w:noProof/>
            <w:sz w:val="24"/>
          </w:rPr>
          <w:fldChar w:fldCharType="end"/>
        </w:r>
      </w:hyperlink>
    </w:p>
    <w:p w:rsidR="00161A68" w:rsidRPr="00730014" w:rsidRDefault="00730014" w:rsidP="00730014">
      <w:pPr>
        <w:pStyle w:val="ad"/>
        <w:snapToGrid w:val="0"/>
        <w:spacing w:after="240" w:line="360" w:lineRule="auto"/>
        <w:jc w:val="center"/>
        <w:rPr>
          <w:rFonts w:ascii="宋体" w:hAnsi="宋体"/>
          <w:color w:val="000000"/>
          <w:sz w:val="24"/>
        </w:rPr>
      </w:pPr>
      <w:r w:rsidRPr="00730014">
        <w:rPr>
          <w:rFonts w:ascii="宋体" w:hAnsi="宋体"/>
          <w:color w:val="000000"/>
          <w:position w:val="-4"/>
          <w:sz w:val="24"/>
          <w:szCs w:val="30"/>
        </w:rPr>
        <w:fldChar w:fldCharType="end"/>
      </w:r>
      <w:bookmarkStart w:id="3" w:name="_GoBack"/>
      <w:bookmarkEnd w:id="3"/>
    </w:p>
    <w:p w:rsidR="00161A68" w:rsidRDefault="00161A68">
      <w:pPr>
        <w:autoSpaceDE w:val="0"/>
        <w:autoSpaceDN w:val="0"/>
        <w:adjustRightInd w:val="0"/>
        <w:snapToGrid w:val="0"/>
        <w:spacing w:line="360" w:lineRule="auto"/>
        <w:ind w:left="120" w:rightChars="6" w:right="13"/>
        <w:rPr>
          <w:rFonts w:ascii="宋体" w:hAnsi="宋体"/>
          <w:kern w:val="0"/>
          <w:szCs w:val="24"/>
        </w:rPr>
        <w:sectPr w:rsidR="00161A68">
          <w:pgSz w:w="11920" w:h="16840"/>
          <w:pgMar w:top="1480" w:right="1680" w:bottom="280" w:left="1680" w:header="0" w:footer="1073" w:gutter="0"/>
          <w:cols w:space="720"/>
        </w:sectPr>
      </w:pPr>
    </w:p>
    <w:p w:rsidR="00161A68" w:rsidRDefault="004A6E99">
      <w:pPr>
        <w:pStyle w:val="1"/>
        <w:snapToGrid w:val="0"/>
        <w:spacing w:beforeLines="0" w:before="240" w:after="240"/>
        <w:rPr>
          <w:rFonts w:ascii="宋体" w:hAnsi="宋体"/>
          <w:szCs w:val="30"/>
        </w:rPr>
      </w:pPr>
      <w:bookmarkStart w:id="4" w:name="_Toc210145118"/>
      <w:r>
        <w:rPr>
          <w:rFonts w:ascii="Times New Roman" w:hAnsi="Times New Roman"/>
          <w:sz w:val="30"/>
        </w:rPr>
        <w:lastRenderedPageBreak/>
        <w:t>一、绪言</w:t>
      </w:r>
      <w:bookmarkEnd w:id="4"/>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现金宝货币市场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现金宝货币市场基金基金合同》（以下简称“基金合同”）编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5" w:name="_Toc210145119"/>
      <w:r>
        <w:rPr>
          <w:rFonts w:ascii="Times New Roman" w:hAnsi="Times New Roman"/>
          <w:sz w:val="30"/>
        </w:rPr>
        <w:lastRenderedPageBreak/>
        <w:t>二、释义</w:t>
      </w:r>
      <w:bookmarkEnd w:id="5"/>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1、基金或本基金：指交银施罗德现金宝货币市场基金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4、基金合同、《基金合同》或本基金合同：指《交银施罗德现金宝货币市场基金基金合同》及对本基金合同的任何有效修订和补充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5、托管协议：指基金管理人与基金托管人就本基金签订之《交银施罗德现金宝货币市场基金托管协议》及对该托管协议的任何有效修订和补充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6、招募说明书或《招募说明书》：指《交银施罗德现金宝货币市场基金招募说明书》及其更新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7、基金产品资料概要：指《交银施罗德现金宝货币市场基金基金产品资料概要》及其更新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8、基金份额发售公告：指《交银施罗德现金宝货币市场基金基金份额发售公告》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10、《基金法》：《中华人民共和国证券投资基金法》及颁布机关对其不时做出的修订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16、银行业监督管理机构：指中国人民银行和/或中国银行业监督管理委员会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w:t>
      </w:r>
      <w:r>
        <w:rPr>
          <w:rFonts w:ascii="宋体" w:hAnsi="宋体"/>
          <w:sz w:val="24"/>
        </w:rPr>
        <w:lastRenderedPageBreak/>
        <w:t>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38、《业务规则》：指《交银施罗德基金管理有限公司开放式基金业务规则》，是规范基金管理人所管理的开放式证券投资基金登记方面的业务规则，由基金管理人和投资人共同遵守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42、基金转换：指基金份额持有人按照本基金合同和基金管理人届时有效公告规定的条件，申请将其持有基金管理人管理的、某一基金的基金份额转换为基金管理人管理的其他基金基金份额的行为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45、巨额赎回：指本基金单个开放日，基金净赎回申请（赎回申请份额总数加</w:t>
      </w:r>
      <w:r>
        <w:rPr>
          <w:rFonts w:ascii="宋体" w:hAnsi="宋体"/>
          <w:sz w:val="24"/>
        </w:rPr>
        <w:lastRenderedPageBreak/>
        <w:t>上基金转换中转出申请份额总数后扣除申购申请份额总数及基金转换中转入申请份额总数后的余额）超过上一开放日基金总份额的10%的情形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47、基金收益：指基金投资所得债券利息、买卖证券价差、银行存款利息、已实现的其他合法收入及因运用基金财产带来的成本和费用的节约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48、摊余成本法：指估值对象以买入成本列示，按照票面利率或协议利率并考虑其买入时的溢价与折价，在剩余存续期内按照实际利率和摊余成本逐日摊销，每日计提损益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49、每万份基金已实现收益：指按照相关法规计算的每万份基金份额的日已实现收益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50、7日年化收益率：指以最近7日(含节假日) 每万份基金已实现收益所折算的年资产收益率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51、销售服务费：指本基金用于持续销售和服务基金份额持有人的费用，该笔费用从基金财产中扣除，属于基金的营运费用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52、基金资产总值：指基金拥有的各类有价证券和票据价值、银行存款本息、基金应收申购款及其他资产的价值总和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53、基金资产净值：指基金资产总值减去基金负债后的价值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54、基金份额净值：指计算日基金资产净值除以计算日基金份额总数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55、基金资产估值：指计算评估基金资产和负债的价值，以确定各类基金份额的基金资产净值、每万份基金已实现收益和7日年化收益率的过程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就本基金而言，指货币市场基金依法可投资的符合前述条件的资产，但中国证监会认可的特殊情形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58、不可抗力：指本基金合同当事人不能预见、不能避免且不能克服的客观事</w:t>
      </w:r>
      <w:r>
        <w:rPr>
          <w:rFonts w:ascii="宋体" w:hAnsi="宋体"/>
          <w:sz w:val="24"/>
        </w:rPr>
        <w:lastRenderedPageBreak/>
        <w:t>件</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6" w:name="_Toc210145120"/>
      <w:r>
        <w:rPr>
          <w:rFonts w:ascii="Times New Roman" w:hAnsi="Times New Roman"/>
          <w:sz w:val="30"/>
        </w:rPr>
        <w:lastRenderedPageBreak/>
        <w:t>三、基金管理人</w:t>
      </w:r>
      <w:bookmarkEnd w:id="6"/>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基金经理。美国密歇根大学金融工程硕士、对外经济贸易大学经济学学士，13年金融行业从业经验。2012年至2017年任瑞士银行外汇和利率交易员、联席董事。2017年加入交银施罗德基金管理有限公司，曾任基金经理助理，现任固定收益部基金经理。曾任交银施罗德天运宝货币市场基金(2019年07月26日至2019年09月18日)、交银施罗德裕通纯债债券型证券投资基金(2019年10月12日至2024年12月17日)、交银施罗德裕祥纯债债券型证券投资基金(2020年07月09日至2024年02月20日)、交银施罗德中债1-3年政策性金融债指数证券投资基金(2020年08月20日至2023年08月30日)、交银施罗德中债1-3年农发行债券指数证券投资基金(2021年08月19日至2024年05月12日)、交银施罗德丰润收益债券型证券投资基金(2021年08月19日至2025年01月09日)、交银施罗德裕景纯债一年定期开放债券型证券投资基金(2021年09月09日至2024年05月12日)、交银施罗德裕道纯债一年定期开放债券型发起式证券投资基金(2022年03月29日至2025年01月15日)、交银施罗德中债1-5年政策性金融债指数证券投资基金(2022年06月08日至2023年11月15日)、交银施罗德中债0-3年政策性金融债指数证券投资基金(2024年03月22日至2025年07月17日)的基金经理。现任交银施罗德现金宝货币市场基金(2019年07月26日至今)、交银施罗德货币市场证券投资基金(2019年07月26日至今)、交银施罗德天鑫宝货币市场基金(2019年07月26日至今)、交银施罗德中证同业存单AAA指数7天持有期证券投资基金(2023年12月19日至今)、交银施罗德稳安30天滚动持有债券型证券投资基金(2024年11月23日至今)的基金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本基金历任基金经理：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黄莹洁女士(2015年05月27日至2019年08月02日)；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连端清先生(2015年08月04日至2019年08月02日)。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2、基金管理人承诺不从事违反《基金法》的行为，并承诺建立健全内部风险控制制度，采取有效措施，防止下列行为的发生：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（5）法律、行政法规和中国证监会规定禁止的其他行为。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w:t>
      </w:r>
      <w:r>
        <w:rPr>
          <w:rFonts w:ascii="宋体" w:hAnsi="宋体"/>
          <w:sz w:val="24"/>
        </w:rPr>
        <w:lastRenderedPageBreak/>
        <w:t>司基金资产、自有资产、其他资产的运作应当分离。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w:t>
      </w:r>
      <w:r>
        <w:rPr>
          <w:rFonts w:ascii="宋体" w:hAnsi="宋体"/>
          <w:sz w:val="24"/>
        </w:rPr>
        <w:lastRenderedPageBreak/>
        <w:t>理和控制的环境中实现业务目标。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w:t>
      </w:r>
      <w:r>
        <w:rPr>
          <w:rFonts w:ascii="宋体" w:hAnsi="宋体"/>
          <w:sz w:val="24"/>
        </w:rPr>
        <w:lastRenderedPageBreak/>
        <w:t>监控。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7" w:name="_Toc210145121"/>
      <w:r>
        <w:rPr>
          <w:rFonts w:ascii="Times New Roman" w:hAnsi="Times New Roman"/>
          <w:sz w:val="30"/>
        </w:rPr>
        <w:lastRenderedPageBreak/>
        <w:t>四、基金托管人</w:t>
      </w:r>
      <w:bookmarkEnd w:id="7"/>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w:t>
      </w:r>
      <w:r>
        <w:rPr>
          <w:rFonts w:ascii="宋体" w:hAnsi="宋体"/>
          <w:sz w:val="24"/>
        </w:rPr>
        <w:lastRenderedPageBreak/>
        <w:t>券交易所和香港联合交易所A+H股同步上市。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w:t>
      </w:r>
      <w:r>
        <w:rPr>
          <w:rFonts w:ascii="宋体" w:hAnsi="宋体"/>
          <w:sz w:val="24"/>
        </w:rPr>
        <w:lastRenderedPageBreak/>
        <w:t>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谢志斌先生，中信银行党委委员、副行长，分管托管业务。谢先生曾任中国出口信用保险公司党委委员、总经理助理（期间挂职任内蒙古自治区呼和浩特市委常委、副市长），中国光大集团股份公司党委委员、纪委书记。此前，谢先生在中国出口信用保险公司历任人力资源部总经理助理、副总经理、总经理（党委组织部部长助理、副部长、部长），深圳分公司党委书记，河北省分公司负责人、党委书记、总经理。谢先生毕业于中国人民大学，获经济学博士学位，高级经济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截至2025年第二季度末，中信银行托管398只公开募集证券投资基金，以及基金公司、证券公司资产管理产品、信托产品、企业年金、股权基金、QDII等其他托管资产，托管总规模达到17.25万亿元人民币。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w:t>
      </w:r>
      <w:r>
        <w:rPr>
          <w:rFonts w:ascii="宋体" w:hAnsi="宋体"/>
          <w:sz w:val="24"/>
        </w:rPr>
        <w:lastRenderedPageBreak/>
        <w:t>对基金托管业务的各个工作环节和业务流程进行独立、客观、公正的稽核监察。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8" w:name="_Toc210145122"/>
      <w:r>
        <w:rPr>
          <w:rFonts w:ascii="Times New Roman" w:hAnsi="Times New Roman"/>
          <w:sz w:val="30"/>
        </w:rPr>
        <w:lastRenderedPageBreak/>
        <w:t>五、相关服务机构</w:t>
      </w:r>
      <w:bookmarkEnd w:id="8"/>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（2）名称：长沙银行股份有限公司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住所：湖南省长沙市芙蓉中路一段433号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办公地址：湖南省长沙市芙蓉中路一段433号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法定代表人：朱玉国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电话：（0731）84305387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传真：（0731）84305387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客户服务电话：96511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网址：www.cscb.cn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（3）名称：宁波银行股份有限公司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（5）名称：中国民生银行股份有限公司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传真：（010）57092611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（6）名称：上海浦东发展银行股份有限公司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（7）名称：招商银行股份有限公司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（8）名称：东方财富证券股份有限公司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网址：http://www.18.cn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（9）名称：西部证券股份有限公司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（10）名称：中国中金财富证券有限公司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（11）名称：兴业证券股份有限公司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（12）名称：国金证券股份有限公司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电话：（028）86690057，（028）86690058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（13）名称：国信证券股份有限公司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（14）名称：中信建投证券股份有限公司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（15）名称：中国银河证券股份有限公司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网址：www.chinastock.com.cn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（16）名称：国联民生证券股份有限公司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（17）名称：中信证券华南股份有限公司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（18）名称：中信证券（山东）有限责任公司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法定代表人：张佑君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（20）名称：华西证券股份有限公司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（21）名称：中国人寿保险股份有限公司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（22）名称：上海天天基金销售有限公司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（23）名称：上海基煜基金销售有限公司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w:t>
      </w:r>
      <w:r>
        <w:rPr>
          <w:rFonts w:ascii="宋体" w:hAnsi="宋体"/>
          <w:sz w:val="24"/>
        </w:rPr>
        <w:lastRenderedPageBreak/>
        <w:t>展区）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（24）名称：上海联泰基金销售有限公司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（25）名称：中证金牛（北京）基金销售有限公司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（26）名称：和耕传承基金销售有限公司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法定代表人：温丽燕</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（27）名称：珠海盈米基金销售有限公司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（28）名称：北京创金启富基金销售有限公司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（29）名称：阳光人寿保险股份有限公司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联系人：王超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（30）名称：北京汇成基金销售有限公司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（31）名称：上海长量基金销售有限公司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（32）名称：上海好买基金销售有限公司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（33）名称：上海利得基金销售有限公司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上海浦东新区峨山路91弄61号陆家嘴软件园10号楼12楼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（34）名称：嘉实财富管理有限公司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（35）名称：济安财富（北京）基金销售有限公司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（36）名称：诺亚正行基金销售有限公司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电话：（021）80358523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（37）名称：博时财富基金销售有限公司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（38）名称：泛华普益基金销售有限公司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（39）名称：深圳众禄基金销售股份有限公司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客户服务电话：4006-788-887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（40）名称：京东肯特瑞基金销售有限公司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（41）名称：玄元保险代理有限公司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（42）名称：上海证达通基金销售有限公司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（43）名称：上海华夏财富投资管理有限公司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住所：上海市虹口区东大名路687号1幢2楼268室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（44）名称：北京雪球基金销售有限公司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（45）名称：上海攀赢基金销售有限公司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（46）名称：中信期货有限公司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网站：www.citicsf.com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9" w:name="_Toc210145123"/>
      <w:r>
        <w:rPr>
          <w:rFonts w:ascii="Times New Roman" w:hAnsi="Times New Roman"/>
          <w:sz w:val="30"/>
        </w:rPr>
        <w:lastRenderedPageBreak/>
        <w:t>六、基金的历史沿革</w:t>
      </w:r>
      <w:bookmarkEnd w:id="9"/>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本基金由基金管理人依照《基金法》、《运作办法》、《销售办法》、《信息披露办法》、基金合同及其他有关规定，并经中国证监会2014年6月12日证监许可[2014] 595号文准予募集注册。基金管理人为交银施罗德基金管理有限公司，基金托管人为中信银行股份有限公司。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本基金为契约型开放式货币市场基金。基金存续期间为不定期。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本基金募集期间基金份额净值为人民币1.00元，按面值发售。本基金采用固定份额净值，基金帐面份额净值始终保持为1.00元。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本基金自2014年8月18日至2014年9月5日进行发售。本基金募集期共募集375,122,844.83份基金份额，有效认购户数为920户。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和《交银施罗德现金宝货币市场基金基金合同》的有关规定，经与基金托管人协商一致并报中国证券监督管理委员会备案，本基金自2016年8月15日起增加E类基金份额，并相应修改基金合同和托管协议相关表述。</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0" w:name="_Toc210145124"/>
      <w:r>
        <w:rPr>
          <w:rFonts w:ascii="Times New Roman" w:hAnsi="Times New Roman"/>
          <w:sz w:val="30"/>
        </w:rPr>
        <w:lastRenderedPageBreak/>
        <w:t>七、基金合同的生效</w:t>
      </w:r>
      <w:bookmarkEnd w:id="10"/>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根据有关规定，本基金满足基金合同生效条件，基金合同已于2014年9月12日正式生效。自基金合同生效之日起，本基金管理人正式开始管理本基金。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基金合同生效后的存续期内，出现以下情形之一的，本基金可与其他基金合并或终止本基金合同，不需召开基金份额持有人大会：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（1）基金份额持有人数量连续90个工作日达不到200人。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（2）基金资产净值连续90个工作日低于5000万元。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1" w:name="_Toc210145125"/>
      <w:r>
        <w:rPr>
          <w:rFonts w:ascii="Times New Roman" w:hAnsi="Times New Roman"/>
          <w:sz w:val="30"/>
        </w:rPr>
        <w:lastRenderedPageBreak/>
        <w:t>八、基金份额的申购与赎回</w:t>
      </w:r>
      <w:bookmarkEnd w:id="11"/>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个人投资者可以通过基金管理人网上直销交易平台办理开户、本基金A类基金份额的申购、赎回、转换以及定期定额投资等业务，具体交易细则请参阅基金管理人网站。网上直销交易平台网址：www.fund001.com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个人投资者可以通过本基金管理人直销柜台办理开户、本基金A类、E类基金份额的申购、赎回、转换等业务。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如有其他销售机构新增办理本基金基金份额的申购、赎回等业务，请以本公司届时相关公告为准。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投资人可通过上述销售机构办理基金申购、赎回业务的营业场所或按上述销售机构提供的其他方式进行申购、赎回或定期定额投资。本基金管理人可根据情况变更或增减基金销售机构，并在管理人网站公示。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若销售机构开通电话、传真或网上等交易方式，投资人可以通过上述方式进行申购与赎回。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基金投资者应当在销售机构办理基金销售业务的营业场所或按销售机构提供的</w:t>
      </w:r>
      <w:r>
        <w:rPr>
          <w:rFonts w:ascii="宋体" w:hAnsi="宋体"/>
          <w:sz w:val="24"/>
        </w:rPr>
        <w:lastRenderedPageBreak/>
        <w:t>其他方式办理基金份额的申购与赎回。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新的业务发展或其他特殊情况，基金管理人将视情况对前述开放日及开放时间进行相应的调整，但应在实施日前依照《信息披露办法》的有关规定在指定媒介上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本基金A类、E类基金份额已分别于2014年9月22日、2016年8月15日起开放申购业务。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本基金A类、E类基金份额已分别于2014年9月22日、2016年8月15日起开放赎回业务。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视为下一开放日的申购、赎回或转换申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1、“确定价”原则，即申购、赎回价格以每份基金份额净值为1.00元的基准进行计算；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4、基金管理人有权决定基金份额持有人持有本基金的最高限额和本基金的总规模限额，但应最迟在新的限额实施前依照《信息披露办法》的有关规定在指定媒介上公告。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1、申购和赎回的申请方式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本基金合同有关条款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（五）申购和赎回的数额限定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w:t>
      </w:r>
      <w:r>
        <w:rPr>
          <w:rFonts w:ascii="宋体" w:hAnsi="宋体"/>
          <w:sz w:val="24"/>
        </w:rPr>
        <w:lastRenderedPageBreak/>
        <w:t>0.01元。本基金直销机构单笔申购最低金额可由基金管理人酌情调整。其他销售机构接受申购申请的最低金额为单笔0.01元，如果销售机构业务规则规定的最低单笔申购金额高于0.01元，以该销售机构的规定为准。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赎回的最低份额为0.01份基金份额，如果其他销售机构业务规则规定的单笔最低赎回份额高于0.01份，以该销售机构的规定为准。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根据基金实际运作情况规定单个投资人累计持有的基金份额上限、本基金的总规模上限、当日申购金额上限、或单个投资人当日申购金额上限，并在相关限制实施日前依照《信息披露办法》的有关规定在指定媒介上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赎回份额、最低基金份额保留余额和基金总规模等数量限制。基金管理人必须在调整实施前依照《信息披露办法》的有关规定在指定媒介上公告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（六）、申购和赎回的价格、费用及其用途</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另有规定或基金合同另有约定外，本基金不收取申购费用和赎回费用；在满足相关流动性风险管理要求的前提下，当本基金持有的现金、国债、中央银行票据、政策性金融债券以及5个交易日内到期的其他金融工具占基金资产净值的比例合计低于5%且偏离度为负时，为确保基金平稳运作，避免诱发系统性风险，基金管理人应当对当日单个基金份额持有人申请赎回基金份额超过基金总份额1%以上的赎回申请征收1%的强制赎回费用，并将上述赎回费用全额计入基金财产，基金管理人与基金托管人协商确认上述做法无益于基金利益最大化的情形除外；当本基金前10名基金份额持有人的持有份额合计超过基金总份额50%，且本基金投资组合中现金、国债、中央银行票据、政策性金融债券以及5个交易日内到期的其他金融工具占基金资产净值的比例合计低于10%且偏离度为负时，基金管理人应当对当日单个基金份额持有人超过基金总份额1%以上的赎回申请征收1%的强制赎回费</w:t>
      </w:r>
      <w:r>
        <w:rPr>
          <w:rFonts w:ascii="宋体" w:hAnsi="宋体"/>
          <w:sz w:val="24"/>
        </w:rPr>
        <w:lastRenderedPageBreak/>
        <w:t>用，并将上述赎回费用全额计入基金财产。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2、本基金通过每日计算收益并分配的方式，使基金份额净值保持在1.00元。本基金的申购、赎回价格为每份基金份额1.00元。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3、申购份额的计算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申购份额=申购金额/1.00元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申购份额的计算结果保留到小数点后2位，小数点2位以后的部分四舍五入，由此误差产生的收益或损失由基金财产承担。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例一：假定某投资者投资10,000元申购本基金A类基金份额，则其可得到的基金份额计算如下：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申购份额=10,000/1.00=10,000份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即投资者投资10,000元申购本基金A类基金份额，可以得到10,000份A类基金份额。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4、赎回金额的计算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赎回金额等于登记机构确认的赎回份额乘以1.00元。投资人提交全额赎回申请时，所有未支付累计净收益将随赎回款项一并结清。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赎回金额的计算结果保留到小数点后2位，小数点2位以后的部分四舍五入，由此误差产生的收益或损失由基金财产承担。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例二：假定某投资者将所持有的10,000份A类基金份额赎回（非全额赎回），则其可得到的赎回金额计算如下：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赎回金额=10,000×1.00=10,000元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5、基金管理人可以在基金合同约定的范围内调整费率或收费方式，并最迟应于新的费率或收费方式实施日前依照《信息披露办法》的有关规定在指定媒介上公告。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（七）拒绝或暂停申购的情形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4、本基金出现当日净收益或累计未分配净收益小于零的情形，为保护基金份额持有人的利益，基金管理人可视情况暂停本基金的申购。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5、基金管理人认为接受某笔或某些申购申请可能会影响或损害现有基金份额持有人利益时。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6、基金资产规模过大，使基金管理人无法找到合适的投资品种，或其他可能对基金业绩产生负面影响，从而损害现有基金份额持有人利益的情形。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新的申购申请被确认成功，使本基金总规模超过基金管理人规定的本基金总规模上限时，或使本基金当日申购金额超过基金管理人规定的当日申购金额上限时，或使该投资人累计持有的份额超过基金管理人规定的单个投资人累计持有份额上限时，或使该投资人当日申购金额超过基金管理人规定的单个投资人当日申购金额上限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8、基金管理人、基金托管人、基金销售机构、基金销售支付结算机构或登记机构的异常情况导致基金销售系统、基金销售支付结算系统、基金注册登记系统或基金会计系统无法正常运行。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10、基金管理人接受某笔或者某些申购申请有可能导致单一投资者持有基金份额的比例超过50%，或者变相规避50%集中度的情形时。出现上述情形时，基金管理人有权将上述申购申请全部或部分确认失败。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11、法律法规规定或中国证监会认定的其他情形。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4、6、8、9、11项暂停申购情形之一且基金管理人决定暂停接受投资人的申购申请时，基金管理人应当根据有关规定在指定媒介上刊登暂停申购公告。对于上述第7项拒绝申购的情形，基金管理人将在基金管理人网站上公布相关申购上限设定。如果投资人的申购申请被拒绝，被拒绝的申购款项将退还给投资人。在暂停申购的情况消除时，基金管理人应及时恢复申购业务的办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（八）暂停赎回或延缓支付赎回款项的情形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发生下列情形时，基金管理人可暂停接受投资人的赎回申请或延缓支付赎回款项：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4、本基金出现当日净收益或累计未分配净收益小于零的情形，为保护基金份额持有人的利益，基金管理人可视情况暂停本基金的赎回。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7、本基金的资产组合中的重要部分发生暂停交易或其他重大事件，继续接受赎回可能会影响或损害基金份额持有人利益时。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若出现上述第5项所述情形，按基金合同的相关条款处理。基金份额持有人在申请赎回时可事先选择将当日可能未获受理部分予以撤销。在暂停赎回的情况消除时，基金管理人应及时恢复赎回业务的办理并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（九）巨额赎回的情形及处理方式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w:t>
      </w:r>
      <w:r>
        <w:rPr>
          <w:rFonts w:ascii="宋体" w:hAnsi="宋体"/>
          <w:sz w:val="24"/>
        </w:rPr>
        <w:lastRenderedPageBreak/>
        <w:t>的余额)超过前一开放日的基金总份额的10%，即认为是发生了巨额赎回。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（十）暂停申购或赎回的公告和重新开放申购或赎回的公告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1、发生上述暂停申购或赎回情况的，基金管理人应在规定期限内在指定媒介上刊登暂停公告。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各类基金份额的每万份基金已实现收益和7日年化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（十一）基金的非交易过户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（十二）基金的转托管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12月8日刊登公告自2014年12月11日起开通本基金A类基金份额的定期定额投资计划业务，具体开通销售机构名单和业务规则参见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（十四）基金的冻结和解冻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基金登记机构只受理国家有权机关依法要求的基金份额和基金账户的冻结与解冻，以及登记机构认可、符合法律法规的其他情况下的冻结与解冻。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（十五）其他业务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相关法律法规、对基金份额持有人无实质性不利影响的前提下，基金管理人可办理基金份额的质押业务、转让业务或其他基金业务，基金管理人可制定相应的业务规则，并依照《信息披露办法》的有关规定进行公告。</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2" w:name="_Toc210145126"/>
      <w:r>
        <w:rPr>
          <w:rFonts w:ascii="Times New Roman" w:hAnsi="Times New Roman"/>
          <w:sz w:val="30"/>
        </w:rPr>
        <w:lastRenderedPageBreak/>
        <w:t>九、基金的转换</w:t>
      </w:r>
      <w:bookmarkEnd w:id="12"/>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本基金2018年3月6日刊登公告自2018年3月7日起开放日常转换业务。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申请方式：书面申请或销售机构公布的其他方式。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基金转换申请的确认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基金转换的注册登记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基金遵循“份额转换”的原则，单笔转换份额不得低于10份。基金持有人可将其全部或部分基金份额转换成其它基金，单笔转换申请不受转入基金最低申购限额限制。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保留的货币基金(除交银货币外)的最低保留余额为0.01份，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证券投资基金信息披露管理办法》的有关规定在中国证监会指定媒介上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的基金份额净值为1.00元。若该投资者将100,000份交银稳利A类基金份额转换为交银现金宝基金份额，则转入交银现金宝确认的基金份额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100,000份，该100,000份基金份额未结转的待支付收益为61.52元，转换申请当日交银现金宝的基金份额净值为1.00元，交银稳利的A类基金份额净值为1.0100元。若该投资者将100,000份交银现金宝基金份额转换为交银稳利A类基金份额，则转入交银稳利确认的A类基金份额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货币基金的基金份额转换为其他基金份额时，注册登记机构将自动结转该转出份额对应的待支付收益，该收益将一并计入转出金额并折算为转入基金的基金份额，但收益部分不收取转换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（八）暂停基金转换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3" w:name="_Toc210145127"/>
      <w:r>
        <w:rPr>
          <w:rFonts w:ascii="Times New Roman" w:hAnsi="Times New Roman"/>
          <w:sz w:val="30"/>
        </w:rPr>
        <w:lastRenderedPageBreak/>
        <w:t>十、基金的投资</w:t>
      </w:r>
      <w:bookmarkEnd w:id="13"/>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在力求本金安全性和资产充分流动性的前提下，追求超过业绩比较基准的投资收益。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如法律法规或监管机构以后允许货币市场基金投资其他金融工具，基金管理人在履行适当程序后，可以将其纳入投资范围，其投资比例遵循届时有效法律法规或相关规定。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1、短期利率水平预期策略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深入分析国家货币政策、短期资金市场利率波动、资本市场资金面的情况和流</w:t>
      </w:r>
      <w:r>
        <w:rPr>
          <w:rFonts w:ascii="宋体" w:hAnsi="宋体"/>
          <w:sz w:val="24"/>
        </w:rPr>
        <w:lastRenderedPageBreak/>
        <w:t>动性的变化，对短期利率走势形成合理预期，并据此调整基金货币资产的配置策略。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2、收益率曲线分析策略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根据收益率曲线的变化趋势，采取相应的投资管理策略。货币市场收益率曲线的形状反映当时短期利率水平之间的关系，反映市场对较短期限经济状况的判断及对未来短期经济走势的预期。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3、组合剩余期限策略、期限配置策略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组合资产剩余期限的设计、跟踪、调整，达到保持合理的现金流，锁定组合剩余期限，以满足可能的、突发的现金需求，同时保持组合的稳定收益；特别在债券投资中，根据收益率曲线的情况，投资一定剩余期限的品种，稳定收益，锁定风险，满足组合目标期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4、类别品种配置策略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在保持组合资产相对稳定的条件下，根据各类短期金融工具的市场规模、收益性和流动性，决定各类资产的配置比例；再通过评估各类资产的流动性和收益性利差，确定不同期限类别资产的具体资产配置比例。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5、流动性管理策略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在满足基金投资者申购、赎回的资金需求前提下，通过基金资产安排（包括现金库存、资产变现、剩余期限管理或以其他措施），在保持基金资产高流动性的前提下，确保基金的稳定收益。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6、无风险套利策略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无风险套利策略包括：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市场套利策略：根据各细分短期金融工具的流动性和收益特征，动态调整基金资产在各个细分市场之间的配置比例。如，当交易所市场回购利率高于银行间市场回购利率时，可增加交易所市场回购的配置比例；另外，还包括一级市场发行定价和二级市场流通成交价之间的无风险套利机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跨品种套利策略：根据各细分市场中不同品种的风险参数、流动性补偿和收益特征，动态调整不同期限结构品种的配置比例。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7、滚动配置策略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根据具体投资品种的市场特性，采用持续滚动投资的方法，以提高基金资产的整体持续的变现能力。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8、其他金融工具投资策略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密切跟踪银行承兑汇票、商业承兑汇票等商业票据以及各种衍生产品的动向，一旦监管机构允许货币市场基金参与此类金融工具的投资，基金管理人在履行适当程序后将其纳入投资范围，本基金将在届时相应法律法规的框架内，根据对该金融工具的研究，制定符合本基金投资目标的投资策略，在充分考虑该投资品种风险和收益特征的前提下，谨慎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1、本基金不得投资于以下金融工具：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（1）股票、权证、国债期货和股指期货；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（2）可转换债券；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（3）剩余期限超过397天的债券；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（4）信用等级在AAA级以下的企业债券；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（5）以定期存款利率为基准利率的浮动利率债券，但市场条件发生变化后另有规定的，从其规定；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（6）非在全国银行间债券交易市场或证券交易所交易的资产支持证券；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（7）流通受限证券；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（8）中国证监会、中国人民银行禁止投资的其他金融工具。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2、组合限制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（1）本基金投资组合的平均剩余期限在每个交易日均不得超过120天；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（2）本基金投资于同一公司发行的短期融资券及短期企业债券的比例，合计不得超过基金资产净值的10%；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（4）本基金投资于定期存款的比例，不得超过基金资产净值的30%；如果基金</w:t>
      </w:r>
      <w:r>
        <w:rPr>
          <w:rFonts w:ascii="宋体" w:hAnsi="宋体"/>
          <w:sz w:val="24"/>
        </w:rPr>
        <w:lastRenderedPageBreak/>
        <w:t>投资有固定期限但协议中约定可以提前支取且提前支取利率不变的存款则不受该比例限制；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（5）除发生巨额赎回的情形外，本基金投资组合中，债券正回购的资金余额在每个交易日均不得超过基金资产净值的20%。 因发生巨额赎回致使本基金债券正回购的资金余额超过基金资产净值20%的，基金管理人应当在5个交易日内进行调整；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款银行仅限于有基金托管资格、基金销售业务资格以及合格境外机构投资者托管人资格的商业银行。其中，存放在具有基金托管资格的同一商业银行的存款，不得超过基金资产净值的30%；存放在不具有基金托管资格的同一商业银行的存款，不得超过基金资产净值的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（7）本基金持有的剩余期限不超过397天但剩余存续期超过397天的浮动利率债券摊余成本总计不得超过当日基金资产净值的20%；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（8）本基金通过买断式回购融入基础债券的剩余期限不得超过397天；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（9）本基金管理人管理的全部货币市场基金投资于同一商业银行的银行存款及其发行的同业存单与债券，不得超过该商业银行最近一个季度末净资产的10%；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（10）当本基金前10 名份额持有人的持有份额合计超过基金总份额的50%时，本基金投资组合的平均剩余期限不得超过60 天，平均剩余存续期不得超过120天；投资组合中现金、国债、中央银行票据、政策性金融债券以及5 个交易日内到期的其他金融工具占基金资产净值的比例合计不得低于30%；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（11）当本基金前10 名份额持有人的持有份额合计超过基金总份额的20%时，本基金投资组合的平均剩余期限不得超过90 天，平均剩余存续期不得超过180天；投资组合中现金、国债、中央银行票据、政策性金融债券以及5 个交易日内到期的其他金融工具占基金资产净值的比例合计不得低于20%；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 10%；因证券市场波动、基金规模变动等基金管理人之外的因素致使基金不符合前</w:t>
      </w:r>
      <w:r>
        <w:rPr>
          <w:rFonts w:ascii="宋体" w:hAnsi="宋体"/>
          <w:sz w:val="24"/>
        </w:rPr>
        <w:lastRenderedPageBreak/>
        <w:t>款所规定比例限制的，基金管理人不得主动新增流动性受限资产的投资；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（14）本基金与私募类证券资管产品及中国证监会认定的其他主体为交易对手开展逆回购交易的，可接受质押品的资质要求应当与本基金合同约定的投资范围保持一致；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于同一原始权益人的各类资产支持证券的比例，不得超过基金资产净值的10%；本基金持有的全部资产支持证券，其市值不得超过基金资产净值的20%，证监会规定的特殊品种除外；本基金持有的同一（指同一信用级别）资产支持证券的比例，不得超过该资产支持证券规模的10%；本基金管理人管理的全部基金投资于同一原始权益人的各类资产支持证券，不得超过其各类资产支持证券合计规模的10%；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个月内予以全部卖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（16）本基金投资的短期融资券的信用评级，应不低于以下标准：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1）国内信用评级机构评定的A-1 级或相当于A-1 级的短期信用级别；</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2）根据有关规定予以豁免信用评级的短期融资券，其发行人最近三年的信用评级和跟踪评级具备下列条件之一：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i）国内信用评级机构评定的AAA 级或相当于AAA 级的长期信用级别；</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ii）国际信用评级机构评定的低于中国主权评级一个级别的信用级别（例如，若中国主权评级为A-级，则低于中国主权评级一个级别的为BBB+级）。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3）同一发行人同时具有国内信用评级和国际信用评级的，以国内信用级别为准。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4）本基金持有短期融资券期间，如果其信用等级下降、不再符合投资标准，应在评级报告发布之日起20 个交易日内予以全部减持。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（17）本基金进入全国银行间同业市场进行债券回购的资金余额不得超过基金资产净值的40%，本基金在全国银行间同业市场的债券回购最长期限为1年，债券回购到期后不得展期。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（18）中国证监会规定的其他比例限制。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因证券市场波动、证券发行人合并、基金规模变动等基金管理人之外的因素致使基金投资比例不符合上述规定投资比例的，基金管理人应当在法律法规或监管机</w:t>
      </w:r>
      <w:r>
        <w:rPr>
          <w:rFonts w:ascii="宋体" w:hAnsi="宋体"/>
          <w:sz w:val="24"/>
        </w:rPr>
        <w:lastRenderedPageBreak/>
        <w:t>构规定的时间期限内进行调整。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 个月内使基金的投资组合比例符合基金合同的有关约定。基金托管人对基金的投资的监督与检查自本基金合同生效之日起开始。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如法律、行政法规或监管部门取消上述禁止性规定，基金管理人在履行适当程序后，本基金可不受上述规定的限制。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本基金的业绩比较基准为：活期存款利率（税后）。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位为现金管理工具，注重基金资产的流动性和安全性，因此采用活期存款利率（税后）作为业绩比较基准。活期存款利率由中国人民银行公布，如果活期存款利率或利息税发生调整，则新的业绩比较基准将从调整当日起开始生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今后法律法规发生变化，或者中国人民银行调整或停止该基准利率的发布，或者市场中出现其他代表性更强、更科学客观的业绩比较基准适用于本基金时，经基金管理人和基金托管人协商一致后，本基金可以变更业绩比较基准并及时公告，而无需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w:t>
      </w:r>
      <w:r>
        <w:rPr>
          <w:rFonts w:ascii="宋体" w:hAnsi="宋体"/>
          <w:sz w:val="24"/>
        </w:rPr>
        <w:lastRenderedPageBreak/>
        <w:t>级。风险评级行为不改变本基金的实质性风险收益特征。但由于风险等级分类标准的变化，本基金的风险等级表述可能有相应变化，具体风险评级结果应以基金管理人和销售机构提供的评级结果为准。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（七）投资组合平均剩余期限的计算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1、平均剩余期限（天）的计算公式如下：</w:t>
      </w:r>
    </w:p>
    <w:p w:rsidR="00161A68" w:rsidRDefault="0073001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27.75pt">
            <v:imagedata r:id="rId16" o:title="1521256610242020828"/>
          </v:shape>
        </w:pic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于金融工具产生的资产包括现金类资产（含银行存款、清算备付金、交易保证金、证券清算款、买断式回购履约金）、一年以内（含一年）的银行定期存款、大额存单、剩余期限在三百九十七天以内（含三百九十七天）的债券、期限在一年以内（含一年）的逆回购、期限在一年以内（含一年）的中央银行票据、买断式回购产生的待回购债券、或中国证监会、中国人民银行认可的其他具有良好流动性的货币市场工具。投资于金融工具产生的负债包括期限在一年以内（含一年）的正回购、买断式回购产生的待返售债券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采用“摊余成本法”计算的附息债券成本包括债券的面值和折溢价；贴现式债券成本包括债券投资成本和内在应收利息。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2、各类资产和负债剩余期限的确定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（1）银行存款、清算备付金、交易保证金的剩余期限为0 天；证券清算款的剩余期限以计算日至交收日的剩余交易日天数计算；买断式回购履约金的剩余期限以计算日至协议到期日的实际剩余天数计算；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（2）一年以内（含一年）的银行定期存款、大额存单的剩余期限以计算日至协议到期日的实际剩余天数计算；银行通知存款的剩余期限以存款协议中约定的通知期计算；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中债券的剩余期限是指计算日至债券到期日为止所剩余的天数，以下情况除外：允许投资的浮动利率债券的剩余期限以计算日至下一个利率调整日的实际剩余天数计算；允许投资的含回售条款债券的剩余期限以计算日至回售日的实际剩余天数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（4）回购（包括正回购和逆回购）的剩余期限以计算日至回购协议到期日的实际剩余天数计算；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（5）中央银行票据的剩余期限以计算日至中央银行票据到期日的实际剩余天数计算；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（6）买断式回购产生的待回购债券的剩余期限为该基础债券的剩余期限；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（7）买断式回购产生的待返售债券的剩余期限以计算日至回购协议到期日的实际剩余天数计算；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短期融资券的剩余期限以计算日至短期融资券到期日所剩余的天数计算；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（9）对其它金融工具，本基金管理人将基于审慎原则，根据法律法规或中国证监会的规定、或参照行业公认的方法计算其剩余期限。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平均剩余期限的计算结果保留至整数位，小数点后四舍五入。如法律法规或中国证监会对剩余期限计算方法另有规定的，从其规定。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（八）基金的融资、融券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（九）基金管理人代表基金行使债权人权利的处理原则及方法</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（十）基金投资组合报告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本基金托管人中信银行股份有限公司根据本基金合同规定，于2025年07月17日复核了本报告中的财务指标、净值表现和投资组合报告等内容，保证复核内容不存在虚假记载、误导性陈述或者重大遗漏。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本报告期为2025年04月01日起至06月30日。本报告财务资料未经审计师审计。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42,606,915,417.39</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41.58</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42,606,915,417.39</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41.58</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18,756,273,461.77</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18.31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161A68">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41,092,261,119.87</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40.11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3,090,109.26</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102,458,540,108.29</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2、报告期债券回购融资情况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40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报告期内债券回购融资余额</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161A68">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报告期末债券回购融资余额</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4,992,822,846.81</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161A68">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注：报告期内债券回购融资余额占基金资产净值的比例为报告期内每个银行间市场交易日融资余额占资产净值比例的简单平均值。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债券正回购的资金余额超过基金资产净值的20%的说明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3、基金投资组合平均剩余期限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投资组合平均剩余期限基本情况</w:t>
      </w:r>
    </w:p>
    <w:tbl>
      <w:tblPr>
        <w:tblW w:w="5000" w:type="pct"/>
        <w:tblCellMar>
          <w:left w:w="0" w:type="dxa"/>
          <w:right w:w="0" w:type="dxa"/>
        </w:tblCellMar>
        <w:tblLook w:val="0000" w:firstRow="0" w:lastRow="0" w:firstColumn="0" w:lastColumn="0" w:noHBand="0" w:noVBand="0"/>
      </w:tblPr>
      <w:tblGrid>
        <w:gridCol w:w="2167"/>
        <w:gridCol w:w="650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天数</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报告期末投资组合平均剩余期限</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115</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报告期内投资组合平均剩余期限最高值</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报告期内投资组合平均剩余期限最低值</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87</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报告期内投资组合平均剩余期限超过120天情况说明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本基金本报告期内投资组合平均剩余期限未超过120天。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报告期末投资组合平均剩余期限分布比例</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平均剩余期限</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各期限资产占基金资产净值的比例（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各期限负债占基金资产净值的比例（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5.12</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天（含）</w:t>
            </w:r>
            <w:r>
              <w:rPr>
                <w:rFonts w:ascii="Times New Roman" w:hAnsi="Times New Roman"/>
                <w:color w:val="000000"/>
                <w:kern w:val="0"/>
                <w:sz w:val="25"/>
                <w:szCs w:val="24"/>
              </w:rPr>
              <w:t>—60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9.53</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60</w:t>
            </w:r>
            <w:r>
              <w:rPr>
                <w:rFonts w:ascii="Times New Roman" w:hAnsi="Times New Roman"/>
                <w:color w:val="000000"/>
                <w:kern w:val="0"/>
                <w:sz w:val="25"/>
                <w:szCs w:val="24"/>
              </w:rPr>
              <w:t>天（含）</w:t>
            </w:r>
            <w:r>
              <w:rPr>
                <w:rFonts w:ascii="Times New Roman" w:hAnsi="Times New Roman"/>
                <w:color w:val="000000"/>
                <w:kern w:val="0"/>
                <w:sz w:val="25"/>
                <w:szCs w:val="24"/>
              </w:rPr>
              <w:t>—90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11.97</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90</w:t>
            </w:r>
            <w:r>
              <w:rPr>
                <w:rFonts w:ascii="Times New Roman" w:hAnsi="Times New Roman"/>
                <w:color w:val="000000"/>
                <w:kern w:val="0"/>
                <w:sz w:val="25"/>
                <w:szCs w:val="24"/>
              </w:rPr>
              <w:t>天（含）</w:t>
            </w:r>
            <w:r>
              <w:rPr>
                <w:rFonts w:ascii="Times New Roman" w:hAnsi="Times New Roman"/>
                <w:color w:val="000000"/>
                <w:kern w:val="0"/>
                <w:sz w:val="25"/>
                <w:szCs w:val="24"/>
              </w:rPr>
              <w:t>—120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7.43</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r>
              <w:rPr>
                <w:rFonts w:ascii="Times New Roman" w:hAnsi="Times New Roman"/>
                <w:color w:val="000000"/>
                <w:kern w:val="0"/>
                <w:sz w:val="25"/>
                <w:szCs w:val="24"/>
              </w:rPr>
              <w:t>天（含）</w:t>
            </w:r>
            <w:r>
              <w:rPr>
                <w:rFonts w:ascii="Times New Roman" w:hAnsi="Times New Roman"/>
                <w:color w:val="000000"/>
                <w:kern w:val="0"/>
                <w:sz w:val="25"/>
                <w:szCs w:val="24"/>
              </w:rPr>
              <w:t>—397</w:t>
            </w:r>
            <w:r>
              <w:rPr>
                <w:rFonts w:ascii="Times New Roman" w:hAnsi="Times New Roman"/>
                <w:color w:val="000000"/>
                <w:kern w:val="0"/>
                <w:sz w:val="25"/>
                <w:szCs w:val="24"/>
              </w:rPr>
              <w:t>天（含）</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46.92</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gridSpan w:val="2"/>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104.85</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5.12</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报告期内投资组合平均剩余存续期超过240天情况说明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本基金本报告期内投资组合平均剩余存续期限未超过240天。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5,611,843,757.30</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5.76</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5,080,658,538.36</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5.22</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2,638,765,787.02</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2.71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773,090,590.33</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33,583,215,282.74</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34.47</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42,606,915,417.39</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43.74</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天的浮动利率债券</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6、报告期末按摊余成本占基金资产净值比例大小排名的前十名债券投资明细</w:t>
      </w:r>
    </w:p>
    <w:tbl>
      <w:tblPr>
        <w:tblW w:w="5000" w:type="pct"/>
        <w:tblCellMar>
          <w:left w:w="0" w:type="dxa"/>
          <w:right w:w="0" w:type="dxa"/>
        </w:tblCellMar>
        <w:tblLook w:val="0000" w:firstRow="0" w:lastRow="0" w:firstColumn="0" w:lastColumn="0" w:noHBand="0" w:noVBand="0"/>
      </w:tblPr>
      <w:tblGrid>
        <w:gridCol w:w="515"/>
        <w:gridCol w:w="1598"/>
        <w:gridCol w:w="1599"/>
        <w:gridCol w:w="1599"/>
        <w:gridCol w:w="1760"/>
        <w:gridCol w:w="1599"/>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112521115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渤海银行</w:t>
            </w:r>
            <w:r>
              <w:rPr>
                <w:rFonts w:ascii="Times New Roman" w:hAnsi="Times New Roman"/>
                <w:color w:val="000000"/>
                <w:kern w:val="0"/>
                <w:sz w:val="25"/>
                <w:szCs w:val="24"/>
              </w:rPr>
              <w:t>CD115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14,800,000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1,465,900,987.99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1.50</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112521131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渤海银行</w:t>
            </w:r>
            <w:r>
              <w:rPr>
                <w:rFonts w:ascii="Times New Roman" w:hAnsi="Times New Roman"/>
                <w:color w:val="000000"/>
                <w:kern w:val="0"/>
                <w:sz w:val="25"/>
                <w:szCs w:val="24"/>
              </w:rPr>
              <w:t>CD131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12,700,000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1,269,557,801.09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112521040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渤海银行</w:t>
            </w:r>
            <w:r>
              <w:rPr>
                <w:rFonts w:ascii="Times New Roman" w:hAnsi="Times New Roman"/>
                <w:color w:val="000000"/>
                <w:kern w:val="0"/>
                <w:sz w:val="25"/>
                <w:szCs w:val="24"/>
              </w:rPr>
              <w:t>CD040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998,809,051.14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112521136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渤海银行</w:t>
            </w:r>
            <w:r>
              <w:rPr>
                <w:rFonts w:ascii="Times New Roman" w:hAnsi="Times New Roman"/>
                <w:color w:val="000000"/>
                <w:kern w:val="0"/>
                <w:sz w:val="25"/>
                <w:szCs w:val="24"/>
              </w:rPr>
              <w:t>CD136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994,858,373.16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1.02</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112521110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渤海银行</w:t>
            </w:r>
            <w:r>
              <w:rPr>
                <w:rFonts w:ascii="Times New Roman" w:hAnsi="Times New Roman"/>
                <w:color w:val="000000"/>
                <w:kern w:val="0"/>
                <w:sz w:val="25"/>
                <w:szCs w:val="24"/>
              </w:rPr>
              <w:t>CD110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9,800,000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970,812,665.72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112594854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东莞农村商业银行</w:t>
            </w:r>
            <w:r>
              <w:rPr>
                <w:rFonts w:ascii="Times New Roman" w:hAnsi="Times New Roman"/>
                <w:color w:val="000000"/>
                <w:kern w:val="0"/>
                <w:sz w:val="25"/>
                <w:szCs w:val="24"/>
              </w:rPr>
              <w:t>CD044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9,800,000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970,433,782.57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240431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农发</w:t>
            </w: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7,900,000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798,872,958.52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240314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进出</w:t>
            </w: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7,900,000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796,871,870.82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112504030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中国银行</w:t>
            </w:r>
            <w:r>
              <w:rPr>
                <w:rFonts w:ascii="Times New Roman" w:hAnsi="Times New Roman"/>
                <w:color w:val="000000"/>
                <w:kern w:val="0"/>
                <w:sz w:val="25"/>
                <w:szCs w:val="24"/>
              </w:rPr>
              <w:t>CD030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787,359,227.04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0.81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112514047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江苏银行</w:t>
            </w:r>
            <w:r>
              <w:rPr>
                <w:rFonts w:ascii="Times New Roman" w:hAnsi="Times New Roman"/>
                <w:color w:val="000000"/>
                <w:kern w:val="0"/>
                <w:sz w:val="25"/>
                <w:szCs w:val="24"/>
              </w:rPr>
              <w:t>CD047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693,558,288.23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0.71</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“影子定价”与“摊余成本法”确定的基金资产净值的偏离</w:t>
      </w:r>
    </w:p>
    <w:tbl>
      <w:tblPr>
        <w:tblW w:w="5000" w:type="pct"/>
        <w:tblCellMar>
          <w:left w:w="0" w:type="dxa"/>
          <w:right w:w="0" w:type="dxa"/>
        </w:tblCellMar>
        <w:tblLook w:val="0000" w:firstRow="0" w:lastRow="0" w:firstColumn="0" w:lastColumn="0" w:noHBand="0" w:noVBand="0"/>
      </w:tblPr>
      <w:tblGrid>
        <w:gridCol w:w="2167"/>
        <w:gridCol w:w="650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偏离情况</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报告期内偏离度的绝对值在</w:t>
            </w:r>
            <w:r>
              <w:rPr>
                <w:rFonts w:ascii="Times New Roman" w:hAnsi="Times New Roman"/>
                <w:color w:val="000000"/>
                <w:kern w:val="0"/>
                <w:sz w:val="25"/>
                <w:szCs w:val="24"/>
              </w:rPr>
              <w:t>0.25</w:t>
            </w:r>
            <w:r>
              <w:rPr>
                <w:rFonts w:ascii="Times New Roman" w:hAnsi="Times New Roman"/>
                <w:color w:val="000000"/>
                <w:kern w:val="0"/>
                <w:sz w:val="25"/>
                <w:szCs w:val="24"/>
              </w:rPr>
              <w:t>（含）</w:t>
            </w:r>
            <w:r>
              <w:rPr>
                <w:rFonts w:ascii="Times New Roman" w:hAnsi="Times New Roman"/>
                <w:color w:val="000000"/>
                <w:kern w:val="0"/>
                <w:sz w:val="25"/>
                <w:szCs w:val="24"/>
              </w:rPr>
              <w:t>-0.5%</w:t>
            </w:r>
            <w:r>
              <w:rPr>
                <w:rFonts w:ascii="Times New Roman" w:hAnsi="Times New Roman"/>
                <w:color w:val="000000"/>
                <w:kern w:val="0"/>
                <w:sz w:val="25"/>
                <w:szCs w:val="24"/>
              </w:rPr>
              <w:t>间的次数</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报告期内偏离度的最高值</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0.0571%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报告期内偏离度的最低值</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0.0218%</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报告期内每个工作日偏离度的绝对值的简单平均值</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0.0401%</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报告期内负偏离度的绝对值达到0.25%情况说明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报告期内正偏离度的绝对值达到0.5%情况说明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8、报告期末按摊余成本占基金资产净值比例大小排名的前十名资产支持证券投资明细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9、投资组合报告附注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基金计价方法说明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本基金采用摊余成本法计价，即计价对象以买入成本列示，按票面利率或商定利率并考虑其买入时的溢价与折价，在其剩余期限内按照实际利率和摊余成本逐日摊销计算损益。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本基金投资的前十名证券的发行主体本期是否出现被监管部门立案调查，或在报告编制日前一年内受到公开谴责、处罚的情形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2024年11月28日,国家金融监督管理总局东莞监管分局公示东金罚决字[2024]29号行政处罚决定书,给予东莞农村商业银行股份有限公司35万元人民币的行政处罚。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2024年12月03日,国家金融监督管理总局东莞监管分局公示东金罚决字[2024]32号行政处罚决定书,给予东莞农村商业银行股份有限公司80万元人民币的行政处罚。　</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2025年01月27日,江苏证监局给予江苏银行股份有限公司责令改正的行政监管措施。　</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2025年06月27日,国家金融监督管理总局公示行政处罚,给予中国进出口银行1810万元人民币的行政处罚。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3,090,109.26</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right"/>
              <w:rPr>
                <w:rFonts w:ascii="宋体" w:hAnsi="宋体"/>
                <w:color w:val="000000"/>
                <w:kern w:val="0"/>
                <w:sz w:val="25"/>
                <w:szCs w:val="24"/>
              </w:rPr>
            </w:pPr>
            <w:r>
              <w:rPr>
                <w:rFonts w:ascii="Times New Roman" w:hAnsi="Times New Roman"/>
                <w:color w:val="000000"/>
                <w:kern w:val="0"/>
                <w:sz w:val="25"/>
                <w:szCs w:val="24"/>
              </w:rPr>
              <w:t>3,090,109.26</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 投资组合报告附注的其他文字描述部分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4" w:name="_Toc210145128"/>
      <w:r>
        <w:rPr>
          <w:rFonts w:ascii="Times New Roman" w:hAnsi="Times New Roman"/>
          <w:sz w:val="30"/>
        </w:rPr>
        <w:lastRenderedPageBreak/>
        <w:t>十一、基金的业绩</w:t>
      </w:r>
      <w:bookmarkEnd w:id="14"/>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1、本报告期基金份额净值收益率及其与同期业绩比较基准收益率的比较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1）交银现金宝货币A：</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0.3167%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0.0873%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0.2294%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0.6294%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0.1736%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0.4558%</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1.6406%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1.2896%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1.8166%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1.4666%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1.8242%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1.4742%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2.2910%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1.9410%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0.0004%</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2.0137%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1.6627%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2.4434%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2.0934%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3.4036%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0.0022%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3.0536%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0.0022%</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3.2253%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2.8753%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2.2460%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1.8950%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3.7535%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0.0069%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3.4035%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0.0069%</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0.9735%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0.0091%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0.1064%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0.8671%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0.0091%</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注：本基金的业绩比较基准为活期存款利率（税后）。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2）交银现金宝货币E：</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0.3766%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0.0873%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0.2893%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0.7489%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0.1736%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0.5753%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1.8845%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1.5335%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2.0612%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1.7112%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2.0687%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1.7187%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2.5360%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2.1860%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0.0004%</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2.2587%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1.9077%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2.6866%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2.3366%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3.6466%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0.0023%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3.2966%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0.0023%</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3.4665%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3.1165%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161A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年度（自基金分级日起至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0.7192%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0.1055%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0.6137%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r>
    </w:tbl>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注：本基金的业绩比较基准为活期存款利率（税后）。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2、自基金合同生效以来基金份额累计净值收益率变动及其与同期业绩比较基准收益率变动的比较</w:t>
      </w:r>
    </w:p>
    <w:p w:rsidR="00161A68" w:rsidRDefault="004A6E9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交银施罗德现金宝货币市场基金</w:t>
      </w:r>
    </w:p>
    <w:p w:rsidR="00161A68" w:rsidRDefault="004A6E9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份额累计净值收益率与业绩比较基准收益率历史走势对比图</w:t>
      </w:r>
    </w:p>
    <w:p w:rsidR="00161A68" w:rsidRDefault="004A6E9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（2014年9月12日至2025年06月30日）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1、交银现金宝货币A</w:t>
      </w:r>
    </w:p>
    <w:p w:rsidR="00161A68" w:rsidRDefault="0073001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7" o:title="1521256610242020828"/>
          </v:shape>
        </w:pic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2、交银现金宝货币E</w:t>
      </w:r>
    </w:p>
    <w:p w:rsidR="00161A68" w:rsidRDefault="00730014">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8" o:title="1521256610242020828"/>
          </v:shape>
        </w:pic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5" w:name="_Toc210145129"/>
      <w:r>
        <w:rPr>
          <w:rFonts w:ascii="Times New Roman" w:hAnsi="Times New Roman"/>
          <w:sz w:val="30"/>
        </w:rPr>
        <w:lastRenderedPageBreak/>
        <w:t>十二、基金的财产</w:t>
      </w:r>
      <w:bookmarkEnd w:id="15"/>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基金资产总值是指基金拥有的各类有价证券及票据价值、银行存款本息、基金应收申购款及其他资产的价值总和。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6" w:name="_Toc210145130"/>
      <w:r>
        <w:rPr>
          <w:rFonts w:ascii="Times New Roman" w:hAnsi="Times New Roman"/>
          <w:sz w:val="30"/>
        </w:rPr>
        <w:lastRenderedPageBreak/>
        <w:t>十三、基金资产的估值</w:t>
      </w:r>
      <w:bookmarkEnd w:id="16"/>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本基金的估值日为本基金相关的证券交易场所的交易日以及国家法律法规规定需要对外披露各类基金份额的基金资产净值、每万份基金已实现收益和7日年化收益率的非交易日。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基金所拥有的各类证券、票据和银行存款本息、应收款项、其它投资等资产及负债。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估值采用“摊余成本法”，即估值对象以买入成本列示，按照票面利率或协议利率并考虑其买入时的溢价与折价，在剩余存续期内按照实际利率和摊余成本逐日摊销，每日计提损益。本基金不采用市场利率和上市交易的债券和票据的市价计算基金资产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为了避免采用“摊余成本法”计算的基金资产净值与按市场利率和交易市价计算的基金资产净值发生重大偏离，从而对基金份额持有人的利益产生稀释和不公平的结果，基金管理人于每一估值日，采用估值技术，对基金持有的估值对象进行重新评估，即“影子定价”。当“摊余成本法”计算的基金资产净值与“影子定价”确定的基金资产净值的偏离度的绝对值达到或超过0.25%时，基金管理人应根据风险控制的需要调整组合，其中，对于偏离度的绝对值达到或超过0.5%的情形，基金管理人应与基金托管人协商一致后，参考成交价、市场利率等信息对投资组合进行价值重估，使基金资产净值更能公允地反映基金资产价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3、如有确凿证据表明按上述方法进行估值不能客观反映其公允价值的，基金管理人可根据具体情况与基金托管人商定后，按最能反映公允价值的价格估值。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4、相关法律法规以及监管部门有强制规定的，从其规定。如有新增事项，按法律法规以及监管部门最新规定估值。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w:t>
      </w:r>
      <w:r>
        <w:rPr>
          <w:rFonts w:ascii="宋体" w:hAnsi="宋体"/>
          <w:sz w:val="24"/>
        </w:rPr>
        <w:lastRenderedPageBreak/>
        <w:t>担。本基金的基金会计责任方由基金管理人担任，因此，就与本基金有关的会计问题，如经相关各方在平等基础上充分讨论后，仍无法达成一致的意见，按照基金管理人对基金资产净值的计算结果对外予以公布。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1、每万份基金已实现收益是按照相关法规计算的每万份基金份额的日已实现收益，精确到小数点后第4位，小数点后第5位四舍五入。本基金的收益分配是按日结转份额的，7日年化收益率是以最近7日(含节假日) 每万份基金已实现收益所折算的年资产收益率，精确到0.001%，百分号内小数点后第4位四舍五入。国家另有规定的，从其规定。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各类基金份额的基金资产净值、每万份基金已实现收益和7日年化收益率结果发送基金托管人，经基金托管人复核无误后，由基金管理人依据基金合同和相关法律法规的规定对外公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基金管理人和基金托管人将采取必要、适当、合理的措施确保基金资产估值的准确性、及时性。当基金资产的计价导致每万份基金已实现收益小数点后4位以内发生差错时，视为估值错误。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w:t>
      </w:r>
      <w:r>
        <w:rPr>
          <w:rFonts w:ascii="宋体" w:hAnsi="宋体"/>
          <w:sz w:val="24"/>
        </w:rPr>
        <w:lastRenderedPageBreak/>
        <w:t>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4、基金估值错误处理的方法如下：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（1）基金估值出现错误时，基金管理人应当立即予以纠正，通报基金托管人，并采取合理的措施防止损失进一步扩大。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（2）错误偏差达到基金资产净值的0.25%时，基金管理人应当通报基金托管人并报中国证监会备案；错误偏差达到基金资产净值的0.5%时，基金管理人应当公告。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（3）前述内容如法律法规或监管机关另有规定的，从其规定处理。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每万份基金已实现收益和7日年化收益率由基金管理人负责计算，基金托管人负责进行复核。基金管理人应于每个开放日交易结束后计算当日的各类基金份额的基金资产净值、每万份基金已实现收益和7日年化收益率并发送给基金托管人。基金托管人复核确认后发送给基金管理人，由基金管理人予以公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1、基金管理人、基金托管人按估值方法的第2、3、4项进行估值时，所造成的误差不作为基金资产估值错误处理。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7" w:name="_Toc210145131"/>
      <w:r>
        <w:rPr>
          <w:rFonts w:ascii="Times New Roman" w:hAnsi="Times New Roman"/>
          <w:sz w:val="30"/>
        </w:rPr>
        <w:lastRenderedPageBreak/>
        <w:t>十四、基金收益与分配</w:t>
      </w:r>
      <w:bookmarkEnd w:id="17"/>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基金利润指基金利息收入、投资收益、公允价值变动收益和其他收入扣除相关费用后的余额；基金已实现收益指基金利润减去公允价值变动损益后的余额。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（二）收益分配原则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1、本基金同一类别的每份基金份额享有同等分配权；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2、本基金收益分配方式为红利再投资，免收再投资的费用；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每日分配、按日支付”。本基金根据每日基金收益情况，以每万份基金已实现收益为基准，为投资人每日计算当日收益并分配，且每日进行支付。投资人当日收益分配的计算保留到小数点后2位，小数点后第3位按去尾原则处理，因去尾形成的余额进行再次分配，直到分完为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4、本基金根据每日收益情况，将当日收益全部分配，若当日已实现收益大于零时，为投资人记正收益；若当日已实现收益小于零时，为投资人记负收益；若当日已实现收益等于零时，当日投资人不记收益；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每日进行收益计算并分配时，每日收益支付方式只采用红利再投资(即红利转基金份额)方式。若当日净收益大于零时，则增加投资人基金份额，若当日净收益等于零时，则保持投资人基金份额不变；基金管理人将采取必要措施尽量避免基金净收益小于零，若当日净收益小于零时，缩减投资人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6、当日申购的基金份额自下一个工作日起，享有基金的收益分配权益；当日赎回的基金份额自下一个工作日起，不享有基金的收益分配权；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7、法律法规或监管机构另有规定的从其规定。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在不违反法律法规且对基金份额持有人利益无实质不利影响的前提下，基金管理人可对基金收益分配原则进行调整，不需召开基金份额持有人大会。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（三）收益分配方案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基金收益分配方案由基金管理人拟定，并由基金托管人复核后确定。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（四）收益分配的时间和程序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本基金每个工作日进行收益分配。每个开放日公告前一个开放日各类基金份额的每万份基金已实现收益和7日年化收益率。若遇法定节假日，应于节假日结束后</w:t>
      </w:r>
      <w:r>
        <w:rPr>
          <w:rFonts w:ascii="宋体" w:hAnsi="宋体"/>
          <w:sz w:val="24"/>
        </w:rPr>
        <w:lastRenderedPageBreak/>
        <w:t>第二个自然日，披露节假日期间的各类基金份额的每万份基金已实现收益和节假日最后一日的7日年化收益率，以及节假日后首个开放日的各类基金份额的每万份基金已实现收益和7日年化收益率。经中国证监会同意，可以适当延迟计算或公告。法律法规另有规定的，从其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本基金每日例行按照基金合同的约定对当天实现的收益进行收益结转(如遇节假日可顺延)，每日例行的收益结转不再另行公告。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（五）本基金各类基金份额的每万份基金已实现收益及7日年化收益率的计算见基金合同第十八部分。</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8" w:name="_Toc210145132"/>
      <w:r>
        <w:rPr>
          <w:rFonts w:ascii="Times New Roman" w:hAnsi="Times New Roman"/>
          <w:sz w:val="30"/>
        </w:rPr>
        <w:lastRenderedPageBreak/>
        <w:t>十五、基金的费用与税收</w:t>
      </w:r>
      <w:bookmarkEnd w:id="18"/>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3、销售服务费；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4、《基金合同》生效后与基金相关的信息披露费用；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5、《基金合同》生效后与基金相关的会计师费、律师费和诉讼费；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8、基金的银行汇划费用；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9、基金的开户费用、账户维护费用；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财产中一次性支付给基金管理人。若遇法定节假日、休息日或不可抗力等，支付日期顺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本基金的托管费按前一日基金资产净值的0.05%的年费率计提。托管费的计算方法如下：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3个工作日内从基金财产中一次性支取。若遇法定节假日、休息日或不可抗力等,支付日期顺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（1）本基金不收取申购费用和赎回费用。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（2）基金销售服务费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本基金各类基金份额按照不同的费率计提销售服务费，在通常情况下，本基金A 类基金份额的销售服务费按前一日A类基金份额的基金资产净值的0.25%年费率计提，本基金E类基金份额的销售服务费按前一日E类基金份额的基金资产净值的0.01%年费率计提。</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各类基金份额的基金销售服务费计提的计算公式如下：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H＝E×年销售服务费率÷当年天数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H为某类基金份额每日应计提的基金销售服务费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E为前一日该类基金份额的基金资产净值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服务费每日计提，逐日累计至每月月末，按月支付。由基金管理人向基金托管人发送基金销售服务费划付指令，由基金托管人复核后于次月前3个工作日内从基金财产中一次性支付给基金管理人，由基金管理人代付给销售机构，若遇法定节假日、休息日或不可抗力致使无法按时支付的，支付日期顺延至最近可支付日支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上述“一、基金费用的种类”中第4－10项费用，根据有关法规及相应协议规定，按费用实际支出金额列入当期费用，由基金托管人从基金财产中支付。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w:t>
      </w:r>
      <w:r>
        <w:rPr>
          <w:rFonts w:ascii="宋体" w:hAnsi="宋体"/>
          <w:sz w:val="24"/>
        </w:rPr>
        <w:lastRenderedPageBreak/>
        <w:t>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（四）费用调整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协商一致后，可根据基金发展情况调整基金管理费率、基金托管费率、基金销售服务费率等相关费率。调低基金管理费率、基金托管费率或基金销售服务费率等费率，无须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基金管理人必须最迟于新的费率实施日前2日在指定媒介上公告。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19" w:name="_Toc210145133"/>
      <w:r>
        <w:rPr>
          <w:rFonts w:ascii="Times New Roman" w:hAnsi="Times New Roman"/>
          <w:sz w:val="30"/>
        </w:rPr>
        <w:lastRenderedPageBreak/>
        <w:t>十六、基金的会计与审计</w:t>
      </w:r>
      <w:bookmarkEnd w:id="19"/>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0" w:name="_Toc210145134"/>
      <w:r>
        <w:rPr>
          <w:rFonts w:ascii="Times New Roman" w:hAnsi="Times New Roman"/>
          <w:sz w:val="30"/>
        </w:rPr>
        <w:lastRenderedPageBreak/>
        <w:t>十七、基金的信息披露</w:t>
      </w:r>
      <w:bookmarkEnd w:id="20"/>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（一）本基金的信息披露应符合《基金法》、《运作办法》、《信息披露办法》、《基金合同》、《流动性规定》及其他有关规定。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本基金信息披露义务人按照以保护基金份额持有人利益为根本出发点，法律法规和中国证监会的规定披露基金信息，并保证所披露信息的真实性、准确性、完整性、及时性、简明性和易得性。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（1）本基金的基金合同生效后，在开始办理基金份额申购或者赎回前，基金管理人将至少每周分别公告一次各类基金份额的基金资产净值、每万份基金已实现收益和7日年化收益率；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各类基金份额的每万份基金已实现收益和7日年化收益率的计算方法如下：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某类基金份额的每万份基金已实现收益＝当日该类基金份额的已实现收益/当日该类基金份额总额×10000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万份基金已实现收益采用四舍五入保留至小数点后第4位，7日年化收益率采用四舍五入保留至百分号内小数点后第3位。其中，当日该类基金份额总额包括该类基金份额截至上一工作日(包括节假日)未结转份额（若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（2）在开始办理基金份额申购或者赎回后，基金管理人将在不晚于每个开放日的次日，通过指定网站、基金销售机构网站或者营业网点披露开放日的各类基金份额的每万份基金已实现收益和7日年化收益率。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应于节假日结束后第二个自然日，披露节假日期间的各类基金份额的每万份基金已实现收益、节假日最后一日的7日年化收益率，以及节假日后首个开放日的各类基金份额的每万份基金已实现收益和7日年化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（3）基金管理人应当在不晚于半年度和年度最后一日的次日，在指定网站披露半年度和年度最后一日的各类基金份额的每万份基金已实现收益和7日年化收益率。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5、基金定期报告，包括基金年度报告、基金中期报告和基金季度报告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《基金合同》生效不足2个月的，基金管理人可以不编制当期季度报告、中期或者年度报告。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基金管理人应当在年度报告、中期报告中，至少披露报告期末基金前10名份额持有人的类别、持有份额及占总份额的比例等信息。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6、临时报告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前款所称重大事件，是指可能对基金份额持有人权益或者基金资产净值产生重大影响的下列事件：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（14）基金收益分配事项，但基金合同另有约定的除外；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（16）基金资产净值计价错误达基金资产净值百分之零点五；</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（21）调整本基金的份额类别设置；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（23）本基金投资于主体信用评级低于AA+的商业银行的银行存款与同业存单；</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（24）基金信息披露义务人认为可能对基金份额持有人权益或者基金份额的价格产生重大影响的其他事项或中国证监会和基金合同约定的其他事项。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7、澄清公告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资产净值产生误导性影响或者引起较大波动，以及可能损害基金份额持有人权益的，相关信息披露义务人知悉后应当立即对该消息进行公开澄清，并将有关情况立即报告中国证监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8、基金份额持有人大会决议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9、清算报告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10、中国证监会规定的其他信息。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（六）信息披露事务管理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基金信息披露义务人公开披露基金信息，应当符合中国证监会相关基金信息披露内容与格式准则的规定。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各类基金份额的基金资产净值、每万份基金已实现收益、7日年化收益率、基金份额申购赎回价格、基金定期报告、更新的招募说明书、基金产品资料概要、基金清算报告等公开披露的相关基金信息进行复核、审查，并向基金管理人进行书面或电子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基金管理人、基金托管人应当在指定报刊中选择披露信息的报刊。基金管理人、基金托管人应当向中国证监会基金电子披露网站报送拟披露的基金信息，并保证相关报送信息的真实、准确、完整、及时。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1" w:name="_Toc210145135"/>
      <w:r>
        <w:rPr>
          <w:rFonts w:ascii="Times New Roman" w:hAnsi="Times New Roman"/>
          <w:sz w:val="30"/>
        </w:rPr>
        <w:lastRenderedPageBreak/>
        <w:t>十八、风险揭示</w:t>
      </w:r>
      <w:bookmarkEnd w:id="21"/>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投资者购买本货币市场基金并不等于将资金作为存款存放在银行或存款类金融机构，基金管理人不保证基金一定盈利，也不保证最低收益。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证券市场价格因受到经济因素、政治因素、投资心理和交易制度等各种因素的影响而引起的波动，将对基金收益水平产生潜在风险，主要包括：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（三）流动性风险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产净值产生不利的影响，都会影响基金运作和收益水平。尤其是在发生巨额赎回时，因市场交易量不足，某些投资品种的流动性不佳，可能导致证券不能迅速、低成本地转变为现金，从而影响基金运作和收益水平。极端情况下，连续大量赎回将会导致基金的现金支付出现困难，或迫使基金以不适当的价格大量抛售证券或提前支取存款，可能导致基金财产的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w:t>
      </w:r>
      <w:r>
        <w:rPr>
          <w:rFonts w:ascii="宋体" w:hAnsi="宋体"/>
          <w:sz w:val="24"/>
        </w:rPr>
        <w:lastRenderedPageBreak/>
        <w:t>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交易对手违约风险是指当债券、票据或债券回购等交易对手或存款银行违约时，将直接导致基金资产的损失，或导致基金不能及时抓住市场机会，对投资收益产生影响。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（五）特定风险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本基金投资于货币市场工具，面临货币市场利率波动的风险，基金每日的收益将根据市场情况上下波动，在极端情况下可能为负值。由于货币市场基金的特殊要</w:t>
      </w:r>
      <w:r>
        <w:rPr>
          <w:rFonts w:ascii="宋体" w:hAnsi="宋体"/>
          <w:sz w:val="24"/>
        </w:rPr>
        <w:lastRenderedPageBreak/>
        <w:t>求，为满足投资者的赎回需要，基金必须保持一定的现金比例以应对赎回的需求，在管理现金头寸时，有可能存在现金不足的风险或现金过多而带来的机会成本风险。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7、金融市场危机、行业竞争、代理商违约、托管行违约等超出基金管理人自身直接控制能力之外的风险，也可能导致基金或者基金份额持有人利益受损。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8、其他意外导致的风险。</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2" w:name="_Toc210145136"/>
      <w:r>
        <w:rPr>
          <w:rFonts w:ascii="Times New Roman" w:hAnsi="Times New Roman"/>
          <w:sz w:val="30"/>
        </w:rPr>
        <w:lastRenderedPageBreak/>
        <w:t>十九、基金合同的变更、终止与基金财产的清算</w:t>
      </w:r>
      <w:bookmarkEnd w:id="22"/>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2、关于《基金合同》变更的基金份额持有人大会决议自生效后方可执行，在决议生效后依照《信息披露办法》的规定在指定媒介公告。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（八）基金合并方案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1、基金合并概述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基金合同生效后的存续期内，出现以下情形之一的，本基金可与其他基金合并或终止本基金合同，不需召开基金份额持有人大会：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（1）基金份额持有人数量连续90个工作日达不到200人。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（2）基金资产净值连续90个工作日低于5000万元。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并的方式包括但不限于本基金吸收合并其他基金、本基金被其他基金吸收合并等方式。本基金与其他基金合并时，其他基金应是与本基金同一类别的基金。本基金吸收合并其他基金时，其他基金终止，本基金存续；本基金被其他基金</w:t>
      </w:r>
      <w:r>
        <w:rPr>
          <w:rFonts w:ascii="宋体" w:hAnsi="宋体"/>
          <w:sz w:val="24"/>
        </w:rPr>
        <w:lastRenderedPageBreak/>
        <w:t>吸收合并时，其他基金存续，本基金终止。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2、基金合并的实施方案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（1）合并预公告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涉及合并的其他基金（以下简称“其他基金”）的基金合同约定，其他基金的合并需经基金份额持有人大会决议通过的，则基金管理人应当发布本基金拟与被合并基金进行合并的预公告，公告应包括本次基金合并方案，同时需披露其他基金的名称以及其他基金需召开基金份额持有人大会审议合并事项的事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基金管理人应当尽快召开其他基金的基金份额持有人大会，审议与本基金进行合并的事项。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（2）基金合并公告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其他基金的基金合同约定，与本基金合并无需召开基金份额持有人大会，或者与本基金合并的事项已经其他基金的基金份额持有人大会决议通过且经中国证监会备案的，基金管理人应就本基金具体合并事宜，依照相关法律法规的规定进行公告，向投资人披露合并后基金的基金合同或基金合同修正案，明确实施安排，说明对现有基金份额持有人的影响，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2）基金管理人应在合并实施前至少提前二十个工作日就基金合并相关事宜进行提示性公告。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3）为了保障现有基金份额持有人的利益，基金管理人可在合并预公告发出后或合并实施前（若无需发布合并预公告的）的合理时间内暂停本基金的日常申购或转换转入业务。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3、基金合并业务的规则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在有关基金合并的公告中，说明对现有基金份额的处理方式及基金合并操作的具体起止时间，并提示现有基金份额持有人在基金合并前的指定期限内（该期限不少于二十个工作日，具体期限在公告中列明，以下简称“指定期限”）可行使选择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（2）基金份额持有人在指定期限内可行使的选择权包括：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1）赎回其持有的本基金份额；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2）将其持有的本基金份额转换为基金管理人管理的、可接受转换转入的其他基金份额；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3）继续持有合并后的基金份额；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4）基金管理人届时公告的其他选择权。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（3）基金份额持有人可就其持有的本基金全部或部分基金份额选择行使上述任意一项选择权。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以下（5）所述情形外，基金份额持有人在指定期限内因行使选择权而赎回或转换转出本基金份额的，基金管理人免除基金份额持有人赎回或转换时应支付的赎回费或转换费（包括转出基金的赎回费用和转入基金的申购费补差，下同）等交易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（5）在指定期限内，本基金可以开放申购及/或转换转入业务，但对该等申购及/或转换转入的份额，如其在指定期限内再赎回或转换转出的，基金管理人有权不予免除相应的赎回费或转换费等交易费用。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（6）指定期限届满，基金份额持有人没有作出选择的，视为基金份额持有人选择继续持有基金合并后的基金份额。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有权决定本基金按照法律法规、业务规则及有权机关要求等以基金资产（证券、存款、现金等）或现金资产等形式与其他基金的资产进行合并，或接受其他基金按照法律法规、业务规则及有权机关要求等以基金资产（证券、存款、现金等）或现金资产等形式与本基金的资产进行合并。具体操作以基金管理人届时发布的基金合并方案及相关公告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5、基金合并导致本基金终止并清算时，由此产生的清算费用由本基金财产承担。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6、基金合并后的投资管理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吸收合并其他基金的，其他基金的基金合同终止，本基金的投资管理将按本基金合同约定保持不变。其他基金资产和本基金资产合并运作，其他基金的基金份额持有人即成为本基金的基金份额持有人。本基金的申购赎回不受影响，基金份额持有人的申购赎回按照本基金的相关规定进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被其他基金吸收合并的，本基金合同终止，本基金的投资管理将按照其他基金基金合同的约定执行，本基金资产和其他基金资产合并运作，本基金的基金份额持有人即成为其他基金的基金份额持有人。基金份额持有人的申购赎回按照其他基金的相关规定进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7、基金管理人与基金托管人应就基金合并事宜协商一致，并按照本基金合同的约定具体实施，且无需经基金份额持有人大会审议批准。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8、基金合并完成后，基金管理人应按照《信息披露办法》的规定就合并后的基金情况予以公告，并报中国证监会备案。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本基金被其他基金吸收合并引起本基金基金合同终止的，本基金财产可不予变现和分配，并入其他基金资产中。本基金的债权债务由合并后的基金享有和承担。本基金清算的其他事项按照基金合同的其他约定执行。</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3" w:name="_Toc210145137"/>
      <w:r>
        <w:rPr>
          <w:rFonts w:ascii="Times New Roman" w:hAnsi="Times New Roman"/>
          <w:sz w:val="30"/>
        </w:rPr>
        <w:lastRenderedPageBreak/>
        <w:t>二十、基金合同内容摘要</w:t>
      </w:r>
      <w:bookmarkEnd w:id="23"/>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2）自《基金合同》生效之日起，根据法律法规、《基金合同》和《托管协议》独立运用并管理基金财产；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6）依据《基金合同》和《托管协议》及有关法律规定监督基金托管人，如认为基金托管人违反了《基金合同》及国家有关法律规定，应呈报中国证监会和其他监管部门，并采取必要措施保护基金投资者的利益；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12）为基金的利益行使因基金财产投资于证券所产生的权利；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16）在符合有关法律、法规的前提下，制定和调整有关基金认购、申购、赎回、转换和非交易过户等的业务规则；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8）采取适当合理的措施使计算基金份额认购、申购、赎回和注销价格的方法符合《基金合同》等法律文件的规定，按有关规定计算并公告各类基金份额的基金净值信息，每万份基金已实现收益和7日年化收益率；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1）自《基金合同》生效之日起，依法律法规、《基金合同》和《托管协议》的规定安全保管基金财产；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2）依《基金合同》和《托管协议》约定获得基金托管费以及法律法规规定或监管部门批准的其他费用；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8）复核、审查基金管理人计算的各类基金份额的基金资产净值、基金份额净值、每万份基金已实现收益和7日年化收益率；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3）依法并按照基金合同和招募说明书的规定申请赎回其持有的基金份额；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w:t>
      </w:r>
      <w:r>
        <w:rPr>
          <w:rFonts w:ascii="宋体" w:hAnsi="宋体"/>
          <w:sz w:val="24"/>
        </w:rPr>
        <w:lastRenderedPageBreak/>
        <w:t>有平等的投票权。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1）终止《基金合同》，法律法规、基金合同和中国证监会另有规定的除外；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3）更换基金托管人，但因涉及本基金与其他基金合并的除外；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4）转换基金运作方式，法律法规、基金合同和中国证监会另有规定的除外；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5）提高基金管理人、基金托管人的报酬标准和提高销售服务费，但法律法规要求提高该等报酬标准或销售服务费的除外；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7）本基金与其他基金的合并，法律法规、基金合同和中国证监会另有规定的除外；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8）变更基金投资目标、范围或策略，法律法规、基金合同和中国证监会另有规定的除外；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9）变更基金份额持有人大会程序，法律法规、基金合同和中国证监会另有规定的除外；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3）在法律法规和本基金合同规定的范围内调低基金的销售服务费率或在不影</w:t>
      </w:r>
      <w:r>
        <w:rPr>
          <w:rFonts w:ascii="宋体" w:hAnsi="宋体"/>
          <w:sz w:val="24"/>
        </w:rPr>
        <w:lastRenderedPageBreak/>
        <w:t>响现有基金份额持有人利益的前提下变更或增加收费方式；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和本基金合同允许的范围内、对基金份额持有人无实质性不利影响的前提下，推出新业务或服务，调整本基金份额类别的设置，调整有关基金认购、申购、赎回、转换、收益分配、非交易过户、转托管等业务的规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7）按照法律法规和《基金合同》规定不需召开基金份额持有人大会的以外的其他情形。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（3）基金合同生效后的存续期内，出现以下情形之一的，本基金可与其他基金合并或终止本基金合同，不需召开基金份额持有人大会：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1）基金份额持有人数量连续90个工作日达不到200人。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2）基金资产净值连续90个工作日低于5000万元。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w:t>
      </w:r>
      <w:r>
        <w:rPr>
          <w:rFonts w:ascii="宋体" w:hAnsi="宋体"/>
          <w:sz w:val="24"/>
        </w:rPr>
        <w:lastRenderedPageBreak/>
        <w:t>金管理人；基金托管人决定召集的，应当自出具书面决定之日起60日内召开并告知基金管理人，基金管理人应当配合；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基金份额持有人大会可通过现场开会方式或通讯开会方式或法律法规和监管机关允许的其他方式召开，会议的召开方式由会议召集人确定。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w:t>
      </w:r>
      <w:r>
        <w:rPr>
          <w:rFonts w:ascii="宋体" w:hAnsi="宋体"/>
          <w:sz w:val="24"/>
        </w:rPr>
        <w:lastRenderedPageBreak/>
        <w:t>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会议程序比照现场开会和通讯方式开会的程序进行；基金份额持有人可以采用书面、网络、电话、短信或其他方式进行表决，具体方式由会议召集人确定并在会议通知中列明。</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w:t>
      </w:r>
      <w:r>
        <w:rPr>
          <w:rFonts w:ascii="宋体" w:hAnsi="宋体"/>
          <w:sz w:val="24"/>
        </w:rPr>
        <w:lastRenderedPageBreak/>
        <w:t>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或变更的，基金管理人提前公告后，可直接对本部分内容进行修改和调整，无需召开基金份额持有人大会审议。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（2）关于《基金合同》变更的基金份额持有人大会决议自生效后方可执行，在决议生效后依照《信息披露办法》的规定在指定媒介公告。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8、基金合并方案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（1）基金合并概述</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基金合同生效后的存续期内，出现以下情形之一的，本基金可与其他基金合并或终止本基金合同，不需召开基金份额持有人大会：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1）基金份额持有人数量连续90个工作日达不到200人。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2）基金资产净值连续90个工作日低于5000万元。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基金合并的方式包括但不限于本基金吸收合并其他基金、本基金被其他基金吸收合并等方式。本基金与其他基金合并时，其他基金应是与本基金同一类别的基</w:t>
      </w:r>
      <w:r>
        <w:rPr>
          <w:rFonts w:ascii="宋体" w:hAnsi="宋体"/>
          <w:sz w:val="24"/>
        </w:rPr>
        <w:lastRenderedPageBreak/>
        <w:t>金。本基金吸收合并其他基金时，其他基金终止，本基金存续；本基金被其他基金吸收合并时，其他基金存续，本基金终止。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（2）基金合并的实施方案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1）合并预公告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涉及合并的其他基金（以下简称“其他基金”）的基金合同约定，其他基金的合并需经基金份额持有人大会决议通过的，则基金管理人应当发布本基金拟与被合并基金进行合并的预公告，公告应包括本次基金合并方案，同时需披露其他基金的名称以及其他基金需召开基金份额持有人大会审议合并事项的事宜。</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基金管理人应当尽快召开其他基金的基金份额持有人大会，审议与本基金进行合并的事项。</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2）基金合并公告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若其他基金的基金合同约定，与本基金合并无需召开基金份额持有人大会，或者与本基金合并的事项已经其他基金的基金份额持有人大会决议通过且经中国证监会备案的，基金管理人应就本基金具体合并事宜，依照相关法律法规的规定进行公告，向投资人披露合并后基金的基金合同或基金合同修正案，明确实施安排，说明对现有基金份额持有人的影响，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b）基金管理人应在合并实施前至少提前二十个工作日就基金合并相关事宜进行提示性公告。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c）为了保障现有基金份额持有人的利益，基金管理人可在合并预公告发出后或合并实施前（若无需发布合并预公告的）的合理时间内暂停本基金的日常申购或转换转入业务。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（3）基金合并业务的规则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基金管理人应在有关基金合并的公告中，说明对现有基金份额的处理方式及基金合并操作的具体起止时间，并提示现有基金份额持有人在基金合并前的指定期限内（该期限不少于二十个工作日，具体期限在公告中列明，以下简称“指定期限”）可行使选择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b）基金份额持有人在指定期限内可行使的选择权包括：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A、赎回其持有的本基金份额；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B、将其持有的本基金份额转换为基金管理人管理的、可接受转换转入的其他基金份额；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C、继续持有合并后的基金份额；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D、基金管理人届时公告的其他选择权。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c）基金份额持有人可就其持有的本基金全部或部分基金份额选择行使上述任意一项选择权。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除以下e）所述情形外，基金份额持有人在指定期限内因行使选择权而赎回或转换转出本基金份额的，基金管理人免除基金份额持有人赎回或转换时应支付的赎回费或转换费（包括转出基金的赎回费用和转入基金的申购费补差，下同）等交易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e）在指定期限内，本基金可以开放申购及/或转换转入业务，但对该等申购及/或转换转入的份额，如其在指定期限内再赎回或转换转出的，基金管理人有权不予免除相应的赎回费或转换费等交易费用。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f）指定期限届满，基金份额持有人没有作出选择的，视为基金份额持有人选择继续持有基金合并后的基金份额。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有权决定本基金按照法律法规、业务规则及有权机关要求等以基金资产（证券、存款、现金等）或现金资产等形式与其他基金的资产进行合并，或接受其他基金按照法律法规、业务规则及有权机关要求等以基金资产（证券、存款、现金等）或现金资产等形式与本基金的资产进行合并。具体操作以基金管理人届时发布的基金合并方案及相关公告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（5）基金合并导致本基金终止并清算时，由此产生的清算费用由本基金财产承担。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（6）基金合并后的投资管理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吸收合并其他基金的，其他基金的基金合同终止，本基金的投资管理将按本基金合同约定保持不变。其他基金资产和本基金资产合并运作，其他基金的基金份额持有人即成为本基金的基金份额持有人。本基金的申购赎回不受影响，基金份额持有人的申购赎回按照本基金的相关规定进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被其他基金吸收合并的，本基金合同终止，本基金的投资管理将按照其他基金基金合同的约定执行，本基金资产和其他基金资产合并运作，本基金的基金份额持有人即成为其他基金的基金份额持有人。基金份额持有人的申购赎回按照其他基金的相关规定进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（7）基金管理人与基金托管人应就基金合并事宜协商一致，并按照本基金合</w:t>
      </w:r>
      <w:r>
        <w:rPr>
          <w:rFonts w:ascii="宋体" w:hAnsi="宋体"/>
          <w:sz w:val="24"/>
        </w:rPr>
        <w:lastRenderedPageBreak/>
        <w:t>同的约定具体实施，且无需经基金份额持有人大会审议批准。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（8）基金合并完成后，基金管理人应按照《信息披露办法》的规定就合并后的基金情况予以公告，并报中国证监会备案。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被其他基金吸收合并引起本基金基金合同终止的，本基金财产可不予变现和分配，并入其他基金资产中。本基金的债权债务由合并后的基金享有和承担。本基金清算的其他事项按照基金合同的其他约定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 贸易仲裁委员会届时有效的仲裁规则进行仲裁。仲裁地点为北京市。仲裁裁决是终局的，对各方当事人均有约束力，仲裁费用、律师费由败诉方承担。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4" w:name="_Toc210145138"/>
      <w:r>
        <w:rPr>
          <w:rFonts w:ascii="Times New Roman" w:hAnsi="Times New Roman"/>
          <w:sz w:val="30"/>
        </w:rPr>
        <w:lastRenderedPageBreak/>
        <w:t>二十一、托管协议的内容摘要</w:t>
      </w:r>
      <w:bookmarkEnd w:id="24"/>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如法律法规或监管机构以后允许货币市场基金投资其他金融工具，基金管理人在履行适当程序后，可以将其纳入投资范围，其投资比例遵循届时有效法律法规或相关规定。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1）本基金不得投资于以下金融工具：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（a）股票、权证、国债期货和股指期货；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（b）可转换债券；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（c）剩余期限超过397天的债券；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（d）信用等级在AAA级以下的企业债券；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（e）以定期存款利率为基准利率的浮动利率债券，但市场条件发生变化后另</w:t>
      </w:r>
      <w:r>
        <w:rPr>
          <w:rFonts w:ascii="宋体" w:hAnsi="宋体"/>
          <w:sz w:val="24"/>
        </w:rPr>
        <w:lastRenderedPageBreak/>
        <w:t>有规定的，从其规定；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（f）非在全国银行间债券交易市场或证券交易所交易的资产支持证券；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（g）流通受限证券；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（h）中国证监会、中国人民银行禁止投资的其他金融工具。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法律法规或监管部门取消上述限制后，如适用于本基金，基金管理人在履行适当程序后，则本基金不受上述规定的限制。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2）组合限制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（a）本基金投资组合的平均剩余期限在每个交易日均不得超过120天；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（b）投资于同一公司发行的短期企业债券及短期融资券的比例，合计不得超过基金资产净值的10%；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（c）本基金管理人管理的全部基金持有一家公司发行的证券，不超过该证券的10%；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（d）本基金进入全国银行间同业市场进行债券回购的资金余额不得超过基金资产净值的40%，在全国银行间同业市场的债券回购最长期限为1年，债券回购到期后不得展期；</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（e）本基金通过买断式回购融入基础债券的剩余期限不得超过397天；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（f）本基金投资于定期存款的比例不得超过基金资产净值的30%；如果基金投资有固定期限但协议中约定可以提前支取且提前支取利率不变的存款，则不受该比例限制；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存款银行仅限于有基金托管资格、基金销售业务资格以及合格境外机构投资者托管人资格的商业银行。其中，存放在具有基金托管资格的同一商业银行的存款，不得超过基金资产净值的30%；存放在不具有基金托管资格的同一商业银行的存款，不得超过基金资产净值的5%；</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（h）本基金持有的剩余期限不超过397天但剩余存续期超过397天的浮动利率债券摊余成本总计不得超过当日基金资产净值的20%；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（i）本基金管理人管理的全部货币市场基金投资于同一商业银行的银行存款及其发行的同业存单与债券，不得超过该商业银行最近一个季度末净资产的10%；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（j）当本基金前10 名份额持有人的持有份额合计超过基金总份额的50%时，本基金投资组合的平均剩余期限不得超过60 天，平均剩余存续期不得超过120天；投资组合中现金、国债、中央银行票据、政策性金融债券以及5 个交易日内到期的其他金融工具占基金资产净值的比例合计不得低于30%；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（k）当本基金前10 名份额持有人的持有份额合计超过基金总份额的20%时，本基金投资组合的平均剩余期限不得超过90 天，平均剩余存续期不得超过180天；投资组合中现金、国债、中央银行票据、政策性金融债券以及5 个交易日内到期的其他金融工具占基金资产净值的比例合计不得低于20%；</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（m）本基金主动投资于流动性受限资产的市值合计不得超过基金资产净值的 10%；因证券市场波动、基金规模变动等基金管理人之外的因素致使基金不符合前款所规定比例限制的，基金管理人不得主动新增流动性受限资产的投资；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（n）本基金与私募类证券资管产品及中国证监会认定的其他主体为交易对手开展逆回购交易的，可接受质押品的资质要求应当与本基金合同约定的投资范围保持一致；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投资于同一原始权益人的各类资产支持证券的比例，不得超过基金资产净值的10%；本基金持有的全部资产支持证券，其市值不得超过基金资产净值的20%，证监会规定的特殊品种除外；本基金持有的同一(指同一信用级别)资产支持证券的比例，不得超过该资产支持证券规模的10%；本基金管理人管理的全部基金投资于同一原始权益人的各类资产支持证券，不得超过其各类资产支持证券合计规模的10%；本基金投资的资产支持证券须具有评级资质的资信评级机构进行持续信用评级，且应不低于国内信用评级机构评定的AAA级或相当于AAA级的信用级别。基金持有资产支持证券期间，如果其信用等级下降、不再符合投资标准，应在评级报告发布之日起3 个月内予以全部卖出；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（p）除发生巨额赎回的情形外，本基金债券正回购的资金余额在每个交易日均不得超过基金资产净值的20%；因发生巨额赎回致使本基金债券正回购的资金余</w:t>
      </w:r>
      <w:r>
        <w:rPr>
          <w:rFonts w:ascii="宋体" w:hAnsi="宋体"/>
          <w:sz w:val="24"/>
        </w:rPr>
        <w:lastRenderedPageBreak/>
        <w:t>额超过基金资产净值20%的，基金管理人应当在5个交易日内进行调整；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（q）本基金投资的短期融资券的信用评级，应不低于以下标准：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I）国内信用评级机构评定的A-1 级或相当于A-1 级的短期信用级别；</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II）根据有关规定予以豁免信用评级的短期融资券，其发行人最近三年的信用评级和跟踪评级具备下列条件之一：</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i）国内信用评级机构评定的AAA 级或相当于AAA 级的长期信用级别；</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ii）国际信用评级机构评定的低于中国主权评级一个级别的信用级别（例如，若中国主权评级为A-级，则低于中国主权评级一个级别的为BBB+级）。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III）同一发行人同时具有国内信用评级和国际信用评级的，以国内信用级别为准。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IV）本基金持有短期融资券期间，如果其信用等级下降、不再符合投资标准，应在评级报告发布之日起20 个交易日内予以全部减持。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（r）中国证监会规定的其他比例限制。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因证券市场波动、证券发行人合并、基金规模变动等基金管理人之外的因素致使基金投资比例不符合上述规定投资比例的，基金管理人应当在法律法规或监管机构规定的时间期限内进行调整。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 个月内使基金的投资组合比例符合基金合同的有关约定。基金托管人对基金的投资的监督与检查自基金合同生效之日起开始。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5）从事内幕交易、操纵证券价格及其他不正当的证券交易活动；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6）法律、行政法规和中国证监会规定禁止的其他行为。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如法律、行政法规或监管部门取消上述禁止性规定，基金管理人在履行适当程序后，则本基金可不受上述规定的限制。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（4）基金托管人依据有关法律法规的规定和基金合同的约定对基金管理人参与银行间债券市场进行监督：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（5）基金托管人对基金投资中期票据的监督：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w:t>
      </w:r>
      <w:r>
        <w:rPr>
          <w:rFonts w:ascii="宋体" w:hAnsi="宋体"/>
          <w:sz w:val="24"/>
        </w:rPr>
        <w:lastRenderedPageBreak/>
        <w:t>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相应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（6）基金托管人根据有关法律法规的规定及基金合同的约定，对基金管理人选择存款银行进行监督：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应根据有关法律法规的规定及基金合同的约定，对各类基金份额的基金资产净值计算、每万份基金已实现收益和7日年化收益率计算、应收资金到账、基金费用开支及收入确定、基金收益分配、相关信息披露、基金宣传推介材料中登载基金业绩表现数据等进行监督和核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就基金托管人合理的疑义进行解释或举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（4）基金托管人发现基金管理人的投资指令违反相关法律法规规定或者违反基金合同约定的，应当拒绝执行，立即通知基金管理人。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合理的疑义进行解释或举证，对基金托管人按照法规要求需向中国证监会报送基金监督报告的，基金管理人应积极配合提供相关数据资料和制度等。</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和证券账户等投资所需账户、复核基金管理人计算的各类基金份额的基金资产净值、每万份基金已实现收益和7日年化收益率、根据基金管理人指令办理清算交收、相关信息披露和监督</w:t>
      </w:r>
      <w:r>
        <w:rPr>
          <w:rFonts w:ascii="宋体" w:hAnsi="宋体"/>
          <w:sz w:val="24"/>
        </w:rPr>
        <w:lastRenderedPageBreak/>
        <w:t>基金投资运作等行为。</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（3）基金托管人按照规定开设基金财产的资金账户、证券账户和投资所需的其他账户。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w:t>
      </w:r>
      <w:r>
        <w:rPr>
          <w:rFonts w:ascii="宋体" w:hAnsi="宋体"/>
          <w:sz w:val="24"/>
        </w:rPr>
        <w:lastRenderedPageBreak/>
        <w:t>基金资产。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基金银行账户的开立和管理应符合有关法律法规以及银行业监督管理机构的有关规定。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银行间清算所股份有限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资产净值是指基金资产总值减去负债后的价值。每万份基金已实现收益是按照相关法规计算的每万份基金份额的日已实现收益，精确到小数点后第4位，小数点后第5位四舍五入。7日年化收益率是以最近7个自然日(含节假日) 每万份基金已实现收益所折算的年资产收益率，精确到百分号内小数点后3位，百分号内小数点后第4位四舍五入。国家另有规定的，从其规定。</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各类基金份额的基金资产净值、每万份基金已实现收益和7日年化收益率由基金管理人负责计算，基金托管人复核。基金管理人应于每个工作日对基金资产估值后，将各类基金份额的基金资产净值、每万份基金已实现收益和7日年化收益率结果发送基金托管人，经基金托管人复核无误后，由基金管理人依据基金合同和相关法律法规的规定对外公布。月末、年中和年末估值复核与基金会计账目的核对同时进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各类基金份额的基金资产净值、每万份基金已实现收益和7日年化收益率，基金托管人复核、审查基金管理人计算的各类基金份额的基金资产净值、每万份基金已实现收益和7日年化收益率。因此，本基金的会计责任方是基金管理人，就与本基金有关的会计问题，如经相关各方在平等基础上充分讨论后，仍无法达成一致的意见，按照基金管理人对各类基金份额的基金资产净值、每万份基金已实现收益和7日年化收益率的计算结果对外予以公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基金份额持有人名册。基金份额持有人名册的内容必须包括基金份额持有人的名称和持有的基金份额。基金托管人不得将所保管的基金份额持有人名册用于基金托管业务以外的其他用途，并应遵守保密义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4、若基金管理人或基金托管人由于自身原因无法妥善保管基金份额持有人名册，应按有关法规规定各自承担相应的责任。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本协议及本协议项下各方的权利和义务适用中华人民共和国法律（为本协议之目的，不包括香港、澳门和台湾法律），并按照中华人民共和国法律解释。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5" w:name="_Toc210145139"/>
      <w:r>
        <w:rPr>
          <w:rFonts w:ascii="Times New Roman" w:hAnsi="Times New Roman"/>
          <w:sz w:val="30"/>
        </w:rPr>
        <w:lastRenderedPageBreak/>
        <w:t>二十二、对基金份额持有人的服务</w:t>
      </w:r>
      <w:bookmarkEnd w:id="25"/>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1、基金合同生效后的每次交易结束后，可在T+2个工作日后通过销售机构的网点查询和打印确认单；</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本基金管理人已开通基金网上直销业务，个人投资者可以直接通过本基金管理人网站的网上直销交易平台办理开户和本基金A类基金份额的申购、赎回、转换及定期定额投资等业务，有关详情可参见相关公告。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投资人如果想查询申购和赎回等交易情况、基金账户余额、基金产品与服务等信息，请拨打本基金管理人客户服务电话（400-700-5000，021-61055000）或登录本基金管理人网站（www.fund001.com）进行咨询、查询。</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本基金已开通基金份额的转换业务，具体实施方法请参见相关公告。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服务联系方式：</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6" w:name="_Toc210145140"/>
      <w:r>
        <w:rPr>
          <w:rFonts w:ascii="Times New Roman" w:hAnsi="Times New Roman"/>
          <w:sz w:val="30"/>
        </w:rPr>
        <w:lastRenderedPageBreak/>
        <w:t>二十三、其他应披露事项</w:t>
      </w:r>
      <w:bookmarkEnd w:id="26"/>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E</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交银施罗德基金管理有限公司关于交银施罗德现金宝货币市场基金于</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春节</w:t>
            </w:r>
            <w:r>
              <w:rPr>
                <w:rFonts w:ascii="Times New Roman" w:hAnsi="Times New Roman"/>
                <w:color w:val="000000"/>
                <w:kern w:val="0"/>
                <w:sz w:val="25"/>
                <w:szCs w:val="24"/>
              </w:rPr>
              <w:t>”</w:t>
            </w:r>
            <w:r>
              <w:rPr>
                <w:rFonts w:ascii="Times New Roman" w:hAnsi="Times New Roman"/>
                <w:color w:val="000000"/>
                <w:kern w:val="0"/>
                <w:sz w:val="25"/>
                <w:szCs w:val="24"/>
              </w:rPr>
              <w:t>假期前调整非直销销售机构大额申购（转换转入、定期定额投资）业务限额的公告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2025-02-24</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交银施罗德基金管理有限公司关于交银施罗德现金宝货币市场基金调整非直销销售机构大额申购（转换转入、定期定额投资）业务限额的公告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2025-04-17</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交银施罗德基金管理有限公司关于增加华西证券股份有限公司为旗下基金的销售机构的公告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161A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交银施罗德现金宝货币市场基金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61A68" w:rsidRDefault="004A6E9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7" w:name="_Toc210145141"/>
      <w:r>
        <w:rPr>
          <w:rFonts w:ascii="Times New Roman" w:hAnsi="Times New Roman"/>
          <w:sz w:val="30"/>
        </w:rPr>
        <w:lastRenderedPageBreak/>
        <w:t>二十四、招募说明书的存放及查阅方式</w:t>
      </w:r>
      <w:bookmarkEnd w:id="27"/>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A6E9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61A68" w:rsidRDefault="004A6E99">
      <w:pPr>
        <w:pStyle w:val="1"/>
        <w:snapToGrid w:val="0"/>
        <w:spacing w:beforeLines="0" w:before="240" w:after="240"/>
        <w:rPr>
          <w:rFonts w:ascii="宋体" w:hAnsi="宋体"/>
          <w:szCs w:val="30"/>
        </w:rPr>
      </w:pPr>
      <w:bookmarkStart w:id="28" w:name="_Toc210145142"/>
      <w:r>
        <w:rPr>
          <w:rFonts w:ascii="Times New Roman" w:hAnsi="Times New Roman"/>
          <w:sz w:val="30"/>
        </w:rPr>
        <w:lastRenderedPageBreak/>
        <w:t>二十五、备查文件</w:t>
      </w:r>
      <w:bookmarkEnd w:id="28"/>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（一）中国证监会准予交银施罗德现金宝货币市场基金募集注册的文件</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（二）《交银施罗德现金宝货币市场基金基金合同》</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（三）《交银施罗德现金宝货币市场基金托管协议》</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161A68" w:rsidRDefault="004A6E9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（六）关于申请募集注册交银施罗德现金宝货币市场基金的法律意见书</w:t>
      </w:r>
    </w:p>
    <w:sectPr w:rsidR="00161A68">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0D7" w:rsidRDefault="004A6E99">
      <w:r>
        <w:separator/>
      </w:r>
    </w:p>
  </w:endnote>
  <w:endnote w:type="continuationSeparator" w:id="0">
    <w:p w:rsidR="008820D7" w:rsidRDefault="004A6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A68" w:rsidRDefault="00161A6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A68" w:rsidRDefault="0073001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161A68" w:rsidRDefault="004A6E9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30014">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A68" w:rsidRDefault="00161A68">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A68" w:rsidRDefault="00730014">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161A68" w:rsidRDefault="004A6E9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30014">
                  <w:rPr>
                    <w:rFonts w:ascii="Times New Roman" w:hAnsi="Times New Roman"/>
                    <w:noProof/>
                    <w:kern w:val="0"/>
                    <w:sz w:val="18"/>
                    <w:szCs w:val="18"/>
                  </w:rPr>
                  <w:t>133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0D7" w:rsidRDefault="004A6E99">
      <w:r>
        <w:separator/>
      </w:r>
    </w:p>
  </w:footnote>
  <w:footnote w:type="continuationSeparator" w:id="0">
    <w:p w:rsidR="008820D7" w:rsidRDefault="004A6E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A68" w:rsidRDefault="00161A6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4A6E99">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61A68" w:rsidRDefault="004A6E99">
    <w:pPr>
      <w:pStyle w:val="a3"/>
      <w:jc w:val="right"/>
      <w:rPr>
        <w:rFonts w:ascii="宋体" w:hAnsi="宋体"/>
      </w:rPr>
    </w:pPr>
    <w:r>
      <w:rPr>
        <w:rFonts w:ascii="宋体" w:hAnsi="宋体" w:hint="eastAsia"/>
      </w:rPr>
      <w:t>交银施罗德现金宝货币市场基金招募说明书更新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A68" w:rsidRDefault="00161A68">
    <w:pPr>
      <w:pStyle w:val="10"/>
      <w:jc w:val="right"/>
    </w:pPr>
  </w:p>
  <w:p w:rsidR="00161A68" w:rsidRDefault="00161A68">
    <w:pPr>
      <w:pStyle w:val="10"/>
      <w:jc w:val="right"/>
    </w:pPr>
  </w:p>
  <w:p w:rsidR="00161A68" w:rsidRDefault="00161A68">
    <w:pPr>
      <w:pStyle w:val="a3"/>
      <w:jc w:val="right"/>
    </w:pPr>
  </w:p>
  <w:p w:rsidR="009E65D0" w:rsidRDefault="004A6E99">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61A68" w:rsidRDefault="004A6E99">
    <w:pPr>
      <w:pStyle w:val="a3"/>
      <w:jc w:val="right"/>
      <w:rPr>
        <w:rFonts w:ascii="宋体" w:hAnsi="宋体"/>
      </w:rPr>
    </w:pPr>
    <w:r>
      <w:rPr>
        <w:rFonts w:ascii="宋体" w:hAnsi="宋体" w:hint="eastAsia"/>
      </w:rPr>
      <w:t>交银施罗德现金宝货币市场基金招募说明书更新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A68" w:rsidRDefault="00161A68">
    <w:pPr>
      <w:pStyle w:val="a3"/>
      <w:jc w:val="right"/>
    </w:pPr>
  </w:p>
  <w:p w:rsidR="00161A68" w:rsidRDefault="00161A68">
    <w:pPr>
      <w:pStyle w:val="a3"/>
      <w:jc w:val="right"/>
    </w:pPr>
  </w:p>
  <w:p w:rsidR="00161A68" w:rsidRDefault="00161A68">
    <w:pPr>
      <w:pStyle w:val="a3"/>
      <w:jc w:val="right"/>
    </w:pPr>
  </w:p>
  <w:p w:rsidR="009E65D0" w:rsidRDefault="004A6E99">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61A68" w:rsidRDefault="004A6E99">
    <w:pPr>
      <w:pStyle w:val="a3"/>
      <w:jc w:val="right"/>
      <w:rPr>
        <w:rFonts w:ascii="宋体" w:hAnsi="宋体"/>
      </w:rPr>
    </w:pPr>
    <w:r>
      <w:rPr>
        <w:rFonts w:ascii="宋体" w:hAnsi="宋体" w:hint="eastAsia"/>
      </w:rPr>
      <w:t>交银施罗德现金宝货币市场基金招募说明书更新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1A68"/>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E9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0014"/>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20D7"/>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9F2236AE-7F9B-4920-BA28-FFB6FBEAA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134</Pages>
  <Words>14025</Words>
  <Characters>79947</Characters>
  <Application>Microsoft Office Word</Application>
  <DocSecurity>0</DocSecurity>
  <Lines>666</Lines>
  <Paragraphs>187</Paragraphs>
  <ScaleCrop>false</ScaleCrop>
  <Company>Microsoft</Company>
  <LinksUpToDate>false</LinksUpToDate>
  <CharactersWithSpaces>93785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2025-09-30T09:18:00Z</dcterms:created>
  <dcterms:modified xsi:type="dcterms:W3CDTF">2025-09-30T09:18:00Z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