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交银施罗德创业板50指数型证券投资基金（A类份额）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交银创业板50指数A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007464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2019-11-20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本基金采用指数化投资策略，紧密跟踪创业板50指数，追求跟踪偏离度与跟踪误差最小化。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创业板50指数的成份股（含存托凭证）及其备选成份股（含存托凭证）、其他股票(含中小板、创业板及其他经中国证监会核准上市的股票、存托凭证)、债券(含国债、央行票据、金融债券、政府支持债券、政府支持机构债券、 地方政府债券、企业债券、公司债券、可转换债券(含可分离交易可转换债券的纯债部分)、可交换公司债券、公开发行的次级债券、中期票据、短期融资券、超短期 融资券等)、资产支持证券、货币市场工具、债券回购、同业存单、银行存款(含协 议存款、定期存款及其他银行存款)、股指期货以及法律法规或中国证监会允许基金 投资的其他金融工具。 如法律法规或监管机构以后允许基金投资其他品种，基金管理人在履行适当程序后，可以将其纳入投资范围。 基金的投资组合比例为：本基金投资于创业板 50 指数成份股（含存托凭证）及其备选成份股（含存托凭证）的比例不低于基金资产净值的90%；每个交易日日终在扣除股指期货合约需缴纳的交易保证金后，本基金保留的现金或者投资于到期日在一年以内的政府债券的比例合计不低于基金资产净值的5%，其中现金不包括结算备付金、存出保证金、应收申购款等。 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本基金标的指数为创业板50指数。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1、组合复制策略；2、替代性策略；3、股指期货投资策略；4、资产支持证券投资策略。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创业板50指数收益率×95%＋人民币银行活期存款利率（税后）×5%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高于混合型基金、债券型基金和货币市场基金。本基金为指数型基金，主要采用组合复制策略及适当的替代性策略跟踪创业板50指数，具有与标的指数以及标的指数所代表的股票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详见《交银施罗德创业板50指数型证券投资基金招募说明书》第十部分“基金的投资”。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2、本基金合同于2019年11月20日生效，合同生效当年净值增长率按实际存续期计算。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7天≤N＜31天</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31天≤N＜181天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6、本基金的特有风险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（1）本基金为股票型基金，投资于创业板50指数成份股及其备选成份股的比例不低于基金资产净值的90%，因投资权益类资产而面临权益类资产市场的系统性风险和个股风险；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（3）基金合同提前终止风险。连续六十个工作日出现基金份额持有人数量不满200人或者基金资产净值低于5000万元情形的，基金管理人提前终止基金合同，不需召开基金份额持有人大会。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●《交银施罗德创业板50指数型证券投资基金基金合同》、</w:t>
      </w:r>
    </w:p>
    <w:p>
      <w:pPr>
        <w:ind w:firstLine="420"/>
        <w:jc w:val="left"/>
        <w:rPr>
          <w:rFonts w:ascii="仿宋_GB2312" w:eastAsia="仿宋_GB2312"/>
          <w:szCs w:val="21"/>
        </w:rPr>
      </w:pPr>
      <w:r>
        <w:rPr>
          <w:rFonts w:hint="eastAsia" w:ascii="仿宋_GB2312" w:eastAsia="仿宋_GB2312"/>
          <w:szCs w:val="21"/>
        </w:rPr>
        <w:t>《交银施罗德创业板50指数型证券投资基金托管协议》、</w:t>
      </w:r>
    </w:p>
    <w:p>
      <w:pPr>
        <w:ind w:firstLine="420"/>
        <w:jc w:val="left"/>
        <w:rPr>
          <w:rFonts w:ascii="仿宋_GB2312" w:eastAsia="仿宋_GB2312"/>
          <w:szCs w:val="21"/>
        </w:rPr>
      </w:pPr>
      <w:r>
        <w:rPr>
          <w:rFonts w:hint="eastAsia" w:ascii="仿宋_GB2312" w:eastAsia="仿宋_GB2312"/>
          <w:szCs w:val="21"/>
        </w:rPr>
        <w:t>《交银施罗德创业板50指数型证券投资基金招募说明书》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611B5"/>
    <w:rsid w:val="00C0525C"/>
    <w:rsid w:val="00CD7637"/>
    <w:rsid w:val="00D04A15"/>
    <w:rsid w:val="00D373CC"/>
    <w:rsid w:val="00DB319C"/>
    <w:rsid w:val="00E51B6D"/>
    <w:rsid w:val="00F75715"/>
    <w:rsid w:val="00F811C4"/>
    <w:rsid w:val="00FC2918"/>
    <w:rsid w:val="2ACE4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723</Words>
  <Characters>4125</Characters>
  <Lines>34</Lines>
  <Paragraphs>9</Paragraphs>
  <TotalTime>38</TotalTime>
  <ScaleCrop>false</ScaleCrop>
  <LinksUpToDate>false</LinksUpToDate>
  <CharactersWithSpaces>4839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2025-09-24T06:25:00Z</dcterms:created>
  <dc:creator>Cc</dc:creator>
  <cp:lastModifiedBy>haotingting</cp:lastModifiedBy>
  <dcterms:modified xsi:type="dcterms:W3CDTF">2025-09-24T09:17:57Z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52DF6AA932674B7298BF7E7C3A620537</vt:lpwstr>
  </property>
</Properties>
</file>