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C48A3">
      <w:pPr>
        <w:rPr>
          <w:sz w:val="32"/>
        </w:rPr>
      </w:pPr>
    </w:p>
    <w:p w:rsidR="00C92FC0" w:rsidRPr="00EB07BC" w:rsidRDefault="00CC48A3">
      <w:pPr>
        <w:rPr>
          <w:sz w:val="32"/>
        </w:rPr>
      </w:pPr>
    </w:p>
    <w:p w:rsidR="00C92FC0" w:rsidRPr="00EB07BC" w:rsidRDefault="00CC48A3">
      <w:pPr>
        <w:rPr>
          <w:sz w:val="32"/>
        </w:rPr>
      </w:pPr>
    </w:p>
    <w:p w:rsidR="00C92FC0" w:rsidRPr="00EB07BC" w:rsidRDefault="00156628">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DA27DF" w:rsidRDefault="00DA27D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A27DF" w:rsidRDefault="00DA27D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A27DF" w:rsidRDefault="00156628">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交银施罗德恒益灵活配置混合型证券投资基金</w:t>
      </w:r>
    </w:p>
    <w:p w:rsidR="00DA27DF" w:rsidRDefault="00156628">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A27DF" w:rsidRDefault="00DA27DF">
      <w:pPr>
        <w:snapToGrid w:val="0"/>
        <w:spacing w:line="360" w:lineRule="auto"/>
        <w:jc w:val="center"/>
        <w:rPr>
          <w:rFonts w:ascii="宋体" w:hAnsi="宋体"/>
          <w:b/>
          <w:sz w:val="30"/>
          <w:szCs w:val="30"/>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15662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A27DF" w:rsidRDefault="0015662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DA27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A27DF" w:rsidRDefault="00156628">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DA27DF" w:rsidRDefault="00DA27DF">
      <w:pPr>
        <w:autoSpaceDE w:val="0"/>
        <w:autoSpaceDN w:val="0"/>
        <w:adjustRightInd w:val="0"/>
        <w:snapToGrid w:val="0"/>
        <w:spacing w:line="360" w:lineRule="auto"/>
        <w:ind w:left="1347" w:rightChars="6" w:right="13"/>
        <w:rPr>
          <w:rFonts w:ascii="宋体" w:hAnsi="宋体"/>
          <w:kern w:val="0"/>
          <w:sz w:val="32"/>
          <w:szCs w:val="32"/>
        </w:rPr>
        <w:sectPr w:rsidR="00DA27DF">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DA27DF" w:rsidRDefault="00156628">
      <w:pPr>
        <w:pStyle w:val="1"/>
        <w:snapToGrid w:val="0"/>
        <w:spacing w:beforeLines="0" w:before="240" w:after="240"/>
        <w:rPr>
          <w:rFonts w:ascii="宋体" w:hAnsi="宋体"/>
          <w:kern w:val="0"/>
        </w:rPr>
      </w:pPr>
      <w:bookmarkStart w:id="0" w:name="_Toc324920538"/>
      <w:bookmarkStart w:id="1" w:name="_Toc496884613"/>
      <w:bookmarkStart w:id="2" w:name="_Toc210145115"/>
      <w:r>
        <w:rPr>
          <w:rFonts w:ascii="Times New Roman" w:hAnsi="Times New Roman"/>
          <w:kern w:val="0"/>
        </w:rPr>
        <w:lastRenderedPageBreak/>
        <w:t>重要提示</w:t>
      </w:r>
      <w:bookmarkEnd w:id="0"/>
      <w:bookmarkEnd w:id="1"/>
      <w:bookmarkEnd w:id="2"/>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交银施罗德恒益灵活配置混合型证券投资基金（以下简称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2017</w:t>
      </w:r>
      <w:r>
        <w:rPr>
          <w:rFonts w:ascii="Times New Roman" w:hAnsi="Times New Roman"/>
          <w:kern w:val="0"/>
          <w:sz w:val="24"/>
        </w:rPr>
        <w:t>】</w:t>
      </w:r>
      <w:r>
        <w:rPr>
          <w:rFonts w:ascii="Times New Roman" w:hAnsi="Times New Roman"/>
          <w:kern w:val="0"/>
          <w:sz w:val="24"/>
        </w:rPr>
        <w:t>1179</w:t>
      </w:r>
      <w:r>
        <w:rPr>
          <w:rFonts w:ascii="Times New Roman" w:hAnsi="Times New Roman"/>
          <w:kern w:val="0"/>
          <w:sz w:val="24"/>
        </w:rPr>
        <w:t>号文准予募集注册。本基金基金合同于</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15</w:t>
      </w:r>
      <w:r>
        <w:rPr>
          <w:rFonts w:ascii="Times New Roman" w:hAnsi="Times New Roman"/>
          <w:kern w:val="0"/>
          <w:sz w:val="24"/>
        </w:rPr>
        <w:t>日正式生效。</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资产支持证券的特定风险；投资流通受限证券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本基金的目标客户不包括特定的机构投资者。</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A27DF" w:rsidRDefault="0015662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DA27DF" w:rsidRDefault="00DA27DF">
      <w:pPr>
        <w:autoSpaceDE w:val="0"/>
        <w:autoSpaceDN w:val="0"/>
        <w:adjustRightInd w:val="0"/>
        <w:snapToGrid w:val="0"/>
        <w:spacing w:before="51" w:line="360" w:lineRule="auto"/>
        <w:ind w:left="120" w:rightChars="6" w:right="13" w:firstLine="480"/>
        <w:rPr>
          <w:rFonts w:ascii="宋体" w:hAnsi="宋体"/>
          <w:kern w:val="0"/>
          <w:szCs w:val="24"/>
        </w:rPr>
        <w:sectPr w:rsidR="00DA27DF">
          <w:headerReference w:type="default" r:id="rId15"/>
          <w:pgSz w:w="11920" w:h="16840"/>
          <w:pgMar w:top="1440" w:right="1680" w:bottom="280" w:left="1680" w:header="0" w:footer="1073" w:gutter="0"/>
          <w:pgNumType w:start="1"/>
          <w:cols w:space="720"/>
        </w:sectPr>
      </w:pPr>
    </w:p>
    <w:p w:rsidR="00CC48A3" w:rsidRPr="00CC48A3" w:rsidRDefault="00156628" w:rsidP="00CC48A3">
      <w:pPr>
        <w:pStyle w:val="ad"/>
        <w:snapToGrid w:val="0"/>
        <w:spacing w:after="240" w:line="360" w:lineRule="auto"/>
        <w:jc w:val="center"/>
        <w:rPr>
          <w:rFonts w:ascii="宋体" w:hAnsi="宋体"/>
          <w:noProof/>
          <w:sz w:val="24"/>
        </w:rPr>
      </w:pPr>
      <w:r w:rsidRPr="00CC48A3">
        <w:rPr>
          <w:rFonts w:ascii="宋体" w:hAnsi="宋体"/>
          <w:color w:val="000000"/>
          <w:position w:val="-4"/>
          <w:sz w:val="24"/>
          <w:szCs w:val="30"/>
        </w:rPr>
        <w:lastRenderedPageBreak/>
        <w:t>目</w:t>
      </w:r>
      <w:r w:rsidRPr="00CC48A3">
        <w:rPr>
          <w:rFonts w:ascii="宋体" w:hAnsi="宋体"/>
          <w:color w:val="000000"/>
          <w:position w:val="-4"/>
          <w:sz w:val="24"/>
          <w:szCs w:val="30"/>
        </w:rPr>
        <w:tab/>
        <w:t>录</w:t>
      </w:r>
      <w:r w:rsidR="00CC48A3" w:rsidRPr="00CC48A3">
        <w:rPr>
          <w:rFonts w:ascii="宋体" w:hAnsi="宋体"/>
          <w:color w:val="000000"/>
          <w:position w:val="-4"/>
          <w:sz w:val="24"/>
          <w:szCs w:val="30"/>
        </w:rPr>
        <w:fldChar w:fldCharType="begin"/>
      </w:r>
      <w:r w:rsidR="00CC48A3" w:rsidRPr="00CC48A3">
        <w:rPr>
          <w:rFonts w:ascii="宋体" w:hAnsi="宋体"/>
          <w:color w:val="000000"/>
          <w:position w:val="-4"/>
          <w:sz w:val="24"/>
          <w:szCs w:val="30"/>
        </w:rPr>
        <w:instrText xml:space="preserve"> TOC \o "1-3" \f - \h \t "-1" </w:instrText>
      </w:r>
      <w:r w:rsidR="00CC48A3" w:rsidRPr="00CC48A3">
        <w:rPr>
          <w:rFonts w:ascii="宋体" w:hAnsi="宋体"/>
          <w:color w:val="000000"/>
          <w:position w:val="-4"/>
          <w:sz w:val="24"/>
          <w:szCs w:val="30"/>
        </w:rPr>
        <w:fldChar w:fldCharType="separate"/>
      </w:r>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15" w:history="1">
        <w:r w:rsidRPr="00CC48A3">
          <w:rPr>
            <w:rStyle w:val="aa"/>
            <w:rFonts w:ascii="宋体" w:hAnsi="宋体" w:hint="eastAsia"/>
            <w:noProof/>
            <w:kern w:val="0"/>
            <w:sz w:val="24"/>
          </w:rPr>
          <w:t>重要提示</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_Toc210145115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16" w:history="1">
        <w:r w:rsidRPr="00CC48A3">
          <w:rPr>
            <w:rStyle w:val="aa"/>
            <w:rFonts w:ascii="宋体" w:hAnsi="宋体" w:hint="eastAsia"/>
            <w:noProof/>
            <w:sz w:val="24"/>
          </w:rPr>
          <w:t>一、绪言</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_Toc210145116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4</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17" w:history="1">
        <w:r w:rsidRPr="00CC48A3">
          <w:rPr>
            <w:rStyle w:val="aa"/>
            <w:rFonts w:ascii="宋体" w:hAnsi="宋体" w:hint="eastAsia"/>
            <w:noProof/>
            <w:sz w:val="24"/>
          </w:rPr>
          <w:t>二、释义</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_Toc210145117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5</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18" w:history="1">
        <w:r w:rsidRPr="00CC48A3">
          <w:rPr>
            <w:rStyle w:val="aa"/>
            <w:rFonts w:ascii="宋体" w:hAnsi="宋体" w:hint="eastAsia"/>
            <w:noProof/>
            <w:sz w:val="24"/>
          </w:rPr>
          <w:t>三、基金管理人</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_Toc210145118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10</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19" w:history="1">
        <w:r w:rsidRPr="00CC48A3">
          <w:rPr>
            <w:rStyle w:val="aa"/>
            <w:rFonts w:ascii="宋体" w:hAnsi="宋体" w:hint="eastAsia"/>
            <w:noProof/>
            <w:sz w:val="24"/>
          </w:rPr>
          <w:t>四、基金托管人</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_Toc210145119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18</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0" w:history="1">
        <w:r w:rsidRPr="00CC48A3">
          <w:rPr>
            <w:rStyle w:val="aa"/>
            <w:rFonts w:ascii="宋体" w:hAnsi="宋体" w:hint="eastAsia"/>
            <w:noProof/>
            <w:sz w:val="24"/>
          </w:rPr>
          <w:t>五、相关服务机构</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_Toc210145120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21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1" w:history="1">
        <w:r w:rsidRPr="00CC48A3">
          <w:rPr>
            <w:rStyle w:val="aa"/>
            <w:rFonts w:ascii="宋体" w:hAnsi="宋体" w:hint="eastAsia"/>
            <w:noProof/>
            <w:sz w:val="24"/>
          </w:rPr>
          <w:t>六、基金的募集</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_Toc210145121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49</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2" w:history="1">
        <w:r w:rsidRPr="00CC48A3">
          <w:rPr>
            <w:rStyle w:val="aa"/>
            <w:rFonts w:ascii="宋体" w:hAnsi="宋体" w:hint="eastAsia"/>
            <w:noProof/>
            <w:sz w:val="24"/>
          </w:rPr>
          <w:t>七、基金合同的生效</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_Toc210145122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50</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3" w:history="1">
        <w:r w:rsidRPr="00CC48A3">
          <w:rPr>
            <w:rStyle w:val="aa"/>
            <w:rFonts w:ascii="宋体" w:hAnsi="宋体" w:hint="eastAsia"/>
            <w:noProof/>
            <w:sz w:val="24"/>
          </w:rPr>
          <w:t>八、基金份额的申购与赎回</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_Toc210145123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51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4" w:history="1">
        <w:r w:rsidRPr="00CC48A3">
          <w:rPr>
            <w:rStyle w:val="aa"/>
            <w:rFonts w:ascii="宋体" w:hAnsi="宋体" w:hint="eastAsia"/>
            <w:noProof/>
            <w:sz w:val="24"/>
          </w:rPr>
          <w:t>九、基金的转换</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_Toc210145124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65</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5" w:history="1">
        <w:r w:rsidRPr="00CC48A3">
          <w:rPr>
            <w:rStyle w:val="aa"/>
            <w:rFonts w:ascii="宋体" w:hAnsi="宋体" w:hint="eastAsia"/>
            <w:noProof/>
            <w:sz w:val="24"/>
          </w:rPr>
          <w:t>十、基金的投资</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_Toc210145125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72</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6" w:history="1">
        <w:r w:rsidRPr="00CC48A3">
          <w:rPr>
            <w:rStyle w:val="aa"/>
            <w:rFonts w:ascii="宋体" w:hAnsi="宋体" w:hint="eastAsia"/>
            <w:noProof/>
            <w:sz w:val="24"/>
          </w:rPr>
          <w:t>十一、基金的业绩</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_Toc210145126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86</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7" w:history="1">
        <w:r w:rsidRPr="00CC48A3">
          <w:rPr>
            <w:rStyle w:val="aa"/>
            <w:rFonts w:ascii="宋体" w:hAnsi="宋体" w:hint="eastAsia"/>
            <w:noProof/>
            <w:sz w:val="24"/>
          </w:rPr>
          <w:t>十二、基金的财产</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_Toc210145127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89</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8" w:history="1">
        <w:r w:rsidRPr="00CC48A3">
          <w:rPr>
            <w:rStyle w:val="aa"/>
            <w:rFonts w:ascii="宋体" w:hAnsi="宋体" w:hint="eastAsia"/>
            <w:noProof/>
            <w:sz w:val="24"/>
          </w:rPr>
          <w:t>十三、基金资产的估值</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_Toc210145128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90</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29" w:history="1">
        <w:r w:rsidRPr="00CC48A3">
          <w:rPr>
            <w:rStyle w:val="aa"/>
            <w:rFonts w:ascii="宋体" w:hAnsi="宋体" w:hint="eastAsia"/>
            <w:noProof/>
            <w:sz w:val="24"/>
          </w:rPr>
          <w:t>十四、基金收益与分配</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_Toc210145129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95</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0" w:history="1">
        <w:r w:rsidRPr="00CC48A3">
          <w:rPr>
            <w:rStyle w:val="aa"/>
            <w:rFonts w:ascii="宋体" w:hAnsi="宋体" w:hint="eastAsia"/>
            <w:noProof/>
            <w:sz w:val="24"/>
          </w:rPr>
          <w:t>十五、基金的费用与税收</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_Toc210145130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97</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1" w:history="1">
        <w:r w:rsidRPr="00CC48A3">
          <w:rPr>
            <w:rStyle w:val="aa"/>
            <w:rFonts w:ascii="宋体" w:hAnsi="宋体" w:hint="eastAsia"/>
            <w:noProof/>
            <w:sz w:val="24"/>
          </w:rPr>
          <w:t>十六、基金的会计与审计</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_Toc210145131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100</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2" w:history="1">
        <w:r w:rsidRPr="00CC48A3">
          <w:rPr>
            <w:rStyle w:val="aa"/>
            <w:rFonts w:ascii="宋体" w:hAnsi="宋体" w:hint="eastAsia"/>
            <w:noProof/>
            <w:sz w:val="24"/>
          </w:rPr>
          <w:t>十七、基金的信息披露</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_Toc210145132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101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3" w:history="1">
        <w:r w:rsidRPr="00CC48A3">
          <w:rPr>
            <w:rStyle w:val="aa"/>
            <w:rFonts w:ascii="宋体" w:hAnsi="宋体" w:hint="eastAsia"/>
            <w:noProof/>
            <w:sz w:val="24"/>
          </w:rPr>
          <w:t>十八、侧袋机制</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_Toc210145133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108</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4" w:history="1">
        <w:r w:rsidRPr="00CC48A3">
          <w:rPr>
            <w:rStyle w:val="aa"/>
            <w:rFonts w:ascii="宋体" w:hAnsi="宋体" w:hint="eastAsia"/>
            <w:noProof/>
            <w:sz w:val="24"/>
          </w:rPr>
          <w:t>十九、风险揭示</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_Toc210145134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111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5" w:history="1">
        <w:r w:rsidRPr="00CC48A3">
          <w:rPr>
            <w:rStyle w:val="aa"/>
            <w:rFonts w:ascii="宋体" w:hAnsi="宋体" w:hint="eastAsia"/>
            <w:noProof/>
            <w:sz w:val="24"/>
          </w:rPr>
          <w:t>二十、基金合同的变更、终止与基金财产的清算</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_Toc210145135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119</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6" w:history="1">
        <w:r w:rsidRPr="00CC48A3">
          <w:rPr>
            <w:rStyle w:val="aa"/>
            <w:rFonts w:ascii="宋体" w:hAnsi="宋体" w:hint="eastAsia"/>
            <w:noProof/>
            <w:sz w:val="24"/>
          </w:rPr>
          <w:t>二十一、基金合同内容摘要</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_Toc210145136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121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7" w:history="1">
        <w:r w:rsidRPr="00CC48A3">
          <w:rPr>
            <w:rStyle w:val="aa"/>
            <w:rFonts w:ascii="宋体" w:hAnsi="宋体" w:hint="eastAsia"/>
            <w:noProof/>
            <w:sz w:val="24"/>
          </w:rPr>
          <w:t>二十二、托管协议的内容摘要</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_Toc210145137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138</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8" w:history="1">
        <w:r w:rsidRPr="00CC48A3">
          <w:rPr>
            <w:rStyle w:val="aa"/>
            <w:rFonts w:ascii="宋体" w:hAnsi="宋体" w:hint="eastAsia"/>
            <w:noProof/>
            <w:sz w:val="24"/>
          </w:rPr>
          <w:t>二十三、对基金份额持有人的服务</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_Toc210145138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151</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39" w:history="1">
        <w:r w:rsidRPr="00CC48A3">
          <w:rPr>
            <w:rStyle w:val="aa"/>
            <w:rFonts w:ascii="宋体" w:hAnsi="宋体" w:hint="eastAsia"/>
            <w:noProof/>
            <w:sz w:val="24"/>
          </w:rPr>
          <w:t>二十四、其他应披露事项</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_Toc210145139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153</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40" w:history="1">
        <w:r w:rsidRPr="00CC48A3">
          <w:rPr>
            <w:rStyle w:val="aa"/>
            <w:rFonts w:ascii="宋体" w:hAnsi="宋体" w:hint="eastAsia"/>
            <w:noProof/>
            <w:sz w:val="24"/>
          </w:rPr>
          <w:t>二十五、招募说明书的存放及查阅方式</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_Toc210145140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156</w:t>
        </w:r>
        <w:r w:rsidRPr="00CC48A3">
          <w:rPr>
            <w:rFonts w:ascii="宋体" w:hAnsi="宋体"/>
            <w:noProof/>
            <w:sz w:val="24"/>
          </w:rPr>
          <w:fldChar w:fldCharType="end"/>
        </w:r>
      </w:hyperlink>
    </w:p>
    <w:p w:rsidR="00CC48A3" w:rsidRPr="00CC48A3" w:rsidRDefault="00CC48A3" w:rsidP="00CC48A3">
      <w:pPr>
        <w:pStyle w:val="10"/>
        <w:tabs>
          <w:tab w:val="right" w:leader="dot" w:pos="8550"/>
        </w:tabs>
        <w:spacing w:line="360" w:lineRule="auto"/>
        <w:rPr>
          <w:rFonts w:ascii="宋体" w:hAnsi="宋体" w:cstheme="minorBidi"/>
          <w:noProof/>
          <w:sz w:val="24"/>
        </w:rPr>
      </w:pPr>
      <w:hyperlink w:anchor="_Toc210145141" w:history="1">
        <w:r w:rsidRPr="00CC48A3">
          <w:rPr>
            <w:rStyle w:val="aa"/>
            <w:rFonts w:ascii="宋体" w:hAnsi="宋体" w:hint="eastAsia"/>
            <w:noProof/>
            <w:sz w:val="24"/>
          </w:rPr>
          <w:t>二十六、备查文件</w:t>
        </w:r>
        <w:r w:rsidRPr="00CC48A3">
          <w:rPr>
            <w:rFonts w:ascii="宋体" w:hAnsi="宋体"/>
            <w:noProof/>
            <w:sz w:val="24"/>
          </w:rPr>
          <w:tab/>
        </w:r>
        <w:r w:rsidRPr="00CC48A3">
          <w:rPr>
            <w:rFonts w:ascii="宋体" w:hAnsi="宋体"/>
            <w:noProof/>
            <w:sz w:val="24"/>
          </w:rPr>
          <w:fldChar w:fldCharType="begin"/>
        </w:r>
        <w:r w:rsidRPr="00CC48A3">
          <w:rPr>
            <w:rFonts w:ascii="宋体" w:hAnsi="宋体"/>
            <w:noProof/>
            <w:sz w:val="24"/>
          </w:rPr>
          <w:instrText xml:space="preserve"> PAGEREF _Toc210145141 \h </w:instrText>
        </w:r>
        <w:r w:rsidRPr="00CC48A3">
          <w:rPr>
            <w:rFonts w:ascii="宋体" w:hAnsi="宋体"/>
            <w:noProof/>
            <w:sz w:val="24"/>
          </w:rPr>
        </w:r>
        <w:r w:rsidRPr="00CC48A3">
          <w:rPr>
            <w:rFonts w:ascii="宋体" w:hAnsi="宋体"/>
            <w:noProof/>
            <w:sz w:val="24"/>
          </w:rPr>
          <w:fldChar w:fldCharType="separate"/>
        </w:r>
        <w:r w:rsidRPr="00CC48A3">
          <w:rPr>
            <w:rFonts w:ascii="宋体" w:hAnsi="宋体"/>
            <w:noProof/>
            <w:sz w:val="24"/>
          </w:rPr>
          <w:t>157</w:t>
        </w:r>
        <w:r w:rsidRPr="00CC48A3">
          <w:rPr>
            <w:rFonts w:ascii="宋体" w:hAnsi="宋体"/>
            <w:noProof/>
            <w:sz w:val="24"/>
          </w:rPr>
          <w:fldChar w:fldCharType="end"/>
        </w:r>
      </w:hyperlink>
    </w:p>
    <w:p w:rsidR="00DA27DF" w:rsidRPr="00CC48A3" w:rsidRDefault="00CC48A3" w:rsidP="00CC48A3">
      <w:pPr>
        <w:pStyle w:val="ad"/>
        <w:snapToGrid w:val="0"/>
        <w:spacing w:after="240" w:line="360" w:lineRule="auto"/>
        <w:jc w:val="center"/>
        <w:rPr>
          <w:rFonts w:ascii="宋体" w:hAnsi="宋体"/>
          <w:color w:val="000000"/>
          <w:sz w:val="24"/>
        </w:rPr>
      </w:pPr>
      <w:r w:rsidRPr="00CC48A3">
        <w:rPr>
          <w:rFonts w:ascii="宋体" w:hAnsi="宋体"/>
          <w:color w:val="000000"/>
          <w:position w:val="-4"/>
          <w:sz w:val="24"/>
          <w:szCs w:val="30"/>
        </w:rPr>
        <w:fldChar w:fldCharType="end"/>
      </w:r>
      <w:bookmarkStart w:id="3" w:name="_GoBack"/>
      <w:bookmarkEnd w:id="3"/>
    </w:p>
    <w:p w:rsidR="00DA27DF" w:rsidRDefault="00DA27DF">
      <w:pPr>
        <w:autoSpaceDE w:val="0"/>
        <w:autoSpaceDN w:val="0"/>
        <w:adjustRightInd w:val="0"/>
        <w:snapToGrid w:val="0"/>
        <w:spacing w:line="360" w:lineRule="auto"/>
        <w:ind w:left="120" w:rightChars="6" w:right="13"/>
        <w:rPr>
          <w:rFonts w:ascii="宋体" w:hAnsi="宋体"/>
          <w:kern w:val="0"/>
          <w:szCs w:val="24"/>
        </w:rPr>
        <w:sectPr w:rsidR="00DA27DF">
          <w:pgSz w:w="11920" w:h="16840"/>
          <w:pgMar w:top="1480" w:right="1680" w:bottom="280" w:left="1680" w:header="0" w:footer="1073" w:gutter="0"/>
          <w:cols w:space="720"/>
        </w:sectPr>
      </w:pPr>
    </w:p>
    <w:p w:rsidR="00DA27DF" w:rsidRDefault="00156628">
      <w:pPr>
        <w:pStyle w:val="1"/>
        <w:snapToGrid w:val="0"/>
        <w:spacing w:beforeLines="0" w:before="240" w:after="240"/>
        <w:rPr>
          <w:rFonts w:ascii="宋体" w:hAnsi="宋体"/>
          <w:szCs w:val="30"/>
        </w:rPr>
      </w:pPr>
      <w:bookmarkStart w:id="4" w:name="_Toc210145116"/>
      <w:r>
        <w:rPr>
          <w:rFonts w:ascii="Times New Roman" w:hAnsi="Times New Roman"/>
          <w:sz w:val="30"/>
        </w:rPr>
        <w:lastRenderedPageBreak/>
        <w:t>一、绪言</w:t>
      </w:r>
      <w:bookmarkEnd w:id="4"/>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恒益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恒益灵活配置混合型证券投资基金基金合同》（以下简称“基金合同”）编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5" w:name="_Toc210145117"/>
      <w:r>
        <w:rPr>
          <w:rFonts w:ascii="Times New Roman" w:hAnsi="Times New Roman"/>
          <w:sz w:val="30"/>
        </w:rPr>
        <w:lastRenderedPageBreak/>
        <w:t>二、释义</w:t>
      </w:r>
      <w:bookmarkEnd w:id="5"/>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1、基金或本基金：指交银施罗德恒益灵活配置混合型证券投资基金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4、《基金合同》或基金合同：指《交银施罗德恒益灵活配置混合型证券投资基金基金合同》及对基金合同的任何有效修订和补充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5、托管协议：指基金管理人与基金托管人就本基金签订之《交银施罗德恒益灵活配置混合型证券投资基金托管协议》及对该托管协议的任何有效修订和补充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6、招募说明书或《招募说明书》或本招募说明书：指《交银施罗德恒益灵活配置混合型证券投资基金招募说明书》及其更新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7、基金份额发售公告：指《交银施罗德恒益灵活配置混合型证券投资基金基金份额发售公告》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8、基金产品资料概要：指《交银施罗德恒益灵活配置混合型证券投资基金基金产品资料概要》及其更新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办理认购、申购、赎回、转换、定期定额投资及转托管等业务而引起的基金份额变动及结余情况的账户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w:t>
      </w:r>
      <w:r>
        <w:rPr>
          <w:rFonts w:ascii="宋体" w:hAnsi="宋体"/>
          <w:sz w:val="24"/>
        </w:rPr>
        <w:lastRenderedPageBreak/>
        <w:t>基金份额销售机构的操作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6" w:name="_Toc210145118"/>
      <w:r>
        <w:rPr>
          <w:rFonts w:ascii="Times New Roman" w:hAnsi="Times New Roman"/>
          <w:sz w:val="30"/>
        </w:rPr>
        <w:lastRenderedPageBreak/>
        <w:t>三、基金管理人</w:t>
      </w:r>
      <w:bookmarkEnd w:id="6"/>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基金经理。北京大学经济学硕士，吉林大学经济学学士、理学学士。13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荣鑫灵活配置混合型证券投资基金(2019年11月28日至2023年02月16日)、交银施罗德安心收益债券型证券投资基金(2019年11月28日至2022年01月26日)、交银施罗德优择回报灵活配置混合型证券投资基金(2020年07月09日至2024年12月07日)、交银施罗德优选回报灵活配置混合型证券投资基金(2020年07月09日至2024年12月03日)、交银施罗德稳进回报六个月持有期混合型证券投资基金(2023年02月01日至2025年03月15日)的基金经理。现任交银施罗德新回报灵活配置混合型证券投资基金(2020年07月09日至今)、交银施罗德瑞鑫六个月持有期混合型证券投资基金(2020年07月09日至今)、交银施罗德恒益灵活配置混合型证券投资基金(2020年07月09日至今)、交银施罗德多策略回报灵活配置混合型证券投资基金(2020年07月09日至今)、交银施罗德周期回报灵活配置混合型证券投资基金(2020年07月09日至今)、交银施罗德臻选回报混合型证券投资基金(2020年12月23日至今)、交银施罗德稳悦回报债券型证券投资基金(2024年03月27日至今)的基金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湘怡女士:基金经理。武汉纺织大学会计学学士。15年证券投资行业从业经验，曾任中海基金管理有限公司交易员。2015年加入交银施罗德基金管理有限公司，历任中央交易室高级交易员、专户投资部投资经理、混合资产投资部投资经</w:t>
      </w:r>
      <w:r>
        <w:rPr>
          <w:rFonts w:ascii="宋体" w:hAnsi="宋体"/>
          <w:sz w:val="24"/>
        </w:rPr>
        <w:lastRenderedPageBreak/>
        <w:t>理、基金经理助理，现任混合资产投资部基金经理。现任交银施罗德稳进回报六个月持有期混合型证券投资基金(2024年10月23日至今)、交银施罗德稳悦回报债券型证券投资基金(2024年10月23日至今)、交银施罗德周期回报灵活配置混合型证券投资基金(2024年12月17日至今)、交银施罗德瑞鑫六个月持有期混合型证券投资基金(2024年12月26日至今)、交银施罗德新回报灵活配置混合型证券投资基金(2024年12月26日至今)、交银施罗德恒益灵活配置混合型证券投资基金(2024年12月26日至今)的基金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盖婷婷女士(2017年09月15日至2018年09月21日)；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王少成先生(2018年08月24日至2019年08月28日)；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7" w:name="_Toc210145119"/>
      <w:r>
        <w:rPr>
          <w:rFonts w:ascii="Times New Roman" w:hAnsi="Times New Roman"/>
          <w:sz w:val="30"/>
        </w:rPr>
        <w:lastRenderedPageBreak/>
        <w:t>四、基金托管人</w:t>
      </w:r>
      <w:bookmarkEnd w:id="7"/>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8" w:name="_Toc210145120"/>
      <w:r>
        <w:rPr>
          <w:rFonts w:ascii="Times New Roman" w:hAnsi="Times New Roman"/>
          <w:sz w:val="30"/>
        </w:rPr>
        <w:lastRenderedPageBreak/>
        <w:t>五、相关服务机构</w:t>
      </w:r>
      <w:bookmarkEnd w:id="8"/>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（3）名称：中国农业银行股份有限公司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（6）名称：中国银河证券股份有限公司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（8）名称：华福证券有限责任公司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（9）名称：国投证券股份有限公司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（10）名称：中信建投证券股份有限公司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（11）名称：东方财富证券股份有限公司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（12）名称：华泰证券股份有限公司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（13）名称：海通证券股份有限公司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（14）名称：上海华信证券有限责任公司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注册地址：上海浦东新区世纪大道100号环球金融中心9楼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办公地址：上海浦东新区世纪大道100号环球金融中心9楼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电话：021-38784818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传真：021-38784818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客服电话：400-820-5999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公司网址：www.shhxzq.com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（15）名称：华龙证券股份有限公司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（16）名称：大同证券有限责任公司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注册地址：山西省大同市城区迎宾街15号桐城中央21层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（17）名称：爱建证券有限责任公司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（18）名称：长江证券股份有限公司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（19）名称：中信证券华南股份有限公司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电话：020-88836999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（20）名称：第一创业证券股份有限公司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（21）名称：申万宏源证券有限公司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（22）名称：国都证券股份有限公司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（23）名称：平安证券股份有限公司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办公地址：深圳市福田区金田路大中华国际交易广场裙楼8楼(518048)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（25）名称：申万宏源西部证券有限公司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（26）名称：中泰证券股份有限公司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传真：（0531）68889752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（27）名称：中国国际金融股份有限公司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（28）名称：长城证券有限责任公司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（29）名称：国金证券股份有限公司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（30）名称：渤海证券股份有限公司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住所：天津经济技术开发区第二大街42号写字楼101室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（31）名称：信达证券股份有限公司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（32）名称：国新证券股份有限公司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（33）名称：中国中金财富证券有限公司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法定代表人：高涛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（34）名称：兴业证券股份有限公司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（35）名称：广发证券股份有限公司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（36）名称：东方证券股份有限公司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（37）名称：华宝证券股份有限公司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（38）名称：华西证券股份有限公司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（39）名称：国泰海通证券股份有限公司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（40）名称：深圳市新兰德证券投资咨询有限公司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（41）名称：玄元保险代理有限公司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（42）名称：京东肯特瑞基金销售有限公司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（43）名称：上海大智慧基金销售有限公司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联系人：张蜓</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（44）名称：珠海盈米基金销售有限公司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（45）名称：上海华夏财富投资管理有限公司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（46）名称：北京度小满基金销售有限公司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（47）名称：南京苏宁基金销售有限公司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（48）名称：嘉实财富管理有限公司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（49）名称：北京汇成基金销售有限公司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（50）名称：上海利得基金销售有限公司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法定代表人：李兴春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（51）名称：北京虹点基金销售有限公司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（52）名称：上海陆金所基金销售有限公司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（53）名称：上海挖财基金销售有限公司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邮编：200120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（54）名称：万家财富基金销售（天津）有限公司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（55）名称：上海万得基金销售有限公司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（56）名称：格上富信投资顾问有限公司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网址：www.igesafe.com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（57）名称：深圳市金斧子基金销售有限公司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（58）名称：北京雪球基金销售有限公司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（59）名称：北京新浪仓石基金销售有限公司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（60）名称：中证金牛（北京）基金销售有限公司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北京市丰台区东管头1号2号楼2-45室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（61）名称：上海证达通基金销售有限公司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（62）名称：北京创金启富基金销售有限公司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（63）名称：奕丰基金销售有限公司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法定代表人：TEO WEE HOWE</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（64）名称：上海天天基金销售有限公司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（65）名称：和讯信息科技有限公司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（66）名称：诺亚正行基金销售有限公司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（67）名称：上海好买基金销售有限公司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（68）名称：上海长量基金销售有限公司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（69）名称：深圳众禄基金销售股份有限公司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（70）名称：蚂蚁（杭州）基金销售有限公司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住所：浙江省杭州市余杭区五常街道文一西路969号3幢5层599室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（71）名称：中信期货有限公司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（72）名称：天相投资顾问有限公司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（73）名称：上海基煜基金销售有限公司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（74）名称：浙江同花顺基金销售有限公司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（75）名称：宜信普泽（北京）基金销售有限公司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（76）名称：上海联泰基金销售有限公司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电话：021-52822063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（77）名称：北京展恒基金销售股份有限公司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（78）名称：阳光人寿保险股份有限公司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（79）名称：中国人寿保险股份有限公司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（80）名称：腾安基金销售（深圳）有限公司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住所：深圳市前海深港合作区前湾一路1号A栋201室（入驻深圳市前海商务秘书有限公司）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（81）名称：济安财富（北京）基金销售有限公司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（82）名称：大连网金基金销售有限公司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（83）名称：博时财富基金销售有限公司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电话：0755-83169999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（84）名称：深圳前海微众银行股份有限公司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（85）名称：泛华普益基金销售有限公司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（86）名称：和耕传承基金销售有限公司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传真：0371-85518397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（87）名称：上海中欧财富基金销售有限公司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联系人：丁媛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9" w:name="_Toc210145121"/>
      <w:r>
        <w:rPr>
          <w:rFonts w:ascii="Times New Roman" w:hAnsi="Times New Roman"/>
          <w:sz w:val="30"/>
        </w:rPr>
        <w:lastRenderedPageBreak/>
        <w:t>六、基金的募集</w:t>
      </w:r>
      <w:bookmarkEnd w:id="9"/>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本基金由基金管理人依照《基金法》、《运作办法》、《销售办法》、基金合同及其他有关规定，并经中国证监会2017年7月10日证监许可[2017]1179号文准予募集注册。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本基金为契约型开放式混合型证券投资基金。基金存续期间为不定期。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本基金自2017年8月14日至2017年9月8日进行发售，本基金设立募集期共募集426,824,248.14份基金份额，有效认购户数为6,929户。</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0" w:name="_Toc210145122"/>
      <w:r>
        <w:rPr>
          <w:rFonts w:ascii="Times New Roman" w:hAnsi="Times New Roman"/>
          <w:sz w:val="30"/>
        </w:rPr>
        <w:lastRenderedPageBreak/>
        <w:t>七、基金合同的生效</w:t>
      </w:r>
      <w:bookmarkEnd w:id="10"/>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根据有关规定，本基金满足基金合同生效条件，基金合同已于2017年9月15日正式生效。自基金合同生效之日起，本基金管理人正式开始管理本基金。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1" w:name="_Toc210145123"/>
      <w:r>
        <w:rPr>
          <w:rFonts w:ascii="Times New Roman" w:hAnsi="Times New Roman"/>
          <w:sz w:val="30"/>
        </w:rPr>
        <w:lastRenderedPageBreak/>
        <w:t>八、基金份额的申购与赎回</w:t>
      </w:r>
      <w:bookmarkEnd w:id="11"/>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投资人在开放日办理基金份额的申购及/或赎回，具体办理时间为上海证券交易所、深圳证券交易所的正常交易日的交易时间，但基金管理人根据法律法规、中</w:t>
      </w:r>
      <w:r>
        <w:rPr>
          <w:rFonts w:ascii="宋体" w:hAnsi="宋体"/>
          <w:sz w:val="24"/>
        </w:rPr>
        <w:lastRenderedPageBreak/>
        <w:t>国证监会的要求或基金合同的规定公告暂停申购、赎回时除外。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本基金A类基金份额已于2017年10月27日起开放申购、赎回业务。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本基金C类基金份额已于2022年1月25日起开放申购、赎回业务。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的申购金额、赎回份额和最低基金份额保留余额的数量限制，基金管理人必须在调整实施前依照《信息披露办法》的有关规定在指定媒介上刊登公告并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3、申购和赎回申请的确认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A27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A27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w:t>
      </w:r>
      <w:r>
        <w:rPr>
          <w:rFonts w:ascii="宋体" w:hAnsi="宋体"/>
          <w:sz w:val="24"/>
        </w:rPr>
        <w:lastRenderedPageBreak/>
        <w:t>财产；对持续持有期大于等于6个月的投资人，应当将赎回费总额的25%计入基金财产。上述“月”指的是30个自然日。未归入基金财产的部分用于支付登记费和其他必要的手续费。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A27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A27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A27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A27DF" w:rsidRDefault="00DA27D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w:t>
      </w:r>
      <w:r>
        <w:rPr>
          <w:rFonts w:ascii="宋体" w:hAnsi="宋体"/>
          <w:sz w:val="24"/>
        </w:rPr>
        <w:lastRenderedPageBreak/>
        <w:t>当日该类基金份额的基金份额净值并扣除相应的费用（如有），赎回金额单位为元。赎回金额计算结果按四舍五入方法，保留到小数点后2位，由此产生的收益或损失由基金财产承担。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w:t>
      </w:r>
      <w:r>
        <w:rPr>
          <w:rFonts w:ascii="宋体" w:hAnsi="宋体"/>
          <w:sz w:val="24"/>
        </w:rPr>
        <w:lastRenderedPageBreak/>
        <w:t>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赎回金额为按实际确认的A类基金份额或C类基金份额有效赎回份额乘以当日该类基金份额的基金份额净值并扣除相应的费用（如有），赎回金额单位为元，计算结果保留到小数点后两位，第三位四舍五入。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即：投资者赎回本基金10,000份A类基金份额，持有期限为30日，对应的赎回费率为0.5%，假设赎回当日A类基金份额净值是1.0160元，则其可得到的赎回金额为10,109.20元。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例五：某投资者赎回10,000份C类基金份额，持有期限为20日，对应的赎回费率为0.5%，假设赎回当日C类基金份额净值是1.0160元，则其可得到的赎回金额为：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7、当前一估值日基金资产净值50%以上的资产出现无可参考的活跃市场价格且采用估值技术仍导致公允价值存在重大不确定性时，经与基金托管人协商确认后，基金管理人应当暂停接受基金申购申请。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6、发生继续接受赎回申请将损害现有基金份额持有人利益的情形时，可暂停接受投资人的赎回申请。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w:t>
      </w:r>
      <w:r>
        <w:rPr>
          <w:rFonts w:ascii="宋体" w:hAnsi="宋体"/>
          <w:sz w:val="24"/>
        </w:rPr>
        <w:lastRenderedPageBreak/>
        <w:t>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w:t>
      </w:r>
      <w:r>
        <w:rPr>
          <w:rFonts w:ascii="宋体" w:hAnsi="宋体"/>
          <w:sz w:val="24"/>
        </w:rPr>
        <w:lastRenderedPageBreak/>
        <w:t>划最低申购金额。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10月26日刊登公告自2017年10月27日起开通A类基金份额的定期定额投资计划业务，本基金2022年1月24日刊登公告自2022年1月25日起增设C类基金份额并开通C类基金份额的定期定额投资计划业务，具体开通销售机构名单和业务规则参见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（十五）定期定额赎回业务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A类基金份额的定期定额赎回业务。定期定额赎回业务是指投资人可以委托中国农业银行股份有限公司每月固定时间从指定的基金账户代投资人赎回固定份额的基金。本基金2017年10月26日刊登公告自2017年10月27日起在中国农业银行股份有限公司下属各代销网点开通A类基金份额的定期定额赎回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A类基金份额的定期定额赎回业务，相关流程和业务规则遵循中国农业银行股份有限公司的有关规定。详情请咨询当地中国农业银行股份有限公司的代销网点或中国农业银行股份有限公司客户服务热线（95599）。</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A27DF" w:rsidRDefault="00156628">
      <w:pPr>
        <w:pStyle w:val="1"/>
        <w:snapToGrid w:val="0"/>
        <w:spacing w:beforeLines="0" w:before="240" w:after="240"/>
        <w:rPr>
          <w:rFonts w:ascii="宋体" w:hAnsi="宋体"/>
          <w:szCs w:val="30"/>
        </w:rPr>
      </w:pPr>
      <w:bookmarkStart w:id="12" w:name="_Toc210145124"/>
      <w:r>
        <w:rPr>
          <w:rFonts w:ascii="Times New Roman" w:hAnsi="Times New Roman"/>
          <w:sz w:val="30"/>
        </w:rPr>
        <w:lastRenderedPageBreak/>
        <w:t>九、基金的转换</w:t>
      </w:r>
      <w:bookmarkEnd w:id="12"/>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本基金2022年2月23日刊登公告自2022年2月28日起开放日常转换业务。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3" w:name="_Toc210145125"/>
      <w:r>
        <w:rPr>
          <w:rFonts w:ascii="Times New Roman" w:hAnsi="Times New Roman"/>
          <w:sz w:val="30"/>
        </w:rPr>
        <w:lastRenderedPageBreak/>
        <w:t>十、基金的投资</w:t>
      </w:r>
      <w:bookmarkEnd w:id="13"/>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本基金在有效控制投资风险的前提下，通过积极主动的投资管理，力争获取超越业绩比较基准的投资收益，追求基金资产的长期稳定增值。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在保持总体风险水平相对稳定的基础上，力争获取投资组合的较高回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本基金以基金份额净值为标准，对股票资产投资比例控制如下：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（1）当基金份额净值小于1.0500元时，股票资产占基金资产的比例不应超过40%；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（2）当基金份额净值大于或等于1.0500元且小于1.1000元时，股票资产占基金资产的比例不应超过60%；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（3）当基金份额净值大于或等于1.1000元时，股票资产占基金资产的比例不应超过95%。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由于收益分配、市场波动等引起的基金份额净值变化或者申购赎回引起的基金规模变动、证券发行人合并等原因，导致本基金股票资产占比不符合上述规定投资比例的，基金管理人应当在20个交易日内进行调整。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遵守股票资产投资比例控制安排的前提下，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2）根据波特五要素分析，行业发展环境良好；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及信用债券、可转换债券投资等多种策略，获取债券市场的长期稳定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（2）类属配置策略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w:t>
      </w:r>
      <w:r>
        <w:rPr>
          <w:rFonts w:ascii="宋体" w:hAnsi="宋体"/>
          <w:sz w:val="24"/>
        </w:rPr>
        <w:lastRenderedPageBreak/>
        <w:t>曲线的基础上，将确定采用子弹策略、哑铃策略或梯形策略等，以从收益率曲线的形变中获利。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（6）可转换债券投资策略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w:t>
      </w:r>
      <w:r>
        <w:rPr>
          <w:rFonts w:ascii="宋体" w:hAnsi="宋体"/>
          <w:sz w:val="24"/>
        </w:rPr>
        <w:lastRenderedPageBreak/>
        <w:t>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w:t>
      </w:r>
      <w:r>
        <w:rPr>
          <w:rFonts w:ascii="宋体" w:hAnsi="宋体"/>
          <w:sz w:val="24"/>
        </w:rPr>
        <w:lastRenderedPageBreak/>
        <w:t>告发布之日起3个月内予以全部卖出；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18）、（19）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法律法规或监管部门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w:t>
      </w:r>
      <w:r>
        <w:rPr>
          <w:rFonts w:ascii="宋体" w:hAnsi="宋体"/>
          <w:sz w:val="24"/>
        </w:rPr>
        <w:lastRenderedPageBreak/>
        <w:t>际控制人或者与其有重大利害关系的公司发行的证券或者承销期内承销的证券，或者从事其他重大关联交易的，应当符合基金的投资目标和投资策略，遵循持有人利益优先原则，防范利益冲突，建立健全内部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沪深300指数收益率×40%+中证综合债券指数收益率×60%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股票类投资的业绩比较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类投资的业绩比较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该业绩比较基准能比较贴切体现和衡量本基金的投资目标、投资策略以及投资业绩。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今后法律法规发生变化，或者市场变化导致本业绩比较基准不再适用，又或者市场推出更具权威、且更能够表征本基金风险收益特征的业绩比较基准，则本基金管理人可以依据维护基金份额持有人合法权益的原则，在按照监管部门要求履行适当程序后根据实际情况对业绩比较基准进行相应调整。调整业绩比较基准应经基金托管人同意，并报中国证监会备案，而无需召开基金份额持有人大会。基金管理人应在调整实施前在指定媒介上予以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w:t>
      </w:r>
      <w:r>
        <w:rPr>
          <w:rFonts w:ascii="宋体" w:hAnsi="宋体"/>
          <w:sz w:val="24"/>
        </w:rPr>
        <w:lastRenderedPageBreak/>
        <w:t>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本报告期为2025年04月01日起至06月30日。本报告财务资料未经审计师审计。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132,331,219.21</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27.40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132,331,219.21</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27.40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300,529,875.13</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62.22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300,529,875.13</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62.22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32,157,000.00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6.66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14,969,684.96</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3.10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2,987,224.53</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482,975,003.83</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6,851,854.00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68,684,935.71</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14.34</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17,052,607.00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3.56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1,737,602.00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741,825.00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4,928,154.50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22,684,882.00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4.74</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5,630,148.00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1.18</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477,984.00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1,032,573.00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O</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955,326.00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1,553,328.00</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132,331,219.21</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27.63</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600919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江苏银行</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658,000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7,856,520.00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1.64</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003816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中国广核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1,426,300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5,191,732.00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1.08</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433,000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3,797,410.00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山金国际</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199,700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3,782,318.00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601398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工商银行</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478,700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3,633,333.00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002080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中材科技</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169,300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3,301,350.00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002508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老板电器</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173,100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3,290,631.00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002966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苏州银行</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338,200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2,969,396.00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300699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光威复材</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90,700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2,872,469.00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福能股份</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290,500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2,800,420.00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35,296,589.71</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7.37</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61,622,141.37</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12.86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40,477,660.27</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8.45</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13,199,180.93</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2.76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20,168,083.84</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4.21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170,243,879.28</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35.54</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300,529,875.13</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62.74</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2500002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超长特别国债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29,224,504.37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6.10</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102582284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绍兴交投</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260,000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26,029,526.03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240261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国君</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21,144,481.10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102483857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电网</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20,489,953.97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4.28</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102483278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中建材</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20,470,509.59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4.27</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持仓量（买</w:t>
            </w:r>
            <w:r>
              <w:rPr>
                <w:rFonts w:ascii="Times New Roman" w:hAnsi="Times New Roman"/>
                <w:color w:val="000000"/>
                <w:kern w:val="0"/>
                <w:sz w:val="25"/>
                <w:szCs w:val="24"/>
              </w:rPr>
              <w:t>/</w:t>
            </w:r>
            <w:r>
              <w:rPr>
                <w:rFonts w:ascii="Times New Roman" w:hAnsi="Times New Roman"/>
                <w:color w:val="000000"/>
                <w:kern w:val="0"/>
                <w:sz w:val="25"/>
                <w:szCs w:val="24"/>
              </w:rPr>
              <w:t>卖）</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合约市值</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公允价值变动（元）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风险说明</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公允价值变动总额合计（元）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股指期货投资本期收益（元）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-619,970.77</w:t>
            </w:r>
          </w:p>
        </w:tc>
      </w:tr>
      <w:tr w:rsidR="00DA27DF">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股指期货投资本期公允价值变动（元）</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10、报告期末本基金投资的国债期货交易情况说明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2025年06月27日,国家金融监督管理总局公示行政处罚,给予中国进出口银行1810万元人民币的行政处罚。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68,521.09</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2,917,822.73</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880.71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2,987,224.53</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4" w:name="_Toc210145126"/>
      <w:r>
        <w:rPr>
          <w:rFonts w:ascii="Times New Roman" w:hAnsi="Times New Roman"/>
          <w:sz w:val="30"/>
        </w:rPr>
        <w:lastRenderedPageBreak/>
        <w:t>十一、基金的业绩</w:t>
      </w:r>
      <w:bookmarkEnd w:id="14"/>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（1）交银恒益灵活配置混合A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11.16%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-9.34%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-7.04%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4.67%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9.26%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7.93%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12.76%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16.38%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16.80%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-6.69%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-6.24%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（2）交银恒益灵活配置混合C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11.16%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-9.45%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1.64%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DA27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-5.54%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bl>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注：本基金的业绩比较基准为沪深300指数收益率×40%+中证综合债券指数收益率×60%，每日进行再平衡过程。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A27DF" w:rsidRDefault="0015662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交银施罗德恒益灵活配置混合型证券投资基金</w:t>
      </w:r>
    </w:p>
    <w:p w:rsidR="00DA27DF" w:rsidRDefault="0015662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DA27DF" w:rsidRDefault="0015662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（2017年9月15日至2025年06月30日）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（1）交银恒益灵活配置混合A</w:t>
      </w:r>
    </w:p>
    <w:p w:rsidR="00DA27DF" w:rsidRDefault="00CC48A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6" o:title="1521256610242020828"/>
          </v:shape>
        </w:pic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（2）交银恒益灵活配置混合C</w:t>
      </w:r>
    </w:p>
    <w:p w:rsidR="00DA27DF" w:rsidRDefault="00CC48A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7" o:title="1521256610242020828"/>
          </v:shape>
        </w:pic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2、本基金自2022年1月25日起，开始销售C类份额，投资者提交的申购申请于2022年1月26日被确认并将有效份额登记在册。</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5" w:name="_Toc210145127"/>
      <w:r>
        <w:rPr>
          <w:rFonts w:ascii="Times New Roman" w:hAnsi="Times New Roman"/>
          <w:sz w:val="30"/>
        </w:rPr>
        <w:lastRenderedPageBreak/>
        <w:t>十二、基金的财产</w:t>
      </w:r>
      <w:bookmarkEnd w:id="15"/>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6" w:name="_Toc210145128"/>
      <w:r>
        <w:rPr>
          <w:rFonts w:ascii="Times New Roman" w:hAnsi="Times New Roman"/>
          <w:sz w:val="30"/>
        </w:rPr>
        <w:lastRenderedPageBreak/>
        <w:t>十三、基金资产的估值</w:t>
      </w:r>
      <w:bookmarkEnd w:id="16"/>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的约定和相关法律法规的规定对外公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基金管理人和基金托管人将采取必要、适当、合理的措施确保基金资产估值的准确性、及时性。当基金份额净值小数点后第4位以内（含第4位） 发生估值错误时，视为基金份额净值错误。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w:t>
      </w:r>
      <w:r>
        <w:rPr>
          <w:rFonts w:ascii="宋体" w:hAnsi="宋体"/>
          <w:sz w:val="24"/>
        </w:rPr>
        <w:lastRenderedPageBreak/>
        <w:t>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w:t>
      </w:r>
      <w:r>
        <w:rPr>
          <w:rFonts w:ascii="宋体" w:hAnsi="宋体"/>
          <w:sz w:val="24"/>
        </w:rPr>
        <w:lastRenderedPageBreak/>
        <w:t>认后，基金管理人应当暂停估值；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4、法律法规或中国证监会规定的和基金合同认定的其它情形。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7" w:name="_Toc210145129"/>
      <w:r>
        <w:rPr>
          <w:rFonts w:ascii="Times New Roman" w:hAnsi="Times New Roman"/>
          <w:sz w:val="30"/>
        </w:rPr>
        <w:lastRenderedPageBreak/>
        <w:t>十四、基金收益与分配</w:t>
      </w:r>
      <w:bookmarkEnd w:id="17"/>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某一类基金份额净值连续15个工作日超过1.2000元，且该类基金份额可供分配利润足额的情况下，本基金需对该类基金份额可供分配利润实施收益分配，且基金收益分配后的该类基金份额净值需低于1.1000元但不能低于面值；即基金收益分配基准日的该类基金份额净值减去每单位该类基金份额收益分配金额后需低于1.1000元且不能低于面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w:t>
      </w:r>
      <w:r>
        <w:rPr>
          <w:rFonts w:ascii="宋体" w:hAnsi="宋体"/>
          <w:sz w:val="24"/>
        </w:rPr>
        <w:lastRenderedPageBreak/>
        <w:t>得超过15个工作日。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8" w:name="_Toc210145130"/>
      <w:r>
        <w:rPr>
          <w:rFonts w:ascii="Times New Roman" w:hAnsi="Times New Roman"/>
          <w:sz w:val="30"/>
        </w:rPr>
        <w:lastRenderedPageBreak/>
        <w:t>十五、基金的费用与税收</w:t>
      </w:r>
      <w:bookmarkEnd w:id="18"/>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19" w:name="_Toc210145131"/>
      <w:r>
        <w:rPr>
          <w:rFonts w:ascii="Times New Roman" w:hAnsi="Times New Roman"/>
          <w:sz w:val="30"/>
        </w:rPr>
        <w:lastRenderedPageBreak/>
        <w:t>十六、基金的会计与审计</w:t>
      </w:r>
      <w:bookmarkEnd w:id="19"/>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0" w:name="_Toc210145132"/>
      <w:r>
        <w:rPr>
          <w:rFonts w:ascii="Times New Roman" w:hAnsi="Times New Roman"/>
          <w:sz w:val="30"/>
        </w:rPr>
        <w:lastRenderedPageBreak/>
        <w:t>十七、基金的信息披露</w:t>
      </w:r>
      <w:bookmarkEnd w:id="20"/>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次日，通过指定网站、销售机构网站或者营业网点分别披露开放日A类基金份额和C类基金份额所对应的基金份额净值和基金份额累计净值。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基金管理人应在本基金投资非公开发行股票后两个交易日内，在中国证监会指定媒介披露所投资非公开发行股票的名称、数量、总成本、账面价值，以及总成本和账面价值占基金资产净值的比例、锁定期等信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1" w:name="_Toc210145133"/>
      <w:r>
        <w:rPr>
          <w:rFonts w:ascii="Times New Roman" w:hAnsi="Times New Roman"/>
          <w:sz w:val="30"/>
        </w:rPr>
        <w:lastRenderedPageBreak/>
        <w:t>十八、侧袋机制</w:t>
      </w:r>
      <w:bookmarkEnd w:id="21"/>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A27DF" w:rsidRDefault="00156628">
      <w:pPr>
        <w:pStyle w:val="1"/>
        <w:snapToGrid w:val="0"/>
        <w:spacing w:beforeLines="0" w:before="240" w:after="240"/>
        <w:rPr>
          <w:rFonts w:ascii="宋体" w:hAnsi="宋体"/>
          <w:szCs w:val="30"/>
        </w:rPr>
      </w:pPr>
      <w:bookmarkStart w:id="22" w:name="_Toc210145134"/>
      <w:r>
        <w:rPr>
          <w:rFonts w:ascii="Times New Roman" w:hAnsi="Times New Roman"/>
          <w:sz w:val="30"/>
        </w:rPr>
        <w:lastRenderedPageBreak/>
        <w:t>十九、风险揭示</w:t>
      </w:r>
      <w:bookmarkEnd w:id="22"/>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前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 因此实施侧袋机制后主袋账户份额存在暂停申购的可能。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2、本基金可投资创业板股票，创业板个股上市后的前五个交易日不设价格涨跌幅限制，第六个交易日开始涨跌幅限制比例为20%。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w:t>
      </w:r>
      <w:r>
        <w:rPr>
          <w:rFonts w:ascii="宋体" w:hAnsi="宋体"/>
          <w:sz w:val="24"/>
        </w:rPr>
        <w:lastRenderedPageBreak/>
        <w:t>者系统出现故障等原因造成损失的风险。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科创板退市制度较主板更为严格，且不再设置暂停上市、恢复上市和重新上市环节，上市公司退市风险更大。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（十二）其他风险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3" w:name="_Toc210145135"/>
      <w:r>
        <w:rPr>
          <w:rFonts w:ascii="Times New Roman" w:hAnsi="Times New Roman"/>
          <w:sz w:val="30"/>
        </w:rPr>
        <w:lastRenderedPageBreak/>
        <w:t>二十、基金合同的变更、终止与基金财产的清算</w:t>
      </w:r>
      <w:bookmarkEnd w:id="23"/>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4" w:name="_Toc210145136"/>
      <w:r>
        <w:rPr>
          <w:rFonts w:ascii="Times New Roman" w:hAnsi="Times New Roman"/>
          <w:sz w:val="30"/>
        </w:rPr>
        <w:lastRenderedPageBreak/>
        <w:t>二十一、基金合同内容摘要</w:t>
      </w:r>
      <w:bookmarkEnd w:id="24"/>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（11）在《基金合同》约定的范围内，拒绝或暂停受理申购、赎回或转换申请；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w:t>
      </w:r>
      <w:r>
        <w:rPr>
          <w:rFonts w:ascii="宋体" w:hAnsi="宋体"/>
          <w:sz w:val="24"/>
        </w:rPr>
        <w:lastRenderedPageBreak/>
        <w:t>其他为基金提供服务的外部机构；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w:t>
      </w:r>
      <w:r>
        <w:rPr>
          <w:rFonts w:ascii="宋体" w:hAnsi="宋体"/>
          <w:sz w:val="24"/>
        </w:rPr>
        <w:lastRenderedPageBreak/>
        <w:t>定外，在基金信息公开披露前予以保密，不得向他人泄露；</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w:t>
      </w:r>
      <w:r>
        <w:rPr>
          <w:rFonts w:ascii="宋体" w:hAnsi="宋体"/>
          <w:sz w:val="24"/>
        </w:rPr>
        <w:lastRenderedPageBreak/>
        <w:t>和《基金合同》的当事人，直至其不再持有本基金的基金份额。基金份额持有人作为《基金合同》当事人并不以在《基金合同》上书面签章或签字为必要条件。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（2）在符合法律法规和《基金合同》规定的范围内、并且对基金份额持有人利益无实质不利影响的前提下，以下情况可由基金管理人和基金托管人协商后修</w:t>
      </w:r>
      <w:r>
        <w:rPr>
          <w:rFonts w:ascii="宋体" w:hAnsi="宋体"/>
          <w:sz w:val="24"/>
        </w:rPr>
        <w:lastRenderedPageBreak/>
        <w:t>改，不需召开基金份额持有人大会：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3）调整本基金的申购费率、调低赎回费率及销售服务费率、变更或增加收费方式；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w:t>
      </w:r>
      <w:r>
        <w:rPr>
          <w:rFonts w:ascii="宋体" w:hAnsi="宋体"/>
          <w:sz w:val="24"/>
        </w:rPr>
        <w:lastRenderedPageBreak/>
        <w:t>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w:t>
      </w:r>
      <w:r>
        <w:rPr>
          <w:rFonts w:ascii="宋体" w:hAnsi="宋体"/>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就上述情形，法律法规、《基金合同》和中国证监会另有规定的除外）以特别决议通过方为有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w:t>
      </w:r>
      <w:r>
        <w:rPr>
          <w:rFonts w:ascii="宋体" w:hAnsi="宋体"/>
          <w:sz w:val="24"/>
        </w:rPr>
        <w:lastRenderedPageBreak/>
        <w:t>改导致相关内容被取消或变更的，基金管理人经与基金托管人协商一致并提前公告后，可直接对本部分内容进行修改和调整，无需召开基金份额持有人大会审议。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争议处理期间，双方当事人应恪守基金管理人和基金托管人职责，各自继续忠实、勤勉、尽责地履行基金合同规定的义务，维护基金份额持有人的合法权益。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（五）基金合同存放地和投资者取得基金合同的方式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《基金合同》可印制成册，供投资者在基金管理人、基金托管人、销售机构的办公场所和营业场所查阅，但应以《基金合同》正本为准。</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5" w:name="_Toc210145137"/>
      <w:r>
        <w:rPr>
          <w:rFonts w:ascii="Times New Roman" w:hAnsi="Times New Roman"/>
          <w:sz w:val="30"/>
        </w:rPr>
        <w:lastRenderedPageBreak/>
        <w:t>二十二、托管协议的内容摘要</w:t>
      </w:r>
      <w:bookmarkEnd w:id="25"/>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（15）本基金参与股指期货交易，则：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（17）本基金持有的同一流通受限证券，其公允价值不得超过基金资产净值的10%；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第（2）、（12）、（19）、（20）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w:t>
      </w:r>
      <w:r>
        <w:rPr>
          <w:rFonts w:ascii="宋体" w:hAnsi="宋体"/>
          <w:sz w:val="24"/>
        </w:rPr>
        <w:lastRenderedPageBreak/>
        <w:t>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w:t>
      </w:r>
      <w:r>
        <w:rPr>
          <w:rFonts w:ascii="宋体" w:hAnsi="宋体"/>
          <w:sz w:val="24"/>
        </w:rPr>
        <w:lastRenderedPageBreak/>
        <w:t>回购交易中的质押券等流通受限证券。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w:t>
      </w:r>
      <w:r>
        <w:rPr>
          <w:rFonts w:ascii="宋体" w:hAnsi="宋体"/>
          <w:sz w:val="24"/>
        </w:rPr>
        <w:lastRenderedPageBreak/>
        <w:t>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净值、根据基金管理人指令办理清算交收、相关信息披露和监督基金投资运作等行为。</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w:t>
      </w:r>
      <w:r>
        <w:rPr>
          <w:rFonts w:ascii="宋体" w:hAnsi="宋体"/>
          <w:sz w:val="24"/>
        </w:rPr>
        <w:lastRenderedPageBreak/>
        <w:t>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w:t>
      </w:r>
      <w:r>
        <w:rPr>
          <w:rFonts w:ascii="宋体" w:hAnsi="宋体"/>
          <w:sz w:val="24"/>
        </w:rPr>
        <w:lastRenderedPageBreak/>
        <w:t>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w:t>
      </w:r>
      <w:r>
        <w:rPr>
          <w:rFonts w:ascii="宋体" w:hAnsi="宋体"/>
          <w:sz w:val="24"/>
        </w:rPr>
        <w:lastRenderedPageBreak/>
        <w:t>的管理和运用由基金管理人负责。</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w:t>
      </w:r>
      <w:r>
        <w:rPr>
          <w:rFonts w:ascii="宋体" w:hAnsi="宋体"/>
          <w:sz w:val="24"/>
        </w:rPr>
        <w:lastRenderedPageBreak/>
        <w:t>算日该类基金份额总数后得到的数值。各类基金份额的基金份额净值的计算，均精确到0.0001元，小数点后第五位四舍五入，由此产生的误差计入基金财产。国家另有规定的，从其规定。</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w:t>
      </w:r>
      <w:r>
        <w:rPr>
          <w:rFonts w:ascii="宋体" w:hAnsi="宋体"/>
          <w:sz w:val="24"/>
        </w:rPr>
        <w:lastRenderedPageBreak/>
        <w:t>方承担。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6" w:name="_Toc210145138"/>
      <w:r>
        <w:rPr>
          <w:rFonts w:ascii="Times New Roman" w:hAnsi="Times New Roman"/>
          <w:sz w:val="30"/>
        </w:rPr>
        <w:lastRenderedPageBreak/>
        <w:t>二十三、对基金份额持有人的服务</w:t>
      </w:r>
      <w:bookmarkEnd w:id="26"/>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7" w:name="_Toc210145139"/>
      <w:r>
        <w:rPr>
          <w:rFonts w:ascii="Times New Roman" w:hAnsi="Times New Roman"/>
          <w:sz w:val="30"/>
        </w:rPr>
        <w:lastRenderedPageBreak/>
        <w:t>二十四、其他应披露事项</w:t>
      </w:r>
      <w:bookmarkEnd w:id="27"/>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交银施罗德基金管理有限公司关于交银施罗德恒益灵活配置混合型证券投资基金基金经理变更公告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24</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A27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交银施罗德恒益灵活配置混合型证券投资基金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A27DF" w:rsidRDefault="00156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8" w:name="_Toc210145140"/>
      <w:r>
        <w:rPr>
          <w:rFonts w:ascii="Times New Roman" w:hAnsi="Times New Roman"/>
          <w:sz w:val="30"/>
        </w:rPr>
        <w:lastRenderedPageBreak/>
        <w:t>二十五、招募说明书的存放及查阅方式</w:t>
      </w:r>
      <w:bookmarkEnd w:id="28"/>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5662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A27DF" w:rsidRDefault="00156628">
      <w:pPr>
        <w:pStyle w:val="1"/>
        <w:snapToGrid w:val="0"/>
        <w:spacing w:beforeLines="0" w:before="240" w:after="240"/>
        <w:rPr>
          <w:rFonts w:ascii="宋体" w:hAnsi="宋体"/>
          <w:szCs w:val="30"/>
        </w:rPr>
      </w:pPr>
      <w:bookmarkStart w:id="29" w:name="_Toc210145141"/>
      <w:r>
        <w:rPr>
          <w:rFonts w:ascii="Times New Roman" w:hAnsi="Times New Roman"/>
          <w:sz w:val="30"/>
        </w:rPr>
        <w:lastRenderedPageBreak/>
        <w:t>二十六、备查文件</w:t>
      </w:r>
      <w:bookmarkEnd w:id="29"/>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（一）中国证监会准予交银施罗德恒益灵活配置混合型证券投资基金募集注册的文件</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（二）《交银施罗德恒益灵活配置混合型证券投资基金基金合同》</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（三）《交银施罗德恒益灵活配置混合型证券投资基金托管协议》</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A27DF" w:rsidRDefault="0015662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（六）关于申请募集注册交银施罗德恒益灵活配置混合型证券投资基金的法律意见书</w:t>
      </w:r>
    </w:p>
    <w:sectPr w:rsidR="00DA27DF">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195" w:rsidRDefault="00156628">
      <w:r>
        <w:separator/>
      </w:r>
    </w:p>
  </w:endnote>
  <w:endnote w:type="continuationSeparator" w:id="0">
    <w:p w:rsidR="008E4195" w:rsidRDefault="00156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DA27D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CC48A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DA27DF" w:rsidRDefault="0015662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C48A3">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DA27D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CC48A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DA27DF" w:rsidRDefault="0015662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C48A3">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195" w:rsidRDefault="00156628">
      <w:r>
        <w:separator/>
      </w:r>
    </w:p>
  </w:footnote>
  <w:footnote w:type="continuationSeparator" w:id="0">
    <w:p w:rsidR="008E4195" w:rsidRDefault="00156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DA27D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156628">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DA27DF" w:rsidRDefault="00156628">
    <w:pPr>
      <w:pStyle w:val="a3"/>
      <w:jc w:val="right"/>
      <w:rPr>
        <w:rFonts w:ascii="宋体" w:hAnsi="宋体"/>
      </w:rPr>
    </w:pPr>
    <w:r>
      <w:rPr>
        <w:rFonts w:ascii="宋体" w:hAnsi="宋体" w:hint="eastAsia"/>
      </w:rPr>
      <w:t>交银施罗德恒益灵活配置混合型证券投资基金招募说明书更新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DA27DF">
    <w:pPr>
      <w:pStyle w:val="10"/>
      <w:jc w:val="right"/>
    </w:pPr>
  </w:p>
  <w:p w:rsidR="00DA27DF" w:rsidRDefault="00DA27DF">
    <w:pPr>
      <w:pStyle w:val="10"/>
      <w:jc w:val="right"/>
    </w:pPr>
  </w:p>
  <w:p w:rsidR="00DA27DF" w:rsidRDefault="00DA27DF">
    <w:pPr>
      <w:pStyle w:val="a3"/>
      <w:jc w:val="right"/>
    </w:pPr>
  </w:p>
  <w:p w:rsidR="009E65D0" w:rsidRDefault="00156628">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DA27DF" w:rsidRDefault="00156628">
    <w:pPr>
      <w:pStyle w:val="a3"/>
      <w:jc w:val="right"/>
      <w:rPr>
        <w:rFonts w:ascii="宋体" w:hAnsi="宋体"/>
      </w:rPr>
    </w:pPr>
    <w:r>
      <w:rPr>
        <w:rFonts w:ascii="宋体" w:hAnsi="宋体" w:hint="eastAsia"/>
      </w:rPr>
      <w:t>交银施罗德恒益灵活配置混合型证券投资基金招募说明书更新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7DF" w:rsidRDefault="00DA27DF">
    <w:pPr>
      <w:pStyle w:val="a3"/>
      <w:jc w:val="right"/>
    </w:pPr>
  </w:p>
  <w:p w:rsidR="00DA27DF" w:rsidRDefault="00DA27DF">
    <w:pPr>
      <w:pStyle w:val="a3"/>
      <w:jc w:val="right"/>
    </w:pPr>
  </w:p>
  <w:p w:rsidR="00DA27DF" w:rsidRDefault="00DA27DF">
    <w:pPr>
      <w:pStyle w:val="a3"/>
      <w:jc w:val="right"/>
    </w:pPr>
  </w:p>
  <w:p w:rsidR="009E65D0" w:rsidRDefault="00156628">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DA27DF" w:rsidRDefault="00156628">
    <w:pPr>
      <w:pStyle w:val="a3"/>
      <w:jc w:val="right"/>
      <w:rPr>
        <w:rFonts w:ascii="宋体" w:hAnsi="宋体"/>
      </w:rPr>
    </w:pPr>
    <w:r>
      <w:rPr>
        <w:rFonts w:ascii="宋体" w:hAnsi="宋体" w:hint="eastAsia"/>
      </w:rPr>
      <w:t>交银施罗德恒益灵活配置混合型证券投资基金招募说明书更新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6628"/>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195"/>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8A3"/>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27DF"/>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80F88C2-C235-434A-8A06-F24BA1D9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16165</Words>
  <Characters>92144</Characters>
  <Application>Microsoft Office Word</Application>
  <DocSecurity>0</DocSecurity>
  <Lines>767</Lines>
  <Paragraphs>216</Paragraphs>
  <ScaleCrop>false</ScaleCrop>
  <Company>Microsoft</Company>
  <LinksUpToDate>false</LinksUpToDate>
  <CharactersWithSpaces>108093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2025-09-30T09:18:00Z</dcterms:created>
  <dcterms:modified xsi:type="dcterms:W3CDTF">2025-09-30T09:18:00Z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