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交银施罗德深证300价值交易型开放式指数证券投资基金联接基金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交银深证300价值ETF联接</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2011-09-28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519706（前端），519707（后端）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紧密跟踪标的指数，追求跟踪偏离度与跟踪误差最小化。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以目标ETF、标的指数成份股、备选成份股为主要投资对象(含中小板股票和创业板股票及其他经中国证监会核准的上市股票、存托凭证)，把全部或接近全部的基金资产用于跟踪标的指数的表现，正常情况下投资于目标ETF的资产比例不低于基金资产净值的90%，基金持有的现金及到期日在一年以内的政府债券的投资比例合计不低于基金资产净值的5%，其中现金不包括结算备付金、存出保证金和应收申购款等。此外，为更好地实现投资目标，本基金也可少量投资于新股（含存托凭证）、债券、回购、权证及中国证监会允许基金投资的其它金融工具(但须符合中国证监会的相关规定)。如法律法规或监管机构以后允许基金投资其它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本基金的目标ETF为深证300价值交易型开放式指数证券投资基金；本基金的标的指数即目标ETF的标的指数，为深证300价值价格指数。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把全部或接近全部的基金资产投资于目标ETF、标的指数成份股和备选成份股进行被动式指数化投资，正常情况下投资于目标ETF的资产比例不低于基金资产净值的90%，其余资产可投资于标的指数成份股、备选成份股、新股、债券、回购、权证及中国证监会允许基金投资的其它金融工具，其目的是为了使本基金在应付申购赎回的前提下，更好地实现跟踪标的指数的投资目标。</w:t>
            </w:r>
          </w:p>
          <w:p>
            <w:pPr>
              <w:ind w:firstLine="420"/>
              <w:jc w:val="left"/>
              <w:rPr>
                <w:rFonts w:ascii="仿宋_GB2312" w:eastAsia="仿宋_GB2312"/>
                <w:szCs w:val="21"/>
              </w:rPr>
            </w:pPr>
            <w:r>
              <w:rPr>
                <w:rFonts w:hint="eastAsia" w:ascii="仿宋_GB2312" w:eastAsia="仿宋_GB2312"/>
                <w:szCs w:val="21"/>
              </w:rPr>
              <w:t>本基金投资目标ETF的方式以申购和赎回为主，但在目标ETF二级市场流动性较好的情况下，也可以通过二级市场交易买卖目标ETF，以降低成本、提高效率。</w:t>
            </w:r>
          </w:p>
          <w:p>
            <w:pPr>
              <w:ind w:firstLine="420"/>
              <w:jc w:val="left"/>
              <w:rPr>
                <w:rFonts w:ascii="仿宋_GB2312" w:eastAsia="仿宋_GB2312"/>
                <w:szCs w:val="21"/>
              </w:rPr>
            </w:pPr>
            <w:r>
              <w:rPr>
                <w:rFonts w:hint="eastAsia" w:ascii="仿宋_GB2312" w:eastAsia="仿宋_GB2312"/>
                <w:szCs w:val="21"/>
              </w:rPr>
              <w:t>本基金对于标的指数成份股和备选成份股部分的投资，主要采用完全复制法，按照标的指数成份股组成及其权重构建基金股票投资组合为原则，并根据标的指数成份股及其权重的变动而进行相应调整。但在因特殊情况（如法律法规限制、流动性不足等）导致无法获得足够数量的股票时，基金管理人将搭配使用其他合理方法进行适当的替代。</w:t>
            </w:r>
          </w:p>
          <w:p>
            <w:pPr>
              <w:ind w:firstLine="420"/>
              <w:jc w:val="left"/>
              <w:rPr>
                <w:rFonts w:ascii="仿宋_GB2312" w:eastAsia="仿宋_GB2312"/>
                <w:szCs w:val="21"/>
              </w:rPr>
            </w:pPr>
            <w:r>
              <w:rPr>
                <w:rFonts w:hint="eastAsia" w:ascii="仿宋_GB2312" w:eastAsia="仿宋_GB2312"/>
                <w:szCs w:val="21"/>
              </w:rPr>
              <w:t>本基金投资存托凭证的策略依照境内上市交易的股票投资策略执行。</w:t>
            </w:r>
          </w:p>
          <w:p>
            <w:pPr>
              <w:ind w:firstLine="420"/>
              <w:jc w:val="left"/>
              <w:rPr>
                <w:rFonts w:ascii="仿宋_GB2312" w:eastAsia="仿宋_GB2312"/>
                <w:szCs w:val="21"/>
              </w:rPr>
            </w:pPr>
            <w:r>
              <w:rPr>
                <w:rFonts w:hint="eastAsia" w:ascii="仿宋_GB2312" w:eastAsia="仿宋_GB2312"/>
                <w:szCs w:val="21"/>
              </w:rPr>
              <w:t>1、决策依据；2、决策和交易机制；3、投资程序。</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深证300价值价格指数收益率×95%＋银行活期存款税后收益率×5%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ETF联接基金，风险与预期收益高于混合基金、债券基金与货币市场基金。本基金为指数型基金，紧密跟踪标的指数，具有和标的指数所代表的股票市场相似的风险收益特征，相当于股票基金中风险较高，预期收益较高的品种。</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详见《交银施罗德深证300价值交易型开放式指数证券投资基金联接基金招募说明书》第十部分“基金的投资”。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2、本基金合同于2011年9月28日生效，合同生效当年净值增长率按实际存续期计算。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5、投资本基金的特有风险</w:t>
      </w:r>
    </w:p>
    <w:p>
      <w:pPr>
        <w:ind w:firstLine="420"/>
        <w:jc w:val="left"/>
        <w:rPr>
          <w:rFonts w:ascii="仿宋_GB2312" w:eastAsia="仿宋_GB2312"/>
          <w:szCs w:val="21"/>
        </w:rPr>
      </w:pPr>
      <w:r>
        <w:rPr>
          <w:rFonts w:hint="eastAsia" w:ascii="仿宋_GB2312" w:eastAsia="仿宋_GB2312"/>
          <w:szCs w:val="21"/>
        </w:rPr>
        <w:t>（1）目标ETF的风险、（2）标的指数回报与股票市场平均回报偏离的风险、（3）标的指数波动的风险、（4）基金投资组合回报与标的指数回报偏离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（8）本基金为目标ETF的联接基金，但不能保证本基金的表现与目标ETF的表现完全一致。</w:t>
      </w:r>
    </w:p>
    <w:p>
      <w:pPr>
        <w:ind w:firstLine="420"/>
        <w:jc w:val="left"/>
        <w:rPr>
          <w:rFonts w:ascii="仿宋_GB2312" w:eastAsia="仿宋_GB2312"/>
          <w:szCs w:val="21"/>
        </w:rPr>
      </w:pPr>
      <w:r>
        <w:rPr>
          <w:rFonts w:hint="eastAsia" w:ascii="仿宋_GB2312" w:eastAsia="仿宋_GB2312"/>
          <w:szCs w:val="21"/>
        </w:rPr>
        <w:t>（9）本基金可投资创业板股票，创业板个股上市后的前五个交易日不设价格涨跌幅限制，第六个交易日开始涨跌幅限制比例为20%。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●《交银施罗德深证300价值交易型开放式指数证券投资基金联接基金基金合同》、</w:t>
      </w:r>
    </w:p>
    <w:p>
      <w:pPr>
        <w:ind w:firstLine="420"/>
        <w:jc w:val="left"/>
        <w:rPr>
          <w:rFonts w:ascii="仿宋_GB2312" w:eastAsia="仿宋_GB2312"/>
          <w:szCs w:val="21"/>
        </w:rPr>
      </w:pPr>
      <w:r>
        <w:rPr>
          <w:rFonts w:hint="eastAsia" w:ascii="仿宋_GB2312" w:eastAsia="仿宋_GB2312"/>
          <w:szCs w:val="21"/>
        </w:rPr>
        <w:t>《交银施罗德深证300价值交易型开放式指数证券投资基金联接基金托管协议》、</w:t>
      </w:r>
    </w:p>
    <w:p>
      <w:pPr>
        <w:ind w:firstLine="420"/>
        <w:jc w:val="left"/>
        <w:rPr>
          <w:rFonts w:ascii="仿宋_GB2312" w:eastAsia="仿宋_GB2312"/>
          <w:szCs w:val="21"/>
        </w:rPr>
      </w:pPr>
      <w:r>
        <w:rPr>
          <w:rFonts w:hint="eastAsia" w:ascii="仿宋_GB2312" w:eastAsia="仿宋_GB2312"/>
          <w:szCs w:val="21"/>
        </w:rPr>
        <w:t>《交银施罗德深证300价值交易型开放式指数证券投资基金联接基金招募说明书》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36FDA"/>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4984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684</Words>
  <Characters>3899</Characters>
  <Lines>32</Lines>
  <Paragraphs>9</Paragraphs>
  <TotalTime>0</TotalTime>
  <ScaleCrop>false</ScaleCrop>
  <LinksUpToDate>false</LinksUpToDate>
  <CharactersWithSpaces>4574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2025-09-24T06:25:00Z</dcterms:created>
  <dc:creator>Cc</dc:creator>
  <cp:lastModifiedBy>haotingting</cp:lastModifiedBy>
  <dcterms:modified xsi:type="dcterms:W3CDTF">2025-09-30T02:09:15Z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BEE23EA5325744CA8F34977135122DB6</vt:lpwstr>
  </property>
</Properties>
</file>