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交银施罗德精选混合型证券投资基金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交银精选混合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519688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2005-09-29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张雪蓉</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2023-01-07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2015-07-17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合同生效后，基金份额持有人数量不满200人或者基金资产净值低于5,000万元的，基金管理人应当及时报告中国证监会；连续20个工作日出现前述情形的，基金管理人应当向中国证监会说明原因和报送解决方案。存续期内，基金份额持有人数量连续60个工作日达不到200人，或连续60个工作日基金资产净值低于5000万元人民币，基金管理人有权宣布终止基金合同，并报中国证监会备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519688（前端），519689（后端）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坚持并不断深化价值投资的基本理念，充分发挥专业研究与管理能力，自上而下配置资产，自下而上精选证券，有效控制风险，分享中国经济与资本市场高速成长的成果，谋求实现基金财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存托凭证）、债券、货币市场工具、权证、资产支持证券及法律法规或中国证监会允许基金投资的其他金融工具。在正常市场情况下，基金的投资组合为：股票资产（含存托凭证）占基金资产的60－95%，债券、货币市场工具、权证、资产支持证券以及中国证监会允许基金投资的其他证券品种占基金资产的5%-40%，其中，基金保留的现金以及投资于一年期以内的政府债券的比例合计不低于基金资产净值的5%，现金不包括结算备付金、存出保证金和应收申购款等。在基金实际管理过程中，管理人将根据中国宏观经济情况和证券市场的阶段性变化，适时调整基金资产在股票、债券及货币市场工具间的配置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w:t>
            </w:r>
          </w:p>
          <w:p>
            <w:pPr>
              <w:ind w:firstLine="420"/>
              <w:jc w:val="left"/>
              <w:rPr>
                <w:rFonts w:ascii="仿宋_GB2312" w:eastAsia="仿宋_GB2312"/>
                <w:szCs w:val="21"/>
              </w:rPr>
            </w:pPr>
            <w:r>
              <w:rPr>
                <w:rFonts w:hint="eastAsia" w:ascii="仿宋_GB2312" w:eastAsia="仿宋_GB2312"/>
                <w:szCs w:val="21"/>
              </w:rPr>
              <w:t>1、资产配置；2、行业配置；3、股票选择；4、权证投资策略；5、资产支持证券投资策略。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75%×沪深300指数+25%×中证综合债券指数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详见《交银施罗德精选混合型证券投资基金招募说明书》第十部分“基金的投资”。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2、本基金业绩比较基准自2015年10月1日起，由“75%×沪深300指数+25%×中信全债指数”变更为“75%×沪深300指数+25%×中证综合债券指数”。</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4、本基金的特定风险</w:t>
      </w:r>
    </w:p>
    <w:p>
      <w:pPr>
        <w:ind w:firstLine="420"/>
        <w:jc w:val="left"/>
        <w:rPr>
          <w:rFonts w:ascii="仿宋_GB2312" w:eastAsia="仿宋_GB2312"/>
          <w:szCs w:val="21"/>
        </w:rPr>
      </w:pPr>
      <w:r>
        <w:rPr>
          <w:rFonts w:hint="eastAsia" w:ascii="仿宋_GB2312" w:eastAsia="仿宋_GB2312"/>
          <w:szCs w:val="21"/>
        </w:rPr>
        <w:t>（1）本基金属于混合型基金，将维持较高的股票持仓比例。如果股票市场出现整体下跌，本基金的净值表现将受到影响。基金虽然采用防御型和增长型股票配置的组合构建策略，但并不能完全抵御下跌的风险，在股市大幅上涨时也不能完全保证基金净值能够完全跟随或超越大盘走势。</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因基金合同而产生的或与基金合同有关的一切争议，如经友好协商未能解决的，任何一方均有权将争议提交中国国际经济贸易仲裁委员会，按其届时有效的仲裁规则进行仲裁。仲裁地点为上海分会。</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●《交银施罗德精选混合型证券投资基金基金合同》、</w:t>
      </w:r>
    </w:p>
    <w:p>
      <w:pPr>
        <w:ind w:firstLine="420"/>
        <w:jc w:val="left"/>
        <w:rPr>
          <w:rFonts w:ascii="仿宋_GB2312" w:eastAsia="仿宋_GB2312"/>
          <w:szCs w:val="21"/>
        </w:rPr>
      </w:pPr>
      <w:r>
        <w:rPr>
          <w:rFonts w:hint="eastAsia" w:ascii="仿宋_GB2312" w:eastAsia="仿宋_GB2312"/>
          <w:szCs w:val="21"/>
        </w:rPr>
        <w:t>《交银施罗德精选混合型证券投资基金托管协议》、</w:t>
      </w:r>
    </w:p>
    <w:p>
      <w:pPr>
        <w:ind w:firstLine="420"/>
        <w:jc w:val="left"/>
        <w:rPr>
          <w:rFonts w:ascii="仿宋_GB2312" w:eastAsia="仿宋_GB2312"/>
          <w:szCs w:val="21"/>
        </w:rPr>
      </w:pPr>
      <w:r>
        <w:rPr>
          <w:rFonts w:hint="eastAsia" w:ascii="仿宋_GB2312" w:eastAsia="仿宋_GB2312"/>
          <w:szCs w:val="21"/>
        </w:rPr>
        <w:t>《交银施罗德精选混合型证券投资基金招募说明书》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1D14"/>
    <w:rsid w:val="00DB319C"/>
    <w:rsid w:val="00E51B6D"/>
    <w:rsid w:val="00F75715"/>
    <w:rsid w:val="00F811C4"/>
    <w:rsid w:val="00FC2918"/>
    <w:rsid w:val="725F73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657</Words>
  <Characters>3746</Characters>
  <Lines>31</Lines>
  <Paragraphs>8</Paragraphs>
  <TotalTime>41</TotalTime>
  <ScaleCrop>false</ScaleCrop>
  <LinksUpToDate>false</LinksUpToDate>
  <CharactersWithSpaces>4395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2025-09-24T06:25:00Z</dcterms:created>
  <dc:creator>Cc</dc:creator>
  <cp:lastModifiedBy>haotingting</cp:lastModifiedBy>
  <dcterms:modified xsi:type="dcterms:W3CDTF">2025-09-30T02:06:42Z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5D143947127B4488971A307DE66057DE</vt:lpwstr>
  </property>
</Properties>
</file>