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交银施罗德中证A50指数型证券投资基金（C类份额）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交银中证A50指数C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023053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2025-04-02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2025-04-02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本基金采用指数化投资策略，紧密跟踪中证A50指数，追求跟踪偏离度与跟踪误差最小化。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中证A50指数的成份股（含存托凭证）及备选成份股（含存托凭证）、其他股票（含创业板、科创板及其他经中国证监会核准或注册上市的股票、存托凭证）、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本基金可根据法律法规的规定参与融资及转融通证券出借业务。未来在法律法规允许的前提下，本基金可根据相关法律法规规定参与融券业务。</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中证A50指数成份股（含存托凭证）及备选成份股（含存托凭证）的比例不低于基金资产净值的90%且不低于非现金基金资产的80%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本基金标的指数为中证A50指数。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采用组合复制策略及适当的替代性策略以更好的跟踪标的指数，实现基金投资目标。在正常市场情况下，力争控制本基金日均跟踪偏离度的绝对值不超过0.35%，年跟踪误差不超过4%。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pPr>
              <w:ind w:firstLine="420"/>
              <w:jc w:val="left"/>
              <w:rPr>
                <w:rFonts w:ascii="仿宋_GB2312" w:eastAsia="仿宋_GB2312"/>
                <w:szCs w:val="21"/>
              </w:rPr>
            </w:pPr>
            <w:r>
              <w:rPr>
                <w:rFonts w:hint="eastAsia" w:ascii="仿宋_GB2312" w:eastAsia="仿宋_GB2312"/>
                <w:szCs w:val="21"/>
              </w:rPr>
              <w:t>1、股票投资策略；2、债券投资策略；3、股指期货投资策略；4、资产支持证券投资策略；5、存托凭证投资策略；6、融资、转融通证券出借业务投资策略。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中证A50指数收益率×95%＋人民币银行活期存款利率（税后）×5%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本基金是一只股票型基金，其预期风险和预期收益理论上高于混合型基金、债券型基金和货币市场基金。</w:t>
            </w:r>
          </w:p>
          <w:p>
            <w:pPr>
              <w:ind w:firstLine="420"/>
              <w:jc w:val="left"/>
              <w:rPr>
                <w:rFonts w:ascii="仿宋_GB2312" w:eastAsia="仿宋_GB2312"/>
                <w:szCs w:val="21"/>
              </w:rPr>
            </w:pPr>
            <w:r>
              <w:rPr>
                <w:rFonts w:hint="eastAsia" w:ascii="仿宋_GB2312" w:eastAsia="仿宋_GB2312"/>
                <w:szCs w:val="21"/>
              </w:rPr>
              <w:t>本基金为指数型基金，主要采用完全复制法跟踪中证A50指数，具有与标的指数相似的风险收益特征。</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详见《交银施罗德中证A50指数型证券投资基金招募说明书》第十部分“基金的投资”。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ind w:firstLine="420"/>
        <w:jc w:val="left"/>
        <w:rPr>
          <w:rFonts w:ascii="仿宋_GB2312" w:eastAsia="仿宋_GB2312"/>
          <w:szCs w:val="21"/>
        </w:rPr>
      </w:pPr>
      <w:r>
        <w:rPr>
          <w:rFonts w:hint="eastAsia" w:ascii="仿宋_GB2312" w:eastAsia="仿宋_GB2312"/>
          <w:szCs w:val="21"/>
        </w:rPr>
        <w:t>无。</w:t>
      </w:r>
    </w:p>
    <w:p>
      <w:pPr>
        <w:ind w:firstLine="420"/>
        <w:jc w:val="left"/>
        <w:rPr>
          <w:rFonts w:ascii="仿宋_GB2312" w:eastAsia="仿宋_GB2312"/>
          <w:szCs w:val="21"/>
        </w:rPr>
      </w:pPr>
      <w:r>
        <w:rPr>
          <w:rFonts w:hint="eastAsia" w:ascii="仿宋_GB2312" w:eastAsia="仿宋_GB2312"/>
          <w:szCs w:val="21"/>
        </w:rPr>
        <w:t>注：本基金合同于2025年4月2日生效，截至上年度末，无相关年报数据。</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38"/>
        <w:gridCol w:w="4219"/>
        <w:gridCol w:w="2148"/>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90000.00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本基金尚未披露基金年报，暂不披露该内容。</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股票型基金，投资于中证A50指数成份股（含存托凭证）及备选成份股（含存托凭证）的比例不低于基金资产净值的90%且不低于非现金基金资产的80%，因投资权益类资产而面临权益类资产市场的系统性风险和个股风险</w:t>
      </w:r>
    </w:p>
    <w:p>
      <w:pPr>
        <w:ind w:firstLine="420"/>
        <w:jc w:val="left"/>
        <w:rPr>
          <w:rFonts w:ascii="仿宋_GB2312" w:eastAsia="仿宋_GB2312"/>
          <w:szCs w:val="21"/>
        </w:rPr>
      </w:pPr>
      <w:r>
        <w:rPr>
          <w:rFonts w:hint="eastAsia" w:ascii="仿宋_GB2312" w:eastAsia="仿宋_GB2312"/>
          <w:szCs w:val="21"/>
        </w:rPr>
        <w:t>（2）标的指数回报与股票市场平均回报偏离的风险、（3）标的指数波动的风险、（4）标的指数部分成份股权重较大的风险、（5）基金投资组合回报与标的指数回报偏离及跟踪误差控制未达约定目标的风险、（6）标的指数变更的风险、（7）指数编制机构停止服务的风险、（8）成份股停牌或退市的风险</w:t>
      </w:r>
    </w:p>
    <w:p>
      <w:pPr>
        <w:ind w:firstLine="420"/>
        <w:jc w:val="left"/>
        <w:rPr>
          <w:rFonts w:ascii="仿宋_GB2312" w:eastAsia="仿宋_GB2312"/>
          <w:szCs w:val="21"/>
        </w:rPr>
      </w:pPr>
      <w:r>
        <w:rPr>
          <w:rFonts w:hint="eastAsia" w:ascii="仿宋_GB2312" w:eastAsia="仿宋_GB2312"/>
          <w:szCs w:val="21"/>
        </w:rPr>
        <w:t>（9）基金合同提前终止风险</w:t>
      </w:r>
    </w:p>
    <w:p>
      <w:pPr>
        <w:ind w:firstLine="420"/>
        <w:jc w:val="left"/>
        <w:rPr>
          <w:rFonts w:ascii="仿宋_GB2312" w:eastAsia="仿宋_GB2312"/>
          <w:szCs w:val="21"/>
        </w:rPr>
      </w:pPr>
      <w:r>
        <w:rPr>
          <w:rFonts w:hint="eastAsia" w:ascii="仿宋_GB2312" w:eastAsia="仿宋_GB2312"/>
          <w:szCs w:val="21"/>
        </w:rPr>
        <w:t>《基金合同》生效后，连续50个工作日出现基金份额持有人数量不满200人或者基金资产净值低于5000万元情形的，基金合同终止，不需召开基金份额持有人大会。因此，投资者可能面临基金合同提前终止的风险</w:t>
      </w:r>
    </w:p>
    <w:p>
      <w:pPr>
        <w:ind w:firstLine="420"/>
        <w:jc w:val="left"/>
        <w:rPr>
          <w:rFonts w:ascii="仿宋_GB2312" w:eastAsia="仿宋_GB2312"/>
          <w:szCs w:val="21"/>
        </w:rPr>
      </w:pPr>
      <w:r>
        <w:rPr>
          <w:rFonts w:hint="eastAsia" w:ascii="仿宋_GB2312" w:eastAsia="仿宋_GB2312"/>
          <w:szCs w:val="21"/>
        </w:rPr>
        <w:t>（10）本基金可投资创业板股票，创业板个股上市后的前五个交易日不设价格涨跌幅限制，第六个交易日开始涨跌幅限制比例为20%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11、本基金参与融资业务的特定风险</w:t>
      </w:r>
    </w:p>
    <w:p>
      <w:pPr>
        <w:ind w:firstLine="420"/>
        <w:jc w:val="left"/>
        <w:rPr>
          <w:rFonts w:ascii="仿宋_GB2312" w:eastAsia="仿宋_GB2312"/>
          <w:szCs w:val="21"/>
        </w:rPr>
      </w:pPr>
      <w:r>
        <w:rPr>
          <w:rFonts w:hint="eastAsia" w:ascii="仿宋_GB2312" w:eastAsia="仿宋_GB2312"/>
          <w:szCs w:val="21"/>
        </w:rPr>
        <w:t>本基金可参与融资业务，面临的风险包括但不限于市场风险、流动性风险、信用风险等。</w:t>
      </w:r>
    </w:p>
    <w:p>
      <w:pPr>
        <w:ind w:firstLine="420"/>
        <w:jc w:val="left"/>
        <w:rPr>
          <w:rFonts w:ascii="仿宋_GB2312" w:eastAsia="仿宋_GB2312"/>
          <w:szCs w:val="21"/>
        </w:rPr>
      </w:pPr>
      <w:r>
        <w:rPr>
          <w:rFonts w:hint="eastAsia" w:ascii="仿宋_GB2312" w:eastAsia="仿宋_GB2312"/>
          <w:szCs w:val="21"/>
        </w:rPr>
        <w:t>12、本基金参与转融通证券出借业务的特定风险</w:t>
      </w:r>
    </w:p>
    <w:p>
      <w:pPr>
        <w:ind w:firstLine="420"/>
        <w:jc w:val="left"/>
        <w:rPr>
          <w:rFonts w:ascii="仿宋_GB2312" w:eastAsia="仿宋_GB2312"/>
          <w:szCs w:val="21"/>
        </w:rPr>
      </w:pPr>
      <w:r>
        <w:rPr>
          <w:rFonts w:hint="eastAsia" w:ascii="仿宋_GB2312" w:eastAsia="仿宋_GB2312"/>
          <w:szCs w:val="21"/>
        </w:rPr>
        <w:t>本基金可参与转融通证券出借业务，面临的风险包括但不限于流动性风险、信用风险、市场风险、其他风险等。</w:t>
      </w:r>
    </w:p>
    <w:p>
      <w:pPr>
        <w:ind w:firstLine="420"/>
        <w:jc w:val="left"/>
        <w:rPr>
          <w:rFonts w:ascii="仿宋_GB2312" w:eastAsia="仿宋_GB2312"/>
          <w:szCs w:val="21"/>
        </w:rPr>
      </w:pPr>
      <w:r>
        <w:rPr>
          <w:rFonts w:hint="eastAsia" w:ascii="仿宋_GB2312" w:eastAsia="仿宋_GB2312"/>
          <w:szCs w:val="21"/>
        </w:rPr>
        <w:t>13、本基金法律文件风险收益特征表述与销售机构基金风险评价可能不一致的风险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14、其他风险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因基金合同而产生的或与基金合同有关的一切争议，如经友好协商未能解决的，任何一方均有权将争议提交上海国际经济贸易仲裁委员会，按其届时有效的仲裁规则进行仲裁。仲裁地点为上海市。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●《交银施罗德中证A50指数型证券投资基金基金合同》、</w:t>
      </w:r>
    </w:p>
    <w:p>
      <w:pPr>
        <w:ind w:firstLine="420"/>
        <w:jc w:val="left"/>
        <w:rPr>
          <w:rFonts w:ascii="仿宋_GB2312" w:eastAsia="仿宋_GB2312"/>
          <w:szCs w:val="21"/>
        </w:rPr>
      </w:pPr>
      <w:r>
        <w:rPr>
          <w:rFonts w:hint="eastAsia" w:ascii="仿宋_GB2312" w:eastAsia="仿宋_GB2312"/>
          <w:szCs w:val="21"/>
        </w:rPr>
        <w:t>《交银施罗德中证A50指数型证券投资基金托管协议》、</w:t>
      </w:r>
    </w:p>
    <w:p>
      <w:pPr>
        <w:ind w:firstLine="420"/>
        <w:jc w:val="left"/>
        <w:rPr>
          <w:rFonts w:ascii="仿宋_GB2312" w:eastAsia="仿宋_GB2312"/>
          <w:szCs w:val="21"/>
        </w:rPr>
      </w:pPr>
      <w:r>
        <w:rPr>
          <w:rFonts w:hint="eastAsia" w:ascii="仿宋_GB2312" w:eastAsia="仿宋_GB2312"/>
          <w:szCs w:val="21"/>
        </w:rPr>
        <w:t>《交银施罗德中证A50指数型证券投资基金招募说明书》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0FF0106"/>
    <w:rsid w:val="77EE0A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771</Words>
  <Characters>4399</Characters>
  <Lines>36</Lines>
  <Paragraphs>10</Paragraphs>
  <TotalTime>0</TotalTime>
  <ScaleCrop>false</ScaleCrop>
  <LinksUpToDate>false</LinksUpToDate>
  <CharactersWithSpaces>5160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2025-09-19T06:01:00Z</dcterms:created>
  <dc:creator>Cc</dc:creator>
  <cp:lastModifiedBy>haotingting</cp:lastModifiedBy>
  <dcterms:modified xsi:type="dcterms:W3CDTF">2025-09-19T08:54:05Z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E02A8B2961B54CC0830195C04BB1BCE4</vt:lpwstr>
  </property>
</Properties>
</file>