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2640A">
      <w:pPr>
        <w:rPr>
          <w:sz w:val="32"/>
        </w:rPr>
      </w:pPr>
    </w:p>
    <w:p w:rsidR="00C92FC0" w:rsidRPr="00EB07BC" w:rsidRDefault="00D2640A">
      <w:pPr>
        <w:rPr>
          <w:sz w:val="32"/>
        </w:rPr>
      </w:pPr>
    </w:p>
    <w:p w:rsidR="00C92FC0" w:rsidRPr="00EB07BC" w:rsidRDefault="00D2640A">
      <w:pPr>
        <w:rPr>
          <w:sz w:val="32"/>
        </w:rPr>
      </w:pPr>
    </w:p>
    <w:p w:rsidR="00C92FC0" w:rsidRPr="00EB07BC" w:rsidRDefault="003F6289">
      <w:pPr>
        <w:jc w:val="center"/>
        <w:rPr>
          <w:sz w:val="32"/>
        </w:rPr>
      </w:pPr>
      <w:r>
        <w:rPr>
          <w:noProof/>
        </w:rPr>
        <w:drawing>
          <wp:inline distT="0" distB="0" distL="0" distR="0" wp14:anchorId="310493FC" wp14:editId="17ADE824">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8" cstate="print"/>
                    <a:srcRect/>
                    <a:stretch>
                      <a:fillRect/>
                    </a:stretch>
                  </pic:blipFill>
                  <pic:spPr bwMode="auto">
                    <a:xfrm>
                      <a:off x="0" y="0"/>
                      <a:ext cx="4343400" cy="571500"/>
                    </a:xfrm>
                    <a:prstGeom prst="rect">
                      <a:avLst/>
                    </a:prstGeom>
                    <a:noFill/>
                    <a:ln w="9525">
                      <a:noFill/>
                      <a:miter lim="800000"/>
                      <a:headEnd/>
                      <a:tailEnd/>
                    </a:ln>
                  </pic:spPr>
                </pic:pic>
              </a:graphicData>
            </a:graphic>
          </wp:inline>
        </w:drawing>
      </w:r>
    </w:p>
    <w:p w:rsidR="00195768" w:rsidRDefault="0019576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95768" w:rsidRDefault="00195768">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195768" w:rsidRDefault="003F628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交银施罗德中证</w:t>
      </w:r>
      <w:r>
        <w:rPr>
          <w:rFonts w:ascii="Times New Roman" w:hAnsi="Times New Roman"/>
          <w:b/>
          <w:spacing w:val="2"/>
          <w:w w:val="99"/>
          <w:kern w:val="0"/>
          <w:position w:val="-4"/>
          <w:sz w:val="44"/>
          <w:szCs w:val="44"/>
        </w:rPr>
        <w:t>A500</w:t>
      </w:r>
      <w:r>
        <w:rPr>
          <w:rFonts w:ascii="Times New Roman" w:hAnsi="Times New Roman"/>
          <w:b/>
          <w:spacing w:val="2"/>
          <w:w w:val="99"/>
          <w:kern w:val="0"/>
          <w:position w:val="-4"/>
          <w:sz w:val="44"/>
          <w:szCs w:val="44"/>
        </w:rPr>
        <w:t>指数型证券投资基金</w:t>
      </w:r>
    </w:p>
    <w:p w:rsidR="00195768" w:rsidRDefault="003F628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195768" w:rsidRDefault="00195768">
      <w:pPr>
        <w:snapToGrid w:val="0"/>
        <w:spacing w:line="360" w:lineRule="auto"/>
        <w:jc w:val="center"/>
        <w:rPr>
          <w:rFonts w:ascii="宋体" w:hAnsi="宋体"/>
          <w:b/>
          <w:sz w:val="30"/>
          <w:szCs w:val="30"/>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3F628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195768" w:rsidRDefault="003F628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195768">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195768" w:rsidRDefault="003F628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二〇二五年九月</w:t>
      </w:r>
    </w:p>
    <w:p w:rsidR="00195768" w:rsidRDefault="00195768">
      <w:pPr>
        <w:autoSpaceDE w:val="0"/>
        <w:autoSpaceDN w:val="0"/>
        <w:adjustRightInd w:val="0"/>
        <w:snapToGrid w:val="0"/>
        <w:spacing w:line="360" w:lineRule="auto"/>
        <w:ind w:left="1347" w:rightChars="6" w:right="13"/>
        <w:rPr>
          <w:rFonts w:ascii="宋体" w:hAnsi="宋体"/>
          <w:kern w:val="0"/>
          <w:sz w:val="32"/>
          <w:szCs w:val="32"/>
        </w:rPr>
        <w:sectPr w:rsidR="00195768">
          <w:headerReference w:type="even" r:id="rId9"/>
          <w:headerReference w:type="default" r:id="rId10"/>
          <w:footerReference w:type="even" r:id="rId11"/>
          <w:footerReference w:type="default" r:id="rId12"/>
          <w:headerReference w:type="first" r:id="rId13"/>
          <w:footerReference w:type="first" r:id="rId14"/>
          <w:pgSz w:w="11920" w:h="16840"/>
          <w:pgMar w:top="1560" w:right="1680" w:bottom="280" w:left="1680" w:header="0" w:footer="1073" w:gutter="0"/>
          <w:pgNumType w:start="1"/>
          <w:cols w:space="720"/>
          <w:titlePg/>
          <w:docGrid w:linePitch="286"/>
        </w:sectPr>
      </w:pPr>
    </w:p>
    <w:p w:rsidR="00195768" w:rsidRDefault="003F6289">
      <w:pPr>
        <w:pStyle w:val="1"/>
        <w:snapToGrid w:val="0"/>
        <w:spacing w:beforeLines="0" w:before="240" w:after="240"/>
        <w:rPr>
          <w:rFonts w:ascii="宋体" w:hAnsi="宋体"/>
          <w:kern w:val="0"/>
        </w:rPr>
      </w:pPr>
      <w:bookmarkStart w:id="0" w:name="_Toc324920538"/>
      <w:bookmarkStart w:id="1" w:name="_Toc496884613"/>
      <w:bookmarkStart w:id="2" w:name="_Toc210912036"/>
      <w:r>
        <w:rPr>
          <w:rFonts w:ascii="Times New Roman" w:hAnsi="Times New Roman"/>
          <w:kern w:val="0"/>
        </w:rPr>
        <w:lastRenderedPageBreak/>
        <w:t>重要提示</w:t>
      </w:r>
      <w:bookmarkEnd w:id="0"/>
      <w:bookmarkEnd w:id="1"/>
      <w:bookmarkEnd w:id="2"/>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交银施罗德中证</w:t>
      </w:r>
      <w:r>
        <w:rPr>
          <w:rFonts w:ascii="Times New Roman" w:hAnsi="Times New Roman"/>
          <w:kern w:val="0"/>
          <w:sz w:val="24"/>
        </w:rPr>
        <w:t>A500</w:t>
      </w:r>
      <w:r>
        <w:rPr>
          <w:rFonts w:ascii="Times New Roman" w:hAnsi="Times New Roman"/>
          <w:kern w:val="0"/>
          <w:sz w:val="24"/>
        </w:rPr>
        <w:t>指数型证券投资基金（以下简称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2024</w:t>
      </w:r>
      <w:r>
        <w:rPr>
          <w:rFonts w:ascii="Times New Roman" w:hAnsi="Times New Roman"/>
          <w:kern w:val="0"/>
          <w:sz w:val="24"/>
        </w:rPr>
        <w:t>】</w:t>
      </w:r>
      <w:r>
        <w:rPr>
          <w:rFonts w:ascii="Times New Roman" w:hAnsi="Times New Roman"/>
          <w:kern w:val="0"/>
          <w:sz w:val="24"/>
        </w:rPr>
        <w:t>1810</w:t>
      </w:r>
      <w:r>
        <w:rPr>
          <w:rFonts w:ascii="Times New Roman" w:hAnsi="Times New Roman"/>
          <w:kern w:val="0"/>
          <w:sz w:val="24"/>
        </w:rPr>
        <w:t>号文准予募集注册。本基金基金合同于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股指期货的特定风险；投资资产支持证券的特定风险；投资流通受限证券的特定风险；投资存托凭证的特定风险；投资科创板股票的特定风险；本基金参与融资业务的特定风险；本基金参与转融通证券出借业务的特定风险；本基金法律文件风险收益特征表述与销售机构基金风险评价可能不一致的风险；投资本基金的其他风险等等。</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本基金是一只股票型基金，其预期风险和预期收益理论上高于混合型基金、债券型基金和货币市场基金。</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本基金为指数型基金，主要采用完全复制法跟踪中证</w:t>
      </w:r>
      <w:r>
        <w:rPr>
          <w:rFonts w:ascii="Times New Roman" w:hAnsi="Times New Roman"/>
          <w:kern w:val="0"/>
          <w:sz w:val="24"/>
        </w:rPr>
        <w:t>A500</w:t>
      </w:r>
      <w:r>
        <w:rPr>
          <w:rFonts w:ascii="Times New Roman" w:hAnsi="Times New Roman"/>
          <w:kern w:val="0"/>
          <w:sz w:val="24"/>
        </w:rPr>
        <w:t>指数，具有与标的指数相似的风险收益特征。</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本基金为指数基金，投资者投资于本基金面临跟踪误差控制未达约定目标、指数编制机构停止服务、成份股停牌等潜在风险。</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本基金标的指数为中证</w:t>
      </w:r>
      <w:r>
        <w:rPr>
          <w:rFonts w:ascii="Times New Roman" w:hAnsi="Times New Roman"/>
          <w:kern w:val="0"/>
          <w:sz w:val="24"/>
        </w:rPr>
        <w:t>A500</w:t>
      </w:r>
      <w:r>
        <w:rPr>
          <w:rFonts w:ascii="Times New Roman" w:hAnsi="Times New Roman"/>
          <w:kern w:val="0"/>
          <w:sz w:val="24"/>
        </w:rPr>
        <w:t>指数。</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1</w:t>
      </w:r>
      <w:r>
        <w:rPr>
          <w:rFonts w:ascii="Times New Roman" w:hAnsi="Times New Roman"/>
          <w:kern w:val="0"/>
          <w:sz w:val="24"/>
        </w:rPr>
        <w:t>、样本空间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同中证全指指数的样本空间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、可投资性筛选</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过去一年日均成交金额排名位于样本空间前</w:t>
      </w:r>
      <w:r>
        <w:rPr>
          <w:rFonts w:ascii="Times New Roman" w:hAnsi="Times New Roman"/>
          <w:kern w:val="0"/>
          <w:sz w:val="24"/>
        </w:rPr>
        <w:t xml:space="preserve"> 90%</w:t>
      </w:r>
      <w:r>
        <w:rPr>
          <w:rFonts w:ascii="Times New Roman" w:hAnsi="Times New Roman"/>
          <w:kern w:val="0"/>
          <w:sz w:val="24"/>
        </w:rPr>
        <w:t>。</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、选样方法</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）对于样本空间内符合可投资性筛选条件的证券，剔除中证</w:t>
      </w:r>
      <w:r>
        <w:rPr>
          <w:rFonts w:ascii="Times New Roman" w:hAnsi="Times New Roman"/>
          <w:kern w:val="0"/>
          <w:sz w:val="24"/>
        </w:rPr>
        <w:t>ESG</w:t>
      </w:r>
      <w:r>
        <w:rPr>
          <w:rFonts w:ascii="Times New Roman" w:hAnsi="Times New Roman"/>
          <w:kern w:val="0"/>
          <w:sz w:val="24"/>
        </w:rPr>
        <w:t>评价结果在</w:t>
      </w:r>
      <w:r>
        <w:rPr>
          <w:rFonts w:ascii="Times New Roman" w:hAnsi="Times New Roman"/>
          <w:kern w:val="0"/>
          <w:sz w:val="24"/>
        </w:rPr>
        <w:t>C</w:t>
      </w:r>
      <w:r>
        <w:rPr>
          <w:rFonts w:ascii="Times New Roman" w:hAnsi="Times New Roman"/>
          <w:kern w:val="0"/>
          <w:sz w:val="24"/>
        </w:rPr>
        <w:t>及以下的上市公司证券；</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）选取同时满足以下条件的证券作为待选样本：</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样本空间内总市值排名前</w:t>
      </w:r>
      <w:r>
        <w:rPr>
          <w:rFonts w:ascii="Times New Roman" w:hAnsi="Times New Roman"/>
          <w:kern w:val="0"/>
          <w:sz w:val="24"/>
        </w:rPr>
        <w:t xml:space="preserve"> 1500</w:t>
      </w:r>
      <w:r>
        <w:rPr>
          <w:rFonts w:ascii="Times New Roman" w:hAnsi="Times New Roman"/>
          <w:kern w:val="0"/>
          <w:sz w:val="24"/>
        </w:rPr>
        <w:t>；</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属于沪股通或深股通证券范围；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对主板证券，在所属中证三级行业内自由流通市值占比不低于</w:t>
      </w:r>
      <w:r>
        <w:rPr>
          <w:rFonts w:ascii="Times New Roman" w:hAnsi="Times New Roman"/>
          <w:kern w:val="0"/>
          <w:sz w:val="24"/>
        </w:rPr>
        <w:t xml:space="preserve"> 2%</w:t>
      </w:r>
      <w:r>
        <w:rPr>
          <w:rFonts w:ascii="Times New Roman" w:hAnsi="Times New Roman"/>
          <w:kern w:val="0"/>
          <w:sz w:val="24"/>
        </w:rPr>
        <w:t>。</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3</w:t>
      </w:r>
      <w:r>
        <w:rPr>
          <w:rFonts w:ascii="Times New Roman" w:hAnsi="Times New Roman"/>
          <w:kern w:val="0"/>
          <w:sz w:val="24"/>
        </w:rPr>
        <w:t>）在待选样本中，优先选取三级行业自由流通市值最大或总市值在样本空间内排名前</w:t>
      </w:r>
      <w:r>
        <w:rPr>
          <w:rFonts w:ascii="Times New Roman" w:hAnsi="Times New Roman"/>
          <w:kern w:val="0"/>
          <w:sz w:val="24"/>
        </w:rPr>
        <w:t xml:space="preserve"> 1%</w:t>
      </w:r>
      <w:r>
        <w:rPr>
          <w:rFonts w:ascii="Times New Roman" w:hAnsi="Times New Roman"/>
          <w:kern w:val="0"/>
          <w:sz w:val="24"/>
        </w:rPr>
        <w:t>的证券作为指数样本。</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4</w:t>
      </w:r>
      <w:r>
        <w:rPr>
          <w:rFonts w:ascii="Times New Roman" w:hAnsi="Times New Roman"/>
          <w:kern w:val="0"/>
          <w:sz w:val="24"/>
        </w:rPr>
        <w:t>）在剩余待选样本中，从各中证一级行业按照自由流通市值选取一定数量证券，使样本数量达到</w:t>
      </w:r>
      <w:r>
        <w:rPr>
          <w:rFonts w:ascii="Times New Roman" w:hAnsi="Times New Roman"/>
          <w:kern w:val="0"/>
          <w:sz w:val="24"/>
        </w:rPr>
        <w:t xml:space="preserve"> 500 </w:t>
      </w:r>
      <w:r>
        <w:rPr>
          <w:rFonts w:ascii="Times New Roman" w:hAnsi="Times New Roman"/>
          <w:kern w:val="0"/>
          <w:sz w:val="24"/>
        </w:rPr>
        <w:t>只，且各一级行业自由流通市值分布与样本空间尽可能一致。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4</w:t>
      </w:r>
      <w:r>
        <w:rPr>
          <w:rFonts w:ascii="Times New Roman" w:hAnsi="Times New Roman"/>
          <w:kern w:val="0"/>
          <w:sz w:val="24"/>
        </w:rPr>
        <w:t>、指数计算</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指数计算公式为：</w:t>
      </w:r>
    </w:p>
    <w:p w:rsidR="00195768" w:rsidRDefault="00D2640A">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5pt;height:42pt">
            <v:imagedata r:id="rId15" o:title="1521256610242020828"/>
          </v:shape>
        </w:pic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其中，调整市值＝</w:t>
      </w:r>
      <w:r>
        <w:rPr>
          <w:rFonts w:ascii="Times New Roman" w:hAnsi="Times New Roman"/>
          <w:kern w:val="0"/>
          <w:sz w:val="24"/>
        </w:rPr>
        <w:t>∑(</w:t>
      </w:r>
      <w:r>
        <w:rPr>
          <w:rFonts w:ascii="Times New Roman" w:hAnsi="Times New Roman"/>
          <w:kern w:val="0"/>
          <w:sz w:val="24"/>
        </w:rPr>
        <w:t>证券价格</w:t>
      </w:r>
      <w:r>
        <w:rPr>
          <w:rFonts w:ascii="Times New Roman" w:hAnsi="Times New Roman"/>
          <w:kern w:val="0"/>
          <w:sz w:val="24"/>
        </w:rPr>
        <w:t>×</w:t>
      </w:r>
      <w:r>
        <w:rPr>
          <w:rFonts w:ascii="Times New Roman" w:hAnsi="Times New Roman"/>
          <w:kern w:val="0"/>
          <w:sz w:val="24"/>
        </w:rPr>
        <w:t>调整股本数</w:t>
      </w:r>
      <w:r>
        <w:rPr>
          <w:rFonts w:ascii="Times New Roman" w:hAnsi="Times New Roman"/>
          <w:kern w:val="0"/>
          <w:sz w:val="24"/>
        </w:rPr>
        <w:t>×</w:t>
      </w:r>
      <w:r>
        <w:rPr>
          <w:rFonts w:ascii="Times New Roman" w:hAnsi="Times New Roman"/>
          <w:kern w:val="0"/>
          <w:sz w:val="24"/>
        </w:rPr>
        <w:t>权重因子</w:t>
      </w:r>
      <w:r>
        <w:rPr>
          <w:rFonts w:ascii="Times New Roman" w:hAnsi="Times New Roman"/>
          <w:kern w:val="0"/>
          <w:sz w:val="24"/>
        </w:rPr>
        <w:t>)</w:t>
      </w:r>
      <w:r>
        <w:rPr>
          <w:rFonts w:ascii="Times New Roman" w:hAnsi="Times New Roman"/>
          <w:kern w:val="0"/>
          <w:sz w:val="24"/>
        </w:rPr>
        <w:t>。调整股本数的计算方法、除数修正方法参见计算与维护细则。权重因子介于</w:t>
      </w:r>
      <w:r>
        <w:rPr>
          <w:rFonts w:ascii="Times New Roman" w:hAnsi="Times New Roman"/>
          <w:kern w:val="0"/>
          <w:sz w:val="24"/>
        </w:rPr>
        <w:t xml:space="preserve"> 0 </w:t>
      </w:r>
      <w:r>
        <w:rPr>
          <w:rFonts w:ascii="Times New Roman" w:hAnsi="Times New Roman"/>
          <w:kern w:val="0"/>
          <w:sz w:val="24"/>
        </w:rPr>
        <w:t>和</w:t>
      </w:r>
      <w:r>
        <w:rPr>
          <w:rFonts w:ascii="Times New Roman" w:hAnsi="Times New Roman"/>
          <w:kern w:val="0"/>
          <w:sz w:val="24"/>
        </w:rPr>
        <w:t xml:space="preserve"> 1 </w:t>
      </w:r>
      <w:r>
        <w:rPr>
          <w:rFonts w:ascii="Times New Roman" w:hAnsi="Times New Roman"/>
          <w:kern w:val="0"/>
          <w:sz w:val="24"/>
        </w:rPr>
        <w:t>之间，以使单个样本权重不超过</w:t>
      </w:r>
      <w:r>
        <w:rPr>
          <w:rFonts w:ascii="Times New Roman" w:hAnsi="Times New Roman"/>
          <w:kern w:val="0"/>
          <w:sz w:val="24"/>
        </w:rPr>
        <w:t>10%</w:t>
      </w:r>
      <w:r>
        <w:rPr>
          <w:rFonts w:ascii="Times New Roman" w:hAnsi="Times New Roman"/>
          <w:kern w:val="0"/>
          <w:sz w:val="24"/>
        </w:rPr>
        <w:t>，前五大样本权重合计不超过</w:t>
      </w:r>
      <w:r>
        <w:rPr>
          <w:rFonts w:ascii="Times New Roman" w:hAnsi="Times New Roman"/>
          <w:kern w:val="0"/>
          <w:sz w:val="24"/>
        </w:rPr>
        <w:t>40%</w:t>
      </w:r>
      <w:r>
        <w:rPr>
          <w:rFonts w:ascii="Times New Roman" w:hAnsi="Times New Roman"/>
          <w:kern w:val="0"/>
          <w:sz w:val="24"/>
        </w:rPr>
        <w:t>。</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5</w:t>
      </w:r>
      <w:r>
        <w:rPr>
          <w:rFonts w:ascii="Times New Roman" w:hAnsi="Times New Roman"/>
          <w:kern w:val="0"/>
          <w:sz w:val="24"/>
        </w:rPr>
        <w:t>、指数样本和权重调整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）定期调整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指数样本每半年调整一次，样本调整实施时间分别为每年</w:t>
      </w:r>
      <w:r>
        <w:rPr>
          <w:rFonts w:ascii="Times New Roman" w:hAnsi="Times New Roman"/>
          <w:kern w:val="0"/>
          <w:sz w:val="24"/>
        </w:rPr>
        <w:t>6</w:t>
      </w:r>
      <w:r>
        <w:rPr>
          <w:rFonts w:ascii="Times New Roman" w:hAnsi="Times New Roman"/>
          <w:kern w:val="0"/>
          <w:sz w:val="24"/>
        </w:rPr>
        <w:t>月和</w:t>
      </w:r>
      <w:r>
        <w:rPr>
          <w:rFonts w:ascii="Times New Roman" w:hAnsi="Times New Roman"/>
          <w:kern w:val="0"/>
          <w:sz w:val="24"/>
        </w:rPr>
        <w:t>12</w:t>
      </w:r>
      <w:r>
        <w:rPr>
          <w:rFonts w:ascii="Times New Roman" w:hAnsi="Times New Roman"/>
          <w:kern w:val="0"/>
          <w:sz w:val="24"/>
        </w:rPr>
        <w:t>月的第二个星期五的下一交易日。</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权重因子随样本定期调整而调整，调整时间与指数样本定期调整实施时间相同。在下一个定期调整日前，权重因子一般固定不变。每次调整的样本比例一般不超过</w:t>
      </w:r>
      <w:r>
        <w:rPr>
          <w:rFonts w:ascii="Times New Roman" w:hAnsi="Times New Roman"/>
          <w:kern w:val="0"/>
          <w:sz w:val="24"/>
        </w:rPr>
        <w:t xml:space="preserve"> 10%</w:t>
      </w:r>
      <w:r>
        <w:rPr>
          <w:rFonts w:ascii="Times New Roman" w:hAnsi="Times New Roman"/>
          <w:kern w:val="0"/>
          <w:sz w:val="24"/>
        </w:rPr>
        <w:t>。定期调整设置缓冲区，若主板老样本在所属中证三级行业内自由流</w:t>
      </w:r>
      <w:r>
        <w:rPr>
          <w:rFonts w:ascii="Times New Roman" w:hAnsi="Times New Roman"/>
          <w:kern w:val="0"/>
          <w:sz w:val="24"/>
        </w:rPr>
        <w:lastRenderedPageBreak/>
        <w:t>通市值占比不低于</w:t>
      </w:r>
      <w:r>
        <w:rPr>
          <w:rFonts w:ascii="Times New Roman" w:hAnsi="Times New Roman"/>
          <w:kern w:val="0"/>
          <w:sz w:val="24"/>
        </w:rPr>
        <w:t xml:space="preserve"> 1%</w:t>
      </w:r>
      <w:r>
        <w:rPr>
          <w:rFonts w:ascii="Times New Roman" w:hAnsi="Times New Roman"/>
          <w:kern w:val="0"/>
          <w:sz w:val="24"/>
        </w:rPr>
        <w:t>，仍作为待选样本；选样方法（</w:t>
      </w:r>
      <w:r>
        <w:rPr>
          <w:rFonts w:ascii="Times New Roman" w:hAnsi="Times New Roman"/>
          <w:kern w:val="0"/>
          <w:sz w:val="24"/>
        </w:rPr>
        <w:t>4</w:t>
      </w:r>
      <w:r>
        <w:rPr>
          <w:rFonts w:ascii="Times New Roman" w:hAnsi="Times New Roman"/>
          <w:kern w:val="0"/>
          <w:sz w:val="24"/>
        </w:rPr>
        <w:t>）中的入选顺序在前</w:t>
      </w:r>
      <w:r>
        <w:rPr>
          <w:rFonts w:ascii="Times New Roman" w:hAnsi="Times New Roman"/>
          <w:kern w:val="0"/>
          <w:sz w:val="24"/>
        </w:rPr>
        <w:t xml:space="preserve"> 400</w:t>
      </w:r>
      <w:r>
        <w:rPr>
          <w:rFonts w:ascii="Times New Roman" w:hAnsi="Times New Roman"/>
          <w:kern w:val="0"/>
          <w:sz w:val="24"/>
        </w:rPr>
        <w:t>名的新样本优先进入，在前</w:t>
      </w:r>
      <w:r>
        <w:rPr>
          <w:rFonts w:ascii="Times New Roman" w:hAnsi="Times New Roman"/>
          <w:kern w:val="0"/>
          <w:sz w:val="24"/>
        </w:rPr>
        <w:t xml:space="preserve"> 600 </w:t>
      </w:r>
      <w:r>
        <w:rPr>
          <w:rFonts w:ascii="Times New Roman" w:hAnsi="Times New Roman"/>
          <w:kern w:val="0"/>
          <w:sz w:val="24"/>
        </w:rPr>
        <w:t>名的老样本优先保留。</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）临时调整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特殊情况下将对指数进行临时调整。当样本退市时，将其从指数样本中剔除。样本公司发生收购、合并、分拆等情形的处理，参照计算与维护细则处理。当沪股通或深股通证券范围发生变动导致样本不再满足互联互通资格时，指数将相应调整。</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有关标的指数具体编制方案及成份股信息详见中证指数有限公司网站，网址：</w:t>
      </w:r>
      <w:r>
        <w:rPr>
          <w:rFonts w:ascii="Times New Roman" w:hAnsi="Times New Roman"/>
          <w:kern w:val="0"/>
          <w:sz w:val="24"/>
        </w:rPr>
        <w:t>www.csindex.com.cn</w:t>
      </w:r>
      <w:r>
        <w:rPr>
          <w:rFonts w:ascii="Times New Roman" w:hAnsi="Times New Roman"/>
          <w:kern w:val="0"/>
          <w:sz w:val="24"/>
        </w:rPr>
        <w:t>。</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以及不适当的估值使基金资产面临损失的风险等。</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w:t>
      </w:r>
      <w:r>
        <w:rPr>
          <w:rFonts w:ascii="Times New Roman" w:hAnsi="Times New Roman"/>
          <w:kern w:val="0"/>
          <w:sz w:val="24"/>
        </w:rPr>
        <w:lastRenderedPageBreak/>
        <w:t>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本基金可根据投资策略需要或市场环境的变化，选择将部分基金资产投资于科创板股票或选择不将基金资产投资于科创板股票，基金资产并非必然投资于科创板股票。</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本基金可参与融资业务，面临的风险包括但不限于市场风险、流动性风险、信用风险等。</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本基金可参与转融通证券出借业务，面临的风险包括但不限于流动性风险、信用风险、市场风险、其他风险等。</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基金合同提前终止风险。《基金合同》生效后，连续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万元情形的，基金合同终止，不需召开基金份额持有人大会。因此，投资者可能面临基金合同提前终止的风险。</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rsidR="00195768" w:rsidRDefault="003F628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195768" w:rsidRDefault="00195768">
      <w:pPr>
        <w:autoSpaceDE w:val="0"/>
        <w:autoSpaceDN w:val="0"/>
        <w:adjustRightInd w:val="0"/>
        <w:snapToGrid w:val="0"/>
        <w:spacing w:before="51" w:line="360" w:lineRule="auto"/>
        <w:ind w:left="120" w:rightChars="6" w:right="13" w:firstLine="480"/>
        <w:rPr>
          <w:rFonts w:ascii="宋体" w:hAnsi="宋体"/>
          <w:kern w:val="0"/>
          <w:szCs w:val="24"/>
        </w:rPr>
        <w:sectPr w:rsidR="00195768">
          <w:headerReference w:type="default" r:id="rId16"/>
          <w:pgSz w:w="11920" w:h="16840"/>
          <w:pgMar w:top="1440" w:right="1680" w:bottom="280" w:left="1680" w:header="0" w:footer="1073" w:gutter="0"/>
          <w:pgNumType w:start="1"/>
          <w:cols w:space="720"/>
        </w:sectPr>
      </w:pPr>
    </w:p>
    <w:p w:rsidR="00D2640A" w:rsidRPr="00D2640A" w:rsidRDefault="003F6289" w:rsidP="00D2640A">
      <w:pPr>
        <w:pStyle w:val="ad"/>
        <w:snapToGrid w:val="0"/>
        <w:spacing w:after="240" w:line="360" w:lineRule="auto"/>
        <w:jc w:val="center"/>
        <w:rPr>
          <w:rFonts w:ascii="宋体" w:hAnsi="宋体"/>
          <w:noProof/>
          <w:sz w:val="24"/>
        </w:rPr>
      </w:pPr>
      <w:r w:rsidRPr="00D2640A">
        <w:rPr>
          <w:rFonts w:ascii="宋体" w:hAnsi="宋体"/>
          <w:color w:val="000000"/>
          <w:position w:val="-4"/>
          <w:sz w:val="24"/>
          <w:szCs w:val="30"/>
        </w:rPr>
        <w:lastRenderedPageBreak/>
        <w:t>目</w:t>
      </w:r>
      <w:r w:rsidRPr="00D2640A">
        <w:rPr>
          <w:rFonts w:ascii="宋体" w:hAnsi="宋体"/>
          <w:color w:val="000000"/>
          <w:position w:val="-4"/>
          <w:sz w:val="24"/>
          <w:szCs w:val="30"/>
        </w:rPr>
        <w:tab/>
        <w:t>录</w:t>
      </w:r>
      <w:r w:rsidR="00D2640A" w:rsidRPr="00D2640A">
        <w:rPr>
          <w:rFonts w:ascii="宋体" w:hAnsi="宋体"/>
          <w:color w:val="000000"/>
          <w:position w:val="-4"/>
          <w:sz w:val="24"/>
          <w:szCs w:val="30"/>
        </w:rPr>
        <w:fldChar w:fldCharType="begin"/>
      </w:r>
      <w:r w:rsidR="00D2640A" w:rsidRPr="00D2640A">
        <w:rPr>
          <w:rFonts w:ascii="宋体" w:hAnsi="宋体"/>
          <w:color w:val="000000"/>
          <w:position w:val="-4"/>
          <w:sz w:val="24"/>
          <w:szCs w:val="30"/>
        </w:rPr>
        <w:instrText xml:space="preserve"> TOC \o "1-3" \f - \h \t "-1" </w:instrText>
      </w:r>
      <w:r w:rsidR="00D2640A" w:rsidRPr="00D2640A">
        <w:rPr>
          <w:rFonts w:ascii="宋体" w:hAnsi="宋体"/>
          <w:color w:val="000000"/>
          <w:position w:val="-4"/>
          <w:sz w:val="24"/>
          <w:szCs w:val="30"/>
        </w:rPr>
        <w:fldChar w:fldCharType="separate"/>
      </w:r>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36" w:history="1">
        <w:r w:rsidRPr="00D2640A">
          <w:rPr>
            <w:rStyle w:val="aa"/>
            <w:rFonts w:ascii="宋体" w:hAnsi="宋体" w:hint="eastAsia"/>
            <w:noProof/>
            <w:kern w:val="0"/>
            <w:sz w:val="24"/>
          </w:rPr>
          <w:t>重要提示</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_Toc210912036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37" w:history="1">
        <w:r w:rsidRPr="00D2640A">
          <w:rPr>
            <w:rStyle w:val="aa"/>
            <w:rFonts w:ascii="宋体" w:hAnsi="宋体" w:hint="eastAsia"/>
            <w:noProof/>
            <w:sz w:val="24"/>
          </w:rPr>
          <w:t>一、绪言</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_Toc210912037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6</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38" w:history="1">
        <w:r w:rsidRPr="00D2640A">
          <w:rPr>
            <w:rStyle w:val="aa"/>
            <w:rFonts w:ascii="宋体" w:hAnsi="宋体" w:hint="eastAsia"/>
            <w:noProof/>
            <w:sz w:val="24"/>
          </w:rPr>
          <w:t>二、释义</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_Toc210912038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7</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39" w:history="1">
        <w:r w:rsidRPr="00D2640A">
          <w:rPr>
            <w:rStyle w:val="aa"/>
            <w:rFonts w:ascii="宋体" w:hAnsi="宋体" w:hint="eastAsia"/>
            <w:noProof/>
            <w:sz w:val="24"/>
          </w:rPr>
          <w:t>三、基金管理人</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_Toc210912039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12</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0" w:history="1">
        <w:r w:rsidRPr="00D2640A">
          <w:rPr>
            <w:rStyle w:val="aa"/>
            <w:rFonts w:ascii="宋体" w:hAnsi="宋体" w:hint="eastAsia"/>
            <w:noProof/>
            <w:sz w:val="24"/>
          </w:rPr>
          <w:t>四、基金托管人</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_Toc210912040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20</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1" w:history="1">
        <w:r w:rsidRPr="00D2640A">
          <w:rPr>
            <w:rStyle w:val="aa"/>
            <w:rFonts w:ascii="宋体" w:hAnsi="宋体" w:hint="eastAsia"/>
            <w:noProof/>
            <w:sz w:val="24"/>
          </w:rPr>
          <w:t>五、相关服务机构</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_Toc210912041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27</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2" w:history="1">
        <w:r w:rsidRPr="00D2640A">
          <w:rPr>
            <w:rStyle w:val="aa"/>
            <w:rFonts w:ascii="宋体" w:hAnsi="宋体" w:hint="eastAsia"/>
            <w:noProof/>
            <w:sz w:val="24"/>
          </w:rPr>
          <w:t>六、基金的募集</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_Toc210912042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49</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3" w:history="1">
        <w:r w:rsidRPr="00D2640A">
          <w:rPr>
            <w:rStyle w:val="aa"/>
            <w:rFonts w:ascii="宋体" w:hAnsi="宋体" w:hint="eastAsia"/>
            <w:noProof/>
            <w:sz w:val="24"/>
          </w:rPr>
          <w:t>七、基金合同的生效</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_Toc210912043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50</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4" w:history="1">
        <w:r w:rsidRPr="00D2640A">
          <w:rPr>
            <w:rStyle w:val="aa"/>
            <w:rFonts w:ascii="宋体" w:hAnsi="宋体" w:hint="eastAsia"/>
            <w:noProof/>
            <w:sz w:val="24"/>
          </w:rPr>
          <w:t>八、基金份额的申购与赎回</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_Toc210912044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51</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5" w:history="1">
        <w:r w:rsidRPr="00D2640A">
          <w:rPr>
            <w:rStyle w:val="aa"/>
            <w:rFonts w:ascii="宋体" w:hAnsi="宋体" w:hint="eastAsia"/>
            <w:noProof/>
            <w:sz w:val="24"/>
          </w:rPr>
          <w:t>九、基金的转换</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_Toc210912045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65</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6" w:history="1">
        <w:r w:rsidRPr="00D2640A">
          <w:rPr>
            <w:rStyle w:val="aa"/>
            <w:rFonts w:ascii="宋体" w:hAnsi="宋体" w:hint="eastAsia"/>
            <w:noProof/>
            <w:sz w:val="24"/>
          </w:rPr>
          <w:t>十、基金的投资</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_Toc210912046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72</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7" w:history="1">
        <w:r w:rsidRPr="00D2640A">
          <w:rPr>
            <w:rStyle w:val="aa"/>
            <w:rFonts w:ascii="宋体" w:hAnsi="宋体" w:hint="eastAsia"/>
            <w:noProof/>
            <w:sz w:val="24"/>
          </w:rPr>
          <w:t>十一、基金的业绩</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_Toc210912047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84</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8" w:history="1">
        <w:r w:rsidRPr="00D2640A">
          <w:rPr>
            <w:rStyle w:val="aa"/>
            <w:rFonts w:ascii="宋体" w:hAnsi="宋体" w:hint="eastAsia"/>
            <w:noProof/>
            <w:sz w:val="24"/>
          </w:rPr>
          <w:t>十二、基金的财产</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_Toc210912048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86</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49" w:history="1">
        <w:r w:rsidRPr="00D2640A">
          <w:rPr>
            <w:rStyle w:val="aa"/>
            <w:rFonts w:ascii="宋体" w:hAnsi="宋体" w:hint="eastAsia"/>
            <w:noProof/>
            <w:sz w:val="24"/>
          </w:rPr>
          <w:t>十三、基金资产的估值</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_Toc210912049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87</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0" w:history="1">
        <w:r w:rsidRPr="00D2640A">
          <w:rPr>
            <w:rStyle w:val="aa"/>
            <w:rFonts w:ascii="宋体" w:hAnsi="宋体" w:hint="eastAsia"/>
            <w:noProof/>
            <w:sz w:val="24"/>
          </w:rPr>
          <w:t>十四、基金收益与分配</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_Toc210912050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94</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1" w:history="1">
        <w:r w:rsidRPr="00D2640A">
          <w:rPr>
            <w:rStyle w:val="aa"/>
            <w:rFonts w:ascii="宋体" w:hAnsi="宋体" w:hint="eastAsia"/>
            <w:noProof/>
            <w:sz w:val="24"/>
          </w:rPr>
          <w:t>十五、基金的费用与税收</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_Toc210912051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96</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2" w:history="1">
        <w:r w:rsidRPr="00D2640A">
          <w:rPr>
            <w:rStyle w:val="aa"/>
            <w:rFonts w:ascii="宋体" w:hAnsi="宋体" w:hint="eastAsia"/>
            <w:noProof/>
            <w:sz w:val="24"/>
          </w:rPr>
          <w:t>十六、基金的会计与审计</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_Toc210912052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99</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3" w:history="1">
        <w:r w:rsidRPr="00D2640A">
          <w:rPr>
            <w:rStyle w:val="aa"/>
            <w:rFonts w:ascii="宋体" w:hAnsi="宋体" w:hint="eastAsia"/>
            <w:noProof/>
            <w:sz w:val="24"/>
          </w:rPr>
          <w:t>十七、基金的信息披露</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_Toc210912053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100</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4" w:history="1">
        <w:r w:rsidRPr="00D2640A">
          <w:rPr>
            <w:rStyle w:val="aa"/>
            <w:rFonts w:ascii="宋体" w:hAnsi="宋体" w:hint="eastAsia"/>
            <w:noProof/>
            <w:sz w:val="24"/>
          </w:rPr>
          <w:t>十八、侧袋机制</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_Toc210912054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107</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5" w:history="1">
        <w:r w:rsidRPr="00D2640A">
          <w:rPr>
            <w:rStyle w:val="aa"/>
            <w:rFonts w:ascii="宋体" w:hAnsi="宋体" w:hint="eastAsia"/>
            <w:noProof/>
            <w:sz w:val="24"/>
          </w:rPr>
          <w:t>十九、风险揭示</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_Toc210912055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110</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6" w:history="1">
        <w:r w:rsidRPr="00D2640A">
          <w:rPr>
            <w:rStyle w:val="aa"/>
            <w:rFonts w:ascii="宋体" w:hAnsi="宋体" w:hint="eastAsia"/>
            <w:noProof/>
            <w:sz w:val="24"/>
          </w:rPr>
          <w:t>二十、基金合同的变更、终止与基金财产的清算</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_Toc210912056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122</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7" w:history="1">
        <w:r w:rsidRPr="00D2640A">
          <w:rPr>
            <w:rStyle w:val="aa"/>
            <w:rFonts w:ascii="宋体" w:hAnsi="宋体" w:hint="eastAsia"/>
            <w:noProof/>
            <w:sz w:val="24"/>
          </w:rPr>
          <w:t>二十一、基金合同内容摘要</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_Toc210912057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124</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8" w:history="1">
        <w:r w:rsidRPr="00D2640A">
          <w:rPr>
            <w:rStyle w:val="aa"/>
            <w:rFonts w:ascii="宋体" w:hAnsi="宋体" w:hint="eastAsia"/>
            <w:noProof/>
            <w:sz w:val="24"/>
          </w:rPr>
          <w:t>二十二、托管协议的内容摘要</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_Toc210912058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141</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59" w:history="1">
        <w:r w:rsidRPr="00D2640A">
          <w:rPr>
            <w:rStyle w:val="aa"/>
            <w:rFonts w:ascii="宋体" w:hAnsi="宋体" w:hint="eastAsia"/>
            <w:noProof/>
            <w:sz w:val="24"/>
          </w:rPr>
          <w:t>二十三、对基金份额持有人的服务</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_Toc210912059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160</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60" w:history="1">
        <w:r w:rsidRPr="00D2640A">
          <w:rPr>
            <w:rStyle w:val="aa"/>
            <w:rFonts w:ascii="宋体" w:hAnsi="宋体" w:hint="eastAsia"/>
            <w:noProof/>
            <w:sz w:val="24"/>
          </w:rPr>
          <w:t>二十四、其他应披露事项</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_Toc210912060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162</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61" w:history="1">
        <w:r w:rsidRPr="00D2640A">
          <w:rPr>
            <w:rStyle w:val="aa"/>
            <w:rFonts w:ascii="宋体" w:hAnsi="宋体" w:hint="eastAsia"/>
            <w:noProof/>
            <w:sz w:val="24"/>
          </w:rPr>
          <w:t>二十五、招募说明书的存放及查阅方式</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_Toc210912061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165</w:t>
        </w:r>
        <w:r w:rsidRPr="00D2640A">
          <w:rPr>
            <w:rFonts w:ascii="宋体" w:hAnsi="宋体"/>
            <w:noProof/>
            <w:sz w:val="24"/>
          </w:rPr>
          <w:fldChar w:fldCharType="end"/>
        </w:r>
      </w:hyperlink>
    </w:p>
    <w:p w:rsidR="00D2640A" w:rsidRPr="00D2640A" w:rsidRDefault="00D2640A" w:rsidP="00D2640A">
      <w:pPr>
        <w:pStyle w:val="10"/>
        <w:tabs>
          <w:tab w:val="right" w:leader="dot" w:pos="8550"/>
        </w:tabs>
        <w:spacing w:line="360" w:lineRule="auto"/>
        <w:rPr>
          <w:rFonts w:ascii="宋体" w:hAnsi="宋体" w:cstheme="minorBidi"/>
          <w:noProof/>
          <w:sz w:val="24"/>
        </w:rPr>
      </w:pPr>
      <w:hyperlink w:anchor="_Toc210912062" w:history="1">
        <w:r w:rsidRPr="00D2640A">
          <w:rPr>
            <w:rStyle w:val="aa"/>
            <w:rFonts w:ascii="宋体" w:hAnsi="宋体" w:hint="eastAsia"/>
            <w:noProof/>
            <w:sz w:val="24"/>
          </w:rPr>
          <w:t>二十六、备查文件</w:t>
        </w:r>
        <w:r w:rsidRPr="00D2640A">
          <w:rPr>
            <w:rFonts w:ascii="宋体" w:hAnsi="宋体"/>
            <w:noProof/>
            <w:sz w:val="24"/>
          </w:rPr>
          <w:tab/>
        </w:r>
        <w:r w:rsidRPr="00D2640A">
          <w:rPr>
            <w:rFonts w:ascii="宋体" w:hAnsi="宋体"/>
            <w:noProof/>
            <w:sz w:val="24"/>
          </w:rPr>
          <w:fldChar w:fldCharType="begin"/>
        </w:r>
        <w:r w:rsidRPr="00D2640A">
          <w:rPr>
            <w:rFonts w:ascii="宋体" w:hAnsi="宋体"/>
            <w:noProof/>
            <w:sz w:val="24"/>
          </w:rPr>
          <w:instrText xml:space="preserve"> PAGEREF _Toc210912062 \h </w:instrText>
        </w:r>
        <w:r w:rsidRPr="00D2640A">
          <w:rPr>
            <w:rFonts w:ascii="宋体" w:hAnsi="宋体"/>
            <w:noProof/>
            <w:sz w:val="24"/>
          </w:rPr>
        </w:r>
        <w:r w:rsidRPr="00D2640A">
          <w:rPr>
            <w:rFonts w:ascii="宋体" w:hAnsi="宋体"/>
            <w:noProof/>
            <w:sz w:val="24"/>
          </w:rPr>
          <w:fldChar w:fldCharType="separate"/>
        </w:r>
        <w:r w:rsidRPr="00D2640A">
          <w:rPr>
            <w:rFonts w:ascii="宋体" w:hAnsi="宋体"/>
            <w:noProof/>
            <w:sz w:val="24"/>
          </w:rPr>
          <w:t>166</w:t>
        </w:r>
        <w:r w:rsidRPr="00D2640A">
          <w:rPr>
            <w:rFonts w:ascii="宋体" w:hAnsi="宋体"/>
            <w:noProof/>
            <w:sz w:val="24"/>
          </w:rPr>
          <w:fldChar w:fldCharType="end"/>
        </w:r>
      </w:hyperlink>
    </w:p>
    <w:p w:rsidR="00195768" w:rsidRPr="00D2640A" w:rsidRDefault="00D2640A" w:rsidP="00D2640A">
      <w:pPr>
        <w:pStyle w:val="ad"/>
        <w:snapToGrid w:val="0"/>
        <w:spacing w:after="240" w:line="360" w:lineRule="auto"/>
        <w:jc w:val="center"/>
        <w:rPr>
          <w:rFonts w:ascii="宋体" w:hAnsi="宋体"/>
          <w:color w:val="000000"/>
          <w:sz w:val="24"/>
        </w:rPr>
      </w:pPr>
      <w:r w:rsidRPr="00D2640A">
        <w:rPr>
          <w:rFonts w:ascii="宋体" w:hAnsi="宋体"/>
          <w:color w:val="000000"/>
          <w:position w:val="-4"/>
          <w:sz w:val="24"/>
          <w:szCs w:val="30"/>
        </w:rPr>
        <w:fldChar w:fldCharType="end"/>
      </w:r>
      <w:bookmarkStart w:id="3" w:name="_GoBack"/>
      <w:bookmarkEnd w:id="3"/>
    </w:p>
    <w:p w:rsidR="00195768" w:rsidRDefault="00195768">
      <w:pPr>
        <w:autoSpaceDE w:val="0"/>
        <w:autoSpaceDN w:val="0"/>
        <w:adjustRightInd w:val="0"/>
        <w:snapToGrid w:val="0"/>
        <w:spacing w:line="360" w:lineRule="auto"/>
        <w:ind w:left="120" w:rightChars="6" w:right="13"/>
        <w:rPr>
          <w:rFonts w:ascii="宋体" w:hAnsi="宋体"/>
          <w:kern w:val="0"/>
          <w:szCs w:val="24"/>
        </w:rPr>
        <w:sectPr w:rsidR="00195768">
          <w:pgSz w:w="11920" w:h="16840"/>
          <w:pgMar w:top="1480" w:right="1680" w:bottom="280" w:left="1680" w:header="0" w:footer="1073" w:gutter="0"/>
          <w:cols w:space="720"/>
        </w:sectPr>
      </w:pPr>
    </w:p>
    <w:p w:rsidR="00195768" w:rsidRDefault="003F6289">
      <w:pPr>
        <w:pStyle w:val="1"/>
        <w:snapToGrid w:val="0"/>
        <w:spacing w:beforeLines="0" w:before="240" w:after="240"/>
        <w:rPr>
          <w:rFonts w:ascii="宋体" w:hAnsi="宋体"/>
          <w:szCs w:val="30"/>
        </w:rPr>
      </w:pPr>
      <w:bookmarkStart w:id="4" w:name="_Toc210912037"/>
      <w:r>
        <w:rPr>
          <w:rFonts w:ascii="Times New Roman" w:hAnsi="Times New Roman"/>
          <w:sz w:val="30"/>
        </w:rPr>
        <w:lastRenderedPageBreak/>
        <w:t>一、绪言</w:t>
      </w:r>
      <w:bookmarkEnd w:id="4"/>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A500指数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和其他相关法律法规的规定以及《交银施罗德中证A500指数型证券投资基金基金合同》（以下简称“基金合同”）编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5" w:name="_Toc210912038"/>
      <w:r>
        <w:rPr>
          <w:rFonts w:ascii="Times New Roman" w:hAnsi="Times New Roman"/>
          <w:sz w:val="30"/>
        </w:rPr>
        <w:lastRenderedPageBreak/>
        <w:t>二、释义</w:t>
      </w:r>
      <w:bookmarkEnd w:id="5"/>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1、基金或本基金：指交银施罗德中证A500指数型证券投资基金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4、基金合同或《基金合同》：指《交银施罗德中证A500指数型证券投资基金基金合同》及对基金合同的任何有效修订和补充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5、托管协议：指基金管理人与基金托管人就本基金签订之《交银施罗德中证A500指数型证券投资基金托管协议》及对该托管协议的任何有效修订和补充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6、招募说明书、《招募说明书》或本招募说明书：指《交银施罗德中证A500指数型证券投资基金招募说明书》及其更新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7、基金份额发售公告：指《交银施罗德中证A500指数型证券投资基金基金份额发售公告》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8、基金产品资料概要：指《交银施罗德中证A500指数型证券投资基金基金产品资料概要》及其更新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15、《指数基金指引》：指《公开募集证券投资基金运作指引第3号——指数基金指引》及颁布机关对其不时做出的修订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16、中国证监会：指中国证券监督管理委员会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17、银行业监督管理机构：指中国人民银行和/或国家金融监督管理总局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22、投资人、投资者：指个人投资者、机构投资者、合格境外投资者以及法律法规或中国证监会允许购买证券投资基金的其他投资人的合称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30、基金合同生效日：指基金募集达到法律法规规定及基金合同规定的条件，基金管理人向中国证监会办理基金备案手续完毕，并获得中国证监会书面确认的日期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49、基金资产总值：指基金拥有的各类有价证券、股指期货合约、银行存款本息、基金应收款项及其他资产的价值总和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53、规定媒介：指符合中国证监会规定条件的用以进行信息披露的全国性报刊及《信息披露办法》规定的互联网网站（包括基金管理人网站、基金托管人网站、中国证监会基金电子披露网站）等媒介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55、A类基金份额：指在投资人认购/申购时收取认购/申购费用、不从本类别基金资产中计提销售服务费的基金份额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56、C类基金份额：指在投资人认购/申购时不收取认购/申购费用、从本类别基金资产中计提销售服务费的基金份额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57、标的指数：指中证A500指数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w:t>
      </w:r>
      <w:r>
        <w:rPr>
          <w:rFonts w:ascii="宋体" w:hAnsi="宋体"/>
          <w:sz w:val="24"/>
        </w:rPr>
        <w:lastRenderedPageBreak/>
        <w:t>损害并得到公平对待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62、转融通证券出借业务：指本基金以一定费率通过证券交易所综合业务平台向中国证券金融股份有限公司出借证券，中国证券金融股份有限公司到期归还所借证券及相应权益补偿并支付费用的业务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63、不可抗力：指基金合同当事人不能预见、不能避免且不能克服的客观事件</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6" w:name="_Toc210912039"/>
      <w:r>
        <w:rPr>
          <w:rFonts w:ascii="Times New Roman" w:hAnsi="Times New Roman"/>
          <w:sz w:val="30"/>
        </w:rPr>
        <w:lastRenderedPageBreak/>
        <w:t>三、基金管理人</w:t>
      </w:r>
      <w:bookmarkEnd w:id="6"/>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晓晖女士，董事，学士，现任交通银行总行董事会办公室资深专家，历任交通银行总行授信管理部副处长、处长，苏州分行副行长、高级信贷执行官，总行授信管理部副总经理，监事会办公室副主任、资深专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杜伟麒（Chris Durack）先生，董事，硕士。现任施罗德投资亚太区行政总裁。历任施罗德投资澳大利亚董事兼产品及分销主管、香港行政总裁兼亚太区机构业务主管、澳大利亚行政总裁兼亚太区联席主管等职。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管理有限公司风险管理部总经理，法国安盛投资管理（香港）有限公司亚洲风险经理等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郝爱群女士，独立董事，学士。历任人民银行稽核司副处长、处长，合作司调研员，非银司副巡视员、副司长，银监会非银部副主任，银行监管一部副主任、巡视员，汇金公司派出董事。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子学先生，独立董事，博士。现任中国政法大学民商经济法学院教授，兼任基金业协会自律监察委员会委员。历任证监会办公厅副处长、上市公司监管部处长、行政处罚委员会专职委员、副主任审理员，兼任证监会上市公司并购重组审核委员会委员、行政复议委员会委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黎建强先生，独立董事，博士，教育部长江学者讲座教授。现任香港大学工业工程系荣誉教授，亚洲风险及危机管理协会主席，兼任深交所上市的中联重科集团独立非执行董事。历任香港城市大学管理科学讲座教授，湖南省政协委员并兼任湖南大学工商管理学院院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w:t>
      </w:r>
      <w:r>
        <w:rPr>
          <w:rFonts w:ascii="宋体" w:hAnsi="宋体"/>
          <w:sz w:val="24"/>
        </w:rPr>
        <w:lastRenderedPageBreak/>
        <w:t>证券有限责任公司综合发展部高级经理、投资银行部项目经理，银河基金管理有限公司监察部总监，交银施罗德基金管理有限公司监察稽核部总经理、监察风控副总监、投资运营总监。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9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交银施罗德中证海外中国互联网指数型证券投资基金(LOF)(2021年04月30日至今)、交银施罗德深证300价值交易型开放式指数证券投资基金联接基金(2021年04月30日至今)、交银施罗德上证180公司治理交易型开放式指数证券投资基金联接基金(2021年04月30日至今)、深证300价值交易型开放式指数证券投资基金(2021年04月30日至今)、交银施罗德中证环境治理指数型证券投资基金(LOF)(2021年04月30日至今)、交银施罗德国证新能源指数证券投资基金（LOF）(2021年04月30日至今)、交银施罗德创业板50指数型证券投资基金(2021年04月30日至今)、上证180公司治理交易型开放式指数证券投资基金(2021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的基金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马俊（副总经理）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于海颖（混合资产投资总监兼多元资产管理总监、基金经理）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（4）向基金份额持有人违规承诺收益或者承担损失；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w:t>
      </w:r>
      <w:r>
        <w:rPr>
          <w:rFonts w:ascii="宋体" w:hAnsi="宋体"/>
          <w:sz w:val="24"/>
        </w:rPr>
        <w:lastRenderedPageBreak/>
        <w:t>控制和规避，尽可能地减少损失。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7" w:name="_Toc210912040"/>
      <w:r>
        <w:rPr>
          <w:rFonts w:ascii="Times New Roman" w:hAnsi="Times New Roman"/>
          <w:sz w:val="30"/>
        </w:rPr>
        <w:lastRenderedPageBreak/>
        <w:t>四、基金托管人</w:t>
      </w:r>
      <w:bookmarkEnd w:id="7"/>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成立于1987年4月8日，是我国第一家完全由企业法人持股的股份制商业银行，总行设在深圳。自成立以来，招商银行先后进行了三次增资扩股，并于2002年3月成功地发行了15亿A股，4月9日在上交所挂牌（股票代码：600036），是国内第一家采用国际会计标准上市的公司。2006年9月又成功发行了22亿H股，9月22日在香港联交所挂牌交易（股票代码：3968），10月5日行使H股超额配售，共发行了24.2亿H股。截至2025年6月30日，本集团总资产126,571.51亿元人民币，高级法下资本充足率18.56%，权重法下资本充足率15.61%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本行董事、董事长。中央财经大学经济学博士，高级经济师。中国共产党第十九届、二十届中央委员会候补委员。招商局集团有限公司董事长。曾任中国人寿保险（集团）公司副董事长、总裁，中国人民保险 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本行，历任本行北京分行行长助理、副行长、行长，2012年6月起历任本行行长助理、副行长、常务副行长，2022年5月起任本行党委书记，2022年6月起任本行行长。兼任本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本行，历任本行北京分行行长助理、副行长，天津分行行长，深圳分行行长，本行行长助理。2023年11月起任本行副行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本行至今，历任本行合肥分行风险控制部副经理、经理、信贷管理部总经理助理、副总经理、总经理、公司银行部总经理、中小企业金融部总经理、投行与金融市场部总经理；无锡分行行长助理、副行长；南京分行副行长，具有20余年银行从业经</w:t>
      </w:r>
      <w:r>
        <w:rPr>
          <w:rFonts w:ascii="宋体" w:hAnsi="宋体"/>
          <w:sz w:val="24"/>
        </w:rPr>
        <w:lastRenderedPageBreak/>
        <w:t>验，在风险管理、信贷管理、公司金融、资产托管等领域有深入的研究和丰富的实务经验。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截至2025年6月30日，招商银行股份有限公司累计托管1641只证券投资基金。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w:t>
      </w:r>
      <w:r>
        <w:rPr>
          <w:rFonts w:ascii="宋体" w:hAnsi="宋体"/>
          <w:sz w:val="24"/>
        </w:rPr>
        <w:lastRenderedPageBreak/>
        <w:t>统的安全。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8" w:name="_Toc210912041"/>
      <w:r>
        <w:rPr>
          <w:rFonts w:ascii="Times New Roman" w:hAnsi="Times New Roman"/>
          <w:sz w:val="30"/>
        </w:rPr>
        <w:lastRenderedPageBreak/>
        <w:t>五、相关服务机构</w:t>
      </w:r>
      <w:bookmarkEnd w:id="8"/>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（4）名称：中国光大银行股份有限公司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（6）名称：中国邮政储蓄银行股份有限公司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（7）名称：上海浦东发展银行股份有限公司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（8）名称：中国银河证券股份有限公司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（9）名称：平安证券股份有限公司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住所：深圳市福田区金田路大中华国际交易广场裙楼8楼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（10）名称：中信证券（山东）有限责任公司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（11）名称：国金证券股份有限公司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（12）名称：中信证券华南股份有限公司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电话：020-88836999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（13）名称：国泰海通证券股份有限公司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（14）名称：招商证券股份有限公司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（15）名称：华宝证券股份有限公司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客户服务电话：400-820-9898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（17）名称：华泰证券股份有限公司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（18）名称：国信证券股份有限公司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（19）名称：东方财富证券股份有限公司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住所：西藏自治区拉萨市柳梧新区国际总部城10栋楼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（20）名称：中信建投证券股份有限公司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（21）名称：国投证券股份有限公司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（22）名称：开源证券股份有限公司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联系人：赵东会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（23）名称：中国中金财富证券有限公司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（25）名称：上海中欧财富基金销售有限公司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（26）名称：深圳市新兰德证券投资咨询有限公司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办公地址：北京市西城区金融大街35号国际企业大厦C座9层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（27）名称：泛华普益基金销售有限公司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（28）名称：中国人寿保险股份有限公司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（29）名称：上海联泰基金销售有限公司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网址：www.66liantai.com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（30）名称：宜信普泽（北京）基金销售有限公司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（31）名称：浙江同花顺基金销售有限公司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（32）名称：上海基煜基金销售有限公司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（33）名称：中信期货有限公司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住所：深圳市福田区中心三路8号卓越时代广场（二期）北座13层1301-1305室、14层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（34）名称：蚂蚁（杭州）基金销售有限公司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（35）名称：深圳众禄基金销售股份有限公司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（36）名称：上海长量基金销售有限公司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办公地址：上海市浦东新区浦东大道555号裕景国际B座16层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（37）名称：上海好买基金销售有限公司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（38）名称：诺亚正行基金销售有限公司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（39）名称：和讯信息科技有限公司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联系人：周轶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（40）名称：上海天天基金销售有限公司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（41）名称：奕丰基金销售有限公司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（42）名称：北京创金启富基金销售有限公司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https://www.5irich.com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（43）名称：上海证达通基金销售有限公司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（44）名称：中证金牛（北京）基金销售有限公司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（45）名称：北京雪球基金销售有限公司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（46）名称：深圳市金斧子基金销售有限公司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办公地址：深圳市南山区粤海街道科苑路科兴科学园B3单元7楼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（47）名称：格上富信投资顾问有限公司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（48）名称：上海万得基金销售有限公司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（49）名称：万家财富基金销售（天津）有限公司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传真：（010）59013828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（50）名称：上海挖财基金销售有限公司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（51）名称：上海陆金所基金销售有限公司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（52）名称：上海利得基金销售有限公司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客服电话：400-032-5885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（53）名称：北京汇成基金销售有限公司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（54）名称：嘉实财富管理有限公司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（55）名称：南京苏宁基金销售有限公司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（56）名称：北京度小满基金销售有限公司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（57）名称：上海华夏财富投资管理有限公司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（58）名称：珠海盈米基金销售有限公司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（59）名称：腾安基金销售（深圳）有限公司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法定代表人：刘明军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（60）名称：和耕传承基金销售有限公司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（61）名称：上海大智慧基金销售有限公司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（62）名称：京东肯特瑞基金销售有限公司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传真：010-89189566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（63）名称：玄元保险代理有限公司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（64）名称：阳光人寿保险股份有限公司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（65）名称：大连网金基金销售有限公司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（66）名称：博时财富基金销售有限公司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（67）名称：上海攀赢基金销售有限公司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（68）名称：济安财富（北京）基金销售有限公司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联系人：赵亦清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9" w:name="_Toc210912042"/>
      <w:r>
        <w:rPr>
          <w:rFonts w:ascii="Times New Roman" w:hAnsi="Times New Roman"/>
          <w:sz w:val="30"/>
        </w:rPr>
        <w:lastRenderedPageBreak/>
        <w:t>六、基金的募集</w:t>
      </w:r>
      <w:bookmarkEnd w:id="9"/>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本基金由基金管理人依照《基金法》、《运作办法》、《销售办法》、基金合同及其他有关规定，并经中国证监会2024年12月11日证监许可【2024】1810号文准予募集注册。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本基金为契约型开放式股票型基金。基金存续期间为不定期。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本基金2024年12月26日至2025年1月17日进行发售，本基金设立募集期共募集640,369,795.25份基金份额，有效认购户数为3,060户。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注册并成立追踪同一标的指数的交易型开放式指数基金（ETF），本基金可变更为该ETF的联接基金。该联接基金将其绝大部分基金财产投资于跟踪同一标的指数的ETF，紧密跟踪标的指数表现，追求跟踪偏离度和跟踪误差的最小化。该联接基金具体投资范围及比例等将依据届时有效的法律法规或监管机构要求确定。以上变更需经基金管理人和基金托管人协商一致后修改基金合同，但不需召开基金份额持有人大会审议。</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0" w:name="_Toc210912043"/>
      <w:r>
        <w:rPr>
          <w:rFonts w:ascii="Times New Roman" w:hAnsi="Times New Roman"/>
          <w:sz w:val="30"/>
        </w:rPr>
        <w:lastRenderedPageBreak/>
        <w:t>七、基金合同的生效</w:t>
      </w:r>
      <w:bookmarkEnd w:id="10"/>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根据有关规定，本基金满足基金合同生效条件，基金合同已于2025年1月22日正式生效。自基金合同生效之日起，本基金管理人正式开始管理本基金。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1" w:name="_Toc210912044"/>
      <w:r>
        <w:rPr>
          <w:rFonts w:ascii="Times New Roman" w:hAnsi="Times New Roman"/>
          <w:sz w:val="30"/>
        </w:rPr>
        <w:lastRenderedPageBreak/>
        <w:t>八、基金份额的申购与赎回</w:t>
      </w:r>
      <w:bookmarkEnd w:id="11"/>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本基金已于2025年2月10日起开放申购、赎回业务。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本基金基金份额分为A类基金份额和C类基金份额。投资人申购A类基金份额在申购时支付申购费用；申购C类基金份额不支付申购费用、从该类别基金资产中计提销售服务费。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投资人可以多次申购本基金，A类基金份额的申购费用按每笔A类基金份额的申购申请单独计算。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9576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19576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w:t>
      </w:r>
      <w:r>
        <w:rPr>
          <w:rFonts w:ascii="宋体" w:hAnsi="宋体"/>
          <w:sz w:val="24"/>
        </w:rPr>
        <w:lastRenderedPageBreak/>
        <w:t>有时间增加而递减。本基金A类基金份额和C类基金份额的赎回费用由赎回该类基金份额的基金份额持有人承担，在基金份额持有人赎回基金份额时收取。对于持续持有期间少于7日的投资者收取的赎回费全额计入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9576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195768">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195768">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赎回金额单位为元。赎回金额计算结果按四舍五入方法，保留到小数点后2位，由此产生的收益或损失由基金财产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本基金采用金额申购的方式。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 T日A类基金份额净值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例四：某投资者（非养老金客户）投资100,000.00元申购本基金的A类基金份额，假设申购当日A类基金份额净值为1.0400元，申购费率为1.0%，则其可得到的申购份额为：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净申购金额=100,000.00/（1+1.0%）=99,009.90元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申购费用=100,000.00-99,009.90=990.10元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申购份额=99,009.90/1.0400=95,201.83份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即：该投资者（非养老金客户）投资100,000.00元申购本基金A类基金份额，假设申购当日A类基金份额净值为1.0400元，则其可得到95,201.83份A类基金份额。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例五：某养老金客户投资1,000,000.00元通过基金管理人的直销柜台申购本基金的A类基金份额，假设申购当日A类基金份额净值为1.0400元，申购费率为0.12%，则其可得到的申购份额为：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净申购金额=1,000,000.00/（1+0.12%）=998,801.44元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申购费用=1,000,000.00-998,801.44=1,198.56元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申购份额=998,801.44/1.0400=960,386.00份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即：该养老金客户投资1,000,000.00元通过基金管理人的直销柜台申购本基金的A类基金份额，假设申购当日A类基金份额净值为1.0400元，则其可得到960,386.00份A类基金份额。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如果投资者选择申购C类基金份额，则申购份额的计算方法如下：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例七：某投资者赎回100,000.00份A类基金份额，持有期限为6日，对应的赎回费率为1.5%，假设赎回当日A类基金份额净值是1.0160元，则其可得到的赎回金额为：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赎回费用=100,000.00×1.0160×1.5%＝1,524.00元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即：该投资者赎回100,000.00份A类基金份额，持有期限为6日，对应的赎回费率为1.5%，假设赎回当日A类基金份额净值是1.0160元，则其可得到的赎回金额为100,076.00元。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例八：某投资者赎回100,000.00份C类基金份额，持有期限为6日，对应的赎回费率为1.5%，假设赎回当日C类基金份额净值是1.0160元，则其可得到的赎回金额为：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赎回费用=100,000.00×1.0160×1.5%＝1,524.00元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即：该投资者赎回100,000.00份C类基金份额，持有期限为6日，对应的赎回费率为1.5%，假设赎回当日C类基金份额净值是1.0160元，则其可得到的赎回金额为100,076.00元。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8、基金管理人接受某笔或者某些申购申请有可能导致单一投资者持有基金份额的比例超过50%，或者变相规避50%集中度的。出现上述情形时，基金管理人有权将上述申购申请全部或部分确认失败。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6、指数编制单位或指数发布机构因异常情况使标的指数数据无法正常计算、计算错误或发布异常时。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w:t>
      </w:r>
      <w:r>
        <w:rPr>
          <w:rFonts w:ascii="宋体" w:hAnsi="宋体"/>
          <w:sz w:val="24"/>
        </w:rPr>
        <w:lastRenderedPageBreak/>
        <w:t>当日可能未获受理部分予以撤销。在暂停赎回的情况消除时，基金管理人应及时恢复赎回业务的办理并公告。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w:t>
      </w:r>
      <w:r>
        <w:rPr>
          <w:rFonts w:ascii="宋体" w:hAnsi="宋体"/>
          <w:sz w:val="24"/>
        </w:rPr>
        <w:lastRenderedPageBreak/>
        <w:t>申请一并处理，无优先权并以下一开放日该类基金份额的基金份额净值为基础计算赎回金额，以此类推，直到全部赎回为止。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当发生上述巨额赎回并延期办理时，基金管理人应当通过邮寄、传真、刊登公告或者通知销售机构代为告知等方式在3个交易日内通知基金份额持有人，说明有关处理方法，并在2日内在规定媒介上刊登公告。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2、如发生暂停的时间为1日，基金管理人应于重新开放日，在规定媒介上刊登基金重新开放申购或赎回公告，并公布最近1个开放日的各类基金份额的基金份额净值。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额强制划转给其他自然人、法人或其他组织。办理非交易过户必须提供基金登记机构要求提供的相关资料，对于符合条件的非交易过户申请按基金登记机构的规定办理，并按基金登记机构规定的标准收费。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本基金2025年2月7日刊登公告自2025年2月10日起开通定期定额投资计划业务，具体开通销售机构名单和业务规则参见相关公告。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195768" w:rsidRDefault="003F6289">
      <w:pPr>
        <w:pStyle w:val="1"/>
        <w:snapToGrid w:val="0"/>
        <w:spacing w:beforeLines="0" w:before="240" w:after="240"/>
        <w:rPr>
          <w:rFonts w:ascii="宋体" w:hAnsi="宋体"/>
          <w:szCs w:val="30"/>
        </w:rPr>
      </w:pPr>
      <w:bookmarkStart w:id="12" w:name="_Toc210912045"/>
      <w:r>
        <w:rPr>
          <w:rFonts w:ascii="Times New Roman" w:hAnsi="Times New Roman"/>
          <w:sz w:val="30"/>
        </w:rPr>
        <w:lastRenderedPageBreak/>
        <w:t>九、基金的转换</w:t>
      </w:r>
      <w:bookmarkEnd w:id="12"/>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本基金2025年2月7日刊登公告自2025年2月10日起开放日常转换业务。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3" w:name="_Toc210912046"/>
      <w:r>
        <w:rPr>
          <w:rFonts w:ascii="Times New Roman" w:hAnsi="Times New Roman"/>
          <w:sz w:val="30"/>
        </w:rPr>
        <w:lastRenderedPageBreak/>
        <w:t>十、基金的投资</w:t>
      </w:r>
      <w:bookmarkEnd w:id="13"/>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本基金采用指数化投资策略，紧密跟踪中证A500指数，追求跟踪偏离度与跟踪误差最小化。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中证A500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本基金可根据法律法规的规定参与融资及转融通证券出借业务。未来在法律法规允许的前提下，本基金可根据相关法律法规规定参与融券业务。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中证A500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w:t>
      </w:r>
      <w:r>
        <w:rPr>
          <w:rFonts w:ascii="宋体" w:hAnsi="宋体"/>
          <w:sz w:val="24"/>
        </w:rPr>
        <w:lastRenderedPageBreak/>
        <w:t>离度和跟踪误差超过上述范围，基金管理人应采取合理措施避免跟踪偏离度、跟踪误差进一步扩大。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（1）组合复制策略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本基金主要采取完全复制法，即按照标的指数成份股及其权重构建基金的股票投资组合，并根据标的指数成份股及其权重的变动对股票投资组合进行相应地调整。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（2）替代性策略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出现市场流动性不足、因法律法规原因个别成份股被限制投资等情况，导致本基金无法获得足够数量的股票时，或出于其他基金管理人认定不适合投资的股票或可能严重限制本基金跟踪标的指数的合理原因，基金管理人将通过投资成份股、非成份股等进行替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本基金将以降低跟踪误差和流动性管理为目的，综合考虑流动性和收益性，适当参与债券投资。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3、股指期货投资策略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本基金投资股指期货将根据风险管理的原则，以套期保值为目的，主要选择流动性好、交易活跃的股指期货合约，以降低股票仓位调整的交易成本，提高投资效率，从而更好地跟踪标的指数，实现投资目标。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健收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5、存托凭证投资策略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6、融资、转融通证券出借业务投资策略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条件允许的情况下，本着谨慎原则，适度参与融资、转融通证券出借业务。本基金在参与融资业务时，将通过对市场环境、利率水平、基金规模以及基金申购赎回情况等因素的研究和判断，决定融资规模。本基金管理人将充分考虑融资业务的收益性、流动性及风险性特征，谨慎进行投资。为了更好地实现投资目标，在加强风险防范并遵守审慎原则的前提下，本基金可根据投资管理需要参与转融通证券出借业务。本基金将在分析市场情况、投资者类型与结构、基金历史申购赎回情况、出借证券流动性情况等因素的基础上，合理确定出借证券的范围、期限和比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未来，随着投资工具的发展和丰富，基金管理人可以在不改变投资目标的前提下，在履行适当程序后相应调整和更新相关投资策略，并在招募说明书中更新，而无需召开基金份额持有人大会。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（1）本基金投资于中证A500指数成份股（含存托凭证）及备选成份股（含存托凭证）的比例不低于基金资产净值的90%且不低于非现金基金资产的80%；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（3）本基金投资于同一原始权益人的各类资产支持证券的比例，不得超过基金资产净值的10％；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（6）本基金管理人管理的全部基金投资于同一原始权益人的各类资产支持证券，不得超过其各类资产支持证券合计规模的10％；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w:t>
      </w:r>
      <w:r>
        <w:rPr>
          <w:rFonts w:ascii="宋体" w:hAnsi="宋体"/>
          <w:sz w:val="24"/>
        </w:rPr>
        <w:lastRenderedPageBreak/>
        <w:t>金持有资产支持证券期间，如果其信用等级下降、不再符合投资标准，应在评级报告发布之日起3个月内予以全部卖出；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（11）本基金资产总值不超过基金资产净值的140%；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（12）本基金参与股指期货交易，则：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（13）本基金参与融资业务后，每个交易日日终，本基金持有的融资买入股票与其他有价证券市值之和，不得超过基金资产净值的95%；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（14）本基金参与转融通证券出借业务，需遵守下列投资限制：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1）出借证券资产不得超过基金资产净值的30%，出借期限在10个交易日以上的出借证券应纳入《流动性风险管理规定》所述流动性受限证券的范围；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2）参与出借业务的单只证券不得超过本基金持有该证券总量的50%；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3）最近6个月内日均基金资产净值不得低于2亿元；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4）证券出借的平均剩余期限不得超过30天，平均剩余期限按照市值加权平均计算；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因证券市场波动、上市公司合并、基金规模变动等基金管理人之外的因素致使基金投资不符合上述规定的，基金管理人不得新增出借业务；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（15）本基金投资存托凭证的比例限制依照境内上市交易的股票执行；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w:t>
      </w:r>
      <w:r>
        <w:rPr>
          <w:rFonts w:ascii="宋体" w:hAnsi="宋体"/>
          <w:sz w:val="24"/>
        </w:rPr>
        <w:lastRenderedPageBreak/>
        <w:t>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本基金业绩比较基准：中证A500指数收益率×95%＋人民币银行活期存款利率（税后）×5%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但若标的指数变更对基金投资无实质性影响（包括但不限于编制机构名称变更、指数更名等），则无需召开基金份额持有人大会，经基金管理人与基金托管人协商一致并按照监管部门要求履行适当程序后在规定媒介上刊登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本基金运作过程中，当标的指数成份股发生明显负面事件面临退市风险，且指数编制机构暂未作出调整的，基金管理人应当按照持有人利益优先的原则，履行内部决策程序后及时对相关成份股进行调整。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本基金是一只股票型基金，其预期风险和预期收益理论上高于混合型基金、债券型基金和货币市场基金。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本基金为指数型基金，主要采用完全复制法跟踪中证A500指数，具有与标的指数相似的风险收益特征。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1、基金管理人按照国家有关规定代表基金独立行使股东或债权人权利，保护基金份额持有人的利益；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本基金托管人招商银行股份有限公司根据本基金合同规定，于2025年07月17日复核了本报告中的财务指标、净值表现和投资组合报告等内容，保证复核内容不存在虚假记载、误导性陈述或者重大遗漏。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本投资组合报告期为2025年04月01日至06月30日。所载财务数据未经审计师审计。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221,203,154.74</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91.96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221,203,154.74</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91.96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52,297.18</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52,297.18</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18,065,082.63</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7.51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1,225,709.86</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240,546,244.41</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报告期末指数投资按行业分类的境内股票投资组合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1,202,378.00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11,137,407.50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4.73</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128,548,233.16</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54.55</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6,794,940.00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2.88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4,191,616.00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1.78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1,564,856.00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7,696,063.00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3.27</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190,581.00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14,756,708.07</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6.26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35,691,323.00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15.14</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2,308,840.00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0.98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2,451,837.80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2,462,625.00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484,232.00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145,044.00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837,658.00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695,718.00</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221,160,060.53</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93.84</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报告期末积极投资按行业分类的境内股票投资组合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43,094.21</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195768">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43,094.21</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 报告期末按行业分类的港股通投资股票投资组合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6,100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8,598,072.00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3.65</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25,400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6,406,388.00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2.72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601318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XD</w:t>
            </w:r>
            <w:r>
              <w:rPr>
                <w:rFonts w:ascii="Times New Roman" w:hAnsi="Times New Roman"/>
                <w:color w:val="000000"/>
                <w:kern w:val="0"/>
                <w:sz w:val="25"/>
                <w:szCs w:val="24"/>
              </w:rPr>
              <w:t>中国平</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103,400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5,736,632.00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2.43</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600036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招商银行</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118,900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5,463,455.00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2.32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601166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兴业银行</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159,600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3,725,064.00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长江电力</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117,500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3,541,450.00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000333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美的集团</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47,300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3,415,060.00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1.45</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158,200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3,084,900.00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1.31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002594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比亚迪</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8,700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2,887,617.00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1.23</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300059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东方财富</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121,400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2,807,982.00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1.19</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报告期末积极投资按公允价值占基金资产净值比例大小排序的前五名股票投资明细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937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15,385.54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335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14,920.90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301636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泽润新能</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6,074.88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603014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威高血净</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4,215.72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603400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华之杰</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2,497.17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52,297.18</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52,297.18</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38,261.43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鼎龙转债</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9,635.46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安克转债</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4,400.29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w:t>
      </w:r>
      <w:r>
        <w:rPr>
          <w:rFonts w:ascii="宋体" w:hAnsi="宋体"/>
          <w:sz w:val="24"/>
        </w:rPr>
        <w:lastRenderedPageBreak/>
        <w:t>投资明细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2024年07月25日,国家金融监督管理总局福建监管局公示闽金罚决字[2024]12号行政处罚决定书,给予兴业银行股份有限公司190万元人民币的行政处罚。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w:t>
      </w:r>
      <w:r>
        <w:rPr>
          <w:rFonts w:ascii="宋体" w:hAnsi="宋体"/>
          <w:sz w:val="24"/>
        </w:rPr>
        <w:lastRenderedPageBreak/>
        <w:t>关制度及被动式指数化投资策略。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76,558.11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798,137.20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351,014.55</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1,225,709.86</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报告期末股票中存在流通受限情况的说明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报告期末指数投资前十名股票中存在流通受限情况的说明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报告期末积极投资前五名股票中存在流通受限情况的说明</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流通受限部分的公允价值（元）</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流通受限情况说明</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13,842.06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新股未上市</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001388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信通电子</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1,543.48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301678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新恒汇</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14,920.90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301636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泽润新能</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6,074.88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603014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威高血净</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4,215.72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603400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华之杰</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2,497.17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限售股</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4" w:name="_Toc210912047"/>
      <w:r>
        <w:rPr>
          <w:rFonts w:ascii="Times New Roman" w:hAnsi="Times New Roman"/>
          <w:sz w:val="30"/>
        </w:rPr>
        <w:lastRenderedPageBreak/>
        <w:t>十一、基金的业绩</w:t>
      </w:r>
      <w:bookmarkEnd w:id="14"/>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（1）交银中证A500指数A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957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957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1957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（2）交银中证A500指数C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1957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1957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195768">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注：本基金的业绩比较基准为中证A500指数收益率×95%＋人民币银行活期存款利率（税后）×5%，每日进行再平衡过程。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195768" w:rsidRDefault="003F628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交银施罗德中证A500指数型证券投资基金</w:t>
      </w:r>
    </w:p>
    <w:p w:rsidR="00195768" w:rsidRDefault="003F628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195768" w:rsidRDefault="003F628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（2025年1月22日至2025年06月30日）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（1）交银中证A500指数A</w:t>
      </w:r>
    </w:p>
    <w:p w:rsidR="00195768" w:rsidRDefault="00D2640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7" o:title="1521256610242020828"/>
          </v:shape>
        </w:pic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（2）交银中证A500指数C</w:t>
      </w:r>
    </w:p>
    <w:p w:rsidR="00195768" w:rsidRDefault="00D2640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8" o:title="1521256610242020828"/>
          </v:shape>
        </w:pic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注：本基金基金合同生效日为2025年1月22日，基金合同生效日至报告期期末，本基金运作时间未满一年。本基金建仓期为自基金合同生效日起的6个月。截至2025年6月30日，本基金尚处于建仓期。</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5" w:name="_Toc210912048"/>
      <w:r>
        <w:rPr>
          <w:rFonts w:ascii="Times New Roman" w:hAnsi="Times New Roman"/>
          <w:sz w:val="30"/>
        </w:rPr>
        <w:lastRenderedPageBreak/>
        <w:t>十二、基金的财产</w:t>
      </w:r>
      <w:bookmarkEnd w:id="15"/>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6" w:name="_Toc210912049"/>
      <w:r>
        <w:rPr>
          <w:rFonts w:ascii="Times New Roman" w:hAnsi="Times New Roman"/>
          <w:sz w:val="30"/>
        </w:rPr>
        <w:lastRenderedPageBreak/>
        <w:t>十三、基金资产的估值</w:t>
      </w:r>
      <w:bookmarkEnd w:id="16"/>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w:t>
      </w:r>
      <w:r>
        <w:rPr>
          <w:rFonts w:ascii="宋体" w:hAnsi="宋体"/>
          <w:sz w:val="24"/>
        </w:rPr>
        <w:lastRenderedPageBreak/>
        <w:t>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（2）首次公开发行未上市的股票，采用估值技术确定公允价值；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8、同一证券同时在两个或两个以上市场交易的，按证券所处的市场分别估值。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9、对于因税收规定调整或其他原因导致产品实际交纳税金与估算的应交税金有差异的，产品将在相关税金调整日或实际支付日进行相应的会计处理。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10、本基金投资存托凭证的估值核算依照境内上市交易的股票执行。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11、基金参与融资和转融通证券出借业务的，应参照相关法律法规和中国证券投资基金业协会发布的相关规定进行估值。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14、相关法律法规以及监管部门有强制规定的，从其规定。如有新增事项，按国家最新规定估值。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基金管理人于每个工作日计算各类基金份额的基金资产净值及基金份额净值，经基金托管人复核，并按规定公告。如遇特殊情况，经履行适当程序，可以适当延迟计算或公告。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w:t>
      </w:r>
      <w:r>
        <w:rPr>
          <w:rFonts w:ascii="宋体" w:hAnsi="宋体"/>
          <w:sz w:val="24"/>
        </w:rPr>
        <w:lastRenderedPageBreak/>
        <w:t>金资产净值、各类基金份额净值结果发送基金托管人，经基金托管人复核无误后，由基金管理人依据基金合同和相关法律法规的规定对外公布。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w:t>
      </w:r>
      <w:r>
        <w:rPr>
          <w:rFonts w:ascii="宋体" w:hAnsi="宋体"/>
          <w:sz w:val="24"/>
        </w:rPr>
        <w:lastRenderedPageBreak/>
        <w:t>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w:t>
      </w:r>
      <w:r>
        <w:rPr>
          <w:rFonts w:ascii="宋体" w:hAnsi="宋体"/>
          <w:sz w:val="24"/>
        </w:rPr>
        <w:lastRenderedPageBreak/>
        <w:t>基金份额持有人造成损失的，应根据法律法规的规定对投资者或基金支付赔偿金，就实际向投资者或基金支付的赔偿金额，基金管理人与基金托管人按照过错程度各自承担相应的责任。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 50%以上的，经与基金托管人协商确认后，基金管理人应当暂停估值；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2、由于不可抗力原因，或由于证券/期货交易所、证券/期货经纪机构、登记结算公司、指数编制机构及存款银行等第三方机构发送的数据错误，或国家会计政</w:t>
      </w:r>
      <w:r>
        <w:rPr>
          <w:rFonts w:ascii="宋体" w:hAnsi="宋体"/>
          <w:sz w:val="24"/>
        </w:rPr>
        <w:lastRenderedPageBreak/>
        <w:t>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7" w:name="_Toc210912050"/>
      <w:r>
        <w:rPr>
          <w:rFonts w:ascii="Times New Roman" w:hAnsi="Times New Roman"/>
          <w:sz w:val="30"/>
        </w:rPr>
        <w:lastRenderedPageBreak/>
        <w:t>十四、基金收益与分配</w:t>
      </w:r>
      <w:bookmarkEnd w:id="17"/>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2、基金管理人可每季度对基金相对业绩比较基准的超额收益率以及基金的可供分配利润进行评价，在符合收益分配相关规定的前提下，基金管理人可进行收益分配；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3、在符合有关基金分红条件的前提下，本基金可每季度进行收益分配，基金管理人也可根据实际情况在其他日期对本基金进行收益分配，具体分配方案以公告为准； 若《基金合同》生效不满3个月可不进行收益分配；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基金管理人可在不违反法律法规且对基金份额持有人利益无实质性不利影响的前提下，经与基金托管人协商一致后对上述原则进行修改或调整，而无需召开基金份额持有人大会审议。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（四）基金相对业绩比较基准的超额收益率计算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在评价日，基金管理人计算基金累计报酬率、业绩比较基准同期累计报酬率。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基金评价日本基金相对业绩比较基准的超额收益率＝基金累计报酬率－业绩比较基准同期累计报酬率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基金累计报酬率＝（评价日基金份额净值/基金合同生效日所对应的 3 个月月度对日的前一工作日基金份额净值－1）×100%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业绩比较基准同期累计报酬率＝（评价日业绩比较基准数值/基金合同生效日所对应的 3 个月月度对日的前一工作日业绩比较基准数值－1）×100%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3个月月度对日指某一特定日期在之后第3个月月度中的对应日期，若该日历月度中不存在对应日期，则取该月度最后一日。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如基金份额发生折算，则采用剔除折算因素的基金份额净值，详见届时基金管理人发布的相关公告。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（六）收益分配方案的确定、公告与实施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（七）基金收益分配中发生的费用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（八）收益分配方式的修改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投资人可至销售机构办理收益分配方式的修改，投资人对本基金不同的基金交易账户可设置不同的收益分配方式。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（九）实施侧袋机制期间的收益分配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8" w:name="_Toc210912051"/>
      <w:r>
        <w:rPr>
          <w:rFonts w:ascii="Times New Roman" w:hAnsi="Times New Roman"/>
          <w:sz w:val="30"/>
        </w:rPr>
        <w:lastRenderedPageBreak/>
        <w:t>十五、基金的费用与税收</w:t>
      </w:r>
      <w:bookmarkEnd w:id="18"/>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本基金的管理费按前一日基金资产净值的0.15%年费率计提。管理费的计算方法如下：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经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本基金的托管费按前一日基金资产净值的0.05%的年费率计提。托管费的计算方法如下：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经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本基金A类基金份额不收取销售服务费，C类基金份额的销售服务费按前一日C类基金份额的基金资产净值的0.15%年费率计提。销售服务费的计算方法如下：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支付日期顺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4、标的指数许可使用费（由基金管理人承担）；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19" w:name="_Toc210912052"/>
      <w:r>
        <w:rPr>
          <w:rFonts w:ascii="Times New Roman" w:hAnsi="Times New Roman"/>
          <w:sz w:val="30"/>
        </w:rPr>
        <w:lastRenderedPageBreak/>
        <w:t>十六、基金的会计与审计</w:t>
      </w:r>
      <w:bookmarkEnd w:id="19"/>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7、基金托管人每月与基金管理人就基金的会计核算、报表编制等进行核对并以双方认可的方式确认。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0" w:name="_Toc210912053"/>
      <w:r>
        <w:rPr>
          <w:rFonts w:ascii="Times New Roman" w:hAnsi="Times New Roman"/>
          <w:sz w:val="30"/>
        </w:rPr>
        <w:lastRenderedPageBreak/>
        <w:t>十七、基金的信息披露</w:t>
      </w:r>
      <w:bookmarkEnd w:id="20"/>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（一）本基金的信息披露应符合《基金法》、《运作办法》、《信息披露办法》、《流动性风险管理规定》、《基金合同》及其他有关规定。相关法律法规关于信息披露的规定发生变化时，本基金从其最新规定。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（25）本基金变更标的指数；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（26）《基金合同》生效后，连续30、40、45个工作日出现基金份额持有人数量不满200人或者基金资产净值低于5000万元情形，基金管理人应当发布提示性公告；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（27）基金信息披露义务人认为可能对基金份额持有人权益或者基金份额的价格产生重大影响的其他事项或中国证监会规定和基金合同约定的其他事项。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11、清算报告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14、基金参与融资和转融通证券出借业务情况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本基金参与转融通证券出借业务的，基金管理人应当在基金定期报告等文件中就报告期内发生的重大关联交易事项做详细说明。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未来在法律法规允许的前提下，本基金可依据法律法规的相关规定参与融券业务，并相应履行信息披露义务。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w:t>
      </w:r>
      <w:r>
        <w:rPr>
          <w:rFonts w:ascii="宋体" w:hAnsi="宋体"/>
          <w:sz w:val="24"/>
        </w:rPr>
        <w:lastRenderedPageBreak/>
        <w:t>露内容与格式准则等法律法规的规定。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1" w:name="_Toc210912054"/>
      <w:r>
        <w:rPr>
          <w:rFonts w:ascii="Times New Roman" w:hAnsi="Times New Roman"/>
          <w:sz w:val="30"/>
        </w:rPr>
        <w:lastRenderedPageBreak/>
        <w:t>十八、侧袋机制</w:t>
      </w:r>
      <w:bookmarkEnd w:id="21"/>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195768" w:rsidRDefault="003F6289">
      <w:pPr>
        <w:pStyle w:val="1"/>
        <w:snapToGrid w:val="0"/>
        <w:spacing w:beforeLines="0" w:before="240" w:after="240"/>
        <w:rPr>
          <w:rFonts w:ascii="宋体" w:hAnsi="宋体"/>
          <w:szCs w:val="30"/>
        </w:rPr>
      </w:pPr>
      <w:bookmarkStart w:id="22" w:name="_Toc210912055"/>
      <w:r>
        <w:rPr>
          <w:rFonts w:ascii="Times New Roman" w:hAnsi="Times New Roman"/>
          <w:sz w:val="30"/>
        </w:rPr>
        <w:lastRenderedPageBreak/>
        <w:t>十九、风险揭示</w:t>
      </w:r>
      <w:bookmarkEnd w:id="22"/>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w:t>
      </w:r>
      <w:r>
        <w:rPr>
          <w:rFonts w:ascii="宋体" w:hAnsi="宋体"/>
          <w:sz w:val="24"/>
        </w:rPr>
        <w:lastRenderedPageBreak/>
        <w:t>自行负担。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业务，具体业务办理时间在赎回开始公告中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股票型基金，投资于中证A500指数成份股（含存托凭证）及备选成份股（含存托凭证）的比例不低于基金资产净值的90%且不低于非现金基金资产的80%，因投资权益类资产而面临权益类资产市场的系统性风险和个股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2、标的指数回报与股票市场平均回报偏离的风险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标的指数并不能代表整个股票市场。标的指数成份股的平均回报率与整个股票市场的平均回报率可能存在偏离。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3、标的指数波动的风险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标的指数成份股的价格可能受到政治因素、经济因素、上市公司经营状况、投资人心理和交易制度等各种因素的影响而波动，导致指数波动，从而使基金收益水平发生变化，产生风险。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4、基金投资组合回报与标的指数回报偏离及跟踪误差控制未达约定目标的风险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以下因素可能使基金投资组合的收益率与标的指数的收益率发生偏离，也可能使基金的跟踪误差控制未达约定目标：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（5）因法律法规的限制或其他限制，本基金可能不能投资于部分标的指数成份股。在使用替代方法，如投资同行业中相关性较高的股票以替代上述投资受限股票时，会产生一定的跟踪偏离度和跟踪误差。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（7）在本基金指数化投资过程中，基金管理人的管理能力，例如跟踪指数的水平、技术手段、买入卖出的时机选择等，都会对本基金的收益产生影响，从而影响本基金对标的指数的跟踪程度。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正常市场情况下，本基金力争控制本基金日均跟踪偏离度的绝对值不超过0.35%，年跟踪误差不超过4%。但因标的指数编制规则调整或其他因素可能导致跟踪偏离度和跟踪误差超过上述范围，本基金净值表现与指数价格走势可能发生较大偏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5、指数编制机构停止服务的风险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标的指数的管理和维护，本基金将根据基金合同的约定自该情形发生之日起十个工作日内向中国证监会报告并提出解决方案，如转换运作方式，</w:t>
      </w:r>
      <w:r>
        <w:rPr>
          <w:rFonts w:ascii="宋体" w:hAnsi="宋体"/>
          <w:sz w:val="24"/>
        </w:rPr>
        <w:lastRenderedPageBreak/>
        <w:t>与其他基金合并或者终止基金合同等，并在6个月内召集基金份额持有人大会进行表决，基金份额持有人大会未成功召开或就上述事项表决未通过的，基金合同终止。投资人将面临转换运作方式，与其他基金合并或者终止基金合同等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6、成份股停牌或退市的风险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（2）若成份股停牌时间较长，在约定时间内仍未能及时买入或卖出的，由此可能影响投资者的投资损益并使基金产生跟踪偏离度和跟踪误差。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风险，且指数编制机构暂未作出调整的，基金管理人应当按照持有人利益优先的原则，履行内部决策程序后及时对相关成份股进行调整，可能影响投资者的投资损益并使基金产生跟踪偏离度和跟踪误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、基金合同提前终止风险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《基金合同》生效后，连续50个工作日出现基金份额持有人数量不满200人或者基金资产净值低于5000万元情形的，基金合同终止，不需召开基金份额持有人大会。因此，投资者可能面临基金合同提前终止的风险。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8、本基金可投资创业板股票，创业板个股上市后的前五个交易日不设价格涨跌幅限制，第六个交易日开始涨跌幅限制比例为20%。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w:t>
      </w:r>
      <w:r>
        <w:rPr>
          <w:rFonts w:ascii="宋体" w:hAnsi="宋体"/>
          <w:sz w:val="24"/>
        </w:rPr>
        <w:lastRenderedPageBreak/>
        <w:t>险、信用风险和操作风险。具体为：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w:t>
      </w:r>
      <w:r>
        <w:rPr>
          <w:rFonts w:ascii="宋体" w:hAnsi="宋体"/>
          <w:sz w:val="24"/>
        </w:rPr>
        <w:lastRenderedPageBreak/>
        <w:t>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国家对高新技术产业扶持力度及重视程度的变化会对科创板企业带来较大影响，国际经济形势变化对战略新兴产业及科创板个股也会带来政策影响。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（十一）本基金参与融资业务的特定风险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本基金可根据法律法规的规定参与融资业务，面临的风险包括但不限于：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可能放大投资损失的风险：融资业务具有杠杆效应，它在放大投资收益的同时也必然放大投资风险。将股票作为担保品进行融资交易时，既需要承担原有的股票价格下跌带来的风险，又得承担融资买入股票带来的风险，同时还须支付相应的利息和费用，由此承担的风险可能远远超过普通证券交易。</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2）利率变动带来的成本加大风险：在从事融资交易期间，如中国人民银行规定的同期贷款基准利率调高，证券公司将相应调高融资利率，投资成本也因为利率的上调而增加，将面临融资成本增加的风险。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强制平仓风险：融资交易中，投资组合与证券公司间除了普通交易的委托买卖关系外，还存在着较为复杂的债权债务关系，以及由于债权债务产生的信托关系和担保关系。证券公司为保护自身债权，对投资组合信用账户的资产负债情况实时监控，在一定条件下可以对投资组合担保资产执行强制平仓,且平仓的品种、数量、价格、时机将不受投资组合的控制，平仓的数额可能超过全部负债，由此给投资组合带来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外部监管风险：在融资交易出现异常或市场出现系统性风险时，监管部门、证券交易所和证券公司都将可能对融资交易采取相应措施，例如提高融资保证金比例、维持担保比例和强制平仓的条件等，以维护市场平稳运行。这些措施将可能给本金带来杠杆效应降低、甚至提前进入追加担保物或强制平仓状态等潜在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融资业务的流动性风险主要指当基金不能按照约定的期限清偿债务，或上市证券价格波动导致担保物价值与融资债务之间的比例低于平仓维持担保比例，且不能按照约定的时间追加担保物时面临强制平仓的风险。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（3）信用风险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信用风险主要指交易对手违约产生的风险。一方面，如果证券公司没有按照融资合同的要求履行义务可能带来风险；另一方面，若在从事融资交易期间，证券公</w:t>
      </w:r>
      <w:r>
        <w:rPr>
          <w:rFonts w:ascii="宋体" w:hAnsi="宋体"/>
          <w:sz w:val="24"/>
        </w:rPr>
        <w:lastRenderedPageBreak/>
        <w:t>司融资业务资格、融资业务交易权限被取消或被暂停，证券公司可能无法履约，则投资组合可能会面临一定的风险。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（十二）本基金参与转融通证券出借业务的特定风险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本基金可根据法律法规和基金合同的约定参与转融通证券出借业务，面临的风险包括但不限于：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（1）流动性风险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面对大额赎回时，可能因证券出借原因发生无法及时变现、支付赎回款项的风险；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证券出借对手方可能无法及时归还证券、无法支付相应权益补偿及借券费用的风险；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（3）市场风险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证券出借后可能面临出借期间无法及时处置证券的风险；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如宏观政策变化、证券市场剧烈波动、个别证券出现重大事件、交易对手方违约、业务规则调整、信息技术不能正常运行等风险。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（十三）本基金法律文件风险收益特征表述与销售机构基金风险评价可能不一致的风险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（十四）其他风险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4、对主要业务人员如基金经理的依赖而可能产生的风险；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3" w:name="_Toc210912056"/>
      <w:r>
        <w:rPr>
          <w:rFonts w:ascii="Times New Roman" w:hAnsi="Times New Roman"/>
          <w:sz w:val="30"/>
        </w:rPr>
        <w:lastRenderedPageBreak/>
        <w:t>二十、基金合同的变更、终止与基金财产的清算</w:t>
      </w:r>
      <w:bookmarkEnd w:id="23"/>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4" w:name="_Toc210912057"/>
      <w:r>
        <w:rPr>
          <w:rFonts w:ascii="Times New Roman" w:hAnsi="Times New Roman"/>
          <w:sz w:val="30"/>
        </w:rPr>
        <w:lastRenderedPageBreak/>
        <w:t>二十一、基金合同内容摘要</w:t>
      </w:r>
      <w:bookmarkEnd w:id="24"/>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13）在法律法规允许的前提下，为基金的利益依法为基金进行融资及转融通证券出借业务；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w:t>
      </w:r>
      <w:r>
        <w:rPr>
          <w:rFonts w:ascii="宋体" w:hAnsi="宋体"/>
          <w:sz w:val="24"/>
        </w:rPr>
        <w:lastRenderedPageBreak/>
        <w:t>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情</w:t>
      </w:r>
      <w:r>
        <w:rPr>
          <w:rFonts w:ascii="宋体" w:hAnsi="宋体"/>
          <w:sz w:val="24"/>
        </w:rPr>
        <w:lastRenderedPageBreak/>
        <w:t>况除外；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w:t>
      </w:r>
      <w:r>
        <w:rPr>
          <w:rFonts w:ascii="宋体" w:hAnsi="宋体"/>
          <w:sz w:val="24"/>
        </w:rPr>
        <w:lastRenderedPageBreak/>
        <w:t>无实质性不利影响的前提下，以下情况可由基金管理人和基金托管人协商后修改，不需召开基金份额持有人大会：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6）在法律法规允许的情况下，且在对现有基金份额持有人利益无实质性不利影响的前提下，基金管理人履行适当程序后，推出新业务或服务；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7）在符合法律法规及本基金合同规定、并且对基金份额持有人利益无实质性不利影响的前提下，增加或调整本基金份额类别的设置、对基金份额分类办法及规则进行调整；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8）若将来本基金管理人注册并成立追踪同一标的指数的交易型开放式指数基金（ETF），则基金管理人在履行适当程序后有权决定将本基金转换为该基金的联接基金，并相应修改《基金合同》；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9）在不违反法律法规及对基金份额持有人利益无实质性不利影响的前提下，基金管理人、登记机构、销售机构调整有关基金认购、申购、赎回、转换、收益分配、非交易过户、转托管等业务的规则；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10）按照法律法规和《基金合同》规定不需召开基金份额持有人大会的其他情形。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w:t>
      </w:r>
      <w:r>
        <w:rPr>
          <w:rFonts w:ascii="宋体" w:hAnsi="宋体"/>
          <w:sz w:val="24"/>
        </w:rPr>
        <w:lastRenderedPageBreak/>
        <w:t>开；基金管理人决定不召集，基金托管人仍认为有必要召开的，应当由基金托管人自行召集，并自出具书面决定之日起60日内召开并告知基金管理人，基金管理人应当配合；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1）会议召集人按《基金合同》约定公布会议通知后，在2个工作日内连续公布相关提示性公告；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基金份额持有人大会采取记名方式进行投票表决。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案。基金份额持有人大会的决议自表决通过之日起生效。法律法规另有规定的，从其规定。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（7）特别决议应当经参加大会的基金份额持有人或其代理人所持表决权的三分之二以上（含三分之二）通过。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（4）连续50个工作日出现基金份额持有人数量不满200人或者基金资产净值低于5000万元情形的，基金合同终止，不需召开基金份额持有人大会；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w:t>
      </w:r>
      <w:r>
        <w:rPr>
          <w:rFonts w:ascii="宋体" w:hAnsi="宋体"/>
          <w:sz w:val="24"/>
        </w:rPr>
        <w:lastRenderedPageBreak/>
        <w:t>在规定网站上，并将清算报告提示性公告登载在规定报刊上。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仲裁地点为深圳市，按照深圳国际仲裁院届时有效的仲裁规则进行仲裁。仲裁裁决是终局的，对各方当事人均有约束力，除非仲裁裁决另有规定，仲裁费由败诉方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《基金合同》受中国法律（为本基金合同之目的，不含港澳台地区法律）管辖并从其解释。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5" w:name="_Toc210912058"/>
      <w:r>
        <w:rPr>
          <w:rFonts w:ascii="Times New Roman" w:hAnsi="Times New Roman"/>
          <w:sz w:val="30"/>
        </w:rPr>
        <w:lastRenderedPageBreak/>
        <w:t>二十二、托管协议的内容摘要</w:t>
      </w:r>
      <w:bookmarkEnd w:id="25"/>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w:t>
      </w:r>
      <w:r>
        <w:rPr>
          <w:rFonts w:ascii="宋体" w:hAnsi="宋体"/>
          <w:sz w:val="24"/>
        </w:rPr>
        <w:lastRenderedPageBreak/>
        <w:t>资范围、投资比例、投资限制、关联方交易等进行监督。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中证A500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本基金可根据法律法规的规定参与融资及转融通证券出借业务。未来在法律法规允许的前提下，本基金可根据相关法律法规规定参与融券业务。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中证A500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1）本基金投资于中证A500指数成份股（含存托凭证）及备选成份股（含存托凭证）的比例不低于基金资产净值的90%且不低于非现金基金资产的80%；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3）本基金投资于同一原始权益人的各类资产支持证券的比例，不得超过基金</w:t>
      </w:r>
      <w:r>
        <w:rPr>
          <w:rFonts w:ascii="宋体" w:hAnsi="宋体"/>
          <w:sz w:val="24"/>
        </w:rPr>
        <w:lastRenderedPageBreak/>
        <w:t>资产净值的10％；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4）本基金持有的全部资产支持证券，其市值不得超过基金资产净值的20％；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6）本基金管理人管理的全部基金投资于同一原始权益人的各类资产支持证券，不得超过其各类资产支持证券合计规模的10％；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7）本基金应投资于信用级别评级为BBB以上（含BBB）的资产支持证券。基金持有资产支持证券期间，如果其信用等级下降、不再符合投资标准，应在评级报告发布之日起3个月内予以全部卖出；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8）基金财产参与股票发行申购，本基金所申报的金额不超过本基金的总资产，本基金所申报的股票数量不超过拟发行股票公司本次发行股票的总量；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11）本基金资产总值不超过基金资产净值的140%；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12）本基金参与股指期货交易，则：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100%。其中，有价证券指股票、债券（不含到期日在一年以内的政府债券）、资产支持证券、买入返售金融资产（不含质押式回购）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e）本基金在任何交易日内交易（不包括平仓）的股指期货合约的成交金额不得超过上一交易日基金资产净值的20%；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13）本基金参与融资业务后，每个交易日日终，本基金持有的融资买入股票与其他有价证券市值之和，不得超过基金资产净值的95%；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14）本基金参与转融通证券出借业务，需遵守下列投资限制：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a）出借证券资产不得超过基金资产净值的30%，出借期限在10个交易日以上的出借证券应纳入《流动性风险管理规定》所述流动性受限证券的范围；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b）参与出借业务的单只证券不得超过本基金持有该证券总量的50%；</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c）最近6个月内日均基金资产净值不得低于2亿元；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d）证券出借的平均剩余期限不得超过30天，平均剩余期限按照市值加权平均计算；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因证券市场波动、上市公司合并、基金规模变动等基金管理人之外的因素致使基金投资不符合上述规定的，基金管理人不得新增出借业务；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15）本基金投资存托凭证的比例限制依照境内上市交易的股票执行；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7）、9）、10）、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法律法规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w:t>
      </w:r>
      <w:r>
        <w:rPr>
          <w:rFonts w:ascii="宋体" w:hAnsi="宋体"/>
          <w:sz w:val="24"/>
        </w:rPr>
        <w:lastRenderedPageBreak/>
        <w:t>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法律法规或监管部门取消或变更上述限制，如适用于本基金，基金管理人在履行适当程序后，则本基金投资不再受相关限制或以变更后的规定为准。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w:t>
      </w:r>
      <w:r>
        <w:rPr>
          <w:rFonts w:ascii="宋体" w:hAnsi="宋体"/>
          <w:sz w:val="24"/>
        </w:rPr>
        <w:lastRenderedPageBreak/>
        <w:t>料、投资指令、存款证实书等有关文件，切实履行托管职责。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3、基金投资银行存款协议的签订、账户开设与管理、投资指令与资金划付、账目核对、到期兑付、提前支取、基金投资银行存款的监督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w:t>
      </w:r>
      <w:r>
        <w:rPr>
          <w:rFonts w:ascii="宋体" w:hAnsi="宋体"/>
          <w:sz w:val="24"/>
        </w:rPr>
        <w:lastRenderedPageBreak/>
        <w:t>应全部划转到指定的基金托管账户，并在《存款协议书》写明账户名称和账号，未划入指定账户的，由存款银行承担一切责任。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银行，书面通知应加盖基金托管人预留印鉴。存款银行分支机构应及时就变更事项向基金管理人、基金托管人出具正式书面确认书。变更通知的送达方式同开户手续。在存期内，存款分支机构和基金托管人的指定联系人变更，应及时加盖公章书面通知对方及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存款凭证在邮寄过程中遗失的，由基金管理人向存款银行提出补办申请，基金管理人应督促存款银行尽快补办存款凭证，并按以上1）的方式快递或上门交付至基金托管人，原存款凭证自动作废。</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w:t>
      </w:r>
      <w:r>
        <w:rPr>
          <w:rFonts w:ascii="宋体" w:hAnsi="宋体"/>
          <w:sz w:val="24"/>
        </w:rPr>
        <w:lastRenderedPageBreak/>
        <w:t>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中国人民银行查询查复的有关时限要求及时回复。基金管理人及基金托管人有责任督促存款银行及时回复查询查复。因存款银行未及时回复造成的资金被挪用、盗取的责任由存款银行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及基金管理人，基金托管人在原存款凭证复印件上加盖公章并出具相关证明文件后，与存款银行指定会计主管电话确认后，存款银行应在到期日将存款本息划至指定的基金资金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w:t>
      </w:r>
      <w:r>
        <w:rPr>
          <w:rFonts w:ascii="宋体" w:hAnsi="宋体"/>
          <w:sz w:val="24"/>
        </w:rPr>
        <w:lastRenderedPageBreak/>
        <w:t>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损失和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与上文所述的流动性受限资产的范围并不完全一致，包括由相关法律法规规范的非公开发行股票、公开发行股票网下配售部分等在发行时明确一定期限锁定期的可交易证券，不包括由于发布重大消息或其他原因而临时停牌</w:t>
      </w:r>
      <w:r>
        <w:rPr>
          <w:rFonts w:ascii="宋体" w:hAnsi="宋体"/>
          <w:sz w:val="24"/>
        </w:rPr>
        <w:lastRenderedPageBreak/>
        <w:t>的证券、已发行未上市证券、回购交易中的质押券等流通受限证券。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w:t>
      </w:r>
      <w:r>
        <w:rPr>
          <w:rFonts w:ascii="宋体" w:hAnsi="宋体"/>
          <w:sz w:val="24"/>
        </w:rPr>
        <w:lastRenderedPageBreak/>
        <w:t>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按照法律法规规定的期限，在中国证监会规定媒介披露所投资非公开发行股票的名称、数量、总成本、账面价值，以及总成本和账面价值占基金资产净值的比例、锁定期等信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参与转融通证券出借业务，基金管理人应当遵守谨慎经营的原则，配备技术系统和专业人员，制定科学合理的投资策略和风险管理制度，完善业务流程，有效防范和控制风险，基金托管人将对基金参与转融通证券出借业务进行监督与复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w:t>
      </w:r>
      <w:r>
        <w:rPr>
          <w:rFonts w:ascii="宋体" w:hAnsi="宋体"/>
          <w:sz w:val="24"/>
        </w:rPr>
        <w:lastRenderedPageBreak/>
        <w:t>金监督报告的事项，基金管理人应积极配合提供相关数据资料和制度等。</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12、基金托管人发现基金管理人有重大违规行为，应及时报告中国证监会，同时通知基金管理人限期纠正。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13、侧袋机制的实施和投资运作安排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w:t>
      </w:r>
      <w:r>
        <w:rPr>
          <w:rFonts w:ascii="宋体" w:hAnsi="宋体"/>
          <w:sz w:val="24"/>
        </w:rPr>
        <w:lastRenderedPageBreak/>
        <w:t>托管人应积极配合提供相关资料以供基金管理人核查基金财产的完整性和真实性。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（3）基金托管人按照规定开设基金财产的资金账户、证券账户等投资所需的相关账户。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（4）基金托管人对所托管的不同基金财产分别设置账户，独立核算，分账管理，确保基金财产的完整与独立。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期货公司或证券公司负责清算交收的基金资产及其收益（包括但不限于期货保证金账户内的资金、期货合约等），由于该等机构或该机构会员单位等本协议当事人外第三方的欺诈、疏忽、过失或破产等原因给基金资产造成的损失等不承担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w:t>
      </w:r>
      <w:r>
        <w:rPr>
          <w:rFonts w:ascii="宋体" w:hAnsi="宋体"/>
          <w:sz w:val="24"/>
        </w:rPr>
        <w:lastRenderedPageBreak/>
        <w:t>额、基金份额持有人人数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中证A500指数型证券投资基金”，预留印鉴为基金托管人印章。</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w:t>
      </w:r>
      <w:r>
        <w:rPr>
          <w:rFonts w:ascii="宋体" w:hAnsi="宋体"/>
          <w:sz w:val="24"/>
        </w:rPr>
        <w:lastRenderedPageBreak/>
        <w:t>他投资品种的投资业务，涉及相关账户的开立、使用的，按有关规定开立、使用并管理；若无相关规定，则基金托管人比照上述关于账户开立、使用的规定执行。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基金托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w:t>
      </w:r>
      <w:r>
        <w:rPr>
          <w:rFonts w:ascii="宋体" w:hAnsi="宋体"/>
          <w:sz w:val="24"/>
        </w:rPr>
        <w:lastRenderedPageBreak/>
        <w:t>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（五）基金资产净值的计算及复核程序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但基金管理人根据法律法规或基金合同的规定暂停估值时除外。基金管理人每个工作日对基金资产估值后，将基金资产净值、各类基金份额净值结果发送基金托管人，经基金托管人复核无误后，由基金管理人依据基金合同和相关法律法规的规定对外公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3、基金份额净值错误的处理方式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基金管理人及基金托管人应当按照《基金合同》的约定处理基金份额净值错误。</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（六）基金份额持有人名册的保管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本协议受中华人民共和国法律（为本托管协议之目的，不含港澳台地区法律）管辖并从其解释。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本协议双方当事人经协商一致，可以对协议进行修改。修改后的新协议，其内容不得与基金合同的规定有任何冲突。基金托管协议的变更应按规定报中国证监会备案。</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（4）发生法律法规或《基金合同》规定的其他终止事项。</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6" w:name="_Toc210912059"/>
      <w:r>
        <w:rPr>
          <w:rFonts w:ascii="Times New Roman" w:hAnsi="Times New Roman"/>
          <w:sz w:val="30"/>
        </w:rPr>
        <w:lastRenderedPageBreak/>
        <w:t>二十三、对基金份额持有人的服务</w:t>
      </w:r>
      <w:bookmarkEnd w:id="26"/>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7" w:name="_Toc210912060"/>
      <w:r>
        <w:rPr>
          <w:rFonts w:ascii="Times New Roman" w:hAnsi="Times New Roman"/>
          <w:sz w:val="30"/>
        </w:rPr>
        <w:lastRenderedPageBreak/>
        <w:t>二十四、其他应披露事项</w:t>
      </w:r>
      <w:bookmarkEnd w:id="27"/>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指数型证券投资基金发售公告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指数型证券投资基金基金合同及招募说明书提示性公告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指数型证券投资基金基金基金合同摘要</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2024-12-25</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指数型证券投资基金基金合同生效公告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2025-01-23</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交银施罗德基金管理有限公司关于旗下被动型指数基金投资关联方证券的公告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指数型证券投资基金开放日常申购、赎回、转换、定期定额投资业务的公告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2025-02-07</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2025-04-29</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交银施罗德基金管理有限公司关于增加开源证券股份有限公司为旗下基金的销售机构的公告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2025-06-06</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24</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195768">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w:t>
            </w:r>
            <w:r>
              <w:rPr>
                <w:rFonts w:ascii="Times New Roman" w:hAnsi="Times New Roman"/>
                <w:color w:val="000000"/>
                <w:kern w:val="0"/>
                <w:sz w:val="25"/>
                <w:szCs w:val="24"/>
              </w:rPr>
              <w:t>A500</w:t>
            </w:r>
            <w:r>
              <w:rPr>
                <w:rFonts w:ascii="Times New Roman" w:hAnsi="Times New Roman"/>
                <w:color w:val="000000"/>
                <w:kern w:val="0"/>
                <w:sz w:val="25"/>
                <w:szCs w:val="24"/>
              </w:rPr>
              <w:t>指数型证券投资基金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195768" w:rsidRDefault="003F628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8" w:name="_Toc210912061"/>
      <w:r>
        <w:rPr>
          <w:rFonts w:ascii="Times New Roman" w:hAnsi="Times New Roman"/>
          <w:sz w:val="30"/>
        </w:rPr>
        <w:lastRenderedPageBreak/>
        <w:t>二十五、招募说明书的存放及查阅方式</w:t>
      </w:r>
      <w:bookmarkEnd w:id="28"/>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3F628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195768" w:rsidRDefault="003F6289">
      <w:pPr>
        <w:pStyle w:val="1"/>
        <w:snapToGrid w:val="0"/>
        <w:spacing w:beforeLines="0" w:before="240" w:after="240"/>
        <w:rPr>
          <w:rFonts w:ascii="宋体" w:hAnsi="宋体"/>
          <w:szCs w:val="30"/>
        </w:rPr>
      </w:pPr>
      <w:bookmarkStart w:id="29" w:name="_Toc210912062"/>
      <w:r>
        <w:rPr>
          <w:rFonts w:ascii="Times New Roman" w:hAnsi="Times New Roman"/>
          <w:sz w:val="30"/>
        </w:rPr>
        <w:lastRenderedPageBreak/>
        <w:t>二十六、备查文件</w:t>
      </w:r>
      <w:bookmarkEnd w:id="29"/>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（一）中国证监会准予交银施罗德中证A500指数型证券投资基金募集注册的文件</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（二）《交银施罗德中证A500指数型证券投资基金基金合同》</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（三）《交银施罗德中证A500指数型证券投资基金托管协议》</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195768" w:rsidRDefault="003F628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（六）关于申请募集注册交银施罗德中证A500指数型证券投资基金的法律意见书</w:t>
      </w:r>
    </w:p>
    <w:sectPr w:rsidR="00195768">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4D6C" w:rsidRDefault="003F6289">
      <w:r>
        <w:separator/>
      </w:r>
    </w:p>
  </w:endnote>
  <w:endnote w:type="continuationSeparator" w:id="0">
    <w:p w:rsidR="004C4D6C" w:rsidRDefault="003F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19576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D2640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7728;mso-position-horizontal-relative:page;mso-position-vertical-relative:page;mso-width-relative:page;mso-height-relative:page" o:allowincell="f" filled="f" stroked="f">
          <v:textbox inset="0,0,0,0">
            <w:txbxContent>
              <w:p w:rsidR="00195768" w:rsidRDefault="003F628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2640A">
                  <w:rPr>
                    <w:rFonts w:ascii="Times New Roman" w:hAnsi="Times New Roman"/>
                    <w:noProof/>
                    <w:kern w:val="0"/>
                    <w:sz w:val="18"/>
                    <w:szCs w:val="18"/>
                  </w:rPr>
                  <w:t>5</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195768">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D2640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6704;mso-position-horizontal-relative:page;mso-position-vertical-relative:page;mso-width-relative:page;mso-height-relative:page" o:allowincell="f" filled="f" stroked="f">
          <v:textbox inset="0,0,0,0">
            <w:txbxContent>
              <w:p w:rsidR="00195768" w:rsidRDefault="003F628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2640A">
                  <w:rPr>
                    <w:rFonts w:ascii="Times New Roman" w:hAnsi="Times New Roman"/>
                    <w:noProof/>
                    <w:kern w:val="0"/>
                    <w:sz w:val="18"/>
                    <w:szCs w:val="18"/>
                  </w:rPr>
                  <w:t>166</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4D6C" w:rsidRDefault="003F6289">
      <w:r>
        <w:separator/>
      </w:r>
    </w:p>
  </w:footnote>
  <w:footnote w:type="continuationSeparator" w:id="0">
    <w:p w:rsidR="004C4D6C" w:rsidRDefault="003F62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19576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5D0" w:rsidRDefault="003F6289">
    <w:pPr>
      <w:pStyle w:val="a3"/>
      <w:jc w:val="right"/>
    </w:pPr>
    <w:r>
      <w:rPr>
        <w:noProof/>
      </w:rPr>
      <w:drawing>
        <wp:anchor distT="0" distB="0" distL="114300" distR="114300" simplePos="0" relativeHeight="251655680"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95768" w:rsidRDefault="003F6289">
    <w:pPr>
      <w:pStyle w:val="a3"/>
      <w:jc w:val="right"/>
      <w:rPr>
        <w:rFonts w:ascii="宋体" w:hAnsi="宋体"/>
      </w:rPr>
    </w:pPr>
    <w:r>
      <w:rPr>
        <w:rFonts w:ascii="宋体" w:hAnsi="宋体" w:hint="eastAsia"/>
      </w:rPr>
      <w:t>交银施罗德中证A500指数型证券投资基金招募说明书更新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195768">
    <w:pPr>
      <w:pStyle w:val="10"/>
      <w:jc w:val="right"/>
    </w:pPr>
  </w:p>
  <w:p w:rsidR="00195768" w:rsidRDefault="00195768">
    <w:pPr>
      <w:pStyle w:val="10"/>
      <w:jc w:val="right"/>
    </w:pPr>
  </w:p>
  <w:p w:rsidR="00195768" w:rsidRDefault="00195768">
    <w:pPr>
      <w:pStyle w:val="a3"/>
      <w:jc w:val="right"/>
    </w:pPr>
  </w:p>
  <w:p w:rsidR="009E65D0" w:rsidRDefault="003F6289">
    <w:pPr>
      <w:pStyle w:val="a3"/>
      <w:jc w:val="right"/>
    </w:pPr>
    <w:r>
      <w:rPr>
        <w:noProof/>
      </w:rPr>
      <w:drawing>
        <wp:anchor distT="0" distB="0" distL="114300" distR="114300" simplePos="0" relativeHeight="251656704"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95768" w:rsidRDefault="003F6289">
    <w:pPr>
      <w:pStyle w:val="a3"/>
      <w:jc w:val="right"/>
      <w:rPr>
        <w:rFonts w:ascii="宋体" w:hAnsi="宋体"/>
      </w:rPr>
    </w:pPr>
    <w:r>
      <w:rPr>
        <w:rFonts w:ascii="宋体" w:hAnsi="宋体" w:hint="eastAsia"/>
      </w:rPr>
      <w:t>交银施罗德中证A500指数型证券投资基金招募说明书更新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768" w:rsidRDefault="00195768">
    <w:pPr>
      <w:pStyle w:val="a3"/>
      <w:jc w:val="right"/>
    </w:pPr>
  </w:p>
  <w:p w:rsidR="00195768" w:rsidRDefault="00195768">
    <w:pPr>
      <w:pStyle w:val="a3"/>
      <w:jc w:val="right"/>
    </w:pPr>
  </w:p>
  <w:p w:rsidR="00195768" w:rsidRDefault="00195768">
    <w:pPr>
      <w:pStyle w:val="a3"/>
      <w:jc w:val="right"/>
    </w:pPr>
  </w:p>
  <w:p w:rsidR="009E65D0" w:rsidRDefault="003F6289">
    <w:pPr>
      <w:pStyle w:val="a3"/>
      <w:jc w:val="right"/>
    </w:pPr>
    <w:r>
      <w:rPr>
        <w:noProof/>
      </w:rPr>
      <w:drawing>
        <wp:anchor distT="0" distB="0" distL="114300" distR="114300" simplePos="0" relativeHeight="251657728" behindDoc="0" locked="0" layoutInCell="1" allowOverlap="1" wp14:anchorId="346FA20B" wp14:editId="39A83EC9">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logo1"/>
                  <pic:cNvPicPr>
                    <a:picLocks noChangeAspect="1" noChangeArrowheads="1"/>
                  </pic:cNvPicPr>
                </pic:nvPicPr>
                <pic:blipFill>
                  <a:blip r:embed="rId1"/>
                  <a:srcRect/>
                  <a:stretch>
                    <a:fillRect/>
                  </a:stretch>
                </pic:blipFill>
                <pic:spPr bwMode="auto">
                  <a:xfrm>
                    <a:off x="0" y="0"/>
                    <a:ext cx="1714500" cy="238125"/>
                  </a:xfrm>
                  <a:prstGeom prst="rect">
                    <a:avLst/>
                  </a:prstGeom>
                  <a:noFill/>
                  <a:ln w="9525">
                    <a:noFill/>
                    <a:miter lim="800000"/>
                    <a:headEnd/>
                    <a:tailEnd/>
                  </a:ln>
                </pic:spPr>
              </pic:pic>
            </a:graphicData>
          </a:graphic>
        </wp:anchor>
      </w:drawing>
    </w:r>
  </w:p>
  <w:p w:rsidR="00195768" w:rsidRDefault="003F6289">
    <w:pPr>
      <w:pStyle w:val="a3"/>
      <w:jc w:val="right"/>
      <w:rPr>
        <w:rFonts w:ascii="宋体" w:hAnsi="宋体"/>
      </w:rPr>
    </w:pPr>
    <w:r>
      <w:rPr>
        <w:rFonts w:ascii="宋体" w:hAnsi="宋体" w:hint="eastAsia"/>
      </w:rPr>
      <w:t>交银施罗德中证A500指数型证券投资基金招募说明书更新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576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3F6289"/>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4D6C"/>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2640A"/>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672576E2-2C4D-4F31-ABF7-A9CA60BB6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167</Pages>
  <Words>17904</Words>
  <Characters>102053</Characters>
  <Application>Microsoft Office Word</Application>
  <DocSecurity>0</DocSecurity>
  <Lines>850</Lines>
  <Paragraphs>239</Paragraphs>
  <ScaleCrop>false</ScaleCrop>
  <Company>Microsoft</Company>
  <LinksUpToDate>false</LinksUpToDate>
  <CharactersWithSpaces>119718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2025-10-09T06:20:00Z</dcterms:created>
  <dcterms:modified xsi:type="dcterms:W3CDTF">2025-10-09T06:20:00Z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