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交银施罗德裕祥纯债债券型证券投资基金（A类份额）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交银裕祥纯债债券A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006367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江苏银行股份有限公司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1、久期管理策略；2、期限结构配置策略；3、债券的类别配置策略；4、骑乘策略；5、杠杆放大策略；6、信用债券投资策略；7、资产支持证券投资策略；8、中小企业私募债券投资策略。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详见《交银施罗德裕祥纯债债券型证券投资基金招募说明书》第十部分“基金的投资”。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2、本基金合同于2018年9月26日生效，合同生效当年净值增长率按实际存续期计算。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6、投资中小企业私募债的特定风险</w:t>
      </w:r>
    </w:p>
    <w:p>
      <w:pPr>
        <w:ind w:firstLine="420"/>
        <w:jc w:val="left"/>
        <w:rPr>
          <w:rFonts w:ascii="仿宋_GB2312" w:eastAsia="仿宋_GB2312"/>
          <w:szCs w:val="21"/>
        </w:rPr>
      </w:pPr>
      <w:r>
        <w:rPr>
          <w:rFonts w:hint="eastAsia" w:ascii="仿宋_GB2312" w:eastAsia="仿宋_GB2312"/>
          <w:szCs w:val="21"/>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●《交银施罗德裕祥纯债债券型证券投资基金基金合同》、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《交银施罗德裕祥纯债债券型证券投资基金托管协议》、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《交银施罗德裕祥纯债债券型证券投资基金招募说明书》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B2DB6"/>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6D30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636</Words>
  <Characters>3626</Characters>
  <Lines>30</Lines>
  <Paragraphs>8</Paragraphs>
  <TotalTime>0</TotalTime>
  <ScaleCrop>false</ScaleCrop>
  <LinksUpToDate>false</LinksUpToDate>
  <CharactersWithSpaces>4254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2025-09-30T05:57:33Z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4DA62C2EA63747E581721E6DEE1286B4</vt:lpwstr>
  </property>
</Properties>
</file>