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交银施罗德定期支付双息平衡混合型证券投资基金</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2025-09-03</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2025-10-10</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交银定期支付双息平衡混合</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519732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中国农业银行股份有限公司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2013-09-04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黄鼎</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2021-09-29</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2013-04-08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基金合同生效后，基金份额持有人数量不满200人或者基金资产净值低于5000万元的，基金管理人应当及时报告中国证监会；连续20个工作日出现前述情形的，基金管理人应当向中国证监会说明原因并报送解决方案。</w:t>
            </w:r>
          </w:p>
        </w:tc>
      </w:tr>
    </w:tbl>
    <w:p>
      <w:pPr>
        <w:jc w:val="left"/>
        <w:rPr>
          <w:rFonts w:ascii="仿宋_GB2312" w:eastAsia="仿宋_GB2312"/>
          <w:szCs w:val="21"/>
        </w:rPr>
      </w:pPr>
      <w:r>
        <w:rPr>
          <w:rFonts w:hint="eastAsia" w:ascii="仿宋_GB2312" w:hAnsi="宋体" w:eastAsia="仿宋_GB2312" w:cs="宋体"/>
          <w:kern w:val="0"/>
          <w:szCs w:val="21"/>
        </w:rPr>
        <w:t>注：</w:t>
      </w:r>
      <w:r>
        <w:rPr>
          <w:rFonts w:hint="eastAsia" w:ascii="仿宋_GB2312" w:eastAsia="仿宋_GB2312"/>
          <w:szCs w:val="21"/>
        </w:rPr>
        <w:t>本基金每月定期按照当前年化现金支付比率（6%）计算现金支付金额并通过自动赎回基金份额向基金份额持有人支付一定现金，定期支付不等同于收益分配，年化现金支付比率也不代表本基金的实际投资收益率。</w:t>
      </w:r>
    </w:p>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本基金精选具有长期增长潜力和较好分红能力的股票，以及具有较高息票率的债券，力争实现基金资产的长期增值。</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上市的股票（含中小板、创业板及其他中国证监会允许基金投资的股票、存托凭证）、债券、货币市场工具、权证以及法律法规或中国证监会允许基金投资的其它金融工具（但须符合中国证监会的相关规定）。</w:t>
            </w:r>
          </w:p>
          <w:p>
            <w:pPr>
              <w:ind w:firstLine="420"/>
              <w:jc w:val="left"/>
              <w:rPr>
                <w:rFonts w:ascii="仿宋_GB2312" w:eastAsia="仿宋_GB2312"/>
                <w:szCs w:val="21"/>
              </w:rPr>
            </w:pPr>
            <w:r>
              <w:rPr>
                <w:rFonts w:hint="eastAsia" w:ascii="仿宋_GB2312" w:eastAsia="仿宋_GB2312"/>
                <w:szCs w:val="21"/>
              </w:rPr>
              <w:t>本基金的投资组合比例为：股票（含存托凭证）、权证等权益类资产占基金资产净值的30%-70%，其中权证的投资比例不超过基金资产净值的3%；债券、资产支持证券、货币市场工具、银行存款等固定收益类资产和现金不低于基金资产净值的30%，其中现金或到期日在一年以内的政府债券投资比例不低于基金资产净值的5%，现金不包括结算备付金、存出保证金和应收申购款等。</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如法律法规或监管机构以后允许基金投资其他品种，基金管理人在履行适当程序后，可以将其纳入投资范围，并可依据届时有效的法律法规适时合理地调整投资范围。</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精选具有较好现金分红能力、长期增长潜力且估值水平合理的上市公司以及具有较高息票率的债券，通过在股票和债券等不同类别资产中的平衡配置，追求基金资产在风险可控前提下的持续增值，充分享受股票分红和债券利息的双重收益。</w:t>
            </w:r>
          </w:p>
          <w:p>
            <w:pPr>
              <w:ind w:firstLine="420"/>
              <w:jc w:val="left"/>
              <w:rPr>
                <w:rFonts w:ascii="仿宋_GB2312" w:eastAsia="仿宋_GB2312"/>
                <w:szCs w:val="21"/>
              </w:rPr>
            </w:pPr>
            <w:r>
              <w:rPr>
                <w:rFonts w:hint="eastAsia" w:ascii="仿宋_GB2312" w:eastAsia="仿宋_GB2312"/>
                <w:szCs w:val="21"/>
              </w:rPr>
              <w:t>1、资产配置策略；2、股票投资策略；3、债券投资策略。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50%×中证红利指数收益率+50%×中债综合全价指数收益率</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在证券投资基金中属于较高风险的品种，其长期平均风险和预期收益高于货币市场基金和债券型基金，低于股票型基金。根据2017年7月1日施行的《证券期货投资者适当性管理办法》，基金管理人和销售机构已对本基金重新进行风险评级。风险评级行为不改变本基金的实质性风险收益特征。但由于风险等级分类标准的变化，本基金的风险等级表述可能有相应变化，具体风险评级结果应以基金管理人和销售机构提供的评级结果为准。</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详见《交银施罗德定期支付双息平衡混合型证券投资基金招募说明书》第十一部分“基金的投资”。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249.75pt;width:240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 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59.7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注：1、净值表现数据的截止日为2024年12月31日。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2、本基金合同于2013年9月4日生效，合同生效当年净值增长率按实际存续期计算。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M＜50万元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50万元≤M＜100万元</w:t>
            </w:r>
          </w:p>
        </w:tc>
        <w:tc>
          <w:tcPr>
            <w:tcW w:w="1843" w:type="dxa"/>
            <w:vAlign w:val="center"/>
          </w:tcPr>
          <w:p>
            <w:pPr>
              <w:rPr>
                <w:rFonts w:ascii="仿宋_GB2312" w:eastAsia="仿宋_GB2312"/>
                <w:szCs w:val="21"/>
              </w:rPr>
            </w:pPr>
            <w:r>
              <w:rPr>
                <w:rFonts w:hint="eastAsia" w:ascii="仿宋_GB2312" w:eastAsia="仿宋_GB2312"/>
                <w:szCs w:val="21"/>
              </w:rPr>
              <w:t>1.2%</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100万元≤M＜200万元</w:t>
            </w:r>
          </w:p>
        </w:tc>
        <w:tc>
          <w:tcPr>
            <w:tcW w:w="1843" w:type="dxa"/>
            <w:vAlign w:val="center"/>
          </w:tcPr>
          <w:p>
            <w:pPr>
              <w:rPr>
                <w:rFonts w:ascii="仿宋_GB2312" w:eastAsia="仿宋_GB2312"/>
                <w:szCs w:val="21"/>
              </w:rPr>
            </w:pPr>
            <w:r>
              <w:rPr>
                <w:rFonts w:hint="eastAsia" w:ascii="仿宋_GB2312" w:eastAsia="仿宋_GB2312"/>
                <w:szCs w:val="21"/>
              </w:rPr>
              <w:t>0.8%</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200万元≤M＜500万元</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500万元≤M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7天≤N＜366天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366天≤N＜731天</w:t>
            </w:r>
          </w:p>
        </w:tc>
        <w:tc>
          <w:tcPr>
            <w:tcW w:w="1843" w:type="dxa"/>
            <w:vAlign w:val="center"/>
          </w:tcPr>
          <w:p>
            <w:pPr>
              <w:rPr>
                <w:rFonts w:ascii="仿宋_GB2312" w:eastAsia="仿宋_GB2312"/>
                <w:szCs w:val="21"/>
              </w:rPr>
            </w:pPr>
            <w:r>
              <w:rPr>
                <w:rFonts w:hint="eastAsia" w:ascii="仿宋_GB2312" w:eastAsia="仿宋_GB2312"/>
                <w:szCs w:val="21"/>
              </w:rPr>
              <w:t>0.2%</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731天≤N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 2、销售机构若有其他费率优惠请见基金管理人或其他销售机构的有关公告或通知。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45000.00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1.41%</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5、本基金投资策略所特有的风险</w:t>
      </w:r>
    </w:p>
    <w:p>
      <w:pPr>
        <w:ind w:firstLine="420"/>
        <w:jc w:val="left"/>
        <w:rPr>
          <w:rFonts w:ascii="仿宋_GB2312" w:eastAsia="仿宋_GB2312"/>
          <w:szCs w:val="21"/>
        </w:rPr>
      </w:pPr>
      <w:r>
        <w:rPr>
          <w:rFonts w:hint="eastAsia" w:ascii="仿宋_GB2312" w:eastAsia="仿宋_GB2312"/>
          <w:szCs w:val="21"/>
        </w:rPr>
        <w:t>本基金属于混合型基金，通过在股票、债券等各类资产之间进行配置来降低风险，提高收益。如果股票市场和债券市场同时出现下跌，本基金将不能完全抵御两个市场同时下跌的风险，基金净值将出现下降。由于本基金股票投资比例设定了一定上限，因此在股市大幅上涨时本基金也不能完全保证基金净值能够完全跟随或超越大盘走势。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本基金股票资产部分重点投资于红利股票，在选股策略上本基金特有的风险主要来自两个方面：一是对行业及上市公司的基本面研究是否准确、深入，二是对行业和红利股票的优选和判断是否科学、准确。基本面研究及上市企业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6、本基金定期支付相关的特定风险</w:t>
      </w:r>
    </w:p>
    <w:p>
      <w:pPr>
        <w:ind w:firstLine="420"/>
        <w:jc w:val="left"/>
        <w:rPr>
          <w:rFonts w:ascii="仿宋_GB2312" w:eastAsia="仿宋_GB2312"/>
          <w:szCs w:val="21"/>
        </w:rPr>
      </w:pPr>
      <w:r>
        <w:rPr>
          <w:rFonts w:hint="eastAsia" w:ascii="仿宋_GB2312" w:eastAsia="仿宋_GB2312"/>
          <w:szCs w:val="21"/>
        </w:rPr>
        <w:t>（1）定期支付不等同于收益分配、（2）年化现金支付比率不代表基金实际投资收益率、（3）定期支付被确认失败的风险、（4）年化现金支付比率发生调整的风险</w:t>
      </w:r>
    </w:p>
    <w:p>
      <w:pPr>
        <w:ind w:firstLine="420"/>
        <w:jc w:val="left"/>
        <w:rPr>
          <w:rFonts w:ascii="仿宋_GB2312" w:eastAsia="仿宋_GB2312"/>
          <w:szCs w:val="21"/>
        </w:rPr>
      </w:pPr>
      <w:r>
        <w:rPr>
          <w:rFonts w:hint="eastAsia" w:ascii="仿宋_GB2312" w:eastAsia="仿宋_GB2312"/>
          <w:szCs w:val="21"/>
        </w:rPr>
        <w:t>7、投资科创板股票的特定风险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8、投资存托凭证的特定风险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9、本基金法律文件风险收益特征表述与销售机构基金风险评价可能不一致的风险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10、其他风险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因基金合同而产生的或与基金合同有关的一切争议，如经友好协商未能解决的，任何一方均有权将争议提交中国国际经济贸易仲裁委员会，按其届时有效的仲裁规则进行仲裁。仲裁地点为北京市。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ind w:firstLine="420"/>
        <w:jc w:val="left"/>
        <w:rPr>
          <w:rFonts w:ascii="仿宋_GB2312" w:eastAsia="仿宋_GB2312"/>
          <w:szCs w:val="21"/>
        </w:rPr>
      </w:pP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●《交银施罗德定期支付双息平衡混合型证券投资基金基金合同》、</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《交银施罗德定期支付双息平衡混合型证券投资基金托管协议》、</w:t>
      </w:r>
    </w:p>
    <w:p>
      <w:pPr>
        <w:ind w:firstLine="420"/>
        <w:jc w:val="left"/>
        <w:rPr>
          <w:rFonts w:ascii="仿宋_GB2312" w:eastAsia="仿宋_GB2312"/>
          <w:szCs w:val="21"/>
        </w:rPr>
      </w:pPr>
      <w:r>
        <w:rPr>
          <w:rFonts w:hint="eastAsia" w:ascii="仿宋_GB2312" w:eastAsia="仿宋_GB2312"/>
          <w:szCs w:val="21"/>
        </w:rPr>
        <w:t>《交银施罗德定期支付双息平衡混合型证券投资基金招募说明书》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C0525C"/>
    <w:rsid w:val="00CD7637"/>
    <w:rsid w:val="00D04A15"/>
    <w:rsid w:val="00D373CC"/>
    <w:rsid w:val="00DB319C"/>
    <w:rsid w:val="00E51B6D"/>
    <w:rsid w:val="00EA64F9"/>
    <w:rsid w:val="00F75715"/>
    <w:rsid w:val="00F811C4"/>
    <w:rsid w:val="00FC2918"/>
    <w:rsid w:val="58110A5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702</Words>
  <Characters>4007</Characters>
  <Lines>33</Lines>
  <Paragraphs>9</Paragraphs>
  <TotalTime>0</TotalTime>
  <ScaleCrop>false</ScaleCrop>
  <LinksUpToDate>false</LinksUpToDate>
  <CharactersWithSpaces>4700</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2025-09-24T05:30:00Z</dcterms:created>
  <dc:creator>Cc</dc:creator>
  <cp:lastModifiedBy>haotingting</cp:lastModifiedBy>
  <dcterms:modified xsi:type="dcterms:W3CDTF">2025-09-24T05:38:25Z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3E0FD9D86D6D4665871164778397CAF4</vt:lpwstr>
  </property>
</Properties>
</file>