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8F7259">
      <w:pPr>
        <w:rPr>
          <w:sz w:val="32"/>
        </w:rPr>
      </w:pPr>
    </w:p>
    <w:p w:rsidR="00C92FC0" w:rsidRPr="00EB07BC" w:rsidRDefault="008F7259">
      <w:pPr>
        <w:rPr>
          <w:sz w:val="32"/>
        </w:rPr>
      </w:pPr>
    </w:p>
    <w:p w:rsidR="00C92FC0" w:rsidRPr="00EB07BC" w:rsidRDefault="008F7259">
      <w:pPr>
        <w:rPr>
          <w:sz w:val="32"/>
        </w:rPr>
      </w:pPr>
    </w:p>
    <w:p w:rsidR="00C92FC0" w:rsidRPr="00EB07BC" w:rsidRDefault="005930AE">
      <w:pPr>
        <w:jc w:val="center"/>
        <w:rPr>
          <w:sz w:val="32"/>
        </w:rPr>
      </w:pPr>
      <w:r>
        <w:rPr>
          <w:noProof/>
        </w:rPr>
        <w:drawing>
          <wp:inline distT="0" distB="0" distL="0" distR="0" wp14:anchorId="310493FC" wp14:editId="17ADE824">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8" cstate="print"/>
                    <a:srcRect/>
                    <a:stretch>
                      <a:fillRect/>
                    </a:stretch>
                  </pic:blipFill>
                  <pic:spPr bwMode="auto">
                    <a:xfrm>
                      <a:off x="0" y="0"/>
                      <a:ext cx="4343400" cy="571500"/>
                    </a:xfrm>
                    <a:prstGeom prst="rect">
                      <a:avLst/>
                    </a:prstGeom>
                    <a:noFill/>
                    <a:ln w="9525">
                      <a:noFill/>
                      <a:miter lim="800000"/>
                      <a:headEnd/>
                      <a:tailEnd/>
                    </a:ln>
                  </pic:spPr>
                </pic:pic>
              </a:graphicData>
            </a:graphic>
          </wp:inline>
        </w:drawing>
      </w:r>
    </w:p>
    <w:p w:rsidR="003D0B83" w:rsidRDefault="003D0B8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D0B83" w:rsidRDefault="003D0B8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D0B83" w:rsidRDefault="005930AE">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交银施罗德裕祥纯债债券型证券投资基金</w:t>
      </w:r>
    </w:p>
    <w:p w:rsidR="003D0B83" w:rsidRDefault="005930AE">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3D0B83" w:rsidRDefault="003D0B83">
      <w:pPr>
        <w:snapToGrid w:val="0"/>
        <w:spacing w:line="360" w:lineRule="auto"/>
        <w:jc w:val="center"/>
        <w:rPr>
          <w:rFonts w:ascii="宋体" w:hAnsi="宋体"/>
          <w:b/>
          <w:sz w:val="30"/>
          <w:szCs w:val="30"/>
        </w:rPr>
      </w:pPr>
    </w:p>
    <w:p w:rsidR="003D0B83" w:rsidRDefault="003D0B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D0B83" w:rsidRDefault="003D0B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D0B83" w:rsidRDefault="003D0B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D0B83" w:rsidRDefault="003D0B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D0B83" w:rsidRDefault="003D0B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D0B83" w:rsidRDefault="003D0B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D0B83" w:rsidRDefault="005930A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3D0B83" w:rsidRDefault="005930A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基金托管人：江苏银行股份有限公司</w:t>
      </w:r>
    </w:p>
    <w:p w:rsidR="003D0B83" w:rsidRDefault="003D0B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D0B83" w:rsidRDefault="003D0B8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D0B83" w:rsidRDefault="005930AE">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二〇二五年九月</w:t>
      </w:r>
    </w:p>
    <w:p w:rsidR="003D0B83" w:rsidRDefault="003D0B83">
      <w:pPr>
        <w:autoSpaceDE w:val="0"/>
        <w:autoSpaceDN w:val="0"/>
        <w:adjustRightInd w:val="0"/>
        <w:snapToGrid w:val="0"/>
        <w:spacing w:line="360" w:lineRule="auto"/>
        <w:ind w:left="1347" w:rightChars="6" w:right="13"/>
        <w:rPr>
          <w:rFonts w:ascii="宋体" w:hAnsi="宋体"/>
          <w:kern w:val="0"/>
          <w:sz w:val="32"/>
          <w:szCs w:val="32"/>
        </w:rPr>
        <w:sectPr w:rsidR="003D0B83">
          <w:headerReference w:type="even" r:id="rId9"/>
          <w:headerReference w:type="default" r:id="rId10"/>
          <w:footerReference w:type="even" r:id="rId11"/>
          <w:footerReference w:type="default" r:id="rId12"/>
          <w:headerReference w:type="first" r:id="rId13"/>
          <w:footerReference w:type="first" r:id="rId14"/>
          <w:pgSz w:w="11920" w:h="16840"/>
          <w:pgMar w:top="1560" w:right="1680" w:bottom="280" w:left="1680" w:header="0" w:footer="1073" w:gutter="0"/>
          <w:pgNumType w:start="1"/>
          <w:cols w:space="720"/>
          <w:titlePg/>
          <w:docGrid w:linePitch="286"/>
        </w:sectPr>
      </w:pPr>
    </w:p>
    <w:p w:rsidR="003D0B83" w:rsidRDefault="005930AE">
      <w:pPr>
        <w:pStyle w:val="1"/>
        <w:snapToGrid w:val="0"/>
        <w:spacing w:beforeLines="0" w:before="240" w:after="240"/>
        <w:rPr>
          <w:rFonts w:ascii="宋体" w:hAnsi="宋体"/>
          <w:kern w:val="0"/>
        </w:rPr>
      </w:pPr>
      <w:bookmarkStart w:id="0" w:name="_Toc324920538"/>
      <w:bookmarkStart w:id="1" w:name="_Toc496884613"/>
      <w:bookmarkStart w:id="2" w:name="_Toc210145100"/>
      <w:r>
        <w:rPr>
          <w:rFonts w:ascii="Times New Roman" w:hAnsi="Times New Roman"/>
          <w:kern w:val="0"/>
        </w:rPr>
        <w:lastRenderedPageBreak/>
        <w:t>重要提示</w:t>
      </w:r>
      <w:bookmarkEnd w:id="0"/>
      <w:bookmarkEnd w:id="1"/>
      <w:bookmarkEnd w:id="2"/>
    </w:p>
    <w:p w:rsidR="003D0B83" w:rsidRDefault="005930A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交银施罗德裕祥纯债债券型证券投资基金（以下简称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2018</w:t>
      </w:r>
      <w:r>
        <w:rPr>
          <w:rFonts w:ascii="Times New Roman" w:hAnsi="Times New Roman"/>
          <w:kern w:val="0"/>
          <w:sz w:val="24"/>
        </w:rPr>
        <w:t>】</w:t>
      </w:r>
      <w:r>
        <w:rPr>
          <w:rFonts w:ascii="Times New Roman" w:hAnsi="Times New Roman"/>
          <w:kern w:val="0"/>
          <w:sz w:val="24"/>
        </w:rPr>
        <w:t>1320</w:t>
      </w:r>
      <w:r>
        <w:rPr>
          <w:rFonts w:ascii="Times New Roman" w:hAnsi="Times New Roman"/>
          <w:kern w:val="0"/>
          <w:sz w:val="24"/>
        </w:rPr>
        <w:t>号文准予募集注册。本基金基金合同于</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26</w:t>
      </w:r>
      <w:r>
        <w:rPr>
          <w:rFonts w:ascii="Times New Roman" w:hAnsi="Times New Roman"/>
          <w:kern w:val="0"/>
          <w:sz w:val="24"/>
        </w:rPr>
        <w:t>日正式生效。</w:t>
      </w:r>
    </w:p>
    <w:p w:rsidR="003D0B83" w:rsidRDefault="005930A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3D0B83" w:rsidRDefault="005930A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3D0B83" w:rsidRDefault="005930A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万元情形时基金管理人将依基金合同约定提前终止基金合同的风险；投资中小企业私募债的特定风险；投资资产支持证券的特定风险；本基金的特有风险；其他风险等等。</w:t>
      </w:r>
    </w:p>
    <w:p w:rsidR="003D0B83" w:rsidRDefault="005930A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3D0B83" w:rsidRDefault="005930A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本基金是一只债券型基金，其预期风险与预期收益高于货币市场基金，低于混合型基金和股票型基金。</w:t>
      </w:r>
    </w:p>
    <w:p w:rsidR="003D0B83" w:rsidRDefault="005930A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3D0B83" w:rsidRDefault="005930A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3D0B83" w:rsidRDefault="005930A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日，有关财务和业绩表现数据截止日为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日，财务和业绩表现数据未经审计。</w:t>
      </w:r>
    </w:p>
    <w:p w:rsidR="003D0B83" w:rsidRDefault="003D0B83">
      <w:pPr>
        <w:autoSpaceDE w:val="0"/>
        <w:autoSpaceDN w:val="0"/>
        <w:adjustRightInd w:val="0"/>
        <w:snapToGrid w:val="0"/>
        <w:spacing w:before="51" w:line="360" w:lineRule="auto"/>
        <w:ind w:left="120" w:rightChars="6" w:right="13" w:firstLine="480"/>
        <w:rPr>
          <w:rFonts w:ascii="宋体" w:hAnsi="宋体"/>
          <w:kern w:val="0"/>
          <w:szCs w:val="24"/>
        </w:rPr>
        <w:sectPr w:rsidR="003D0B83">
          <w:headerReference w:type="default" r:id="rId15"/>
          <w:pgSz w:w="11920" w:h="16840"/>
          <w:pgMar w:top="1440" w:right="1680" w:bottom="280" w:left="1680" w:header="0" w:footer="1073" w:gutter="0"/>
          <w:pgNumType w:start="1"/>
          <w:cols w:space="720"/>
        </w:sectPr>
      </w:pPr>
    </w:p>
    <w:p w:rsidR="008F7259" w:rsidRPr="008F7259" w:rsidRDefault="005930AE" w:rsidP="008F7259">
      <w:pPr>
        <w:pStyle w:val="ad"/>
        <w:snapToGrid w:val="0"/>
        <w:spacing w:after="240" w:line="360" w:lineRule="auto"/>
        <w:jc w:val="center"/>
        <w:rPr>
          <w:rFonts w:ascii="宋体" w:hAnsi="宋体"/>
          <w:noProof/>
          <w:sz w:val="24"/>
        </w:rPr>
      </w:pPr>
      <w:r w:rsidRPr="008F7259">
        <w:rPr>
          <w:rFonts w:ascii="宋体" w:hAnsi="宋体"/>
          <w:color w:val="000000"/>
          <w:position w:val="-4"/>
          <w:sz w:val="24"/>
          <w:szCs w:val="30"/>
        </w:rPr>
        <w:lastRenderedPageBreak/>
        <w:t>目</w:t>
      </w:r>
      <w:r w:rsidRPr="008F7259">
        <w:rPr>
          <w:rFonts w:ascii="宋体" w:hAnsi="宋体"/>
          <w:color w:val="000000"/>
          <w:position w:val="-4"/>
          <w:sz w:val="24"/>
          <w:szCs w:val="30"/>
        </w:rPr>
        <w:tab/>
        <w:t>录</w:t>
      </w:r>
      <w:r w:rsidR="008F7259" w:rsidRPr="008F7259">
        <w:rPr>
          <w:rFonts w:ascii="宋体" w:hAnsi="宋体"/>
          <w:color w:val="000000"/>
          <w:position w:val="-4"/>
          <w:sz w:val="24"/>
          <w:szCs w:val="30"/>
        </w:rPr>
        <w:fldChar w:fldCharType="begin"/>
      </w:r>
      <w:r w:rsidR="008F7259" w:rsidRPr="008F7259">
        <w:rPr>
          <w:rFonts w:ascii="宋体" w:hAnsi="宋体"/>
          <w:color w:val="000000"/>
          <w:position w:val="-4"/>
          <w:sz w:val="24"/>
          <w:szCs w:val="30"/>
        </w:rPr>
        <w:instrText xml:space="preserve"> TOC \o "1-3" \f - \h \t "-1" </w:instrText>
      </w:r>
      <w:r w:rsidR="008F7259" w:rsidRPr="008F7259">
        <w:rPr>
          <w:rFonts w:ascii="宋体" w:hAnsi="宋体"/>
          <w:color w:val="000000"/>
          <w:position w:val="-4"/>
          <w:sz w:val="24"/>
          <w:szCs w:val="30"/>
        </w:rPr>
        <w:fldChar w:fldCharType="separate"/>
      </w:r>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00" w:history="1">
        <w:r w:rsidRPr="008F7259">
          <w:rPr>
            <w:rStyle w:val="aa"/>
            <w:rFonts w:ascii="宋体" w:hAnsi="宋体" w:hint="eastAsia"/>
            <w:noProof/>
            <w:kern w:val="0"/>
            <w:sz w:val="24"/>
          </w:rPr>
          <w:t>重要提示</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_Toc210145100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1</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01" w:history="1">
        <w:r w:rsidRPr="008F7259">
          <w:rPr>
            <w:rStyle w:val="aa"/>
            <w:rFonts w:ascii="宋体" w:hAnsi="宋体" w:hint="eastAsia"/>
            <w:noProof/>
            <w:sz w:val="24"/>
          </w:rPr>
          <w:t>一、绪言</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_Toc210145101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4</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02" w:history="1">
        <w:r w:rsidRPr="008F7259">
          <w:rPr>
            <w:rStyle w:val="aa"/>
            <w:rFonts w:ascii="宋体" w:hAnsi="宋体" w:hint="eastAsia"/>
            <w:noProof/>
            <w:sz w:val="24"/>
          </w:rPr>
          <w:t>二、释义</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_Toc210145102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5</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03" w:history="1">
        <w:r w:rsidRPr="008F7259">
          <w:rPr>
            <w:rStyle w:val="aa"/>
            <w:rFonts w:ascii="宋体" w:hAnsi="宋体" w:hint="eastAsia"/>
            <w:noProof/>
            <w:sz w:val="24"/>
          </w:rPr>
          <w:t>三、基金管理人</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_Toc210145103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10</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04" w:history="1">
        <w:r w:rsidRPr="008F7259">
          <w:rPr>
            <w:rStyle w:val="aa"/>
            <w:rFonts w:ascii="宋体" w:hAnsi="宋体" w:hint="eastAsia"/>
            <w:noProof/>
            <w:sz w:val="24"/>
          </w:rPr>
          <w:t>四、基金托管人</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_Toc210145104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18</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05" w:history="1">
        <w:r w:rsidRPr="008F7259">
          <w:rPr>
            <w:rStyle w:val="aa"/>
            <w:rFonts w:ascii="宋体" w:hAnsi="宋体" w:hint="eastAsia"/>
            <w:noProof/>
            <w:sz w:val="24"/>
          </w:rPr>
          <w:t>五、相关服务机构</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_Toc210145105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21</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06" w:history="1">
        <w:r w:rsidRPr="008F7259">
          <w:rPr>
            <w:rStyle w:val="aa"/>
            <w:rFonts w:ascii="宋体" w:hAnsi="宋体" w:hint="eastAsia"/>
            <w:noProof/>
            <w:sz w:val="24"/>
          </w:rPr>
          <w:t>六、基金的募集</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_Toc210145106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32</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07" w:history="1">
        <w:r w:rsidRPr="008F7259">
          <w:rPr>
            <w:rStyle w:val="aa"/>
            <w:rFonts w:ascii="宋体" w:hAnsi="宋体" w:hint="eastAsia"/>
            <w:noProof/>
            <w:sz w:val="24"/>
          </w:rPr>
          <w:t>七、基金合同的生效</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_Toc210145107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33</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08" w:history="1">
        <w:r w:rsidRPr="008F7259">
          <w:rPr>
            <w:rStyle w:val="aa"/>
            <w:rFonts w:ascii="宋体" w:hAnsi="宋体" w:hint="eastAsia"/>
            <w:noProof/>
            <w:sz w:val="24"/>
          </w:rPr>
          <w:t>八、基金份额的申购与赎回</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_Toc210145108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34</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09" w:history="1">
        <w:r w:rsidRPr="008F7259">
          <w:rPr>
            <w:rStyle w:val="aa"/>
            <w:rFonts w:ascii="宋体" w:hAnsi="宋体" w:hint="eastAsia"/>
            <w:noProof/>
            <w:sz w:val="24"/>
          </w:rPr>
          <w:t>九、基金的转换</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_Toc210145109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47</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10" w:history="1">
        <w:r w:rsidRPr="008F7259">
          <w:rPr>
            <w:rStyle w:val="aa"/>
            <w:rFonts w:ascii="宋体" w:hAnsi="宋体" w:hint="eastAsia"/>
            <w:noProof/>
            <w:sz w:val="24"/>
          </w:rPr>
          <w:t>十、基金的投资</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_Toc210145110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54</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11" w:history="1">
        <w:r w:rsidRPr="008F7259">
          <w:rPr>
            <w:rStyle w:val="aa"/>
            <w:rFonts w:ascii="宋体" w:hAnsi="宋体" w:hint="eastAsia"/>
            <w:noProof/>
            <w:sz w:val="24"/>
          </w:rPr>
          <w:t>十一、基金的业绩</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_Toc210145111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64</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12" w:history="1">
        <w:r w:rsidRPr="008F7259">
          <w:rPr>
            <w:rStyle w:val="aa"/>
            <w:rFonts w:ascii="宋体" w:hAnsi="宋体" w:hint="eastAsia"/>
            <w:noProof/>
            <w:sz w:val="24"/>
          </w:rPr>
          <w:t>十二、基金的财产</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_Toc210145112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67</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13" w:history="1">
        <w:r w:rsidRPr="008F7259">
          <w:rPr>
            <w:rStyle w:val="aa"/>
            <w:rFonts w:ascii="宋体" w:hAnsi="宋体" w:hint="eastAsia"/>
            <w:noProof/>
            <w:sz w:val="24"/>
          </w:rPr>
          <w:t>十三、基金资产的估值</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_Toc210145113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68</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14" w:history="1">
        <w:r w:rsidRPr="008F7259">
          <w:rPr>
            <w:rStyle w:val="aa"/>
            <w:rFonts w:ascii="宋体" w:hAnsi="宋体" w:hint="eastAsia"/>
            <w:noProof/>
            <w:sz w:val="24"/>
          </w:rPr>
          <w:t>十四、基金收益与分配</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_Toc210145114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73</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15" w:history="1">
        <w:r w:rsidRPr="008F7259">
          <w:rPr>
            <w:rStyle w:val="aa"/>
            <w:rFonts w:ascii="宋体" w:hAnsi="宋体" w:hint="eastAsia"/>
            <w:noProof/>
            <w:sz w:val="24"/>
          </w:rPr>
          <w:t>十五、基金的费用与税收</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_Toc210145115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75</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16" w:history="1">
        <w:r w:rsidRPr="008F7259">
          <w:rPr>
            <w:rStyle w:val="aa"/>
            <w:rFonts w:ascii="宋体" w:hAnsi="宋体" w:hint="eastAsia"/>
            <w:noProof/>
            <w:sz w:val="24"/>
          </w:rPr>
          <w:t>十六、基金的会计与审计</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_Toc210145116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78</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17" w:history="1">
        <w:r w:rsidRPr="008F7259">
          <w:rPr>
            <w:rStyle w:val="aa"/>
            <w:rFonts w:ascii="宋体" w:hAnsi="宋体" w:hint="eastAsia"/>
            <w:noProof/>
            <w:sz w:val="24"/>
          </w:rPr>
          <w:t>十七、基金的信息披露</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_Toc210145117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79</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18" w:history="1">
        <w:r w:rsidRPr="008F7259">
          <w:rPr>
            <w:rStyle w:val="aa"/>
            <w:rFonts w:ascii="宋体" w:hAnsi="宋体" w:hint="eastAsia"/>
            <w:noProof/>
            <w:sz w:val="24"/>
          </w:rPr>
          <w:t>十八、侧袋机制</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_Toc210145118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86</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19" w:history="1">
        <w:r w:rsidRPr="008F7259">
          <w:rPr>
            <w:rStyle w:val="aa"/>
            <w:rFonts w:ascii="宋体" w:hAnsi="宋体" w:hint="eastAsia"/>
            <w:noProof/>
            <w:sz w:val="24"/>
          </w:rPr>
          <w:t>十九、风险揭示</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_Toc210145119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89</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20" w:history="1">
        <w:r w:rsidRPr="008F7259">
          <w:rPr>
            <w:rStyle w:val="aa"/>
            <w:rFonts w:ascii="宋体" w:hAnsi="宋体" w:hint="eastAsia"/>
            <w:noProof/>
            <w:sz w:val="24"/>
          </w:rPr>
          <w:t>二十、基金合同的变更、终止与基金财产的清算</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_Toc210145120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96</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21" w:history="1">
        <w:r w:rsidRPr="008F7259">
          <w:rPr>
            <w:rStyle w:val="aa"/>
            <w:rFonts w:ascii="宋体" w:hAnsi="宋体" w:hint="eastAsia"/>
            <w:noProof/>
            <w:sz w:val="24"/>
          </w:rPr>
          <w:t>二十一、基金合同内容摘要</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_Toc210145121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98</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22" w:history="1">
        <w:r w:rsidRPr="008F7259">
          <w:rPr>
            <w:rStyle w:val="aa"/>
            <w:rFonts w:ascii="宋体" w:hAnsi="宋体" w:hint="eastAsia"/>
            <w:noProof/>
            <w:sz w:val="24"/>
          </w:rPr>
          <w:t>二十二、托管协议的内容摘要</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_Toc210145122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115</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23" w:history="1">
        <w:r w:rsidRPr="008F7259">
          <w:rPr>
            <w:rStyle w:val="aa"/>
            <w:rFonts w:ascii="宋体" w:hAnsi="宋体" w:hint="eastAsia"/>
            <w:noProof/>
            <w:sz w:val="24"/>
          </w:rPr>
          <w:t>二十三、对基金份额持有人的服务</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_Toc210145123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126</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24" w:history="1">
        <w:r w:rsidRPr="008F7259">
          <w:rPr>
            <w:rStyle w:val="aa"/>
            <w:rFonts w:ascii="宋体" w:hAnsi="宋体" w:hint="eastAsia"/>
            <w:noProof/>
            <w:sz w:val="24"/>
          </w:rPr>
          <w:t>二十四、其他应披露事项</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_Toc210145124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128</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25" w:history="1">
        <w:r w:rsidRPr="008F7259">
          <w:rPr>
            <w:rStyle w:val="aa"/>
            <w:rFonts w:ascii="宋体" w:hAnsi="宋体" w:hint="eastAsia"/>
            <w:noProof/>
            <w:sz w:val="24"/>
          </w:rPr>
          <w:t>二十五、招募说明书的存放及查阅方式</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_Toc210145125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130</w:t>
        </w:r>
        <w:r w:rsidRPr="008F7259">
          <w:rPr>
            <w:rFonts w:ascii="宋体" w:hAnsi="宋体"/>
            <w:noProof/>
            <w:sz w:val="24"/>
          </w:rPr>
          <w:fldChar w:fldCharType="end"/>
        </w:r>
      </w:hyperlink>
    </w:p>
    <w:p w:rsidR="008F7259" w:rsidRPr="008F7259" w:rsidRDefault="008F7259" w:rsidP="008F7259">
      <w:pPr>
        <w:pStyle w:val="10"/>
        <w:tabs>
          <w:tab w:val="right" w:leader="dot" w:pos="8550"/>
        </w:tabs>
        <w:spacing w:line="360" w:lineRule="auto"/>
        <w:rPr>
          <w:rFonts w:ascii="宋体" w:hAnsi="宋体" w:cstheme="minorBidi"/>
          <w:noProof/>
          <w:sz w:val="24"/>
        </w:rPr>
      </w:pPr>
      <w:hyperlink w:anchor="_Toc210145126" w:history="1">
        <w:r w:rsidRPr="008F7259">
          <w:rPr>
            <w:rStyle w:val="aa"/>
            <w:rFonts w:ascii="宋体" w:hAnsi="宋体" w:hint="eastAsia"/>
            <w:noProof/>
            <w:sz w:val="24"/>
          </w:rPr>
          <w:t>二十六、备查文件</w:t>
        </w:r>
        <w:r w:rsidRPr="008F7259">
          <w:rPr>
            <w:rFonts w:ascii="宋体" w:hAnsi="宋体"/>
            <w:noProof/>
            <w:sz w:val="24"/>
          </w:rPr>
          <w:tab/>
        </w:r>
        <w:r w:rsidRPr="008F7259">
          <w:rPr>
            <w:rFonts w:ascii="宋体" w:hAnsi="宋体"/>
            <w:noProof/>
            <w:sz w:val="24"/>
          </w:rPr>
          <w:fldChar w:fldCharType="begin"/>
        </w:r>
        <w:r w:rsidRPr="008F7259">
          <w:rPr>
            <w:rFonts w:ascii="宋体" w:hAnsi="宋体"/>
            <w:noProof/>
            <w:sz w:val="24"/>
          </w:rPr>
          <w:instrText xml:space="preserve"> PAGEREF _Toc210145126 \h </w:instrText>
        </w:r>
        <w:r w:rsidRPr="008F7259">
          <w:rPr>
            <w:rFonts w:ascii="宋体" w:hAnsi="宋体"/>
            <w:noProof/>
            <w:sz w:val="24"/>
          </w:rPr>
        </w:r>
        <w:r w:rsidRPr="008F7259">
          <w:rPr>
            <w:rFonts w:ascii="宋体" w:hAnsi="宋体"/>
            <w:noProof/>
            <w:sz w:val="24"/>
          </w:rPr>
          <w:fldChar w:fldCharType="separate"/>
        </w:r>
        <w:r w:rsidRPr="008F7259">
          <w:rPr>
            <w:rFonts w:ascii="宋体" w:hAnsi="宋体"/>
            <w:noProof/>
            <w:sz w:val="24"/>
          </w:rPr>
          <w:t>131</w:t>
        </w:r>
        <w:r w:rsidRPr="008F7259">
          <w:rPr>
            <w:rFonts w:ascii="宋体" w:hAnsi="宋体"/>
            <w:noProof/>
            <w:sz w:val="24"/>
          </w:rPr>
          <w:fldChar w:fldCharType="end"/>
        </w:r>
      </w:hyperlink>
    </w:p>
    <w:p w:rsidR="003D0B83" w:rsidRPr="008F7259" w:rsidRDefault="008F7259" w:rsidP="008F7259">
      <w:pPr>
        <w:pStyle w:val="ad"/>
        <w:snapToGrid w:val="0"/>
        <w:spacing w:after="240" w:line="360" w:lineRule="auto"/>
        <w:jc w:val="center"/>
        <w:rPr>
          <w:rFonts w:ascii="宋体" w:hAnsi="宋体"/>
          <w:color w:val="000000"/>
          <w:sz w:val="24"/>
        </w:rPr>
      </w:pPr>
      <w:r w:rsidRPr="008F7259">
        <w:rPr>
          <w:rFonts w:ascii="宋体" w:hAnsi="宋体"/>
          <w:color w:val="000000"/>
          <w:position w:val="-4"/>
          <w:sz w:val="24"/>
          <w:szCs w:val="30"/>
        </w:rPr>
        <w:fldChar w:fldCharType="end"/>
      </w:r>
      <w:bookmarkStart w:id="3" w:name="_GoBack"/>
      <w:bookmarkEnd w:id="3"/>
    </w:p>
    <w:p w:rsidR="003D0B83" w:rsidRDefault="003D0B83">
      <w:pPr>
        <w:autoSpaceDE w:val="0"/>
        <w:autoSpaceDN w:val="0"/>
        <w:adjustRightInd w:val="0"/>
        <w:snapToGrid w:val="0"/>
        <w:spacing w:line="360" w:lineRule="auto"/>
        <w:ind w:left="120" w:rightChars="6" w:right="13"/>
        <w:rPr>
          <w:rFonts w:ascii="宋体" w:hAnsi="宋体"/>
          <w:kern w:val="0"/>
          <w:szCs w:val="24"/>
        </w:rPr>
        <w:sectPr w:rsidR="003D0B83">
          <w:pgSz w:w="11920" w:h="16840"/>
          <w:pgMar w:top="1480" w:right="1680" w:bottom="280" w:left="1680" w:header="0" w:footer="1073" w:gutter="0"/>
          <w:cols w:space="720"/>
        </w:sectPr>
      </w:pPr>
    </w:p>
    <w:p w:rsidR="003D0B83" w:rsidRDefault="005930AE">
      <w:pPr>
        <w:pStyle w:val="1"/>
        <w:snapToGrid w:val="0"/>
        <w:spacing w:beforeLines="0" w:before="240" w:after="240"/>
        <w:rPr>
          <w:rFonts w:ascii="宋体" w:hAnsi="宋体"/>
          <w:szCs w:val="30"/>
        </w:rPr>
      </w:pPr>
      <w:bookmarkStart w:id="4" w:name="_Toc210145101"/>
      <w:r>
        <w:rPr>
          <w:rFonts w:ascii="Times New Roman" w:hAnsi="Times New Roman"/>
          <w:sz w:val="30"/>
        </w:rPr>
        <w:lastRenderedPageBreak/>
        <w:t>一、绪言</w:t>
      </w:r>
      <w:bookmarkEnd w:id="4"/>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裕祥纯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裕祥纯债债券型证券投资基金基金合同》（以下简称“基金合同”）编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5" w:name="_Toc210145102"/>
      <w:r>
        <w:rPr>
          <w:rFonts w:ascii="Times New Roman" w:hAnsi="Times New Roman"/>
          <w:sz w:val="30"/>
        </w:rPr>
        <w:lastRenderedPageBreak/>
        <w:t>二、释义</w:t>
      </w:r>
      <w:bookmarkEnd w:id="5"/>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1、基金或本基金：指交银施罗德裕祥纯债债券型证券投资基金</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3、基金托管人或本基金托管人：指江苏银行股份有限公司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4、基金合同或《基金合同》：指《交银施罗德裕祥纯债债券型证券投资基金基金合同》及对基金合同的任何有效修订和补充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5、托管协议：指基金管理人与基金托管人就本基金签订之《交银施罗德裕祥纯债债券型证券投资基金托管协议》及对该托管协议的任何有效修订和补充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6、招募说明书、本招募说明书或《招募说明书》：指《交银施罗德裕祥纯债债券型证券投资基金招募说明书》及其更新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7、基金份额发售公告：指《交银施罗德裕祥纯债债券型证券投资基金基金份额发售公告》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8、基金产品资料概要：指《交银施罗德裕祥纯债债券型证券投资基金基金产品资料概要》及其更新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 2017年8月31日颁布、同年10月1日实施的《公开募集开放式证券投资基金流动性风险管理规定》及颁布机关对其不时做出的修订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15、流动性受限资产：指由于法律法规、监管、合同或操作障碍等原因无法以</w:t>
      </w:r>
      <w:r>
        <w:rPr>
          <w:rFonts w:ascii="宋体" w:hAnsi="宋体"/>
          <w:sz w:val="24"/>
        </w:rPr>
        <w:lastRenderedPageBreak/>
        <w:t>合理价格予以变现的资产，包括但不限于到期日在10个交易日以上的逆回购与银行定期存款（含协议约定有条件提前支取的银行存款）、资产支持证券、因发行人债务违约无法进行转让或交易的债券等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摆动定价机制：指当开放式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具体处理原则与操作规范遵循相关法律法规以及监管部门、自律规则的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17、中国证监会：指中国证券监督管理委员会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18、银行业监督管理机构：指中国人民银行和/或中国银行业监督管理委员会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19、基金合同当事人：指受基金合同约束，根据基金合同享有权利并承担义务的法律主体，包括基金管理人、基金托管人和基金份额持有人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20、个人投资者：指依据有关法律法规规定可投资于证券投资基金的自然人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21、机构投资者：指依法可以投资证券投资基金的、在中华人民共和国境内合法登记并存续或经有关政府部门批准设立并存续的企业法人、事业法人、社会团体或其他组织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22、合格境外机构投资者：指符合《合格境外机构投资者境内证券投资管理办法》及相关法律法规规定可以投资于在中国境内依法募集的证券投资基金的中国境外的机构投资者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23、人民币合格境外机构投资者：指按照《人民币合格境外机构投资者境内证券投资试点办法》及相关法律法规规定，运用来自境外的人民币资金进行中国境内证券投资的境外机构投资者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24、投资人或投资者：指个人投资者、机构投资者、合格境外机构投资者和人民币合格境外机构投资者以及法律法规或中国证监会允许购买证券投资基金的其他投资人的合称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25、基金份额持有人：指依基金合同和招募说明书合法取得基金份额的投资人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26、基金销售业务：指基金管理人或销售机构宣传推介基金，发售基金份额，办理基金份额的申购、赎回、转换、转托管及定期定额投资等业务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27、销售机构：指交银施罗德基金管理有限公司以及符合《销售办法》和中国证监会规定的其他条件，取得基金销售业务资格并与基金管理人签订了基金销售服</w:t>
      </w:r>
      <w:r>
        <w:rPr>
          <w:rFonts w:ascii="宋体" w:hAnsi="宋体"/>
          <w:sz w:val="24"/>
        </w:rPr>
        <w:lastRenderedPageBreak/>
        <w:t>务协议，办理基金销售业务的机构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29、登记机构：指办理登记业务的机构。基金的登记机构为交银施罗德基金管理有限公司或接受交银施罗德基金管理有限公司委托办理登记业务的机构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30、基金账户：指登记机构为投资人开立的、记录其持有的、基金管理人所管理的基金份额余额及其变动情况的账户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31、基金交易账户：指销售机构为投资人开立的、记录投资人通过该销售机构办理认购、申购、赎回、转换、定期定额投资及转托管等业务而引起的基金份额变动及结余情况的账户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32、基金合同生效日：指基金募集达到法律法规规定及基金合同规定的条件，基金管理人向中国证监会办理基金备案手续完毕，并获得中国证监会书面确认的日期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33、基金合同终止日：指基金合同规定的基金合同终止事由出现后，基金财产清算完毕，清算结果报中国证监会备案并予以公告的日期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34、基金募集期：指自基金份额发售之日起至发售结束之日止的期间，最长不得超过3个月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35、存续期：指基金合同生效至终止之间的不定期期限</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36、工作日：指上海证券交易所、深圳证券交易所的正常交易日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37、T日：指销售机构在规定时间受理投资人申购、赎回或其他业务申请的开放日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38、T+n日：指自T日起第n个工作日(不包含T日)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39、开放日：指为投资人办理基金份额申购、赎回或其他业务的工作日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40、开放时间：指开放日基金接受申购、赎回或其他交易的时间段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42、认购：指在基金募集期内，投资人根据基金合同和招募说明书的规定申请</w:t>
      </w:r>
      <w:r>
        <w:rPr>
          <w:rFonts w:ascii="宋体" w:hAnsi="宋体"/>
          <w:sz w:val="24"/>
        </w:rPr>
        <w:lastRenderedPageBreak/>
        <w:t>购买基金份额的行为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43、申购：指基金合同生效后，投资人根据基金合同和招募说明书的规定申请购买基金份额的行为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45、销售服务费：指从基金资产中计提的，用于本基金市场推广、销售以及基金份额持有人服务的费用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基金份额类别：指本基金根据认购/申购费用、销售服务费收取方式的不同，将基金份额分为不同的类别。在投资人认购/申购时收取认购/申购费用、赎回时收取赎回费用的，称为A类基金份额，在投资人认购/申购时不收取认购/申购费用、赎回时收取赎回费用，并从本类别基金资产中计提销售服务费的，称为C类基金份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47、基金转换：指基金份额持有人按照基金合同和基金管理人届时有效公告规定的条件，申请将其持有基金管理人管理的、某一基金的基金份额转换为基金管理人管理的其他基金基金份额的行为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48、转托管：指基金份额持有人在本基金的不同销售机构之间实施的变更所持基金份额销售机构的操作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51、元：指人民币元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52、基金收益：指基金投资所得债券利息、买卖证券价差、银行存款利息、已实现的其他合法收入及因运用基金财产带来的成本和费用的节约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53、基金资产总值：指基金拥有的各类有价证券、银行存款本息、基金应收申购款及其他资产的价值总和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54、基金资产净值：指基金资产总值减去基金负债后的价值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55、基金份额净值：指计算日基金资产净值除以计算日基金份额总数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56、基金资产估值：指计算评估基金资产和负债的价值，以确定基金资产净值和基金份额净值的过程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57、指定媒介：指中国证监会指定的用以进行信息披露的全国性报刊及指定互联网网站（包括基金管理人网站、基金托管人网站、中国证监会基金电子披露网站）等媒介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60、不可抗力：指基金合同当事人不能预见、不能避免且不能克服的客观事件</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6" w:name="_Toc210145103"/>
      <w:r>
        <w:rPr>
          <w:rFonts w:ascii="Times New Roman" w:hAnsi="Times New Roman"/>
          <w:sz w:val="30"/>
        </w:rPr>
        <w:lastRenderedPageBreak/>
        <w:t>三、基金管理人</w:t>
      </w:r>
      <w:bookmarkEnd w:id="6"/>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晓晖女士，董事，学士，现任交通银行总行董事会办公室资深专家，历任交通银行总行授信管理部副处长、处长，苏州分行副行长、高级信贷执行官，总行授信管理部副总经理，监事会办公室副主任、资深专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杜伟麒（Chris Durack）先生，董事，硕士。现任施罗德投资亚太区行政总裁。历任施罗德投资澳大利亚董事兼产品及分销主管、香港行政总裁兼亚太区机构业务主管、澳大利亚行政总裁兼亚太区联席主管等职。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管理有限公司风险管理部总经理，法国安盛投资管理（香港）有限公司亚洲风险经理等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郝爱群女士，独立董事，学士。历任人民银行稽核司副处长、处长，合作司调研员，非银司副巡视员、副司长，银监会非银部副主任，银行监管一部副主任、巡视员，汇金公司派出董事。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子学先生，独立董事，博士。现任中国政法大学民商经济法学院教授，兼任基金业协会自律监察委员会委员。历任证监会办公厅副处长、上市公司监管部处长、行政处罚委员会专职委员、副主任审理员，兼任证监会上市公司并购重组审核委员会委员、行政复议委员会委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黎建强先生，独立董事，博士，教育部长江学者讲座教授。现任香港大学工业工程系荣誉教授，亚洲风险及危机管理协会主席，兼任深交所上市的中联重科集团独立非执行董事。历任香港城市大学管理科学讲座教授，湖南省政协委员并兼任湖南大学工商管理学院院长。</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w:t>
      </w:r>
      <w:r>
        <w:rPr>
          <w:rFonts w:ascii="宋体" w:hAnsi="宋体"/>
          <w:sz w:val="24"/>
        </w:rPr>
        <w:lastRenderedPageBreak/>
        <w:t>证券有限责任公司综合发展部高级经理、投资银行部项目经理，银河基金管理有限公司监察部总监，交银施罗德基金管理有限公司监察稽核部总经理、监察风控副总监、投资运营总监。</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顺晨女士:基金经理。上海财经大学金融学博士，9年证券投资行业从业经验。2016年至2017年任国金证券研究所研究员。2017年加入交银施罗德基金管理有限公司，历任固定收益部研究员，基金经理助理。曾任交银施罗德鑫选回报混合型证券投资基金(2023年06月09日至2024年05月22日)、交银施罗德增利债券证券投资基金(2023年06月09日至2024年11月23日)的基金经理。现任交银施罗德裕如纯债债券型证券投资基金(2023年06月09日至今)、交银施罗德裕景纯债一年定期开放债券型证券投资基金(2023年06月09日至今)、交银施罗德裕坤纯债一年定期开放债券型发起式证券投资基金(2023年06月09日至今)、交银施罗德中债1-3年农发行债券指数证券投资基金(2023年06月09日至今)、交银施罗德裕泰两年定期开放债券型证券投资基金(2023年06月09日至今)、交银施罗德中债1-3年政策性金融债指数证券投资基金(2023年08月23日至今)、交银施罗德裕祥纯债债券型证券投资基金(2024年02月08日至今)、交银施罗德中债0-3年政策性金融债指数证券投资基金(2024年12月19日至今)、交银施罗德丰润收益债券型证券投资基金(2025年01月09日至今)、交银施罗德裕盈纯债债券型证券投资基金(2025年01月17日至今)的基金经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苏建文女士: 基金经理。上海交通大学金融学硕士、北京大学国际政治经济学学士。6年证券投资行业从业经验。2019年加入交银施罗德基金管理有限公司，曾任固定收益部研究员、基金经理助理、混合资产投资部基金经理助理，现任混合资产投资部基金经理。现任交银施罗德中债1-3年政策性金融债指数证券投资基金(2025年01月23日至今)、交银施罗德裕泰两年定期开放债券型证券投资基金(2025</w:t>
      </w:r>
      <w:r>
        <w:rPr>
          <w:rFonts w:ascii="宋体" w:hAnsi="宋体"/>
          <w:sz w:val="24"/>
        </w:rPr>
        <w:lastRenderedPageBreak/>
        <w:t>年01月23日至今)、交银施罗德中债1-3年农发行债券指数证券投资基金(2025年01月23日至今)、交银施罗德丰润收益债券型证券投资基金(2025年01月23日至今)、交银施罗德裕盈纯债债券型证券投资基金(2025年01月23日至今)、交银施罗德中债0-3年政策性金融债指数证券投资基金(2025年01月23日至今)、交银施罗德裕道纯债一年定期开放债券型发起式证券投资基金(2025年03月15日至今)、交银施罗德裕祥纯债债券型证券投资基金(2025年07月03日至今)的基金经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凌超先生(2019年07月20日至2020年07月22日)；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季参平先生(2020年07月09日至2024年02月20日)。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于海颖（混合资产投资总监兼多元资产管理总监、基金经理）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w:t>
      </w:r>
      <w:r>
        <w:rPr>
          <w:rFonts w:ascii="宋体" w:hAnsi="宋体"/>
          <w:sz w:val="24"/>
        </w:rPr>
        <w:lastRenderedPageBreak/>
        <w:t>法律行为；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（6）泄露因职务便利获取的未公开信息、利用该信息从事或者明示、暗示他人从事相关的交易活动；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（7）玩忽职守，不按照规定履行职责；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（8）法律、行政法规和中国证监会禁止的其他行为。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（六）基金管理人的内部控制制度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w:t>
      </w:r>
      <w:r>
        <w:rPr>
          <w:rFonts w:ascii="宋体" w:hAnsi="宋体"/>
          <w:sz w:val="24"/>
        </w:rPr>
        <w:lastRenderedPageBreak/>
        <w:t>和经营运作相关的主要风险；评估公司各方面运行状况是否合规有序，审查有无存在与公司业务有关的重大风险；审议或听取由公司制度规定的需要向风险控制委员会报告的其他情形等。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w:t>
      </w:r>
      <w:r>
        <w:rPr>
          <w:rFonts w:ascii="宋体" w:hAnsi="宋体"/>
          <w:sz w:val="24"/>
        </w:rPr>
        <w:lastRenderedPageBreak/>
        <w:t>形成不同部门、不同岗位之间的制衡机制，从制度上减少和防范风险。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7" w:name="_Toc210145104"/>
      <w:r>
        <w:rPr>
          <w:rFonts w:ascii="Times New Roman" w:hAnsi="Times New Roman"/>
          <w:sz w:val="30"/>
        </w:rPr>
        <w:lastRenderedPageBreak/>
        <w:t>四、基金托管人</w:t>
      </w:r>
      <w:bookmarkEnd w:id="7"/>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（一）基金托管人情况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名称：江苏银行股份有限公司（简称“江苏银行”）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住所：江苏省南京市中华路26号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办公地址：江苏省南京市中华路26号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法定代表人：葛仁余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成立时间：2007 年1 月22 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注册资本：1835132.4463万元整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基金托管业务批准文号：证监许可〔2014〕619 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电话：025-58587833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江苏银行托管业务条线现有员工近100名，来自于基金、券商、托管行等不同的行业，具有会计、金融、法律、IT等不同的专业知识背景，团队成员具有较高的专业知识水平、良好的服务意识、科学严谨的态度；部门管理层有20 年以上金融从业经验，精通国内外证券市场的运作。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2014 年，江苏银行先后获得基金托管业务资格及保险资金托管业务资格。江苏银行依靠严密科学的风险管理和内部控制体系以及先进的营运系统和专业的服务团队，严格履行资产托管人职责，为境内外广大投资者、金融资产管理机构和企业客户提供安全、高效、专业的托管服务。目前江苏银行的托管业务产品线已涵盖公募基金、信托计划、基金专户、基金子公司专项资管计划、券商资管计划、产业基金、私募投资基金、QDII、QFII 专户资产等。江苏银行将在现有的基础上开拓创新继续完善各类托管产品线。江苏银行同时可以为各类客户提供现金管理、绩效评估、风险管理等个性化的托管增值服务。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（二）基金托管人的内部控制制度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1、内部风险控制目标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（1）确保有关法律法规在托管业务中得到全面严格的贯彻执行；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（2）确保我行有关托管的各项管理制度和业务操作规程在托管业务中得到全面严格的贯彻执行；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（3）确保资产安全，保证托管业务稳健运行。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2、内部风险控制组织结构 由江苏银行内审部和资产托管部内设的监察稽核人员构成。资产托管部内部设置专职稽核监察人员，在总经理的直接领导下，依照有关法律规章，对业务的运行独立行使稽核监察职权。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3、内部风险控制原则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（1）全面性原则。“实行全员、全程风险控制方法”，内部控制必须渗透到托管业务的各个操作环节，覆盖所有的岗位，不能留有任何死角。</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（2）预防性原则。必须树立“预防为主”的管理理念，以业务岗位为主体，从风险发生的源头加强内部控制，防患于未然，尽量避免业务操作中各种问题的产生。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（3）及时性原则。各团队要及时建立健全各项规章制度，釆取有效措施加强内部控制。发现问题，要及时处理，堵塞漏洞。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（4）独立性原则。托管业务内部控制机构必须独立于托管业务执行机构，业务操作人员和检查人员必须分开，以保证内控机构的工作不受干扰。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（三）基金托管人对基金管理人运作基金进行监督的方法和程序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投资监督系统，严格按照现行法律法规以及基金合同规定，对基金管理人运作基金的投资比例、投资范围、投资组合等情况进行监督，并定期编写基金投资运作监督报告，报送中国证监会。在日常为基金投资运作所提供的基金清算和核算服务环节中，对基金管理人发送的投资指令、基金管理人对各基金费用的提取与开支情况进行检查监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基金监督子系统，对各基金投资运作比例控制指标进行例行监控，发现投资比例超标等异常情况，向基金管理人发出书面通知，与基金管理人进行情况核实，督促其纠正，并及时报告中国证监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（2）收到基金管理人的划款指令后，对涉及各基金的投资范围、投资对象及交易对手等内容进行合法合规性监督。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（3）根据基金投资运作监督情况，定期编写基金投资运作监督报告，对各基金投资运作的合法合规性、投资独立性和风格显著性等方面进行评价，报送中国证监会。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（4）通过技术或非技术手段发现基金涉嫌违规交易，电话或书面要求基金管理人进行解释或举证，并及时报告中国证监会。</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8" w:name="_Toc210145105"/>
      <w:r>
        <w:rPr>
          <w:rFonts w:ascii="Times New Roman" w:hAnsi="Times New Roman"/>
          <w:sz w:val="30"/>
        </w:rPr>
        <w:lastRenderedPageBreak/>
        <w:t>五、相关服务机构</w:t>
      </w:r>
      <w:bookmarkEnd w:id="8"/>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（2）名称：平安银行股份有限公司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注册地址：深圳市罗湖区深南东路5047号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（4）名称：兴业银行股份有限公司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（5）名称：中信建投证券股份有限公司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传真：（010）65182261</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（6）名称：华西证券股份有限公司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（7）名称：上海基煜基金销售有限公司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（8）名称：北京汇成基金销售有限公司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客户服务电话：010-63158805</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（9）名称：上海联泰基金销售有限公司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（10）名称：京东肯特瑞基金销售有限公司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（11）名称：上海大智慧基金销售有限公司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（12）名称：珠海盈米基金销售有限公司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（13）名称：北京度小满基金销售有限公司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（14）名称：南京苏宁基金销售有限公司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（15）名称：上海挖财基金销售有限公司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法定代表人：吕柳霞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（16）名称：北京雪球基金销售有限公司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（17）名称：浙江同花顺基金销售有限公司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（18）名称：蚂蚁（杭州）基金销售有限公司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传真：（0571）26698533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（19）名称：上海好买基金销售有限公司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（20）名称：上海天天基金销售有限公司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（21）名称：奕丰基金销售有限公司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网址：www.ifastps.com.cn</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（22）名称：北京创金启富基金销售有限公司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（23）名称：上海利得基金销售有限公司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（24）名称：上海证达通基金销售有限公司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（25）名称：上海万得基金销售有限公司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办公地址：上海市浦东新区浦明路1500号万得大厦11楼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（26）名称：玄元保险代理有限公司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（27）名称：济安财富（北京）基金销售有限公司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（28）名称：腾安基金销售（深圳）有限公司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联系人：谭广峰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（29）名称：大连网金基金销售有限公司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（30）名称：博时财富基金销售有限公司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联系人：赵亦清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9" w:name="_Toc210145106"/>
      <w:r>
        <w:rPr>
          <w:rFonts w:ascii="Times New Roman" w:hAnsi="Times New Roman"/>
          <w:sz w:val="30"/>
        </w:rPr>
        <w:lastRenderedPageBreak/>
        <w:t>六、基金的募集</w:t>
      </w:r>
      <w:bookmarkEnd w:id="9"/>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本基金由基金管理人依照《基金法》、《运作办法》、《销售办法》、基金合同及其他有关规定，并经中国证监会2018年8月14日证监许可[2018]1320号文准予募集注册。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本基金为契约型开放式债券型证券投资基金。基金的存续期间为不定期。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本基金自2018年9月17日至2018年 9月19日进行发售，本基金设立募集期共募集200,058,844.43份基金份额，有效认购户数为261户。</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10" w:name="_Toc210145107"/>
      <w:r>
        <w:rPr>
          <w:rFonts w:ascii="Times New Roman" w:hAnsi="Times New Roman"/>
          <w:sz w:val="30"/>
        </w:rPr>
        <w:lastRenderedPageBreak/>
        <w:t>七、基金合同的生效</w:t>
      </w:r>
      <w:bookmarkEnd w:id="10"/>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根据有关规定，本基金满足基金合同生效条件，基金合同已于2018年9月26日正式生效。自基金合同生效之日起，本基金管理人正式开始管理本基金。</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可向中国证监会报告并提前终止基金合同，不需召开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11" w:name="_Toc210145108"/>
      <w:r>
        <w:rPr>
          <w:rFonts w:ascii="Times New Roman" w:hAnsi="Times New Roman"/>
          <w:sz w:val="30"/>
        </w:rPr>
        <w:lastRenderedPageBreak/>
        <w:t>八、基金份额的申购与赎回</w:t>
      </w:r>
      <w:bookmarkEnd w:id="11"/>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个人投资者可以通过基金管理人网上直销交易平台办理开户、本基金的申购、赎回、转换及本基金A类基金份额的定期定额投资等业务，具体交易细则请参阅基金管理人网站。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w:t>
      </w:r>
      <w:r>
        <w:rPr>
          <w:rFonts w:ascii="宋体" w:hAnsi="宋体"/>
          <w:sz w:val="24"/>
        </w:rPr>
        <w:lastRenderedPageBreak/>
        <w:t>证监会的要求或基金合同的规定公告暂停申购、赎回时除外。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本基金已于2018年10月29日起开放申购、赎回业务。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w:t>
      </w:r>
      <w:r>
        <w:rPr>
          <w:rFonts w:ascii="宋体" w:hAnsi="宋体"/>
          <w:sz w:val="24"/>
        </w:rPr>
        <w:lastRenderedPageBreak/>
        <w:t>额高于1元，以该销售机构的规定为准。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3、最低余额的限制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每个工作日投资人在单个交易账户的本基金份额余额少于1份时，若当日该账户同时有基金份额减少类业务（如赎回、转换出等）被确认，则基金管理人有权将投资人在该账户的本基金份额一次性全部赎回。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基金管理人届时发布的相关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余额的数量限制，基金管理人必须在调整实施前依照《信息披露办法》的有关规定在指定媒介上刊登公告并报中国证监会备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或基金合同载明的其他暂停赎回或延缓支付赎回款项的情形时，款项的支付办法参照基金合同有关条款处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D0B83">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3D0B83">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投资者赎回A类基金份额或C类基金份额收取赎回费用，该费用随基金份额的持</w:t>
      </w:r>
      <w:r>
        <w:rPr>
          <w:rFonts w:ascii="宋体" w:hAnsi="宋体"/>
          <w:sz w:val="24"/>
        </w:rPr>
        <w:lastRenderedPageBreak/>
        <w:t>有时间递减。本基金A类基金份额和C类基金份额的赎回费用由该类基金份额赎回人承担，对于持续持有期间少于7天的投资人收取的赎回费全额计入基金财产，对于持续持有期间大于等于7天的投资人收取的赎回费总额的25%应归基金财产，其余用于支付登记费和其他必要的手续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D0B83">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D0B83">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3D0B8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D0B83" w:rsidRDefault="003D0B8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在无实质不利影响的前提下，针对投资人定期和不定期地开展基金促销活动。在基金促销活动期间，基金管理人可以按中国证监会要求履行必要手续后，对投资人适当调低基金销售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5、当发生大额申购或赎回情形时，基金管理人可以采用摆动定价机制以确保基金估值的公平性。具体处理原则与操作规范遵循相关法律法规以及监管部门、自律规则的规定。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（2）A类基金份额和C类基金份额的赎回金额为按实际确认的有效赎回份额乘以当日该类基金份额的基金份额净值并扣除相应的费用（如有），赎回金额单位为</w:t>
      </w:r>
      <w:r>
        <w:rPr>
          <w:rFonts w:ascii="宋体" w:hAnsi="宋体"/>
          <w:sz w:val="24"/>
        </w:rPr>
        <w:lastRenderedPageBreak/>
        <w:t>元。赎回金额计算结果按四舍五入方法，保留到小数点后2位，由此产生的收益或损失由基金财产承担。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例四：某投资者（非养老金客户）投资100,000元申购本基金的A类基金份额，假设申购当日A类基金份额净值为1.0400元，申购费率为0.8%，则其可得到的申购份额为：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即：某投资者（非养老金客户）投资100,000元申购本基金，假设申购当日A类基金份额净值为1.0400元，如果其选择申购A类基金份额，则其可得到95,390.72份A类基金份额。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例五：某养老金客户投资100,000元通过基金管理人的直销柜台申购本基金的A类基金份额，假设申购当日A类基金份额净值为1.0400元，申购费率为0.32%，则其可得到的申购份额为：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w:t>
      </w:r>
      <w:r>
        <w:rPr>
          <w:rFonts w:ascii="宋体" w:hAnsi="宋体"/>
          <w:sz w:val="24"/>
        </w:rPr>
        <w:lastRenderedPageBreak/>
        <w:t>类基金份额。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或C类基金份额的赎回金额为按实际确认的有效赎回份额乘以当日该类基金份额的基金份额净值并扣除相应的费用（如有），赎回金额单位为元，计算结果保留到小数点后两位，第三位四舍五入，由此产生的收益或损失由基金财产承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例七：某投资者在持有期限为20天时赎回100,000份A类基金份额，对应的赎回费率为0.1%，假设赎回当日A类基金份额净值是1.0160元，则其可得到的赎回金额为：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即：投资者在持有期限为20天时赎回100,000份A类基金份额，对应的赎回费率为0.1%，假设赎回当日A类基金份额净值是1.0160元，则其可得到的赎回金额为101,498.40元。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赎回金额=赎回份额×T日C类基金份额净值—赎回费用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例八：某投资者在持有期限为20天时赎回100,000份C类基金份额，对应的赎回费率为0.1%，假设赎回当日C类基金份额净值是1.0160元，则其可得到的赎回金额为：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即：投资者在持有期限为20天时赎回100,000份C类基金份额，对应的赎回费率为0.1%，假设赎回当日C类基金份额净值是1.0160元，则其可得到的赎回金额为101,498.40元。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保留到小数点后4位，小数点后第5位四舍五入，由此误差产生的收益或损失由基金财产承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5、基金资产规模过大，使基金管理人无法找到合适的投资品种，或其他可能对基金业绩产生负面影响，或出现其他损害现有基金份额持有人利益的情形。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w:t>
      </w:r>
      <w:r>
        <w:rPr>
          <w:rFonts w:ascii="宋体" w:hAnsi="宋体"/>
          <w:sz w:val="24"/>
        </w:rPr>
        <w:lastRenderedPageBreak/>
        <w:t>基金会计系统无法正常运行。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7、基金管理人接受某笔或者某些申购申请有可能导致单一投资者持有基金份额的比例超过50%，或者变相规避50%集中度的。出现上述情形时，基金管理人有权将上述申购申请全部或部分确认失败。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8、当前一估值日基金资产净值50%以上的资产出现无可参考的活跃市场价格且采用估值技术仍导致公允价值存在重大不确定性时，经与基金托管人协商确认后，基金管理人应当暂停接受申购申请。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5、发生继续接受赎回申请将损害现有基金份额持有人利益的情形时，可暂停接受投资人的赎回申请。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8、基金合同约定、法律法规规定或中国证监会认定的其他情形。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w:t>
      </w:r>
      <w:r>
        <w:rPr>
          <w:rFonts w:ascii="宋体" w:hAnsi="宋体"/>
          <w:sz w:val="24"/>
        </w:rPr>
        <w:lastRenderedPageBreak/>
        <w:t>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（十四）定期定额投资计划</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本基金2021年4月20日刊登公告自2021年4月21日起开通A类基金份额的定期定额投资计划业务，具体开通销售机构名单和业务规则参见相关公告。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12" w:name="_Toc210145109"/>
      <w:r>
        <w:rPr>
          <w:rFonts w:ascii="Times New Roman" w:hAnsi="Times New Roman"/>
          <w:sz w:val="30"/>
        </w:rPr>
        <w:lastRenderedPageBreak/>
        <w:t>九、基金的转换</w:t>
      </w:r>
      <w:bookmarkEnd w:id="12"/>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本基金2022年8月23日刊登公告自2022年8月26日起开放日常转换业务。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13" w:name="_Toc210145110"/>
      <w:r>
        <w:rPr>
          <w:rFonts w:ascii="Times New Roman" w:hAnsi="Times New Roman"/>
          <w:sz w:val="30"/>
        </w:rPr>
        <w:lastRenderedPageBreak/>
        <w:t>十、基金的投资</w:t>
      </w:r>
      <w:bookmarkEnd w:id="13"/>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本基金在严格控制风险和保持资产流动性的基础上，通过积极主动的投资管理，力争持续稳定地实现超越业绩比较基准的投资回报。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国债、金融债、央行票据、地方政府债、政府支持机构债、企业债、公司债、中小企业私募债、中期票据、短期融资券、超级短期融资券、资产支持证券、次级债、可分离交易可转债的纯债部分、债券回购、同业存单、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每个交易日日终，现金或到期日在一年以内的政府债券的投资比例合计不低于基金资产净值的5%，其中现金不包括结算备付金、存出保证金、应收申购款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对宏观经济运行趋势、财政以及货币政策变化趋势作出分析和判断，对未来市场利率趋势及市场信用环境变化作出预测，确定本基金债券组合久期、期限结构、债券类别配置策略，在严谨深入的分析和严格的风险控制基础上，综合考虑经济变量的变动对不同券种收益率、信用趋势和风险的潜在影响，深入挖掘价值被低估的标的券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债券基金最基本的投资策略，久期管理策略本质上是一种自上而下，通过灵活的久期策略对管理利率风险的策略。在全球经济的框架下，本基金管理人根据对市场利率变化趋势的预期，密切跟踪CPI、PPI、汇率、M2等利率敏感指标和宏观</w:t>
      </w:r>
      <w:r>
        <w:rPr>
          <w:rFonts w:ascii="宋体" w:hAnsi="宋体"/>
          <w:sz w:val="24"/>
        </w:rPr>
        <w:lastRenderedPageBreak/>
        <w:t>经济运行关键指标，运用数量化工具对宏观经济运行及货币财政政策变化跟踪与分析，对未来市场利率趋势进行分析预测，据此确定合理的债券组合目标久期。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基金管理人通过以下方面的分析来确定债券组合的目标久期：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宏观经济环境分析。通过跟踪分析货币信贷、采购经理人指数等宏观经济先行性经济指标，拉动经济增长的三大引擎进出口、消费以及投资等指标，判断当前经济运行在经济周期中所处的阶段，预期中央政府的货币与财政政策取向。</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（2）利率变动趋势分析。在宏观经济环境分析的基础上，密切关注月度CPI、PPI等物价指数，货币信贷、汇率等金融运行数据，预测未来利率的变动趋势。</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目标久期分析。根据宏观经济环境分析与市场利率变动趋势分析，结合当期债券收益率估值水平，确定投资组合的目标久期。原则上，在利率上行通道中，通过缩短目标久期规避利率风险；在利率下行通道中，通过延长目标久期分享债券价格上涨的收益。在利率持平阶段，采用骑乘策略与持有策略，获得稳定的当前回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动态调整目标久期。通过对国内外宏观经济数据、金融市场运行、货币政策以及国内债券市场运行跟踪分析，评估未来利率水平变化趋势，结合债券市场收益率变动与基金投资目标，动态调整组合目标久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2、期限结构配置策略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3、债券的类别配置策略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不同类别债券的信用风险、税赋水平、市场流动性、市场风险等因素进行分析，综合评估相同期限的国债、金融债、企业债、交易所和银行间市场投资品种的利差和变化趋势，通过不同类别资产的风险调整后收益比较，确定组合的类别资产配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4、骑乘策略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骑乘策略，通过对债券收益曲线形状变动的预期为依据来建立和调整组合。当债券收益率曲线比较陡峭时，买入位于收益率曲线陡峭处的债券，持有一段时间后，伴随债券剩余期限的缩短与收益率水平的下降，获得一定的资本利得收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5、杠杆放大策略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6、信用债券投资策略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本基金信用债券的投资遵循以下流程：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（1）信用债券研究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对除可转债（含可交换债）之外的信用债券，建立了一套独立、客观的内部信用评级指标体系，以有力支持债券投资，控制信用风险。通过对信用研究员进行明确分工，及时对内部评级结果进行定期和不定期的动态跟踪。交银施罗德信用债券信用评级指标体系借鉴了当前国内外先进的信用评级理念和技术，并结合国内信用债市场的实际情况和内部信用评级实际操作经验，运用定性与定量分析相结合、财务与非财务因素分析相结合、静态与动态分析相结合、主体与债项评级相结合的评级思路，采取“因素评估法”，即对影响信用风险的各因素进行综合打分后得出信用债券信用等级的一种方法。交银施罗德信用评级分为主体评级和债项评级，主体评级是对信用债券发行主体信用资质给出的评级，债项评级是对某支具体债券的评级，债项评级是在主体评级的基础上，对特定债券类型、债项信用增进措施、特殊条款等因素进行调整后给出的级别。交银施罗德内部信用评级体系根据信用主体的类别，分为一般企业（对应产业债）、城投企业（对应城投债）和资产支持证券三大类，分别建立了不同的内部评价标准和评级模型。信用分析师通过多种形式，“自上而下”地分析宏观经济运行趋势、行业（或产业）经济前景，“自下而上”地分析发行主体的发展前景、偿债能力、信用支撑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通过交银施罗德信用债券信用评级指标体系，对信用债券进行信用评级，同时在信用评级的基础上给予可投资、限制投资和禁止投资的投资建议，并以投资建议为可投资的信用债券严格构建本基金的信用债券池。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（2）信用债券投资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基金经理从信用债券池中精选债券构建信用债券投资组合。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①信用债券信用评级的变化。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②不同信用等级的信用债券，以及同一信用等级不同标的债券之间的信用利差变化。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原则上，购买信用（拟）增级的信用债券，减持信用（拟）降级的信用债券；购买信用利差扩大后存在收窄趋势的信用债券，减持信用利差缩小后存在放宽趋势的信用债券。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7、资产支持证券投资策略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8、中小企业私募债券投资策略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将重点关注其信用风险和流动性风险，综合考虑信用基本面、债券收益率和流动性等要素，在信用风险可控的前提下，追求合理回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能力、现金流水平等诸多因素，对主体所发行债券进行打分和投资价值评估，分数高于内部投资级要求才能入库投资。中小企业私募债券投资是综合考虑信用基本面、债券收益率和流动性，选择发行主体资质优良，估值合理且流通相对充分的品种进行适度投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（2）每个交易日日终，保持不低于基金资产净值5%的现金或者到期日在一年以内的政府债券，其中现金不包括结算备付金、存出保证金、应收申购款等；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w:t>
      </w:r>
      <w:r>
        <w:rPr>
          <w:rFonts w:ascii="宋体" w:hAnsi="宋体"/>
          <w:sz w:val="24"/>
        </w:rPr>
        <w:lastRenderedPageBreak/>
        <w:t>资产支持证券规模的10%；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（10）本基金进入全国银行间同业市场进行债券回购的资金余额不得超过基金资产净值的40%；本基金在全国银行间同业市场中的债券回购最长期限为1 年，债券回购到期后不得展期；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（11）本基金持有单只中小企业私募债券，其市值不得超过基金资产净值的10%；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（12）本基金的基金资产总值不得超过基金资产净值的140%；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9）、（13）、（14）项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为维护基金份额持有人的合法权益，基金财产不得用于下列投资或者活动：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中债综合全价指数收益率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比较基准较为合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（六）风险收益特征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本基金是一只债券型基金，其预期风险与预期收益高于货币市场基金，低于混合型基金和股票型基金。</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（七）基金管理人代表基金行使债权人权利的处理原则及方法</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本基金托管人江苏银行股份有限公司根据本基金合同规定，于2025年07月17日复核了本报告中的财务指标、净值表现和投资组合报告等内容，保证复核内容不存在虚假记载、误导性陈述或者重大遗漏。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本报告期自2025年04月01日起至06月30日。本报告财务资料未经审计师审计。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3</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2,186,459,024.19</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99.69</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2,186,459,024.19</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99.69</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6,739,647.38</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16,591.19</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2,193,215,262.76</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338,415,161.17</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15.44</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1,493,250,944.65</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68.12</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1,115,897,589.03</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50.90</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116,830,737.55</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5.33</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237,962,180.82</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10.85</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2,186,459,024.19</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99.74</w:t>
            </w:r>
          </w:p>
        </w:tc>
      </w:tr>
    </w:tbl>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250410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199,473,589.04</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9.10</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250413</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1,800,000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180,621,764.38</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8.24</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250007</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附息国债</w:t>
            </w:r>
            <w:r>
              <w:rPr>
                <w:rFonts w:ascii="Times New Roman" w:hAnsi="Times New Roman"/>
                <w:color w:val="000000"/>
                <w:kern w:val="0"/>
                <w:sz w:val="25"/>
                <w:szCs w:val="24"/>
              </w:rPr>
              <w:t>07</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1,300,000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132,288,783.56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6.03</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06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100,429,726.03</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4.58</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09250412</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农发清发</w:t>
            </w: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100,393,150.68</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4.58</w:t>
            </w:r>
          </w:p>
        </w:tc>
      </w:tr>
    </w:tbl>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2024年12月27日,国家金融监督管理总局北京监管局公示京金罚决字[2024]43号行政处罚决定书,给予国家开发银行60万元人民币的行政处罚。　</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2024年08月15日,国家金融监督管理总局浙江监管局公示浙金罚决字[2024]24号行政处罚决定书,给予杭州银行股份有限公司110万元人民币的行政处</w:t>
      </w:r>
      <w:r>
        <w:rPr>
          <w:rFonts w:ascii="宋体" w:hAnsi="宋体"/>
          <w:sz w:val="24"/>
        </w:rPr>
        <w:lastRenderedPageBreak/>
        <w:t>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2024年11月25日,国家外汇管理局浙江省分局公示浙外管罚[2024]6号行政处罚决定书,给予杭州银行股份有限公司罚没共计645.5万元人民币的行政处罚。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16,591.19</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right"/>
              <w:rPr>
                <w:rFonts w:ascii="宋体" w:hAnsi="宋体"/>
                <w:color w:val="000000"/>
                <w:kern w:val="0"/>
                <w:sz w:val="25"/>
                <w:szCs w:val="24"/>
              </w:rPr>
            </w:pPr>
            <w:r>
              <w:rPr>
                <w:rFonts w:ascii="Times New Roman" w:hAnsi="Times New Roman"/>
                <w:color w:val="000000"/>
                <w:kern w:val="0"/>
                <w:sz w:val="25"/>
                <w:szCs w:val="24"/>
              </w:rPr>
              <w:t>16,591.19</w:t>
            </w:r>
          </w:p>
        </w:tc>
      </w:tr>
    </w:tbl>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14" w:name="_Toc210145111"/>
      <w:r>
        <w:rPr>
          <w:rFonts w:ascii="Times New Roman" w:hAnsi="Times New Roman"/>
          <w:sz w:val="30"/>
        </w:rPr>
        <w:lastRenderedPageBreak/>
        <w:t>十一、基金的业绩</w:t>
      </w:r>
      <w:bookmarkEnd w:id="14"/>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（1）交银裕祥纯债债券A：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5.04%</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2.99%</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4.23%</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2.13%</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2.21%</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2.28%</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bl>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注：本基金基金合同生效日为2018年9月26日，本基金的业绩比较基准为“中债综合全价指数收益率”。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（2）交银裕祥纯债债券C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r>
      <w:tr w:rsidR="003D0B8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p>
        </w:tc>
      </w:tr>
    </w:tbl>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注：本基金C类份额为0。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3D0B83" w:rsidRDefault="005930A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交银施罗德裕祥纯债债券型证券投资基金</w:t>
      </w:r>
    </w:p>
    <w:p w:rsidR="003D0B83" w:rsidRDefault="005930A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3D0B83" w:rsidRDefault="005930A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（2018年9月26日至2025年06月30日）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（1）交银裕祥纯债债券A</w:t>
      </w:r>
    </w:p>
    <w:p w:rsidR="003D0B83" w:rsidRDefault="008F725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346.5pt">
            <v:imagedata r:id="rId16" o:title="1521256610242020828"/>
          </v:shape>
        </w:pic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注：本基金建仓期为自基金合同生效日起的6个月。截至建仓期结束，本基金各项资产配置比例符合基金合同及招募说明书有关投资比例的约定。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（2）交银裕祥纯债债券C</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注：本基金C类份额为0。</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15" w:name="_Toc210145112"/>
      <w:r>
        <w:rPr>
          <w:rFonts w:ascii="Times New Roman" w:hAnsi="Times New Roman"/>
          <w:sz w:val="30"/>
        </w:rPr>
        <w:lastRenderedPageBreak/>
        <w:t>十二、基金的财产</w:t>
      </w:r>
      <w:bookmarkEnd w:id="15"/>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16" w:name="_Toc210145113"/>
      <w:r>
        <w:rPr>
          <w:rFonts w:ascii="Times New Roman" w:hAnsi="Times New Roman"/>
          <w:sz w:val="30"/>
        </w:rPr>
        <w:lastRenderedPageBreak/>
        <w:t>十三、基金资产的估值</w:t>
      </w:r>
      <w:bookmarkEnd w:id="16"/>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基金所拥有的债券和其它投资等持续以公允价值计量的金融资产及负债。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本基金所持有的投资品种，按如下原则进行估值：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①在交易所市场上市交易或挂牌转让的固定收益品种（另有规定的除外），选取第三方估值机构提供的相应品种当日的估值净价估值。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②对在交易所市场上市交易的可转换债券，按照每日收盘价作为估值全价。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对在交易所市场挂牌转让的资产支持证券和私募证券，估值日不存在活跃市场时采用估值技术确定其公允价值进行估值。如成本能够近似体现公允价值，应持续评估上述做法的适当性，并在情况发生改变时做出适当调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①首次公开发行未上市的债券，采用估值技术确定公允价值，在估值技术难以可靠计量公允价值的情况下，按成本估值。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对在交易所市场发行未上市或未挂牌转让的债券，对存在活跃市场的情况下，应以活跃市场上未经调整的报价作为计量日的公允价值进行估值；对于活跃市场报价未能代表计量日公允价值的情况下，按成本应对市场报价进行调整，确认计量日的公允价值；对于不存在市场活动或市场活动很少的情况下，则采用估值技术确定公允价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截止日（含当日）后未行使回售权的按照长待偿期所对应的价格进行估值。对银行间市场未上市，且第三方估值机构未提供估值价格的债券，在发行利率与二级市场利率不存在明显差异，未上市期间市场利率没</w:t>
      </w:r>
      <w:r>
        <w:rPr>
          <w:rFonts w:ascii="宋体" w:hAnsi="宋体"/>
          <w:sz w:val="24"/>
        </w:rPr>
        <w:lastRenderedPageBreak/>
        <w:t>有发生大的变动的情况下，按成本估值。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（4）存款的估值方法</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持有的银行定期存款或通知存款以本金列示，按协议或合同利率逐日确认利息收入。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（5）本基金可以采用第三方估值机构按照上述公允价值确定原则提供的估值价格数据。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（7）当发生大额申购或赎回情形时，基金管理人可以对本基金采用摆动定价机制，以确保基金估值的公平性。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（8）相关法律法规以及监管部门有强制规定的，从其规定。如有新增事项，按国家最新规定估值。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基金管理人向基金托管人出具加盖公章的书面说明后，按照基金管理人对基金资产净值的计算结果对外予以公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（五）估值错误的处理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基金管理人和基金托管人将采取必要、适当、合理的措施确保基金资产估值的准确性、及时性。当基金份额净值小数点后第4位以内（含第4位）发生估值错误时，视为基金份额净值错误。</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w:t>
      </w:r>
      <w:r>
        <w:rPr>
          <w:rFonts w:ascii="宋体" w:hAnsi="宋体"/>
          <w:sz w:val="24"/>
        </w:rPr>
        <w:lastRenderedPageBreak/>
        <w:t>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（七）基金净值的确认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w:t>
      </w:r>
      <w:r>
        <w:rPr>
          <w:rFonts w:ascii="宋体" w:hAnsi="宋体"/>
          <w:sz w:val="24"/>
        </w:rPr>
        <w:lastRenderedPageBreak/>
        <w:t>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（九）实施侧袋机制期间的基金资产估值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17" w:name="_Toc210145114"/>
      <w:r>
        <w:rPr>
          <w:rFonts w:ascii="Times New Roman" w:hAnsi="Times New Roman"/>
          <w:sz w:val="30"/>
        </w:rPr>
        <w:lastRenderedPageBreak/>
        <w:t>十四、基金收益与分配</w:t>
      </w:r>
      <w:bookmarkEnd w:id="17"/>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基金份额进行再投资；若投资者不选择，本基金默认的收益分配方式是现金分红；基金份额持有人可对其持有的A类基金份额和C类基金份额分别选择不同的收益分配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18" w:name="_Toc210145115"/>
      <w:r>
        <w:rPr>
          <w:rFonts w:ascii="Times New Roman" w:hAnsi="Times New Roman"/>
          <w:sz w:val="30"/>
        </w:rPr>
        <w:lastRenderedPageBreak/>
        <w:t>十五、基金的费用与税收</w:t>
      </w:r>
      <w:bookmarkEnd w:id="18"/>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逐日累计至每月月末，按月支付，由基金管理人于次月首日起5个工作日内向基金托管人发送基金管理费划款指令，基金托管人复核后从基金财产中一次性支付给基金管理人。若遇法定节假日、休息日或不可抗力致使无法按时支付的，支付日期顺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本基金的托管费按前一日基金资产净值的0.1%年费率计提。托管费的计算方法如下：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逐日累计至每月月末，按月支付，由基金管理人于次月首日起5个工作日内向基金托管人发送基金托管费划款指令，基金托管人复核后从基金财产中一次性支取。若遇法定节假日、休息日或不可抗力致使无法按时支付的，支付日期顺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本基金A类基金份额不收取销售服务费，C类基金份额的销售服务费按前一日C类基金资产净值的0.1%年费率计提。计算方法如下：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按月支付，由基金管理人于次月首日起5个工作日内向基金托管人发送划款指令，由基金托管人复核后从基金财产中一次性支付给基金管理人，由基金管理人代付给销售机构。若遇法定节假日、休息日或不可抗力致使无法按时支付的，支付日期顺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1、基金管理人和基金托管人因未履行或未完全履行义务导致的费用支出或基金财产的损失；</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在履行适当程序后调整基金管理费率、基金托管费率等相关费率。降低C类基金份额销售服务费率，无须召开基金份额持有人大会。基金管理人必须依照有关规定于新的费率实施日前在指定媒介上刊登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基金财产需要缴纳的增值税，由基金管理人按照税务机关的要求进行核算，从基金财产中支付。</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19" w:name="_Toc210145116"/>
      <w:r>
        <w:rPr>
          <w:rFonts w:ascii="Times New Roman" w:hAnsi="Times New Roman"/>
          <w:sz w:val="30"/>
        </w:rPr>
        <w:lastRenderedPageBreak/>
        <w:t>十六、基金的会计与审计</w:t>
      </w:r>
      <w:bookmarkEnd w:id="19"/>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20" w:name="_Toc210145117"/>
      <w:r>
        <w:rPr>
          <w:rFonts w:ascii="Times New Roman" w:hAnsi="Times New Roman"/>
          <w:sz w:val="30"/>
        </w:rPr>
        <w:lastRenderedPageBreak/>
        <w:t>十七、基金的信息披露</w:t>
      </w:r>
      <w:bookmarkEnd w:id="20"/>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次日，通过指定网站、销售机构网站或者营业网点分别披露开放日的A类基金份额和C类基金份额所对应的基金份额净值和基金份额累计净值。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运作期间，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w:t>
      </w:r>
      <w:r>
        <w:rPr>
          <w:rFonts w:ascii="宋体" w:hAnsi="宋体"/>
          <w:sz w:val="24"/>
        </w:rPr>
        <w:lastRenderedPageBreak/>
        <w:t>重大影响的下列事件：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（19）本基金连续发生巨额赎回并暂停接受赎回申请或延缓支付赎回款项；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（25）基金信息披露义务人认为可能对基金份额持有人权益或者基金份额的价格产生重大影响的其他事项或中国证监会规定的其他事项。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本基金投资资产支持证券，基金管理人应在基金年度报告及中期报告中披露其持有的资产支持证券总额、资产支持证券市值占基金净资产的比例和报告期末所有</w:t>
      </w:r>
      <w:r>
        <w:rPr>
          <w:rFonts w:ascii="宋体" w:hAnsi="宋体"/>
          <w:sz w:val="24"/>
        </w:rPr>
        <w:lastRenderedPageBreak/>
        <w:t>的资产支持证券明细。基金管理人应在基金季度报告中披露其持有的资产支持证券总额、资产支持证券市值占基金净资产的比例和报告期末按市值占基金净资产比例大小排序的前10名资产支持证券明细。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13、基金投资中小企业私募债情况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基金管理人应在基金招募说明书的显著位置披露投资中小企业私募债券的流动性风险和信用风险，说明投资中小企业私募债券对基金总体风险的影响。基金管理人在本基金投资中小企业私募债券后两个交易日内，在中国证监会指定媒介披露所投资中小企业私募债券的名称、数量、期限、收益率等信息。本基金应当在季度报告、中期报告、年度报告等定期报告和招募说明书（更新）等文件中披露中小企业私募债券的投资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w:t>
      </w:r>
      <w:r>
        <w:rPr>
          <w:rFonts w:ascii="宋体" w:hAnsi="宋体"/>
          <w:sz w:val="24"/>
        </w:rPr>
        <w:lastRenderedPageBreak/>
        <w:t>常投资操作的前提下，自主提升信息披露服务的质量。具体要求应当符合中国证监会及自律规则的相关规定。前述自主披露如产生信息披露费用，该费用不得从基金财产中列支。</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21" w:name="_Toc210145118"/>
      <w:r>
        <w:rPr>
          <w:rFonts w:ascii="Times New Roman" w:hAnsi="Times New Roman"/>
          <w:sz w:val="30"/>
        </w:rPr>
        <w:lastRenderedPageBreak/>
        <w:t>十八、侧袋机制</w:t>
      </w:r>
      <w:bookmarkEnd w:id="21"/>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3D0B83" w:rsidRDefault="005930AE">
      <w:pPr>
        <w:pStyle w:val="1"/>
        <w:snapToGrid w:val="0"/>
        <w:spacing w:beforeLines="0" w:before="240" w:after="240"/>
        <w:rPr>
          <w:rFonts w:ascii="宋体" w:hAnsi="宋体"/>
          <w:szCs w:val="30"/>
        </w:rPr>
      </w:pPr>
      <w:bookmarkStart w:id="22" w:name="_Toc210145119"/>
      <w:r>
        <w:rPr>
          <w:rFonts w:ascii="Times New Roman" w:hAnsi="Times New Roman"/>
          <w:sz w:val="30"/>
        </w:rPr>
        <w:lastRenderedPageBreak/>
        <w:t>十九、风险揭示</w:t>
      </w:r>
      <w:bookmarkEnd w:id="22"/>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w:t>
      </w:r>
      <w:r>
        <w:rPr>
          <w:rFonts w:ascii="宋体" w:hAnsi="宋体"/>
          <w:sz w:val="24"/>
        </w:rPr>
        <w:lastRenderedPageBreak/>
        <w:t>财务状况、市场前景、行业竞争、人员素质等，这些都会导致企业的盈利发生变化。虽然基金可以通过投资多样化来分散这种非系统风险，但不能完全规避。</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w:t>
      </w:r>
      <w:r>
        <w:rPr>
          <w:rFonts w:ascii="宋体" w:hAnsi="宋体"/>
          <w:sz w:val="24"/>
        </w:rPr>
        <w:lastRenderedPageBreak/>
        <w:t>范型交易场所，主要投资对象为具有良好流动性的金融工具，同时本基金基于分散投资的原则在个券方面未有高集中度的特征，综合评估在正常市场环境下本基金的流动性风险适中。</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w:t>
      </w:r>
      <w:r>
        <w:rPr>
          <w:rFonts w:ascii="宋体" w:hAnsi="宋体"/>
          <w:sz w:val="24"/>
        </w:rPr>
        <w:lastRenderedPageBreak/>
        <w:t>款项，但不得超过20个工作日，并应当在指定媒介上进行公告。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1、本基金为债券型基金，投资于债券资产的比例不低于基金资产的80%，因投资债券资产而面临债券资产市场的系统性风险和个券风险；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3、基金合同提前终止风险。连续六十个工作日出现基金份额持有人数量不满200人或者基金资产净值低于5000万元情形的，基金管理人可向中国证监会报告并提前终止基金合同，不需召开基金份额持有人大会。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（六）投资中小企业私募债的特定风险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（七）投资资产支持证券的特定风险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（八）本基金法律文件风险收益特征表述与销售机构基金风险评价可能不一致的风险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3、因人为因素而产生的风险、如内幕交易、欺诈行为等产生的风险；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23" w:name="_Toc210145120"/>
      <w:r>
        <w:rPr>
          <w:rFonts w:ascii="Times New Roman" w:hAnsi="Times New Roman"/>
          <w:sz w:val="30"/>
        </w:rPr>
        <w:lastRenderedPageBreak/>
        <w:t>二十、基金合同的变更、终止与基金财产的清算</w:t>
      </w:r>
      <w:bookmarkEnd w:id="23"/>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3、连续60个工作日出现基金份额持有人数量不满200人或者基金资产净值低于5000万元情形的，基金管理人可向中国证监会报告并提前终止基金合同，不需召开基金份额持有人大会；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24" w:name="_Toc210145121"/>
      <w:r>
        <w:rPr>
          <w:rFonts w:ascii="Times New Roman" w:hAnsi="Times New Roman"/>
          <w:sz w:val="30"/>
        </w:rPr>
        <w:lastRenderedPageBreak/>
        <w:t>二十一、基金合同内容摘要</w:t>
      </w:r>
      <w:bookmarkEnd w:id="24"/>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金管理人在各重要方面的运作是否严格按照《基金合同》的规定进行；如果基金管理人有未执行《基金合同》规定的行为，还应当说明基金托管人是否采取了适当的措施；</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基金份额持有人大会由基金份额持有人组成，基金份额持有人的合法授权代表有权代表基金份额持有人出席会议并表决。基金份额持有人持有的每一基金份额拥有平等的投票权。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（2）在法律法规和《基金合同》规定的范围内，且在对现有基金份额持有人利益无实质性不利影响的前提下，以下情况可由基金管理人和基金托管人协商后修改，不需召开基金份额持有人大会：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3）调整本基金的申购费率、调低赎回费率、变更或增加收费方式；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w:t>
      </w:r>
      <w:r>
        <w:rPr>
          <w:rFonts w:ascii="宋体" w:hAnsi="宋体"/>
          <w:sz w:val="24"/>
        </w:rPr>
        <w:lastRenderedPageBreak/>
        <w:t>同》进行修改；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w:t>
      </w:r>
      <w:r>
        <w:rPr>
          <w:rFonts w:ascii="宋体" w:hAnsi="宋体"/>
          <w:sz w:val="24"/>
        </w:rPr>
        <w:lastRenderedPageBreak/>
        <w:t>基金管理人，基金管理人应当配合；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w:t>
      </w:r>
      <w:r>
        <w:rPr>
          <w:rFonts w:ascii="宋体" w:hAnsi="宋体"/>
          <w:sz w:val="24"/>
        </w:rPr>
        <w:lastRenderedPageBreak/>
        <w:t>关允许的其他方式召开，会议的召开方式由会议召集人确定。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（2）通讯开会。通讯开会系指基金份额持有人将其对表决事项的投票以会议通知载明的形式在表决截止日以前送达至召集人指定的地址或系统。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w:t>
      </w:r>
      <w:r>
        <w:rPr>
          <w:rFonts w:ascii="宋体" w:hAnsi="宋体"/>
          <w:sz w:val="24"/>
        </w:rPr>
        <w:lastRenderedPageBreak/>
        <w:t>持有人大会。重新召集的基金份额持有人大会应当有代表基金总份额三分之一以上（含三分之一）基金份额的持有人直接出具表决意见或授权他人代表出具表决意见；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该次基金份额持有人大会的主持人。基金管理人和基金托管人拒不出席或主持基金</w:t>
      </w:r>
      <w:r>
        <w:rPr>
          <w:rFonts w:ascii="宋体" w:hAnsi="宋体"/>
          <w:sz w:val="24"/>
        </w:rPr>
        <w:lastRenderedPageBreak/>
        <w:t>份额持有人大会，不影响基金份额持有人大会作出的决议的效力。</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w:t>
      </w:r>
      <w:r>
        <w:rPr>
          <w:rFonts w:ascii="宋体" w:hAnsi="宋体"/>
          <w:sz w:val="24"/>
        </w:rPr>
        <w:lastRenderedPageBreak/>
        <w:t>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基金份额持有人大会的决议，召集人应当自通过之日起5日内报中国证监会备案。基金份额持有人大会的决议自表决通过之日起生效。法律法规另有规定的，从其规定。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w:t>
      </w:r>
      <w:r>
        <w:rPr>
          <w:rFonts w:ascii="宋体" w:hAnsi="宋体"/>
          <w:sz w:val="24"/>
        </w:rPr>
        <w:lastRenderedPageBreak/>
        <w:t>代表的基金份额或表决权符合该等比例：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w:t>
      </w:r>
      <w:r>
        <w:rPr>
          <w:rFonts w:ascii="宋体" w:hAnsi="宋体"/>
          <w:sz w:val="24"/>
        </w:rPr>
        <w:lastRenderedPageBreak/>
        <w:t>报中国证监会备案。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（3）连续60个工作日出现基金份额持有人数量不满200人或者基金资产净值低于5000万元情形的，基金管理人可向中国证监会报告并提前终止基金合同，不需召开基金份额持有人大会；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7）对基金剩余财产进行分配。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仲裁裁决是终局的，对各方当事人均有约束力，除非仲裁裁决另有规定，仲裁费用、律师费由败诉方承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w:t>
      </w:r>
      <w:r>
        <w:rPr>
          <w:rFonts w:ascii="宋体" w:hAnsi="宋体"/>
          <w:sz w:val="24"/>
        </w:rPr>
        <w:lastRenderedPageBreak/>
        <w:t>办公场所和营业场所查阅，但应以《基金合同》正本为准。</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25" w:name="_Toc210145122"/>
      <w:r>
        <w:rPr>
          <w:rFonts w:ascii="Times New Roman" w:hAnsi="Times New Roman"/>
          <w:sz w:val="30"/>
        </w:rPr>
        <w:lastRenderedPageBreak/>
        <w:t>二十二、托管协议的内容摘要</w:t>
      </w:r>
      <w:bookmarkEnd w:id="25"/>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名称：江苏银行股份有限公司（简称：江苏银行）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住所：中国江苏省南京市中华路26号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办公地址：中国江苏省南京市中华路26号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邮政编码：210005</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成立日期：2007年1月22日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基金托管业务批准文号：证监许可【2014】619号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注册资本：115.4 亿元人民币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结算；办理票据承兑与贴现；发行金融债券；代理发行、代理兑付、承销政府债券、承销短期融资券；买卖政府债券、金融债券、企业债券；从事同业拆借；提供信用证服务及</w:t>
      </w:r>
      <w:r>
        <w:rPr>
          <w:rFonts w:ascii="宋体" w:hAnsi="宋体"/>
          <w:sz w:val="24"/>
        </w:rPr>
        <w:lastRenderedPageBreak/>
        <w:t>担保；代理收付款项及代理保险业务、代客理财、代理销售基金、代理销售贵金属、代理收付和保管集合资金信托计划；提供保险箱业务；办理委托存贷款业务；从事银行卡业务；外汇存款；外汇贷款；外汇汇款；外币兑换；结售汇、代理远期结售汇；国际结算；自营及代客外汇买卖；同业外汇拆借；买卖或代理买卖股票以外的外币有价证券；资信调查、咨询、见证业务；网上银行；经银行业监督管理机构和有关部门批准的其他业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国债、金融债、央行票据、地方政府债、政府支持机构债、企业债、公司债、中小企业私募债、中期票据、短期融资券、超级短期融资券、资产支持证券、次级债、可分离交易可转债的纯债部分、债券回购、同业存单、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每个交易日日终，现金或到期日在一年以内的政府债券的投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（2）每个交易日日终，保持不低于基金资产净值5%的现金或者到期日在一年以内的政府债券，其中现金不包括结算备付金、存出保证金、应收申购款等；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w:t>
      </w:r>
      <w:r>
        <w:rPr>
          <w:rFonts w:ascii="宋体" w:hAnsi="宋体"/>
          <w:sz w:val="24"/>
        </w:rPr>
        <w:lastRenderedPageBreak/>
        <w:t>的10%；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（10）本基金进入全国银行间同业市场进行债券回购的资金余额不得超过基金资产净值的40%；本基金在全国银行间同业市场中的债券回购最长期限为1年，债券回购到期后不得展期；</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（11）本基金持有单只中小企业私募债券，其市值不得超过基金资产净值的10%；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（12）本基金的基金资产总值不得超过基金资产净值的140%；</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法律法规对上述投资组合比例限制进行变更的，以变更后的规定为准。法律法规或监管部门取消上述限制，如适用于本基金，则本基金投资不再受相关限制。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9）、（13）、（14）项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基金托管人根据有关法律法规的规定及《基金合同》的约定，对本托管协议第十五条第九款基金投资禁止行为通过事后监督方式进行监督。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他重大利害关系的公司发行的证券或者承销期内承销的证券，或者从事其他重大关联交易的，应当符合基金的投资目标和投资策略，遵循基金份额持有人利益优先的原则，防范利益冲突，相关交易必须事先得到基金托管人的同意，并履行信息披露义务。重大关联交易应提交基金管理人董事会审议，并经过三分之二以上的独立董事通过。基金管理人董事会应至少每半年对关联交易事项进行审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如法律、行政法规或监管部门取消或变更上述禁止性规定，如适用于本基金，基金管理人在履行适当程序后，则本基金投资不再受相关限制或按变更后的规定执行。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的，应向基金托管人说明理由，并在与交易对手发生交易前1个工作日内与基金托管人协商解决。基金管理人与基金托管人完成确认后，被确认调整的名单开始生效，新名单生效前已与本次剔除的交易对手所进行但尚未结算的交易，仍应按照协议进行结算。</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基金托管人则根据银行间债券市场成交单对合同履行情况进行监督。如基金托管人事后发现基金管理人没有按照事先约定的交易对手</w:t>
      </w:r>
      <w:r>
        <w:rPr>
          <w:rFonts w:ascii="宋体" w:hAnsi="宋体"/>
          <w:sz w:val="24"/>
        </w:rPr>
        <w:lastRenderedPageBreak/>
        <w:t>进行交易时，基金托管人应及时提醒基金管理人，基金托管人不承担由此造成的任何损失和责任。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基金投资中小企业私募债券，基金管理人应根据审慎原则，制定严格的投资决策流程、风险控制制度和信用风险、流动性风险处置预案，并经董事会批准，以防范信用风险、流动性风险等各种风险。</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中小企业私募债券是否符合比例限制进行事后监督，如发现异常情况，应及时以书面形式通知基金管理人。基金管理人应积极配合和协助乙方的监督和核查。基金因投资中小企业私募债券导致的信用风险、流动性风险，基金托管人不承担任何责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基金托管人根据有关法律法规的规定及基金合同和本协议的约定，对基金管理人选择存款银行进行监督。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保护基金份额持有人的合法权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如果基金管理人未经基金托管人的审核擅自将不实的业绩表现数据印制在宣传</w:t>
      </w:r>
      <w:r>
        <w:rPr>
          <w:rFonts w:ascii="宋体" w:hAnsi="宋体"/>
          <w:sz w:val="24"/>
        </w:rPr>
        <w:lastRenderedPageBreak/>
        <w:t>推介材料上，则基金托管人对此不承担任何责任，并有权在发现后报告中国证监会。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有权报告中国证监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10.若基金托管人发现基金管理人依据交易程序已经生效的指令违反法律、行政法规和其他有关规定，或者违反《基金合同》约定的，应当立即通知基金管理人，由此造成的损失不由基金托管人承担。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有权报告中国证监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各类基金份额的基金资产净值和基金份额净值、根据基金管理人指令办理清算交收、相关信息披露和监督基金投资运作等行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w:t>
      </w:r>
      <w:r>
        <w:rPr>
          <w:rFonts w:ascii="宋体" w:hAnsi="宋体"/>
          <w:sz w:val="24"/>
        </w:rPr>
        <w:lastRenderedPageBreak/>
        <w:t>《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（3）基金托管人按照规定开设基金财产的资金账户和证券账户等投资所需的账户。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登记结算机构扣收结算费和账户维护费等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2、基金募集期间及募集资金的验资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银行账户，同时在规定时间内，聘请具有从事证券相关业务资格的会计师事务所进行验资，出具验资报告。出具的验资报告由参加验资的2名或2名以上中国注册会计师签字方为有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（1）基金托管人可以基金的名义在其营业机构开立基金的银行账户，并根据基金管理人合法合规的指令办理资金收付。本基金的银行预留印鉴由基金托管人保管和使用。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（3）基金银行账户的开立和管理应符合银行业监督管理机构的有关规定。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（1）基金托管人在中国证券登记结算有限责任公司上海分公司、深圳分公司为基金开立基金托管人与本基金联名的证券账户。</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证券账户开户费由基金管理人先行垫付，待托管产品启始运营后,基金管理人</w:t>
      </w:r>
      <w:r>
        <w:rPr>
          <w:rFonts w:ascii="宋体" w:hAnsi="宋体"/>
          <w:sz w:val="24"/>
        </w:rPr>
        <w:lastRenderedPageBreak/>
        <w:t>可向基金托管人发送划款指令，将代垫开户费从本基金托管资金账户中扣还基金管理人。</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本基金签订全国银行间债券市场债券回购主协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本托管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或票据营业中心的代保管库，保管凭证由基金托管人持有。实物证券、银行定期存款证实书等有价凭证的购买和转让，按基金管理人和基金托管人双方约定办理。基金托管人对由基金托管人以外机</w:t>
      </w:r>
      <w:r>
        <w:rPr>
          <w:rFonts w:ascii="宋体" w:hAnsi="宋体"/>
          <w:sz w:val="24"/>
        </w:rPr>
        <w:lastRenderedPageBreak/>
        <w:t>构实际有效控制的资产不承担保管责任。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金额。各类基金份额的基金份额净值是按照每个交易日闭市后，该类基金份额的基金资产净值除以当日该类基金份额的余额数量计算，精确到0.0001元，小数点后第五位四舍五入。国家另有规定的，从其规定。</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的基金份额净值结果发送基金托管人，经基金托管人复核无误后，由基金管理人依据基金合同和相关法律法规的规定对外公布。月末、年中和年末估值复核与基金会计账目的核对同时进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真实性、准确性和完整性。基金托管人不得将所保管的基金份额持有人名册用于基金托管业务以外的其他用途，并应遵</w:t>
      </w:r>
      <w:r>
        <w:rPr>
          <w:rFonts w:ascii="宋体" w:hAnsi="宋体"/>
          <w:sz w:val="24"/>
        </w:rPr>
        <w:lastRenderedPageBreak/>
        <w:t>守保密义务。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上海国际经济贸易仲裁委员会，仲裁地点为上海市，按照上海国际经济贸易仲裁委员会届时有效的仲裁规则进行仲裁。仲裁裁决是终局的，对当事人均有约束力，除非仲裁裁决另有规定，仲裁费用、律师费由败诉方承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26" w:name="_Toc210145123"/>
      <w:r>
        <w:rPr>
          <w:rFonts w:ascii="Times New Roman" w:hAnsi="Times New Roman"/>
          <w:sz w:val="30"/>
        </w:rPr>
        <w:lastRenderedPageBreak/>
        <w:t>二十三、对基金份额持有人的服务</w:t>
      </w:r>
      <w:bookmarkEnd w:id="26"/>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本基金基金份额的申购、赎回、转换、定期定额投资等业务。通过网上直销交易平台办理本基金A类基金份额申购、定期定额投资业务的个人投资者将享受前端申购费率的优惠，其他费率标准不变。具体优惠费率请参见公司网站列示的网上直销申购费率表或相关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在条件成熟的时候，本基金管理人将根据基金网上直销业务的发展状况，适时调整可用于网上直销交易平台的银行卡种类，敬请个人投资者留意相关公告。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（四）基金转换业务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（五）基金红利再投资</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（六）定期定额投资计划</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本基金已开通A类基金份额的定期定额投资业务。</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（七）如本招募说明书存在任何您/贵机构无法理解的内容，请通过上述方式联系基金管理人。请确保投资前，您/贵机构已经全面理解了本招募说明书。</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27" w:name="_Toc210145124"/>
      <w:r>
        <w:rPr>
          <w:rFonts w:ascii="Times New Roman" w:hAnsi="Times New Roman"/>
          <w:sz w:val="30"/>
        </w:rPr>
        <w:lastRenderedPageBreak/>
        <w:t>二十四、其他应披露事项</w:t>
      </w:r>
      <w:bookmarkEnd w:id="27"/>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交银施罗德裕祥纯债债券型证券投资基金招募说明书更新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交银施罗德裕祥纯债债券型证券投资基金（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交银施罗德裕祥纯债债券型证券投资基金（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交银施罗德裕祥纯债债券型证券投资基金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交银施罗德基金管理有限公司关于开展旗下部分基金销售服务费优惠活动的公告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2024-11-20</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交银施罗德裕祥纯债债券型证券投资基金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交银施罗德基金管理有限公司关于旗下部分基金销售服务费优惠活动结束的公告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2025-02-21</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交银施罗德基金管理有限公司关于开展旗下部分基金销售服务费优惠活动的公告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2025-03-24</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交银施罗德裕祥纯债债券型证券投资基金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交银施罗德裕祥纯债债券型证券投资基金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交银施罗德基金管理有限公司关于交银施罗德裕祥纯债债券型证券投资基金基金经理变更公告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2025-07-03</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交银施罗德裕祥纯债债券型证券投资基金招募说明书更新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2025-07-08</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交银施罗德裕祥纯债债券型证券投资基金（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2025-07-08</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交银施罗德裕祥纯债债券型证券投资基金（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2025-07-08</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交银施罗德裕祥纯债债券型证券投资基金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3D0B8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交银施罗德裕祥纯债债券型证券投资基金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D0B83" w:rsidRDefault="00593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28" w:name="_Toc210145125"/>
      <w:r>
        <w:rPr>
          <w:rFonts w:ascii="Times New Roman" w:hAnsi="Times New Roman"/>
          <w:sz w:val="30"/>
        </w:rPr>
        <w:lastRenderedPageBreak/>
        <w:t>二十五、招募说明书的存放及查阅方式</w:t>
      </w:r>
      <w:bookmarkEnd w:id="28"/>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5930A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D0B83" w:rsidRDefault="005930AE">
      <w:pPr>
        <w:pStyle w:val="1"/>
        <w:snapToGrid w:val="0"/>
        <w:spacing w:beforeLines="0" w:before="240" w:after="240"/>
        <w:rPr>
          <w:rFonts w:ascii="宋体" w:hAnsi="宋体"/>
          <w:szCs w:val="30"/>
        </w:rPr>
      </w:pPr>
      <w:bookmarkStart w:id="29" w:name="_Toc210145126"/>
      <w:r>
        <w:rPr>
          <w:rFonts w:ascii="Times New Roman" w:hAnsi="Times New Roman"/>
          <w:sz w:val="30"/>
        </w:rPr>
        <w:lastRenderedPageBreak/>
        <w:t>二十六、备查文件</w:t>
      </w:r>
      <w:bookmarkEnd w:id="29"/>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（一）中国证监会准予交银施罗德裕祥纯债债券型证券投资基金募集注册的文件</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（二）《交银施罗德裕祥纯债债券型证券投资基金基金合同》</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（三）《交银施罗德裕祥纯债债券型证券投资基金托管协议》</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3D0B83" w:rsidRDefault="005930A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（六）关于申请募集注册交银施罗德裕祥纯债债券型证券投资基金的法律意见书</w:t>
      </w:r>
    </w:p>
    <w:sectPr w:rsidR="003D0B83">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8AF" w:rsidRDefault="005930AE">
      <w:r>
        <w:separator/>
      </w:r>
    </w:p>
  </w:endnote>
  <w:endnote w:type="continuationSeparator" w:id="0">
    <w:p w:rsidR="00F578AF" w:rsidRDefault="00593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B83" w:rsidRDefault="003D0B8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B83" w:rsidRDefault="008F725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7728;mso-position-horizontal-relative:page;mso-position-vertical-relative:page;mso-width-relative:page;mso-height-relative:page" o:allowincell="f" filled="f" stroked="f">
          <v:textbox inset="0,0,0,0">
            <w:txbxContent>
              <w:p w:rsidR="003D0B83" w:rsidRDefault="005930A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F7259">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B83" w:rsidRDefault="003D0B83">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B83" w:rsidRDefault="008F725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6704;mso-position-horizontal-relative:page;mso-position-vertical-relative:page;mso-width-relative:page;mso-height-relative:page" o:allowincell="f" filled="f" stroked="f">
          <v:textbox inset="0,0,0,0">
            <w:txbxContent>
              <w:p w:rsidR="003D0B83" w:rsidRDefault="005930A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F7259">
                  <w:rPr>
                    <w:rFonts w:ascii="Times New Roman" w:hAnsi="Times New Roman"/>
                    <w:noProof/>
                    <w:kern w:val="0"/>
                    <w:sz w:val="18"/>
                    <w:szCs w:val="18"/>
                  </w:rPr>
                  <w:t>131</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8AF" w:rsidRDefault="005930AE">
      <w:r>
        <w:separator/>
      </w:r>
    </w:p>
  </w:footnote>
  <w:footnote w:type="continuationSeparator" w:id="0">
    <w:p w:rsidR="00F578AF" w:rsidRDefault="005930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B83" w:rsidRDefault="003D0B8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5D0" w:rsidRDefault="005930AE">
    <w:pPr>
      <w:pStyle w:val="a3"/>
      <w:jc w:val="right"/>
    </w:pPr>
    <w:r>
      <w:rPr>
        <w:noProof/>
      </w:rPr>
      <w:drawing>
        <wp:anchor distT="0" distB="0" distL="114300" distR="114300" simplePos="0" relativeHeight="251655680"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3D0B83" w:rsidRDefault="005930AE">
    <w:pPr>
      <w:pStyle w:val="a3"/>
      <w:jc w:val="right"/>
      <w:rPr>
        <w:rFonts w:ascii="宋体" w:hAnsi="宋体"/>
      </w:rPr>
    </w:pPr>
    <w:r>
      <w:rPr>
        <w:rFonts w:ascii="宋体" w:hAnsi="宋体" w:hint="eastAsia"/>
      </w:rPr>
      <w:t>交银施罗德裕祥纯债债券型证券投资基金招募说明书更新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B83" w:rsidRDefault="003D0B83">
    <w:pPr>
      <w:pStyle w:val="10"/>
      <w:jc w:val="right"/>
    </w:pPr>
  </w:p>
  <w:p w:rsidR="003D0B83" w:rsidRDefault="003D0B83">
    <w:pPr>
      <w:pStyle w:val="10"/>
      <w:jc w:val="right"/>
    </w:pPr>
  </w:p>
  <w:p w:rsidR="003D0B83" w:rsidRDefault="003D0B83">
    <w:pPr>
      <w:pStyle w:val="a3"/>
      <w:jc w:val="right"/>
    </w:pPr>
  </w:p>
  <w:p w:rsidR="009E65D0" w:rsidRDefault="005930AE">
    <w:pPr>
      <w:pStyle w:val="a3"/>
      <w:jc w:val="right"/>
    </w:pPr>
    <w:r>
      <w:rPr>
        <w:noProof/>
      </w:rPr>
      <w:drawing>
        <wp:anchor distT="0" distB="0" distL="114300" distR="114300" simplePos="0" relativeHeight="251656704"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3D0B83" w:rsidRDefault="005930AE">
    <w:pPr>
      <w:pStyle w:val="a3"/>
      <w:jc w:val="right"/>
      <w:rPr>
        <w:rFonts w:ascii="宋体" w:hAnsi="宋体"/>
      </w:rPr>
    </w:pPr>
    <w:r>
      <w:rPr>
        <w:rFonts w:ascii="宋体" w:hAnsi="宋体" w:hint="eastAsia"/>
      </w:rPr>
      <w:t>交银施罗德裕祥纯债债券型证券投资基金招募说明书更新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B83" w:rsidRDefault="003D0B83">
    <w:pPr>
      <w:pStyle w:val="a3"/>
      <w:jc w:val="right"/>
    </w:pPr>
  </w:p>
  <w:p w:rsidR="003D0B83" w:rsidRDefault="003D0B83">
    <w:pPr>
      <w:pStyle w:val="a3"/>
      <w:jc w:val="right"/>
    </w:pPr>
  </w:p>
  <w:p w:rsidR="003D0B83" w:rsidRDefault="003D0B83">
    <w:pPr>
      <w:pStyle w:val="a3"/>
      <w:jc w:val="right"/>
    </w:pPr>
  </w:p>
  <w:p w:rsidR="009E65D0" w:rsidRDefault="005930AE">
    <w:pPr>
      <w:pStyle w:val="a3"/>
      <w:jc w:val="right"/>
    </w:pPr>
    <w:r>
      <w:rPr>
        <w:noProof/>
      </w:rPr>
      <w:drawing>
        <wp:anchor distT="0" distB="0" distL="114300" distR="114300" simplePos="0" relativeHeight="251657728"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3D0B83" w:rsidRDefault="005930AE">
    <w:pPr>
      <w:pStyle w:val="a3"/>
      <w:jc w:val="right"/>
      <w:rPr>
        <w:rFonts w:ascii="宋体" w:hAnsi="宋体"/>
      </w:rPr>
    </w:pPr>
    <w:r>
      <w:rPr>
        <w:rFonts w:ascii="宋体" w:hAnsi="宋体" w:hint="eastAsia"/>
      </w:rPr>
      <w:t>交银施罗德裕祥纯债债券型证券投资基金招募说明书更新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0B83"/>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30AE"/>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8F7259"/>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578AF"/>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4B2D31ED-0C1D-40D6-9212-23D9B5F2F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132</Pages>
  <Words>13805</Words>
  <Characters>78694</Characters>
  <Application>Microsoft Office Word</Application>
  <DocSecurity>0</DocSecurity>
  <Lines>655</Lines>
  <Paragraphs>184</Paragraphs>
  <ScaleCrop>false</ScaleCrop>
  <Company>Microsoft</Company>
  <LinksUpToDate>false</LinksUpToDate>
  <CharactersWithSpaces>92315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2025-09-30T09:18:00Z</dcterms:created>
  <dcterms:modified xsi:type="dcterms:W3CDTF">2025-09-30T09:18:00Z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