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68755B">
      <w:pPr>
        <w:rPr>
          <w:sz w:val="32"/>
        </w:rPr>
      </w:pPr>
    </w:p>
    <w:p w:rsidR="00C92FC0" w:rsidRPr="00EB07BC" w:rsidRDefault="0068755B">
      <w:pPr>
        <w:rPr>
          <w:sz w:val="32"/>
        </w:rPr>
      </w:pPr>
    </w:p>
    <w:p w:rsidR="00C92FC0" w:rsidRPr="00EB07BC" w:rsidRDefault="0068755B">
      <w:pPr>
        <w:rPr>
          <w:sz w:val="32"/>
        </w:rPr>
      </w:pPr>
    </w:p>
    <w:p w:rsidR="00C92FC0" w:rsidRPr="00EB07BC" w:rsidRDefault="0052604B">
      <w:pPr>
        <w:jc w:val="center"/>
        <w:rPr>
          <w:sz w:val="32"/>
        </w:rPr>
      </w:pPr>
      <w:r>
        <w:rPr>
          <w:noProof/>
        </w:rPr>
        <w:drawing>
          <wp:inline distT="0" distB="0" distL="0" distR="0" wp14:anchorId="310493FC" wp14:editId="17ADE824">
            <wp:extent cx="4343400" cy="571500"/>
            <wp:effectExtent l="19050" t="0" r="0" b="0"/>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8" cstate="print"/>
                    <a:srcRect/>
                    <a:stretch>
                      <a:fillRect/>
                    </a:stretch>
                  </pic:blipFill>
                  <pic:spPr bwMode="auto">
                    <a:xfrm>
                      <a:off x="0" y="0"/>
                      <a:ext cx="4343400" cy="571500"/>
                    </a:xfrm>
                    <a:prstGeom prst="rect">
                      <a:avLst/>
                    </a:prstGeom>
                    <a:noFill/>
                    <a:ln w="9525">
                      <a:noFill/>
                      <a:miter lim="800000"/>
                      <a:headEnd/>
                      <a:tailEnd/>
                    </a:ln>
                  </pic:spPr>
                </pic:pic>
              </a:graphicData>
            </a:graphic>
          </wp:inline>
        </w:drawing>
      </w:r>
    </w:p>
    <w:p w:rsidR="009832D2" w:rsidRDefault="009832D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832D2" w:rsidRDefault="009832D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832D2" w:rsidRDefault="0052604B">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交银施罗德双利债券证券投资基金</w:t>
      </w:r>
    </w:p>
    <w:p w:rsidR="009832D2" w:rsidRDefault="0052604B">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9832D2" w:rsidRDefault="009832D2">
      <w:pPr>
        <w:snapToGrid w:val="0"/>
        <w:spacing w:line="360" w:lineRule="auto"/>
        <w:jc w:val="center"/>
        <w:rPr>
          <w:rFonts w:ascii="宋体" w:hAnsi="宋体"/>
          <w:b/>
          <w:sz w:val="30"/>
          <w:szCs w:val="30"/>
        </w:rPr>
      </w:pPr>
    </w:p>
    <w:p w:rsidR="009832D2" w:rsidRDefault="009832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832D2" w:rsidRDefault="009832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832D2" w:rsidRDefault="009832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832D2" w:rsidRDefault="009832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832D2" w:rsidRDefault="009832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832D2" w:rsidRDefault="009832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832D2" w:rsidRDefault="0052604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9832D2" w:rsidRDefault="0052604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基金托管人：中国建设银行股份有限公司</w:t>
      </w:r>
    </w:p>
    <w:p w:rsidR="009832D2" w:rsidRDefault="009832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832D2" w:rsidRDefault="009832D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832D2" w:rsidRDefault="0052604B">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二〇二五年九月</w:t>
      </w:r>
    </w:p>
    <w:p w:rsidR="009832D2" w:rsidRDefault="009832D2">
      <w:pPr>
        <w:autoSpaceDE w:val="0"/>
        <w:autoSpaceDN w:val="0"/>
        <w:adjustRightInd w:val="0"/>
        <w:snapToGrid w:val="0"/>
        <w:spacing w:line="360" w:lineRule="auto"/>
        <w:ind w:left="1347" w:rightChars="6" w:right="13"/>
        <w:rPr>
          <w:rFonts w:ascii="宋体" w:hAnsi="宋体"/>
          <w:kern w:val="0"/>
          <w:sz w:val="32"/>
          <w:szCs w:val="32"/>
        </w:rPr>
        <w:sectPr w:rsidR="009832D2">
          <w:headerReference w:type="even" r:id="rId9"/>
          <w:headerReference w:type="default" r:id="rId10"/>
          <w:footerReference w:type="even" r:id="rId11"/>
          <w:footerReference w:type="default" r:id="rId12"/>
          <w:headerReference w:type="first" r:id="rId13"/>
          <w:footerReference w:type="first" r:id="rId14"/>
          <w:pgSz w:w="11920" w:h="16840"/>
          <w:pgMar w:top="1560" w:right="1680" w:bottom="280" w:left="1680" w:header="0" w:footer="1073" w:gutter="0"/>
          <w:pgNumType w:start="1"/>
          <w:cols w:space="720"/>
          <w:titlePg/>
          <w:docGrid w:linePitch="286"/>
        </w:sectPr>
      </w:pPr>
    </w:p>
    <w:p w:rsidR="009832D2" w:rsidRDefault="0052604B">
      <w:pPr>
        <w:pStyle w:val="1"/>
        <w:snapToGrid w:val="0"/>
        <w:spacing w:beforeLines="0" w:before="240" w:after="240"/>
        <w:rPr>
          <w:rFonts w:ascii="宋体" w:hAnsi="宋体"/>
          <w:kern w:val="0"/>
        </w:rPr>
      </w:pPr>
      <w:bookmarkStart w:id="0" w:name="_Toc324920538"/>
      <w:bookmarkStart w:id="1" w:name="_Toc496884613"/>
      <w:bookmarkStart w:id="2" w:name="_Toc210145104"/>
      <w:r>
        <w:rPr>
          <w:rFonts w:ascii="Times New Roman" w:hAnsi="Times New Roman"/>
          <w:kern w:val="0"/>
        </w:rPr>
        <w:lastRenderedPageBreak/>
        <w:t>重要提示</w:t>
      </w:r>
      <w:bookmarkEnd w:id="0"/>
      <w:bookmarkEnd w:id="1"/>
      <w:bookmarkEnd w:id="2"/>
    </w:p>
    <w:p w:rsidR="009832D2" w:rsidRDefault="0052604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交银施罗德双利债券证券投资基金（以下简称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2011</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日中国证券监督管理委员会证监许可【</w:t>
      </w:r>
      <w:r>
        <w:rPr>
          <w:rFonts w:ascii="Times New Roman" w:hAnsi="Times New Roman"/>
          <w:kern w:val="0"/>
          <w:sz w:val="24"/>
        </w:rPr>
        <w:t>2011</w:t>
      </w:r>
      <w:r>
        <w:rPr>
          <w:rFonts w:ascii="Times New Roman" w:hAnsi="Times New Roman"/>
          <w:kern w:val="0"/>
          <w:sz w:val="24"/>
        </w:rPr>
        <w:t>】</w:t>
      </w:r>
      <w:r>
        <w:rPr>
          <w:rFonts w:ascii="Times New Roman" w:hAnsi="Times New Roman"/>
          <w:kern w:val="0"/>
          <w:sz w:val="24"/>
        </w:rPr>
        <w:t>1093</w:t>
      </w:r>
      <w:r>
        <w:rPr>
          <w:rFonts w:ascii="Times New Roman" w:hAnsi="Times New Roman"/>
          <w:kern w:val="0"/>
          <w:sz w:val="24"/>
        </w:rPr>
        <w:t>号文核准募集。本基金基金合同于</w:t>
      </w:r>
      <w:r>
        <w:rPr>
          <w:rFonts w:ascii="Times New Roman" w:hAnsi="Times New Roman"/>
          <w:kern w:val="0"/>
          <w:sz w:val="24"/>
        </w:rPr>
        <w:t>2011</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26</w:t>
      </w:r>
      <w:r>
        <w:rPr>
          <w:rFonts w:ascii="Times New Roman" w:hAnsi="Times New Roman"/>
          <w:kern w:val="0"/>
          <w:sz w:val="24"/>
        </w:rPr>
        <w:t>日正式生效。</w:t>
      </w:r>
    </w:p>
    <w:p w:rsidR="009832D2" w:rsidRDefault="0052604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9832D2" w:rsidRDefault="0052604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9832D2" w:rsidRDefault="0052604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因政治、经济、社会等因素对证券价格波动产生影响而引发的系统性风险，个别证券特有的非系统性风险，基金管理人在基金管理实施过程中产生的基金管理风险，流动性风险（包括实施侧袋机制时的特定风险），本基金投资债券引发的信用风险，投资科创板股票的特定风险，以及本基金投资策略所特有的风险等等。本基金是一只债券型基金，属于基金中的中等风险品种，本基金长期平均的预期收益和风险高于货币市场基金，低于股票型基金和混合型基金。</w:t>
      </w:r>
    </w:p>
    <w:p w:rsidR="009832D2" w:rsidRDefault="0052604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者在投资本基金前应认真阅读本基金的《招募说明书》和《基金合同》、基金产品资料概要。基金的过往业绩并不代表其未来表现。基金管理人管理的其他基金的业绩并不构成对本基金业绩表现的保证。</w:t>
      </w:r>
    </w:p>
    <w:p w:rsidR="009832D2" w:rsidRDefault="0052604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9832D2" w:rsidRDefault="009832D2">
      <w:pPr>
        <w:autoSpaceDE w:val="0"/>
        <w:autoSpaceDN w:val="0"/>
        <w:adjustRightInd w:val="0"/>
        <w:snapToGrid w:val="0"/>
        <w:spacing w:before="51" w:line="360" w:lineRule="auto"/>
        <w:ind w:left="120" w:rightChars="6" w:right="13" w:firstLine="480"/>
        <w:rPr>
          <w:rFonts w:ascii="宋体" w:hAnsi="宋体"/>
          <w:kern w:val="0"/>
          <w:szCs w:val="24"/>
        </w:rPr>
        <w:sectPr w:rsidR="009832D2">
          <w:headerReference w:type="default" r:id="rId15"/>
          <w:pgSz w:w="11920" w:h="16840"/>
          <w:pgMar w:top="1440" w:right="1680" w:bottom="280" w:left="1680" w:header="0" w:footer="1073" w:gutter="0"/>
          <w:pgNumType w:start="1"/>
          <w:cols w:space="720"/>
        </w:sectPr>
      </w:pPr>
    </w:p>
    <w:p w:rsidR="0068755B" w:rsidRPr="0068755B" w:rsidRDefault="0052604B" w:rsidP="0068755B">
      <w:pPr>
        <w:pStyle w:val="ad"/>
        <w:snapToGrid w:val="0"/>
        <w:spacing w:after="240" w:line="360" w:lineRule="auto"/>
        <w:jc w:val="center"/>
        <w:rPr>
          <w:rFonts w:ascii="宋体" w:hAnsi="宋体"/>
          <w:noProof/>
          <w:sz w:val="24"/>
        </w:rPr>
      </w:pPr>
      <w:r w:rsidRPr="0068755B">
        <w:rPr>
          <w:rFonts w:ascii="宋体" w:hAnsi="宋体"/>
          <w:color w:val="000000"/>
          <w:position w:val="-4"/>
          <w:sz w:val="24"/>
          <w:szCs w:val="30"/>
        </w:rPr>
        <w:lastRenderedPageBreak/>
        <w:t>目</w:t>
      </w:r>
      <w:r w:rsidRPr="0068755B">
        <w:rPr>
          <w:rFonts w:ascii="宋体" w:hAnsi="宋体"/>
          <w:color w:val="000000"/>
          <w:position w:val="-4"/>
          <w:sz w:val="24"/>
          <w:szCs w:val="30"/>
        </w:rPr>
        <w:tab/>
        <w:t>录</w:t>
      </w:r>
      <w:r w:rsidR="0068755B" w:rsidRPr="0068755B">
        <w:rPr>
          <w:rFonts w:ascii="宋体" w:hAnsi="宋体"/>
          <w:color w:val="000000"/>
          <w:position w:val="-4"/>
          <w:sz w:val="24"/>
          <w:szCs w:val="30"/>
        </w:rPr>
        <w:fldChar w:fldCharType="begin"/>
      </w:r>
      <w:r w:rsidR="0068755B" w:rsidRPr="0068755B">
        <w:rPr>
          <w:rFonts w:ascii="宋体" w:hAnsi="宋体"/>
          <w:color w:val="000000"/>
          <w:position w:val="-4"/>
          <w:sz w:val="24"/>
          <w:szCs w:val="30"/>
        </w:rPr>
        <w:instrText xml:space="preserve"> TOC \o "1-3" \f - \h \t "-1" </w:instrText>
      </w:r>
      <w:r w:rsidR="0068755B" w:rsidRPr="0068755B">
        <w:rPr>
          <w:rFonts w:ascii="宋体" w:hAnsi="宋体"/>
          <w:color w:val="000000"/>
          <w:position w:val="-4"/>
          <w:sz w:val="24"/>
          <w:szCs w:val="30"/>
        </w:rPr>
        <w:fldChar w:fldCharType="separate"/>
      </w:r>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04" w:history="1">
        <w:r w:rsidRPr="0068755B">
          <w:rPr>
            <w:rStyle w:val="aa"/>
            <w:rFonts w:ascii="宋体" w:hAnsi="宋体" w:hint="eastAsia"/>
            <w:noProof/>
            <w:kern w:val="0"/>
            <w:sz w:val="24"/>
          </w:rPr>
          <w:t>重要提示</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_Toc210145104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05" w:history="1">
        <w:r w:rsidRPr="0068755B">
          <w:rPr>
            <w:rStyle w:val="aa"/>
            <w:rFonts w:ascii="宋体" w:hAnsi="宋体" w:hint="eastAsia"/>
            <w:noProof/>
            <w:sz w:val="24"/>
          </w:rPr>
          <w:t>一、绪言</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_Toc210145105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3</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06" w:history="1">
        <w:r w:rsidRPr="0068755B">
          <w:rPr>
            <w:rStyle w:val="aa"/>
            <w:rFonts w:ascii="宋体" w:hAnsi="宋体" w:hint="eastAsia"/>
            <w:noProof/>
            <w:sz w:val="24"/>
          </w:rPr>
          <w:t>二、释义</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_Toc210145106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4</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07" w:history="1">
        <w:r w:rsidRPr="0068755B">
          <w:rPr>
            <w:rStyle w:val="aa"/>
            <w:rFonts w:ascii="宋体" w:hAnsi="宋体" w:hint="eastAsia"/>
            <w:noProof/>
            <w:sz w:val="24"/>
          </w:rPr>
          <w:t>三、基金管理人</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_Toc210145107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10</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08" w:history="1">
        <w:r w:rsidRPr="0068755B">
          <w:rPr>
            <w:rStyle w:val="aa"/>
            <w:rFonts w:ascii="宋体" w:hAnsi="宋体" w:hint="eastAsia"/>
            <w:noProof/>
            <w:sz w:val="24"/>
          </w:rPr>
          <w:t>四、基金托管人</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_Toc210145108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18</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09" w:history="1">
        <w:r w:rsidRPr="0068755B">
          <w:rPr>
            <w:rStyle w:val="aa"/>
            <w:rFonts w:ascii="宋体" w:hAnsi="宋体" w:hint="eastAsia"/>
            <w:noProof/>
            <w:sz w:val="24"/>
          </w:rPr>
          <w:t>五、相关服务机构</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_Toc210145109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21</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10" w:history="1">
        <w:r w:rsidRPr="0068755B">
          <w:rPr>
            <w:rStyle w:val="aa"/>
            <w:rFonts w:ascii="宋体" w:hAnsi="宋体" w:hint="eastAsia"/>
            <w:noProof/>
            <w:sz w:val="24"/>
          </w:rPr>
          <w:t>六、基金的募集</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_Toc210145110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55</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11" w:history="1">
        <w:r w:rsidRPr="0068755B">
          <w:rPr>
            <w:rStyle w:val="aa"/>
            <w:rFonts w:ascii="宋体" w:hAnsi="宋体" w:hint="eastAsia"/>
            <w:noProof/>
            <w:sz w:val="24"/>
          </w:rPr>
          <w:t>七、基金合同的生效</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_Toc210145111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56</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12" w:history="1">
        <w:r w:rsidRPr="0068755B">
          <w:rPr>
            <w:rStyle w:val="aa"/>
            <w:rFonts w:ascii="宋体" w:hAnsi="宋体" w:hint="eastAsia"/>
            <w:noProof/>
            <w:sz w:val="24"/>
          </w:rPr>
          <w:t>八、基金份额的申购与赎回</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_Toc210145112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57</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13" w:history="1">
        <w:r w:rsidRPr="0068755B">
          <w:rPr>
            <w:rStyle w:val="aa"/>
            <w:rFonts w:ascii="宋体" w:hAnsi="宋体" w:hint="eastAsia"/>
            <w:noProof/>
            <w:sz w:val="24"/>
          </w:rPr>
          <w:t>九、基金的转换</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_Toc210145113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71</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14" w:history="1">
        <w:r w:rsidRPr="0068755B">
          <w:rPr>
            <w:rStyle w:val="aa"/>
            <w:rFonts w:ascii="宋体" w:hAnsi="宋体" w:hint="eastAsia"/>
            <w:noProof/>
            <w:sz w:val="24"/>
          </w:rPr>
          <w:t>十、基金的投资</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_Toc210145114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78</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15" w:history="1">
        <w:r w:rsidRPr="0068755B">
          <w:rPr>
            <w:rStyle w:val="aa"/>
            <w:rFonts w:ascii="宋体" w:hAnsi="宋体" w:hint="eastAsia"/>
            <w:noProof/>
            <w:sz w:val="24"/>
          </w:rPr>
          <w:t>十一、基金的业绩</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_Toc210145115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93</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16" w:history="1">
        <w:r w:rsidRPr="0068755B">
          <w:rPr>
            <w:rStyle w:val="aa"/>
            <w:rFonts w:ascii="宋体" w:hAnsi="宋体" w:hint="eastAsia"/>
            <w:noProof/>
            <w:sz w:val="24"/>
          </w:rPr>
          <w:t>十二、基金的财产</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_Toc210145116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97</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17" w:history="1">
        <w:r w:rsidRPr="0068755B">
          <w:rPr>
            <w:rStyle w:val="aa"/>
            <w:rFonts w:ascii="宋体" w:hAnsi="宋体" w:hint="eastAsia"/>
            <w:noProof/>
            <w:sz w:val="24"/>
          </w:rPr>
          <w:t>十三、基金资产的估值</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_Toc210145117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98</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18" w:history="1">
        <w:r w:rsidRPr="0068755B">
          <w:rPr>
            <w:rStyle w:val="aa"/>
            <w:rFonts w:ascii="宋体" w:hAnsi="宋体" w:hint="eastAsia"/>
            <w:noProof/>
            <w:sz w:val="24"/>
          </w:rPr>
          <w:t>十四、基金的收益与分配</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_Toc210145118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103</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19" w:history="1">
        <w:r w:rsidRPr="0068755B">
          <w:rPr>
            <w:rStyle w:val="aa"/>
            <w:rFonts w:ascii="宋体" w:hAnsi="宋体" w:hint="eastAsia"/>
            <w:noProof/>
            <w:sz w:val="24"/>
          </w:rPr>
          <w:t>十五、基金的费用与税收</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_Toc210145119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105</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20" w:history="1">
        <w:r w:rsidRPr="0068755B">
          <w:rPr>
            <w:rStyle w:val="aa"/>
            <w:rFonts w:ascii="宋体" w:hAnsi="宋体" w:hint="eastAsia"/>
            <w:noProof/>
            <w:sz w:val="24"/>
          </w:rPr>
          <w:t>十六、基金的会计与审计</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_Toc210145120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108</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21" w:history="1">
        <w:r w:rsidRPr="0068755B">
          <w:rPr>
            <w:rStyle w:val="aa"/>
            <w:rFonts w:ascii="宋体" w:hAnsi="宋体" w:hint="eastAsia"/>
            <w:noProof/>
            <w:sz w:val="24"/>
          </w:rPr>
          <w:t>十七、基金的信息披露</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_Toc210145121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109</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22" w:history="1">
        <w:r w:rsidRPr="0068755B">
          <w:rPr>
            <w:rStyle w:val="aa"/>
            <w:rFonts w:ascii="宋体" w:hAnsi="宋体" w:hint="eastAsia"/>
            <w:noProof/>
            <w:sz w:val="24"/>
          </w:rPr>
          <w:t>十八、侧袋机制</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_Toc210145122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115</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23" w:history="1">
        <w:r w:rsidRPr="0068755B">
          <w:rPr>
            <w:rStyle w:val="aa"/>
            <w:rFonts w:ascii="宋体" w:hAnsi="宋体" w:hint="eastAsia"/>
            <w:noProof/>
            <w:sz w:val="24"/>
          </w:rPr>
          <w:t>十九、风险揭示</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_Toc210145123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118</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24" w:history="1">
        <w:r w:rsidRPr="0068755B">
          <w:rPr>
            <w:rStyle w:val="aa"/>
            <w:rFonts w:ascii="宋体" w:hAnsi="宋体" w:hint="eastAsia"/>
            <w:noProof/>
            <w:sz w:val="24"/>
          </w:rPr>
          <w:t>二十、基金合同的变更、终止与基金财产的清算</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_Toc210145124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125</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25" w:history="1">
        <w:r w:rsidRPr="0068755B">
          <w:rPr>
            <w:rStyle w:val="aa"/>
            <w:rFonts w:ascii="宋体" w:hAnsi="宋体" w:hint="eastAsia"/>
            <w:noProof/>
            <w:sz w:val="24"/>
          </w:rPr>
          <w:t>二十一、基金合同内容摘要</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_Toc210145125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128</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26" w:history="1">
        <w:r w:rsidRPr="0068755B">
          <w:rPr>
            <w:rStyle w:val="aa"/>
            <w:rFonts w:ascii="宋体" w:hAnsi="宋体" w:hint="eastAsia"/>
            <w:noProof/>
            <w:sz w:val="24"/>
          </w:rPr>
          <w:t>二十二、托管协议的内容摘要</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_Toc210145126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143</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27" w:history="1">
        <w:r w:rsidRPr="0068755B">
          <w:rPr>
            <w:rStyle w:val="aa"/>
            <w:rFonts w:ascii="宋体" w:hAnsi="宋体" w:hint="eastAsia"/>
            <w:noProof/>
            <w:sz w:val="24"/>
          </w:rPr>
          <w:t>二十三、对基金份额持有人的服务</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_Toc210145127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159</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28" w:history="1">
        <w:r w:rsidRPr="0068755B">
          <w:rPr>
            <w:rStyle w:val="aa"/>
            <w:rFonts w:ascii="宋体" w:hAnsi="宋体" w:hint="eastAsia"/>
            <w:noProof/>
            <w:sz w:val="24"/>
          </w:rPr>
          <w:t>二十四、其他应披露事项</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_Toc210145128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161</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29" w:history="1">
        <w:r w:rsidRPr="0068755B">
          <w:rPr>
            <w:rStyle w:val="aa"/>
            <w:rFonts w:ascii="宋体" w:hAnsi="宋体" w:hint="eastAsia"/>
            <w:noProof/>
            <w:sz w:val="24"/>
          </w:rPr>
          <w:t>二十五、招募说明书的存放及查阅方式</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_Toc210145129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163</w:t>
        </w:r>
        <w:r w:rsidRPr="0068755B">
          <w:rPr>
            <w:rFonts w:ascii="宋体" w:hAnsi="宋体"/>
            <w:noProof/>
            <w:sz w:val="24"/>
          </w:rPr>
          <w:fldChar w:fldCharType="end"/>
        </w:r>
      </w:hyperlink>
    </w:p>
    <w:p w:rsidR="0068755B" w:rsidRPr="0068755B" w:rsidRDefault="0068755B" w:rsidP="0068755B">
      <w:pPr>
        <w:pStyle w:val="10"/>
        <w:tabs>
          <w:tab w:val="right" w:leader="dot" w:pos="8550"/>
        </w:tabs>
        <w:spacing w:line="360" w:lineRule="auto"/>
        <w:rPr>
          <w:rFonts w:ascii="宋体" w:hAnsi="宋体" w:cstheme="minorBidi"/>
          <w:noProof/>
          <w:sz w:val="24"/>
        </w:rPr>
      </w:pPr>
      <w:hyperlink w:anchor="_Toc210145130" w:history="1">
        <w:r w:rsidRPr="0068755B">
          <w:rPr>
            <w:rStyle w:val="aa"/>
            <w:rFonts w:ascii="宋体" w:hAnsi="宋体" w:hint="eastAsia"/>
            <w:noProof/>
            <w:sz w:val="24"/>
          </w:rPr>
          <w:t>二十六、备查文件</w:t>
        </w:r>
        <w:r w:rsidRPr="0068755B">
          <w:rPr>
            <w:rFonts w:ascii="宋体" w:hAnsi="宋体"/>
            <w:noProof/>
            <w:sz w:val="24"/>
          </w:rPr>
          <w:tab/>
        </w:r>
        <w:r w:rsidRPr="0068755B">
          <w:rPr>
            <w:rFonts w:ascii="宋体" w:hAnsi="宋体"/>
            <w:noProof/>
            <w:sz w:val="24"/>
          </w:rPr>
          <w:fldChar w:fldCharType="begin"/>
        </w:r>
        <w:r w:rsidRPr="0068755B">
          <w:rPr>
            <w:rFonts w:ascii="宋体" w:hAnsi="宋体"/>
            <w:noProof/>
            <w:sz w:val="24"/>
          </w:rPr>
          <w:instrText xml:space="preserve"> PAGEREF _Toc210145130 \h </w:instrText>
        </w:r>
        <w:r w:rsidRPr="0068755B">
          <w:rPr>
            <w:rFonts w:ascii="宋体" w:hAnsi="宋体"/>
            <w:noProof/>
            <w:sz w:val="24"/>
          </w:rPr>
        </w:r>
        <w:r w:rsidRPr="0068755B">
          <w:rPr>
            <w:rFonts w:ascii="宋体" w:hAnsi="宋体"/>
            <w:noProof/>
            <w:sz w:val="24"/>
          </w:rPr>
          <w:fldChar w:fldCharType="separate"/>
        </w:r>
        <w:r w:rsidRPr="0068755B">
          <w:rPr>
            <w:rFonts w:ascii="宋体" w:hAnsi="宋体"/>
            <w:noProof/>
            <w:sz w:val="24"/>
          </w:rPr>
          <w:t>164</w:t>
        </w:r>
        <w:r w:rsidRPr="0068755B">
          <w:rPr>
            <w:rFonts w:ascii="宋体" w:hAnsi="宋体"/>
            <w:noProof/>
            <w:sz w:val="24"/>
          </w:rPr>
          <w:fldChar w:fldCharType="end"/>
        </w:r>
      </w:hyperlink>
    </w:p>
    <w:p w:rsidR="009832D2" w:rsidRPr="0068755B" w:rsidRDefault="0068755B" w:rsidP="0068755B">
      <w:pPr>
        <w:pStyle w:val="ad"/>
        <w:snapToGrid w:val="0"/>
        <w:spacing w:after="240" w:line="360" w:lineRule="auto"/>
        <w:jc w:val="center"/>
        <w:rPr>
          <w:rFonts w:ascii="宋体" w:hAnsi="宋体"/>
          <w:color w:val="000000"/>
          <w:sz w:val="24"/>
        </w:rPr>
      </w:pPr>
      <w:r w:rsidRPr="0068755B">
        <w:rPr>
          <w:rFonts w:ascii="宋体" w:hAnsi="宋体"/>
          <w:color w:val="000000"/>
          <w:position w:val="-4"/>
          <w:sz w:val="24"/>
          <w:szCs w:val="30"/>
        </w:rPr>
        <w:fldChar w:fldCharType="end"/>
      </w:r>
      <w:bookmarkStart w:id="3" w:name="_GoBack"/>
      <w:bookmarkEnd w:id="3"/>
    </w:p>
    <w:p w:rsidR="009832D2" w:rsidRDefault="009832D2">
      <w:pPr>
        <w:autoSpaceDE w:val="0"/>
        <w:autoSpaceDN w:val="0"/>
        <w:adjustRightInd w:val="0"/>
        <w:snapToGrid w:val="0"/>
        <w:spacing w:line="360" w:lineRule="auto"/>
        <w:ind w:left="120" w:rightChars="6" w:right="13"/>
        <w:rPr>
          <w:rFonts w:ascii="宋体" w:hAnsi="宋体"/>
          <w:kern w:val="0"/>
          <w:szCs w:val="24"/>
        </w:rPr>
        <w:sectPr w:rsidR="009832D2">
          <w:pgSz w:w="11920" w:h="16840"/>
          <w:pgMar w:top="1480" w:right="1680" w:bottom="280" w:left="1680" w:header="0" w:footer="1073" w:gutter="0"/>
          <w:cols w:space="720"/>
        </w:sectPr>
      </w:pPr>
    </w:p>
    <w:p w:rsidR="009832D2" w:rsidRDefault="0052604B">
      <w:pPr>
        <w:pStyle w:val="1"/>
        <w:snapToGrid w:val="0"/>
        <w:spacing w:beforeLines="0" w:before="240" w:after="240"/>
        <w:rPr>
          <w:rFonts w:ascii="宋体" w:hAnsi="宋体"/>
          <w:szCs w:val="30"/>
        </w:rPr>
      </w:pPr>
      <w:bookmarkStart w:id="4" w:name="_Toc210145105"/>
      <w:r>
        <w:rPr>
          <w:rFonts w:ascii="Times New Roman" w:hAnsi="Times New Roman"/>
          <w:sz w:val="30"/>
        </w:rPr>
        <w:lastRenderedPageBreak/>
        <w:t>一、绪言</w:t>
      </w:r>
      <w:bookmarkEnd w:id="4"/>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双利债券证券投资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双利债券证券投资基金基金合同》（以下简称“基金合同”）编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5" w:name="_Toc210145106"/>
      <w:r>
        <w:rPr>
          <w:rFonts w:ascii="Times New Roman" w:hAnsi="Times New Roman"/>
          <w:sz w:val="30"/>
        </w:rPr>
        <w:lastRenderedPageBreak/>
        <w:t>二、释义</w:t>
      </w:r>
      <w:bookmarkEnd w:id="5"/>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1.基金或本基金：指交银施罗德双利债券证券投资基金</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3.基金托管人或本基金托管人：指中国建设银行股份有限公司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4.基金合同：指《交银施罗德双利债券证券投资基金基金合同》及对本基金合同的任何有效修订和补充</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5.托管协议：指基金管理人与基金托管人就本基金签订之《交银施罗德双利债券证券投资基金托管协议》及对该托管协议的任何有效修订和补充</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6.招募说明书或本招募说明书：指《交银施罗德双利债券证券投资基金招募说明书》及其更新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7.基金份额发售公告：指《交银施罗德双利债券证券投资基金份额发售公告》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8.基金产品资料概要：指《交银施罗德双利债券证券投资基金基金产品资料概要》及其更新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9.法律法规：指中国现行有效并公布实施的法律、行政法规、部门规章、规范性文件及对该等法律法规不时作出的修订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10.《基金法》：指2003年10月28日经第十届全国人民代表大会常务委员会第五次会议通过，自2004年6月1日起实施的《中华人民共和国证券投资基金法》及颁布机关对其不时做出的修订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11.《销售办法》：指中国证监会2011年6月9日颁布、同年10月1日实施的《证券投资基金销售管理办法》及颁布机关对其不时做出的修订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13.《运作办法》：指中国证监会2004年6月29日颁布、同年7月1日实施的《证券投资基金运作管理办法》及颁布机关对其不时做出的修订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15.中国：指中华人民共和国，就本基金合同而言，不包括香港特别行政区、</w:t>
      </w:r>
      <w:r>
        <w:rPr>
          <w:rFonts w:ascii="宋体" w:hAnsi="宋体"/>
          <w:sz w:val="24"/>
        </w:rPr>
        <w:lastRenderedPageBreak/>
        <w:t>澳门特别行政区和台湾地区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17.中国银监会：指中国银行业监督管理委员会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20.机构投资者：指依法可以投资开放式证券投资基金的、在中华人民共和国境内合法注册登记并存续或经有关政府部门批准设立并存续的企业法人、事业法人、社会团体或其他组织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21.合格境外机构投资者：指符合现时有效的相关法律法规规定可以投资于中国境内证券市场，并取得国家外汇管理局额度批准的中国境外的机构投资者</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22.投资人：指个人投资者、机构投资者和合格境外机构投资者以及法律法规或中国证监会允许购买证券投资基金的其他投资人的合称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24.基金销售业务：指基金管理人或代销机构宣传推介基金，发售基金份额，办理基金份额的申购、赎回、转换、转托管及定期定额投资等业务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25.销售机构：指直销机构和代销机构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26.直销机构：指交银施罗德基金管理有限公司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代销机构：指符合《销售办法》和中国证监会规定的其他条件，取得基金代销业务资格并与基金管理人签订了基金销售服务代理协议，代为办理基金销售业务的机构，以及可通过上海证券交易所交易系统办理基金销售服务业务的会员单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会员单位：指具有开放式基金代销资格，经上海证券交易所和中国证券登记结算有限责任公司认可的、可通过上海证券交易所交易系统办理开放式基金的认购、申购、赎回和转托管等业务的上海证券交易所会员单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29.基金销售网点：指直销机构的直销中心及代销机构的代销网点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注册登记业务：指基金登记、存管、过户、清算和结算业务，具体内容包括投资人基金账户的建立和管理、基金份额注册登记、基金销售业务的确认、清算和结算、代理发放红利、建立并保管基金份额持有人名册、办理非交易过户业务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31.注册登记机构：指办理注册登记业务的机构。基金的注册登记机构为交银施罗德基金管理有限公司或接受交银施罗德基金管理有限公司委托代为办理注册登</w:t>
      </w:r>
      <w:r>
        <w:rPr>
          <w:rFonts w:ascii="宋体" w:hAnsi="宋体"/>
          <w:sz w:val="24"/>
        </w:rPr>
        <w:lastRenderedPageBreak/>
        <w:t>记业务的机构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账户：指注册登记机构为投资人开立的、记录其持有的、基金管理人所管理的基金份额余额及其变动情况的账户。投资人通过场外销售机构办理基金份额的认购、申购和赎回等业务时需持有基金账户。记录在该账户下的基金份额登记在注册登记机构的注册登记系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33.基金交易账户：指销售机构为投资人开立的、记录投资人通过该销售机构买卖本基金的基金份额变动及结余情况的账户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上海证券账户：指在中国证券登记结算有限责任公司上海分公司开设的上海证券交易所人民币普通股票账户或证券投资基金账户。投资人通过上海证券交易所交易系统办理场内认购、申购和赎回等业务时需持有上海证券账户。记录在该账户下的基金份额登记在注册登记机构的证券登记结算系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35.基金合同生效日：指基金募集达到法律法规规定及基金合同规定的条件，基金管理人向中国证监会办理基金备案手续完毕，并获得中国证监会书面确认的日期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36.基金合同终止日：指基金合同规定的基金合同终止事由出现后，基金财产清算完毕，清算结果报中国证监会备案并予以公告的日期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37.基金募集期：指自基金份额发售之日起至发售结束之日止的期间，最长不得超过3个月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38.存续期：指基金合同生效至终止之间的不定期期限</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39.日/天：指公历日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40.月：指公历月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41.工作日：指上海证券交易所、深圳证券交易所的正常交易日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42.T日：指销售机构在规定时间受理投资人申购、赎回或其他业务申请的工作日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43.T+n日：指自T日起第n个工作日(不包含T日)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44.开放日：指为投资人办理基金份额申购、赎回或其他业务的工作日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45.交易时间：指开放日基金接受申购、赎回或其他交易的时间段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业务规则》：指《交银施罗德基金管理有限公司开放式基金业务规则》，是规范基金管理人所管理的开放式证券投资基金注册登记方面的业务规则，由基金管理人和投资人共同遵守；此外，投资人通过场内认购、申购、赎回本基金还须遵</w:t>
      </w:r>
      <w:r>
        <w:rPr>
          <w:rFonts w:ascii="宋体" w:hAnsi="宋体"/>
          <w:sz w:val="24"/>
        </w:rPr>
        <w:lastRenderedPageBreak/>
        <w:t>守上海证券交易所及登记结算公司场内业务有关规则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47.认购：指在基金募集期内，投资人申请购买基金份额的行为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48.申购：指基金合同生效后，投资人根据基金合同和招募说明书的规定申请购买基金份额的行为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49.赎回：指基金合同生效后，基金份额持有人按基金合同规定的条件要求将基金份额兑换为现金的行为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50.场外：不通过上海证券交易所的交易系统办理基金份额认购、申购和赎回等业务的销售机构和场所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51.场内：通过上海证券交易所的交易系统办理基金份额认购、申购和赎回等业务的销售机构和场所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52.注册登记系统：指中国证券登记结算有限责任公司开放式基金登记结算系统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53.证券登记结算系统：指中国证券登记结算有限责任公司上海分公司证券登记结算系统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54.销售服务费：指从基金资产中计提的，用于本基金市场推广、销售以及基金份额持有人服务的费用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份额类别：指本基金根据认购/申购费用、赎回费用收取方式的不同，将基金份额分为不同的类别。在投资人认购/申购时收取前端认购/申购费用、赎回时收取赎回费用的，称为A类基金份额；在投资人认购/申购时不收取认购/申购费用、赎回时收取后端认购/申购费用和赎回费用的，称为B类基金份额；在投资人认购/申购时不收取认购/申购费用，赎回时收取赎回费用，并从本类别基金资产中计提销售服务费的，称为C类基金份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转换：指基金份额持有人按照本基金合同和基金管理人届时有效公告规定的条件，申请将其持有基金管理人管理的、某一基金的基金份额转换为基金管理人管理的、且由同一注册登记机构办理注册登记的其他基金基金份额的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57.转托管：指基金份额持有人在本基金的不同销售机构之间实施的变更所持基金份额销售机构的操作行为，包括系统内转托管及跨系统转托管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58、系统内转托管：指基金份额持有人将持有的基金份额在注册登记系统内不同销售机构（网点）之间或证券登记结算系统内不同会员单位（席位或交易单元）之间进行转登记的行为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59.跨系统转托管：指基金份额持有人将持有的基金份额在注册登记系统和证券登记结算系统间进行转登记的行为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60.定期定额投资计划：指投资人通过有关销售机构提出申请，约定每期申购日、扣款金额及扣款方式，由指定的销售机构在投资人指定资金账户内自动扣款并于每期约定的申购日提交基金申购申请的一种投资方式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62.元：指人民币元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63.基金利润：指基金利息收入、投资收益、公允价值变动收益和其他收入扣除相关费用后的余额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64.基金资产总值：指基金拥有的各类有价证券、银行存款本息、基金应收申购款及其他资产的价值总和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65.基金资产净值：指基金资产总值减去基金负债后的价值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66.基金份额净值：指计算日基金资产净值除以计算日基金份额总数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67.基金资产估值：指计算评估基金资产和负债的价值，以确定基金资产净值和基金份额净值的过程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 指定媒介：指中国证监会指定的用以进行信息披露的全国性报刊及指定互联网网站（包括基金管理人网站、基金托管人网站、中国证监会基金电子披露网站）等媒介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71.特定资产：包括：（一）无可参考的活跃市场价格且采用估值技术仍导致公</w:t>
      </w:r>
      <w:r>
        <w:rPr>
          <w:rFonts w:ascii="宋体" w:hAnsi="宋体"/>
          <w:sz w:val="24"/>
        </w:rPr>
        <w:lastRenderedPageBreak/>
        <w:t>允价值存在重大不确定性的资产；（二）按摊余成本计量且计提资产减值准备仍导致资产价值存在重大不确定性的资产；（三）其他资产价值存在重大不确定性的资产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不可抗力：指本基金合同当事人无法预见、无法抗拒、无法避免且在本基金合同由基金管理人、基金托管人签署之日后发生的，使本基金合同当事人无法全部或部分履行本基金合同的任何事件，包括但不限于洪水、地震及其他自然灾害、战争、骚乱、火灾、政府征用、没收、恐怖袭击、传染病传播、法律法规变化、突发停电或其他突发事件、证券交易所非正常暂停或停止交易</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6" w:name="_Toc210145107"/>
      <w:r>
        <w:rPr>
          <w:rFonts w:ascii="Times New Roman" w:hAnsi="Times New Roman"/>
          <w:sz w:val="30"/>
        </w:rPr>
        <w:lastRenderedPageBreak/>
        <w:t>三、基金管理人</w:t>
      </w:r>
      <w:bookmarkEnd w:id="6"/>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晓晖女士，董事，学士，现任交通银行总行董事会办公室资深专家，历任交通银行总行授信管理部副处长、处长，苏州分行副行长、高级信贷执行官，总行授信管理部副总经理，监事会办公室副主任、资深专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杜伟麒（Chris Durack）先生，董事，硕士。现任施罗德投资亚太区行政总裁。历任施罗德投资澳大利亚董事兼产品及分销主管、香港行政总裁兼亚太区机构业务主管、澳大利亚行政总裁兼亚太区联席主管等职。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管理有限公司风险管理部总经理，法国安盛投资管理（香港）有限公司亚洲风险经理等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郝爱群女士，独立董事，学士。历任人民银行稽核司副处长、处长，合作司调研员，非银司副巡视员、副司长，银监会非银部副主任，银行监管一部副主任、巡视员，汇金公司派出董事。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子学先生，独立董事，博士。现任中国政法大学民商经济法学院教授，兼任基金业协会自律监察委员会委员。历任证监会办公厅副处长、上市公司监管部处长、行政处罚委员会专职委员、副主任审理员，兼任证监会上市公司并购重组审核委员会委员、行政复议委员会委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黎建强先生，独立董事，博士，教育部长江学者讲座教授。现任香港大学工业工程系荣誉教授，亚洲风险及危机管理协会主席，兼任深交所上市的中联重科集团独立非执行董事。历任香港城市大学管理科学讲座教授，湖南省政协委员并兼任湖南大学工商管理学院院长。</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w:t>
      </w:r>
      <w:r>
        <w:rPr>
          <w:rFonts w:ascii="宋体" w:hAnsi="宋体"/>
          <w:sz w:val="24"/>
        </w:rPr>
        <w:lastRenderedPageBreak/>
        <w:t>证券有限责任公司综合发展部高级经理、投资银行部项目经理，银河基金管理有限公司监察部总监，交银施罗德基金管理有限公司监察稽核部总经理、监察风控副总监、投资运营总监。</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魏玉敏女士:基金经理。厦门大学金融学硕士、学士，13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裕如纯债债券型证券投资基金(2018年08月29日至2023年09月11日)、交银施罗德纯债债券型发起式证券投资基金(2018年08月29日至2025年01月15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优选回报灵活配置混合型证券投资基金(2025年03月22日至今)的基金经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李家春先生(2011年09月26日至2014年08月20日)；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项廷锋先生(2014年08月04日至2015年10月06日)；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李娜女士(2015年10月07日至2015年11月06日)；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唐赟先生(2015年11月07日至2023年05月06日)。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于海颖（混合资产投资总监兼多元资产管理总监、基金经理）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2、基金管理人承诺不从事违反《基金法》的行为，并承诺建立健全内部风险控制制度，采取有效措施，防止下列行为的发生：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（4）相互制约原则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（6）审计部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（6）使用数量化的风险管理手段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7" w:name="_Toc210145108"/>
      <w:r>
        <w:rPr>
          <w:rFonts w:ascii="Times New Roman" w:hAnsi="Times New Roman"/>
          <w:sz w:val="30"/>
        </w:rPr>
        <w:lastRenderedPageBreak/>
        <w:t>四、基金托管人</w:t>
      </w:r>
      <w:bookmarkEnd w:id="7"/>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成立时间：2004年09月17日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基金托管资格批文及文号：中国证监会证监基字[1998]12号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联系人：王小飞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联系电话：(021)6063 7103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2024年末，中国建设银行已托管1405只</w:t>
      </w:r>
      <w:r>
        <w:rPr>
          <w:rFonts w:ascii="宋体" w:hAnsi="宋体"/>
          <w:sz w:val="24"/>
        </w:rPr>
        <w:lastRenderedPageBreak/>
        <w:t>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管机构（银行）”、《环球金融》“中国最佳次托管人”等奖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（二）基金托管人的内部控制制度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w:t>
      </w:r>
      <w:r>
        <w:rPr>
          <w:rFonts w:ascii="宋体" w:hAnsi="宋体"/>
          <w:sz w:val="24"/>
        </w:rPr>
        <w:lastRenderedPageBreak/>
        <w:t>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(2)收到基金管理人的划款指令后，对指令要素等内容进行核查。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8" w:name="_Toc210145109"/>
      <w:r>
        <w:rPr>
          <w:rFonts w:ascii="Times New Roman" w:hAnsi="Times New Roman"/>
          <w:sz w:val="30"/>
        </w:rPr>
        <w:lastRenderedPageBreak/>
        <w:t>五、相关服务机构</w:t>
      </w:r>
      <w:bookmarkEnd w:id="8"/>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个人投资者可以通过本公司网上直销交易平台办理开户、本基金A类及C类基金份额的申购、赎回、转换及定期定额投资等业务。具体交易细则请参阅本公司网站。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2、场内代销机构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具有基金代销资格的上海证券交易所场内会员单位。（具体名单见基金份额发售公告）。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联系人：蒋姣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（2）名称：中国建设银行股份有限公司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（3）名称：交通银行股份有限公司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（5）名称：上海银行股份有限公司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住所：上海市银城中路168号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（7）名称：江苏常熟农村商业银行股份有限公司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（8）名称：东莞农村商业银行股份有限公司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电话：（0769）22866254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（9）名称：中国农业银行股份有限公司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（10）名称：中国民生银行股份有限公司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（11）名称：宁波银行股份有限公司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网址：www.nbcb.com.cn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（12）名称：北京银行股份有限公司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（13）名称：平安银行股份有限公司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（14）名称：华夏银行股份有限公司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（15）名称：杭州银行股份有限公司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联系人：严峻、夏帆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（16）名称：中国工商银行股份有限公司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（17）名称：光大证券股份有限公司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（18）名称：中国银河证券股份有限公司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（19）名称：申万宏源证券有限公司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电话：（021）33389888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（20）名称：国都证券股份有限公司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（21）名称：平安证券股份有限公司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（22）名称：中信证券（山东）有限责任公司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（23）名称：申万宏源西部证券有限公司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办公地址：北京市西城区太平桥大街19号宏源证券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（24）名称：中泰证券股份有限公司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（25）名称：江海证券有限公司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（26）名称：中国国际金融股份有限公司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联系人：杨涵宇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（27）名称：瑞银证券有限责任公司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（28）名称：长城证券有限责任公司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（29）名称：国金证券股份有限公司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（30）名称：渤海证券股份有限公司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办公地址：天津市南开区宾水西道8号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（31）名称：信达证券股份有限公司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（32）名称：西南证券股份有限公司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（33）名称：粤开证券股份有限公司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网址：www.ykzq.com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（34）名称：华西证券股份有限公司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（35）名称：第一创业证券股份有限公司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（36）名称：中信证券华南股份有限公司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（37）名称：国泰海通证券股份有限公司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办公地址：上海市静安区南京西路768号国泰君安大厦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联系人：朱雅崴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（38）名称：招商证券股份有限公司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（39）名称：长江证券股份有限公司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（40）名称：爱建证券有限责任公司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传真：（021）68728703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（41）名称：长城国瑞证券有限公司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住所：厦门市莲前西路2号莲富大厦17楼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办公地址：厦门市莲前西路2号莲富大厦17楼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电话：（0592）5161642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传真：（0592）5161640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客户服务电话：（0592）5163588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网址：www.xmzq.cn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（42）名称：华宝证券股份有限公司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（43）名称：海通证券股份有限公司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网址：www.htsec.com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（44）名称：兴业证券股份有限公司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（45）名称：湘财证券股份有限公司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（46）名称：华泰证券股份有限公司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联系人：胡子豪</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（47）名称：金融街证券股份有限公司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办公地址：内蒙古自治区呼和浩特市新城区海拉尔东街满世尚都办公商业综合楼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（48）名称：国信证券股份有限公司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（49）名称：中原证券股份有限公司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（50）名称：中信建投证券股份有限公司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联系人：魏明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（51）名称：中航证券有限公司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（52）名称：东莞证券股份有限公司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（53）名称：国投证券股份有限公司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（54）名称：德邦证券股份有限公司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办公地址：上海市福山路500号城建大厦26楼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（55）名称：方正证券股份有限公司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法定代表人：雷杰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联系人：徐锦福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（56）名称：东方证券股份有限公司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（57）名称：东兴证券股份有限公司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网址：www.dxzq.net</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（58）名称：华福证券有限责任公司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住所：福州市五四路157号新天地大厦7、8层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办公地址：福州市五四路新天地大厦7至10层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法定代表人：黄金琳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（59）名称：中银国际证券股份有限公司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住所：上海市银城中路200号39层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办公地址：中国上海浦东银城中路200号中银大厦39-40层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客户服务电话：400-620-8888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网址：www.bocichina.com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（60）名称：中国中金财富证券有限公司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（61）名称：中信证券股份有限公司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客服电话：95548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（62）名称：深圳市新兰德证券投资咨询有限公司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（63）名称：大连网金基金销售有限公司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（64）名称：阳光人寿保险股份有限公司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（65）名称：玄元保险代理有限公司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住所：中国(上海)自由贸易试验区张杨路707号1105室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（66）名称：京东肯特瑞基金销售有限公司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（67）名称：上海大智慧基金销售有限公司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（68）名称：珠海盈米基金销售有限公司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电话：（020）89629099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（69）名称：上海华夏财富投资管理有限公司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（70）名称：北京度小满基金销售有限公司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（71）名称：南京苏宁基金销售有限公司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客户服务电话：95177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（72）名称：嘉实财富管理有限公司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（73）名称：北京汇成基金销售有限公司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（74）名称：上海利得基金销售有限公司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（75）名称：北京虹点基金销售有限公司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住所：北京市朝阳区工人体育场北路甲2号裙房2层222单元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（76）名称：上海陆金所基金销售有限公司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（77）名称：上海挖财基金销售有限公司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（78）名称：万家财富基金销售（天津）有限公司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法定代表人：张军</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（79）名称：上海万得基金销售有限公司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（80）名称：格上富信投资顾问有限公司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（81）名称：深圳市金斧子基金销售有限公司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（82）名称：北京雪球基金销售有限公司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（83）名称：北京新浪仓石基金销售有限公司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（84）名称：中证金牛（北京）基金销售有限公司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www.jnlc.com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（85）名称：上海证达通基金销售有限公司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（86）名称：北京创金启富基金销售有限公司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（87）名称：奕丰基金销售有限公司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（88）名称：上海天天基金销售有限公司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住所：上海市徐汇区龙田路190号2号楼2层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（89）名称：和讯信息科技有限公司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（90）名称：诺亚正行基金销售有限公司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（91）名称：上海好买基金销售有限公司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传真：（021）68596916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（92）名称：上海长量基金销售有限公司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（93）名称：深圳众禄基金销售股份有限公司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（94）名称：蚂蚁（杭州）基金销售有限公司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网址：www.fund123.cn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（95）名称：中信期货有限公司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（96）名称：天相投资顾问有限公司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（97）名称：上海基煜基金销售有限公司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网址：www.fofund.com.cn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（98）名称：浙江同花顺基金销售有限公司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（99）名称：宜信普泽（北京）基金销售有限公司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（100）名称：上海联泰基金销售有限公司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（101）名称：泛华普益基金销售有限公司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办公地址：成都市金牛区花照壁西顺街399号1栋1单元龙湖西宸天街B座1201号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（102）名称：北京展恒基金销售股份有限公司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（103）名称：和耕传承基金销售有限公司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（104）名称：腾安基金销售（深圳）有限公司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法定代表人：刘明军</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（105）名称：济安财富（北京）基金销售有限公司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（106）名称：博时财富基金销售有限公司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（107）名称：上海中欧财富基金销售有限公司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客户服务电话：400-700-9700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经办律师：吕红、黎明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9832D2" w:rsidRDefault="0052604B">
      <w:pPr>
        <w:pStyle w:val="1"/>
        <w:snapToGrid w:val="0"/>
        <w:spacing w:beforeLines="0" w:before="240" w:after="240"/>
        <w:rPr>
          <w:rFonts w:ascii="宋体" w:hAnsi="宋体"/>
          <w:szCs w:val="30"/>
        </w:rPr>
      </w:pPr>
      <w:bookmarkStart w:id="9" w:name="_Toc210145110"/>
      <w:r>
        <w:rPr>
          <w:rFonts w:ascii="Times New Roman" w:hAnsi="Times New Roman"/>
          <w:sz w:val="30"/>
        </w:rPr>
        <w:lastRenderedPageBreak/>
        <w:t>六、基金的募集</w:t>
      </w:r>
      <w:bookmarkEnd w:id="9"/>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本基金由基金管理人依照《基金法》、《运作办法》、基金合同及其他有关规定，并经中国证监会证监许可[2011]1093号文核准募集发售。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本基金为契约型开放式债券型基金。基金存续期间为不定期。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本基金自2011年8月24日至2011年9月21日进行发售。本基金设立募集期共募集1,136,438,471.60份基金份额，有效认购户数为5,962户。</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10" w:name="_Toc210145111"/>
      <w:r>
        <w:rPr>
          <w:rFonts w:ascii="Times New Roman" w:hAnsi="Times New Roman"/>
          <w:sz w:val="30"/>
        </w:rPr>
        <w:lastRenderedPageBreak/>
        <w:t>七、基金合同的生效</w:t>
      </w:r>
      <w:bookmarkEnd w:id="10"/>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根据有关规定，本基金满足基金合同生效条件，基金合同已于2011年9月26日正式生效。自基金合同生效之日起，本基金管理人正式开始管理本基金。</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11" w:name="_Toc210145112"/>
      <w:r>
        <w:rPr>
          <w:rFonts w:ascii="Times New Roman" w:hAnsi="Times New Roman"/>
          <w:sz w:val="30"/>
        </w:rPr>
        <w:lastRenderedPageBreak/>
        <w:t>八、基金份额的申购与赎回</w:t>
      </w:r>
      <w:bookmarkEnd w:id="11"/>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个人投资者可以通过本公司网上直销交易平台办理开户、本基金A类及C类基金份额的申购、赎回、转换及定期定额投资等业务。具体交易细则请参阅本公司网站。网上直销交易平台网址：www.fund001.com。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2、场内代销机构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本基金的场内代销机构为通过上海证券交易所交易系统办理相关业务的上海证券交易所会员单位，目前场内交易只支持A类基金份额的申购。具体名单详见上海证券交易所网站。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本基金的场外代销机构的代销网点参见本招募说明书“五、相关服务机构”章节或拨打本公司客户服务电话进行咨询。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投资人可通过上述销售机构办理基金申购、赎回业务的营业场所或按上述销售机构提供的其他方式进行申购或赎回。本基金管理人可根据情况变更或增减基金场外代销机构，并在管理人网站公示。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1、开放日及开放时间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开放日的具体业务办理时间为上海证券交易所、深圳证券交易所正常交易日的交易时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本基金已于2011年10月25日起开放场内、场外申购业务。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本基金已于2011年10月25日起开放场内、场外赎回业务。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（三）申购和赎回的原则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赎回时，除指定赎回外，基金管理人按“先进先出”的原则，对该持有人账户在该销售机构托管的基金份额进行处理，即注册登记确认日期在先的基金份额先赎回，注册登记确认日期在后的基金份额后赎回，以确定被赎回基金份额的持有期限和所适用的赎回费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4、当日的申购与赎回申请可以在销售机构规定的时间以内撤销，但申请经注册登记机构正式受理的不得撤销。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基金管理人可根据基金运作的实际情况依法对上述原则进行调整。基金管理人必须在新规则开始实施前依照《信息披露办法》的有关规定在指定媒介上公告。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场外申购时，场外代销机构网点每个账户单笔申购的最低金额为单笔1元，如果代销机构业务规则规定的最低单笔认购金额高于1元，以代销机构的规定为准。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直销中心每个账户首次申购的最低金额为单笔100万元，追加申购的最低金额为单笔10万元；已在直销中心有认购或申购过本基金管理人管理的任一基金（包括</w:t>
      </w:r>
      <w:r>
        <w:rPr>
          <w:rFonts w:ascii="宋体" w:hAnsi="宋体"/>
          <w:sz w:val="24"/>
        </w:rPr>
        <w:lastRenderedPageBreak/>
        <w:t>本基金）记录的投资人不受首次申购最低金额的限制。通过本公司网上直销交易平台办理基金申购业务的不受直销中心单笔申购最低金额的限制，申购最低金额为单笔1元。本基金直销中心单笔申购最低金额可由基金管理人酌情调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场内申购时，每笔申购金额最低为100元人民币，同时每笔申购必须是100元的整数倍，并且单笔申购最高不超过99,999,900元。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场内赎回时，赎回的最低份额为50份基金份额，同时赎回份额必须是整数份额，并且单笔赎回最多不超过99,999,999份基金份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每个工作日投资人在单个交易账户保留的本基金份额余额少于1份时，若当日该账户同时有份额减少类业务（如赎回、转换出等）被确认，则基金管理人有权将投资人在该账户保留的本基金份额一次性全部赎回。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5、基金管理人可以根据市场情况，在法律法规允许的情况下，调整上述规定的数量或比例限制。基金管理人必须在调整前依照《信息披露办法》的有关规定在指定媒介上公告并报中国证监会备案。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投资人在提交申购申请时须按销售机构规定的方式备足申购资金，投资人在提交赎回申请时须持有足够的基金份额余额，否则所提交的申购、赎回申请无效。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基金管理人或基金管理人委托的注册登记机构应以交易时间结束前受理申购和赎回申请的当天作为申购或赎回申请日(T日)，在正常情况下，本基金注册登记机</w:t>
      </w:r>
      <w:r>
        <w:rPr>
          <w:rFonts w:ascii="宋体" w:hAnsi="宋体"/>
          <w:sz w:val="24"/>
        </w:rPr>
        <w:lastRenderedPageBreak/>
        <w:t>构在T+1日（包括该日）内对该交易的有效性进行确认。T日提交的有效申请，投资人应在T+2日后(包括该日)到销售网点柜台或以销售机构规定的其他方式查询申请的确认情况。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基金管理人可以在法律法规允许的范围内，依法对上述申购和赎回申请的确认时间进行调整，并必须在调整实施日前按照《信息披露办法》有关规定在指定媒介上公告。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基金销售机构对申购、赎回申请的受理并不代表申请一定成功，而仅代表销售机构确实接收到申购、赎回申请。申购、赎回申请的确认以注册登记机构或基金管理人的确认结果为准。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申购采用全额缴款方式，若申购资金在规定时间内未全额到账则申购不成功。若申购不成功或无效，基金管理人或基金管理人指定的代销机构将投资人已缴付的申购款项退还给投资人。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投资人赎回申请成功后，基金管理人将通过注册登记机构及其相关销售机构在T＋7日(包括该日)内将赎回款项划往基金份额持有人账户。在发生巨额赎回时，款项的支付办法参照本基金合同有关条款处理。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（六）申购与赎回的注册登记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1、投资人T日申购基金成功后，正常情况下，注册登记机构在T＋1日为投资人增加权益并办理注册登记手续，投资人自T＋2日（含该日）起有权赎回、转换或转托管该部分基金份额。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2、投资人T日赎回基金成功后，正常情况下，注册登记机构在T＋1日为投资人扣除权益并办理相应的注册登记手续。</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3、基金管理人可在法律法规允许的范围内，对上述注册登记办理时间进行调整，并于开始实施前按照《信息披露办法》的有关规定在指定媒介上公告。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（七）基金的申购费和赎回费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A类基金份额收取前端申购费用，即在申购时支付申购费用，申购费率按每笔申购申请单独计算。投资人申购B类基金份额收取后端申购费用，即在赎回时才支付相应的申购费用，该费用随基金份额的持有时间递减。投资人申购C类基金份额不收取申购费用，而是从该类别基金资产中计提销售服务费。目前场内</w:t>
      </w:r>
      <w:r>
        <w:rPr>
          <w:rFonts w:ascii="宋体" w:hAnsi="宋体"/>
          <w:sz w:val="24"/>
        </w:rPr>
        <w:lastRenderedPageBreak/>
        <w:t>交易只支持A类基金份额的申购。</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A/B类基金份额的申购费用由A/B类基金份额申购人承担，不列入基金财产，主要用于本基金的市场推广、销售、登记结算等各项费用。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投资人可以多次申购本基金，申购费率按每笔申购申请单独计算。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万元（含）以上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r>
              <w:rPr>
                <w:rFonts w:ascii="Times New Roman" w:hAnsi="Times New Roman"/>
                <w:color w:val="000000"/>
                <w:kern w:val="0"/>
                <w:sz w:val="25"/>
                <w:szCs w:val="24"/>
              </w:rPr>
              <w:t>类基金份额后端申购费率</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持有A/B类基金份额的投资人因红利自动再投资而产生的A/B类基金份额，不收取相应的申购费用。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本基金自2013年4月11日起，对通过本公司直销柜台申购本基金A类基金份额的养老金客户实施特定申购费率。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9832D2">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特定申购</w:t>
            </w:r>
            <w:r>
              <w:rPr>
                <w:rFonts w:ascii="Times New Roman" w:hAnsi="Times New Roman"/>
                <w:color w:val="000000"/>
                <w:kern w:val="0"/>
                <w:sz w:val="25"/>
                <w:szCs w:val="24"/>
              </w:rPr>
              <w:lastRenderedPageBreak/>
              <w:t>费率（</w:t>
            </w:r>
            <w:r>
              <w:rPr>
                <w:rFonts w:ascii="Times New Roman" w:hAnsi="Times New Roman"/>
                <w:color w:val="000000"/>
                <w:kern w:val="0"/>
                <w:sz w:val="25"/>
                <w:szCs w:val="24"/>
              </w:rPr>
              <w:t>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9832D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832D2" w:rsidRDefault="009832D2">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9832D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832D2" w:rsidRDefault="009832D2">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9832D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832D2" w:rsidRDefault="009832D2">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9832D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832D2" w:rsidRDefault="009832D2">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9832D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832D2" w:rsidRDefault="009832D2">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基金份额的赎回费用由赎回该类基金份额的基金份额持有人承担，在基金份额持有人赎回基金份额时收取。赎回费总额的25%应归基金财产，其余用于支付注册登记费和其他必要的手续费。投资人赎回各类基金份额收取赎回费用，该费用随该类基金份额的持有时间递减。其中，对持续持有期少于7日的基金份额持有人收取不低于1.5%的赎回费并全额计入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本基金A/B类基金份额的赎回费率如下：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赎回费率</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3、基金管理人可以在履行相关手续后，在基金合同约定的范围内调整申购、赎回费率或调整收费方式，基金管理人应于新的费率或收费方式实施日前依照《信息披露办法》的有关规定在指定媒介上公告。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反法律法规规定及基金合同约定的情形下根据市场情况制定基金促销计划，针对以特定交易方式(如网上交易、电话交易等)等进行基金交易的投资人定期或不定期地开展基金促销活动。在基金促销活动期间，按相关</w:t>
      </w:r>
      <w:r>
        <w:rPr>
          <w:rFonts w:ascii="宋体" w:hAnsi="宋体"/>
          <w:sz w:val="24"/>
        </w:rPr>
        <w:lastRenderedPageBreak/>
        <w:t>监管部门要求履行必要手续后，基金管理人可以适当调低基金申购费率、基金赎回费率和转换费率。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（八）申购和赎回的数额和价格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申购的有效份额按实际确认的申购金额在扣除申购费用（如有）后，以当日基金份额净值为基准计算，场外申购的有效份额按照四舍五入的原则保留到小数点后2位，由此产生的误差计入基金财产。场内申购的有效份额的计算截位保留到整数位，剩余部分折回金额返还投资人，折回金额的计算保留到小数点后两位，小数点两位以后的部分四舍五入，由此产生的误差计入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（2）赎回金额的处理方式：赎回金额为按实际确认的有效赎回份额乘以当日基金份额净值并扣除赎回费用（如有），赎回金额计算结果按照四舍五入的原则保留到小数点后2位，由此产生的误差计入基金财产。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68755B">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1.75pt;height:45.75pt">
            <v:imagedata r:id="rId16" o:title="1521256610242020828"/>
          </v:shape>
        </w:pic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例一：某投资人投资100,000元申购本基金的A类基金份额，假设申购当日A/B类基金份额净值为1.0400元，申购费率为0.8%，如果该投资人是场外申购，则其可得到的申购份额为：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如果该投资人是场内申购，申购份额为95,390份，其余0.72份对应金额返回给投资人。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（2）B类基金份额的申购</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68755B">
        <w:rPr>
          <w:rFonts w:ascii="宋体" w:hAnsi="宋体"/>
          <w:kern w:val="0"/>
          <w:sz w:val="24"/>
        </w:rPr>
        <w:pict>
          <v:shape id="_x0000_i1026" type="#_x0000_t75" style="width:174.75pt;height:45pt">
            <v:imagedata r:id="rId17" o:title="1521256610242020828"/>
          </v:shape>
        </w:pic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当投资人提出赎回时，后端申购费用的计算方法为：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后端申购费用＝赎回份额×T日A/B类基金份额净值×后端申购费率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例二：某投资人投资100,000元申购本基金的B类基金份额，假设申购当日A/B类基金份额净值为1.0400元，则其可得到的申购份额为：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即：投资人投资100,000元申购本基金的B类基金份额，假设申购当日A/B类基金份额净值为1.0400元，则可得到96,153.85份基金份额，但其在赎回时需根据其持有时间按对应的后端申购费率交纳后端申购费用。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（3）C类基金份额的申购</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如果投资人选择申购C类基金份额，则申购份额的计算方法如下：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例三：某投资人投资100,000元申购本基金的C类基金份额，假设申购当日C类基金份额净值为1.0400元，则其可得到的申购份额为：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即：投资人投资100,000元申购本基金的C类基金份额，假设申购当日C类基金份额净值为1.0400元，则其可得到96,153.85份C类基金份额。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如果投资人赎回A类基金份额，则赎回金额的计算方法如下：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赎回费用=赎回份额×T日A/B类基金份额净值×赎回费率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赎回金额=赎回份额×T日A/B类基金份额净值-赎回费用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例四：某投资人赎回100,000份A类基金份额，对应的赎回费率为0.1%，假设赎回当日A/B类基金份额净值是1.0160元，则其可得到的赎回金额为：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赎回费用=100,000×1.0160×0.1%＝101.60元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即：投资人赎回100,000份A类基金份额，假设赎回当日A/B类基金份额净值是1.0160元，则其可得到的赎回金额为101,498.40元。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（2）B类基金份额的赎回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如果投资人赎回B类基金份额，则赎回金额的计算方法如下：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赎回总额＝赎回份额×T日A/B类基金份额净值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后端认（申）购费用＝赎回份额×认（申）购日基金份额净值×后端认（申）购费率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例五：某投资人赎回100,000份B类基金份额，对应的后端申购费率是1.0%，赎回费率为0.1%，假设赎回当日A/B类基金份额净值是1.0160元，申购时的A/B类基金份额净值为1.0100元，则其可得到的赎回金额为：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赎回总额=100,000×1.0160=101,600元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后端申购费用=100,000×1.0100×1.0%=1,010.00元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赎回费用=101,600×0.1%=101.60元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赎回金额=101,600-1,010.00-101.60=100,488.40元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100,000份B类基金份额，对应的赎回费率为0.1%，假设赎回当日A/B类基金份额净值是1.0160元，投资人对应的后端申购费率是1.0%，申购时的A/B类基金份额净值为1.0100元，则其可得到的赎回金额为100,488.40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（3）C类基金份额的赎回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投资人赎回C类基金份额，赎回金额的计算方法如下：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赎回金额=赎回份数×T日C类基金份额净值-赎回费用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例六：某投资人赎回100,000份C类基金份额，对应的赎回费率为0，假设赎回当日C类基金份额净值是1.2500 元，则其可得到的赎回金额为：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赎回费用=100,000×1.2500×0＝0元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赎回金额=100,000×1.2500-0=125,000 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即：投资人赎回100,000份C类基金份额，对应的赎回费率为0，假设赎回当日C</w:t>
      </w:r>
      <w:r>
        <w:rPr>
          <w:rFonts w:ascii="宋体" w:hAnsi="宋体"/>
          <w:sz w:val="24"/>
        </w:rPr>
        <w:lastRenderedPageBreak/>
        <w:t>类基金份额净值是1.2500元，则其可得到的赎回金额为125,000元。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A/B类基金份额净值＝A/B类基金份额的基金资产净值总额/发行在外的A/B类基金份额总数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本基金不同类别基金份额T日的基金份额净值在当天收市后分别计算，并在T＋1日分别公告。遇特殊情况，经中国证监会同意，可以适当延迟计算或公告。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（九）拒绝或暂停申购的情形及处理方式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发生下列情况时，基金管理人可拒绝或暂停接受基金投资人的申购申请：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2、证券交易所交易时间非正常停市，导致基金管理人无法计算当日基金资产净值。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3、发生本基金合同规定的暂停基金资产估值情况。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4、7项以外的暂停申购情形且基金管理人决定暂停申购的，基金管理人应当根据有关规定在指定媒介上刊登暂停申购公告。如果投资人的申购申请被拒绝，被拒绝的申购款项将退还给投资人。在暂停申购的情况消除时，基金管理人应及时恢复申购业务的办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（十）暂停赎回或者延缓支付赎回款项的情形及处理方式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发生下列情形时，基金管理人可暂停接受投资人的赎回申请或延缓支付赎回款项：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2、证券交易所交易时间非正常停市，导致基金管理人无法计算当日基金资产净值。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3、连续两个或两个以上开放日发生巨额赎回。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4、发生本基金合同规定的暂停基金资产估值情况。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时，基金管理人应在当日报中国证监会备案，已接受的赎回申请，基金管理人应足额支付；如暂时不能足额支付，应将可支付部分按单个账户申请量占申请总量的比例分配给赎回申请人，未支付部分可延期支付，并以后续开放日的基金份额净值为依据计算赎回金额。若连续两个或两个以上开放日发生巨额赎回，延期支付最长不得超过20个工作日，并在指定媒介上公告。投资人在申请赎回时可事先选择将当日可能未获受理部分予以撤销。暂停赎回或延缓支付款项的场内处理，按照上海证券交易所及中国证券登记结算有限责任公司的有关规定办理。在暂停赎回的情况消除时，基金管理人应及时恢复赎回业务的办理并予以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（十一）巨额赎回的情形及处理方式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w:t>
      </w:r>
      <w:r>
        <w:rPr>
          <w:rFonts w:ascii="宋体" w:hAnsi="宋体"/>
          <w:sz w:val="24"/>
        </w:rPr>
        <w:lastRenderedPageBreak/>
        <w:t>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当发生上述巨额赎回并延期办理时，基金管理人应当通过邮寄、传真、刊登公告或者通知代销机构代为告知等方式在3个工作日内通知基金份额持有人，说明有关处理方法，并在2日内在指定媒介上刊登公告。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（十二）暂停申购或赎回的公告和重新开放申购或赎回的公告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2、如发生暂停的时间为1日，基金管理人应于重新开放日，在指定媒介上刊登基金重新开放申购或赎回公告，并公布最近1个开放日的基金份额净值。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3、如发生暂停的时间超过1日但少于2周，暂停结束，基金重新开放申购或赎回时，基金管理人应提前2日在指定媒介上刊登基金重新开放申购或赎回公告，并公告最近1个开放日的基金份额净值。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如发生暂停的时间超过2周，暂停期间，基金管理人应每2周至少刊登暂停公告1次。暂停结束，基金重新开放申购或赎回时，基金管理人应提前2日在指定媒介上连续刊登基金重新开放申购或赎回公告，并公告最近1个工作日的基金份额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（十三）转托管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本基金的份额采用分系统登记的原则。场外认购或申购的基金份额登记在注册登记系统基金份额持有人开放式基金账户下；场内认购、申购的基金份额登记在证券登记结算系统基金份额持有人上海证券账户下。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（1）系统内转托管是指基金份额持有人将持有的基金份额在注册登记系统内不同代销机构之间或证券登记结算系统内不同会员单位之间进行转登记的行为。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（2）基金份额登记在注册登记系统的基金份额持有人在变更办理基金赎回业务的销售机构（网点）时，销售机构（网点）之间不能通存通兑时的，可办理已持有基金份额的系统内转托管。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2、跨系统转托管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（1）跨系统转托管是指基金份额持有人将持有的基金份额在注册登记系统和证券登记结算系统之间进行转登记的行为。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（2）本基金跨系统转托管的具体业务按照中国证券登记结算有限责任公司的相关规定办理。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基金管理人、注册登记机构、办理转托管的销售机构因技术系统性能限制或其它合理原因，可以暂停该业务或者拒绝基金份额持有人的转托管申请。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2011年12月7日刊登公告自2011年12月9日起开通定期定额投资计划业务，具体开通销售机构名单和业务规则参见相关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（十五）定期定额赎回业务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通过中国农业银行股份有限公司申请办理本基金的定期定额赎回业务。定期定额赎回业务是指投资人可以委托中国农业银行股份有限公司每月固定时间从指定的基金账户代投资人赎回固定份额的基金。本基金2011年12月7日刊登公告自2011年12月9日起在中国农业银行股份有限公司下属各代销网点开通定期定额赎回业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通过中国农业银行股份有限公司办理本基金的定期定额赎回业务，相关流程和业务规则遵循中国农业银行股份有限公司的有关规定。详情请咨询当地中国农业银行股份有限公司的代销网点或中国农业银行股份有限公司客户服务热线（95599）。</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（十六）基金的非交易过户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注册登记机构受理继承、捐赠和司法强制执行而产生的非交易过户以及注册登记机构认可、符合法律法规的其它非交易过户。无论在上述何种情况下，接受划转的主体必须是依法可以持有本基金基金份额的投资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注册登记机构要求提供的相关资料，对于符合条件的非交易过户申请按基金注册登记机构的规定办理，并按基金注册登记机构规定的标准收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（十七）基金份额的冻结和解冻</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基金注册登记机构只受理国家有权机关依法要求的基金份额的冻结与解冻，以及注册登记机构认可、符合法律法规的其他情况下的冻结与解冻。</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（十八）实施侧袋机制期间本基金的申购与赎回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12" w:name="_Toc210145113"/>
      <w:r>
        <w:rPr>
          <w:rFonts w:ascii="Times New Roman" w:hAnsi="Times New Roman"/>
          <w:sz w:val="30"/>
        </w:rPr>
        <w:lastRenderedPageBreak/>
        <w:t>九、基金的转换</w:t>
      </w:r>
      <w:bookmarkEnd w:id="12"/>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本基金2011年12月7日刊登公告自2011年12月9日起开放日常转换业务。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本基金遵循“份额转换”的原则，单笔转换份额不得低于1份。基金持有人可将其全部或部分基金份额转换成其它基金，单笔转换申请不受转入基金最低申购限额限制。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转出基金的赎回费用及归入基金财产的比例按照各基金最新的更新招募说明书及相关公告规定的赎回费率和计费方式收取。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w:t>
      </w:r>
      <w:r>
        <w:rPr>
          <w:rFonts w:ascii="宋体" w:hAnsi="宋体"/>
          <w:sz w:val="24"/>
        </w:rPr>
        <w:lastRenderedPageBreak/>
        <w:t>基金后端申购费率减去转入基金后端申购费率差额进行补差。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w:t>
      </w:r>
      <w:r>
        <w:rPr>
          <w:rFonts w:ascii="宋体" w:hAnsi="宋体"/>
          <w:sz w:val="24"/>
        </w:rPr>
        <w:lastRenderedPageBreak/>
        <w:t>额净值为2.2700元。若该投资者将100,000份交银趋势前端A类基金份额转换为交银成长前端基金份额，则转入交银成长确认的基金份额为：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转出基金的赎回费=0元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转出确认金额=100,000×1.2500=125,000元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w:t>
      </w:r>
      <w:r>
        <w:rPr>
          <w:rFonts w:ascii="宋体" w:hAnsi="宋体"/>
          <w:sz w:val="24"/>
        </w:rPr>
        <w:lastRenderedPageBreak/>
        <w:t>式的其他基金。货币市场基金、债券基金C类基金份额与其他基金之间的转换不受上述收费模式的限制。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13" w:name="_Toc210145114"/>
      <w:r>
        <w:rPr>
          <w:rFonts w:ascii="Times New Roman" w:hAnsi="Times New Roman"/>
          <w:sz w:val="30"/>
        </w:rPr>
        <w:lastRenderedPageBreak/>
        <w:t>十、基金的投资</w:t>
      </w:r>
      <w:bookmarkEnd w:id="13"/>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宏观经济运行状况和金融市场的运行趋势，自上而下进行宏观分析，自下而上精选个券，在严格控制基金资产运作风险的基础上，通过积极主动的投资管理，力争为投资者提供高于业绩比较基准的长期稳定投资回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债券、货币市场工具、权证以及法律法规或中国证监会允许基金投资的其他金融工具（但须符合中国证监会的相关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如法律法规或监管机构以后允许基金投资的其他品种，基金管理人在履行适当程序后，可以将其纳入投资范围。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固定收益类资产的比例不低于基金资产的80%，固定收益类资产包括国债、金融债、央行票据、地方政府债、企业债、公司债、短期融资券、可转换债券及可分离转债、资产支持证券、次级债、债券回购等金融工具；对股票、权证等权益类资产的投资比例不高于基金资产的20%；其中现金及到期日在一年以内的政府债券的投资比例合计不低于基金资产净值的5%，现金不包括结算备付金、存出保证金、应收申购款等；本基金持有的全部权证，其市值不得超过基金资产净值的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规范化的基本面研究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类债券的流动性、供求关系和收益率水平等，自下而上地精选个券。同时，本基金深度关注股票、权证一级市场和二级市场的运行状况与相应风险收益特征，在严格控制基金资产运作风险的基础上，把握投资机会，力争为投资者提供高于业绩比较基准的长期稳定投资回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1、大类资产配置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通过“自上而下”的定性分析和定量分析相结合，形成对不同大类资产市场的预测和判断，在基金合同约定的范围内确定固定收益类资产、权益类资产和现金的配置比例，并随着市场运行状况以及各类证券风险收益特征的相对变化，动态调整大类资产的投资比例，有效控制基金资产运作风险，提高基金资产风险调整后收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2、债券投资策略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作为债券基金最基本的投资策略，久期管理策略在本质上是一种自上而下的，通过合理的久期控制实现对利率风险有效管理的策略。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而言，本基金是在控制信用风险和流动性风险为主的基金总体风险水平的前提下，通过灵活运用类属配置策略合理优化配置基金资产，通过对信用风险和流动性风险的有效管理，谋求更高的经风险调整后的稳定收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（3）收益率曲线配置策略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本基金将通过预期收益率曲线形态变化来调整投资组合的头寸。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考察收益率曲线的基础上，本基金将确定采用子弹策略、哑铃策略或梯形策略等，以从收益率曲线的形变中获利。一般而言，当收益率曲线变陡时，将采用子弹策略；当收益率曲线变平时，将采用哑铃策略；在预期收益率曲线不变或平行移动时，则采用梯形策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信用债券投资策略是本基金最重要的投资策略。信用债券同时承载了利率风险与信用风险，而信用风险对信用债券表现的影响胜于利率风险。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具体而言，本基金信用债券的投资遵循以下流程：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1）信用债券研究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2）信用债券投资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基金经理从信用债券池中精选债券构建信用债券投资组合。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本基金构建和管理信用债券投资组合时主要考虑以下因素：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①信用债券信用评级的变化。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②不同信用等级的信用债券，以及同一信用等级不同标的债券之间的信用利差变化。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（6）资产支持证券（含资产收益计划）投资策略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（7）可转换债券投资策略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是介于股票和债券之间的投资品种，兼具股性和债性的双重特征。本基金对于可转换债券股性的研究将完全依托于公司投研团队对标的股票的研究，在此基础上量化投资部利用可转换债券定价模型，充分考虑转债发行后目标转债标的股票股价波动率可能出现的变化，对目标转债的股性进行合理定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对于本基金可转换债券债性的研究，将引进公司信用债券信用评级指标体系，对可转换债券的发行主体及标的债券进行信用评级，并在信用评级的基础上对其进行合理定价。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通过对标的转债股性与债性的合理定价，力求寻找出被市场低估的品种，构建本基金可转换债券的投资组合。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（1）新股投资策略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分析影响股票一级市场资金面的相关市场风险收益特征的变化、股票发行政策取向（如扩容节奏、发行市盈率与二级市场市盈率的差距），预测新股一级市场供求关系的变化，并据此进一步预测新股中签率和新股的收益率变动趋势；同时，借助公司投资平台行业研究员的研究建议，预测拟申购新股的中签率和收益率，确定合理规模的资金后精选个股进行申购，并于其可上市交易或流通受限解除后，在控制组合波动性风险的前提下根据对市场和个股的判断选择合适的时机出售，以期提升基金的收益水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（2）股票二级市场投资策略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从有着良好增长前景的行业中精选具有投资潜力的股票构建投资组合。具体分以下两个层次进行股票挑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（1）行业选择和配置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民经济快速增长的背后蕴涵了不同行业对GDP增长贡献率的差异。而不同行业受宏观经济周期、行业自身生命周期以及相关结构性因素的影响在不同时期表现往往具有明显差异。本基金将挑选预期具有良好增长前景的行业进行重点投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（2）个股精选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本基金在前述行业优选的基础上，根据下述标准挑选出其中具有投资潜力的上市公司构建股票池并从中精选个股，公司股票池的股票投资评级必须在3级（含3级）以上，且需满足以下要求：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①主业清晰并在产品、技术、营销、营运、成本控制等某一方面具有较强竞争优势，销售收入或利润超过行业平均水平；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②根据波特五要素分析，行业发展环境良好；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③具有较强或可预期的盈利增长前景；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④盈利质量较高，经营性现金流加投资收益应该超过净利润（特殊理由除外）；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⑤较好的公司治理结构，财务报表和信息披露较为透明、规范。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⑥股票估值具有吸引力，或符合一定时期内的投资主题，可现价买入。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4、权证投资策略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以选择权证的卖出时机，追求稳定的当期收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（四）业绩比较基准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中债综合全价指数收益率×90%+沪深300指数收益率×10%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本基金选择上述业绩比较基准的理由如下：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本基金业绩比较基准为复合型基准，选取了中债综合全价指数和沪深300指数。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14类券种，能够综合反映我国债券市场的整体投资收益情况，适合作为本基金固定收益类资产投资的业绩比较基准；沪深300指数由中证指数公司编制并发布，指数样本覆盖了沪深两地大部分流通市值，成分股均为A股市场中代表性强且流动性高的主流投资股票, 能够反映中国证券市场股票价格变动的概貌和运行状况，适合作为本基金权益类资产投资的业绩比较基准。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本基金的业绩比较基准对上述两只指数分别赋予了90%和10%的权重，与本基金对固定收益类资产和权益类资产的配置情况相匹配。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（五）投资决策依据和投资流程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为了保证整个投资组合计划的顺利贯彻与实施，本基金遵循以下投资决策依据以及具体的投资流程：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1、投资决策依据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（1）国家有关法律法规和基金合同的有关规定；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（2）宏观经济发展态势、证券市场运行环境和走势；</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（3）投资对象的风险和预期收益的匹配关系，本基金将在承担适度风险的前提下，选择风险和预期收益配比最佳的品种进行投资。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2、决策和交易机制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本基金实行投资决策委员会领导下的基金经理负责制，投资总监、固定收益部总经理是投资决策委员会的执行代表。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投资决策委员会、投资总监、固定收益部总经理的主要职责是确定基金的资产配置政策，审批重大单项投资决定等。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基金经理的主要职责是在投资决策委员会确定的资产配置范围内，构建和调整投资组合，并向中央交易室下达投资指令。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3、投资流程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投资决策委员会是本基金的最高决策机构，投资决策委员会定期就投资管理业务的重大问题进行讨论。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基金经理、分析师、交易员在投资管理过程中既密切合作，又责任明确，在各自职责内按照业务程序独立工作并合理地相互制衡。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具体的投资管理流程如下：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（1）投资决策委员会每月召开投资决策会议，决定基金的资产配置比例和股票、债券的投资重点等；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（2）研究部策略分析师、固定收益产品分析师、定量分析师各自独立完成相应的研究报告，为投资决策提供依据；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（3）固定收益部总经理每周召集固定收益业务投资例会，根据投资决策委员会的决定，结合市场和公司基本面的变化，决定具体的投资策略；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经理依据策略分析师的宏观经济分析和策略建议、固定收益产品分析师的债券市场研究和券种选择、定量分析师的定量投资策略研究和股票分析师的行业分析和个股研究，结合本基金产品定位及风险控制的要求，在权限范围内制定具体的投资组合方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（5）基金经理根据基金投资组合方案，向中央交易室下达交易指令；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（6）中央交易室执行基金经理的交易指令，对交易情况及时反馈；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（7）定量分析师负责完成有关投资风险监控报告及内部基金业绩评估报告。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投资决策委员会有权根据市场变化和实际情况的需要，对上述投资管理程序做出调整。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（六）投资限制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本基金在投资策略上兼顾投资原则以及开放式基金的固有特点，通过分散投资降低基金财产的非系统性风险，保持基金组合良好的流动性。基金的投资组合将遵循以下限制：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(1)本基金持有一家上市公司的股票，其市值不超过基金资产净值的10%；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全部权证，其市值不得超过基金资产净值的3%；本基金管理人管理的全部基金持有的同一权证，不得超过该权证的10%；本基金在任何交易日买入权证的总金额，不得超过上一交易日基金资产净值的0.5%；法律法规或监管部门另有规定的，遵从其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(3)本基金管理人管理的全部基金持有一家公司发行的证券，不超过该证券的10%；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(4)本基金进入全国银行间同业市场进行债券回购的资金余额不得超过基金资产净值的40%；本基金进入全国银行间同业市场进行债券回购的最长期限为1年,债券回购到期后不得展期；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(5)本基金投资于固定收益类资产的比例不低于基金资产的80%；对股票、权证等权益类资产的投资比例不高于基金资产的20%；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原始权益人的各类资产支持证券的比例，不得超过基金资产净值的10%；本基金持有的全部资产支持证券，其市值不得超过基金资产净值的20%；本基金持有的同一(指同一信用级别)资产支持证券的比例，不得超过该资产支持证券规模的10%；本基金管理人管理的全部基金投资于同一原始权益人的各类资产支持证券，不得超过其各类资产支持证券合计规模的10%；中国证监会规定的特殊品种除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(7)本基金应投资于信用级别评级为BBB以上(含BBB)的资产支持证券。基金持有资产支持证券期间，如果其信用等级下降、不再符合投资标准，应在评级报告发</w:t>
      </w:r>
      <w:r>
        <w:rPr>
          <w:rFonts w:ascii="宋体" w:hAnsi="宋体"/>
          <w:sz w:val="24"/>
        </w:rPr>
        <w:lastRenderedPageBreak/>
        <w:t>布之日起3个月内予以全部卖出；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(8)基金财产参与股票发行申购，本基金所申报的金额不超过本基金的总资产，本基金所申报的股票数量不超过拟发行股票公司本次发行股票的总量；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(9)保持不低于基金资产净值5%的现金或者到期日在一年以内的政府债券，其中现金不包括结算备付金、存出保证金、应收申购款等；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投资流通受限证券，基金管理人应事先根据中国证监会相关规定，与基金托管人在本基金托管协议中明确基金投资流通受限证券的比例，根据比例进行投资。基金管理人应制订严格的投资决策流程和风险控制制度，防范流动性风险、法律风险和操作风险等各种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如果法律法规对本基金合同约定投资组合比例限制进行变更的，以变更后的规定为准。法律法规或监管部门取消上述限制，如适用于本基金，则本基金投资不再受相关限制。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(7)、(9)、(11)、(12)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（七）禁止行为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为维护基金份额持有人的合法权益，本基金禁止从事下列行为：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4、买卖其他基金份额，但是国务院另有规定的除外；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5、向基金管理人、基金托管人出资或者买卖基金管理人、基金托管人发行的股票或者债券；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6、买卖与基金管理人、基金托管人有控股关系的股东或者与基金管理人、基金托管人有其他重大利害关系的公司发行的证券或者承销期内承销的证券；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8、依照法律法规有关规定，由中国证监会规定禁止的其他活动；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9、法律法规或监管部门取消上述限制，如适用于本基金，则本基金投资不再受相关限制。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（八）风险收益特征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（九）基金管理人代表基金行使股东及债权人权利的处理原则及方法</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1、基金管理人按照国家有关规定代表基金独立行使股东和债权人权利，保护基金份额持有人的利益；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（十）基金的融资、融券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本基金可以按照国家的有关规定进行融资、融券。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（十一）侧袋机制的实施和投资运作安排</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（十二）基金投资组合报告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本基金托管人中国建设银行根据本基金合同规定，于2025年07月17日复核了本报告中的财务指标、净值表现和投资组合报告等内容,保证复核内容不存在虚假记载、误导性陈述或者重大遗漏。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本报告期为2025年04月01日起至06月30日。本报告财务资料未经审计师审计。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1,633,578,868.03</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98.47</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1,633,578,868.03</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98.47</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12,000,000.00</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0.72</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13,294,237.68</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0.80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65,973.06</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1,658,939,078.77</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2、报告期末按行业分类的股票投资组合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127,101,617.46</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9.22</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459,001,785.21</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33.28</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193,231,493.16</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14.01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141,708,080.55</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10.27</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50,050,080.55</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3.63</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716,719,407.67</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51.96</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138,997,896.59</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10.08</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1,633,578,868.03</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118.44</w:t>
            </w:r>
          </w:p>
        </w:tc>
      </w:tr>
    </w:tbl>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740,000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74,326,147.40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5.39</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200212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r>
              <w:rPr>
                <w:rFonts w:ascii="Times New Roman" w:hAnsi="Times New Roman"/>
                <w:color w:val="000000"/>
                <w:kern w:val="0"/>
                <w:sz w:val="25"/>
                <w:szCs w:val="24"/>
              </w:rPr>
              <w:t>国开</w:t>
            </w: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61,974,624.66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4.49</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230202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国开</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61,076,038.36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4.43</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232580017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农行二级资本债</w:t>
            </w:r>
            <w:r>
              <w:rPr>
                <w:rFonts w:ascii="Times New Roman" w:hAnsi="Times New Roman"/>
                <w:color w:val="000000"/>
                <w:kern w:val="0"/>
                <w:sz w:val="25"/>
                <w:szCs w:val="24"/>
              </w:rPr>
              <w:t>01B(BC)</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60,260,663.01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4.37</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250206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06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60,257,835.62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4.37</w:t>
            </w:r>
          </w:p>
        </w:tc>
      </w:tr>
    </w:tbl>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7、报告期末按公允价值占基金资产净值比例大小排序的前五名贵金属投资明细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2024年12月27日,国家金融监督管理总局北京监管局公示京金罚决字[2024]43号行政处罚决定书,给予国家开发银行60万元人民币的行政处罚。　</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2025年01月27日,央行公示银罚决字[2024]44号行政处罚决定书,给予中国民生银行股份有限公司1705.5万元人民币的行政处罚，并没收违法所得99.07万元。　</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2025年01月27日,央行公示银罚决字[2024]67号行政处罚决定书,给予中国农业银行股份有限公司4672.94万元人民币的行政处罚，并没收违法所得487.59万元。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10.2 基金投资的前十名股票是否超出基金合同规定的备选股票库</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63,121.13</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2,656.93</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195.00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65,973.06</w:t>
            </w:r>
          </w:p>
        </w:tc>
      </w:tr>
    </w:tbl>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上银转债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7,251,764.04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0.53</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晶科转债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6,245,753.27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0.45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5,623,215.40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重银转债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5,194,285.34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0.38</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闻泰转债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5,054,904.01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运机转债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4,570,513.04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4,569,401.93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希望转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4,242,489.71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0.31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4,158,217.24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3,619,968.33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华友转债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3,559,405.99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豪鹏转债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3,484,684.01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0.25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禾丰转债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3,166,693.98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蓝天转债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3,162,016.44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双良转债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3,064,888.73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2,886,303.23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嘉元转债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2,806,254.31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和邦转债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2,776,657.48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温氏转债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2,760,254.85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爱玛转债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2,707,663.97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漱玉转债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2,588,966.64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昌红转债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2,441,311.85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2,328,954.69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华懋转债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2,279,436.09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128109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楚江转债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2,242,528.12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江山转债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2,183,700.51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1,971,673.89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航宇转债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1,885,714.88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洁美转债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1,770,022.46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113615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金诚转债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1,520,352.28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113618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美诺转债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1,484,553.53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环旭转债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1,460,090.76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惠云转债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1,414,879.91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豪</w:t>
            </w:r>
            <w:r>
              <w:rPr>
                <w:rFonts w:ascii="Times New Roman" w:hAnsi="Times New Roman"/>
                <w:color w:val="000000"/>
                <w:kern w:val="0"/>
                <w:sz w:val="25"/>
                <w:szCs w:val="24"/>
              </w:rPr>
              <w:t>24</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1,405,341.36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建龙转债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1,403,893.80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卫宁转债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1,403,309.70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立昂转债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1,400,916.96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立中转债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1,392,194.60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财通转债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1,390,833.96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兴业转债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1,390,570.13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信服转债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1,387,557.67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1,386,746.39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起帆转债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1,375,360.62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127050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麒麟转债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1,314,785.10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45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123240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楚天转债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1,063,274.54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广大转债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1,004,347.28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47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123236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家联转债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813,164.96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48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128116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瑞达转债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724,085.91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49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128081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海亮转债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710,417.69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精工转债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705,542.07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123071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天能转债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704,982.04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回天转债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704,621.34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674,486.71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洛凯转债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660,389.86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富仕转债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613,537.15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柳工转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603,433.68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57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123113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仙乐转债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561,267.60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盈峰转债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457,071.75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59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升</w:t>
            </w:r>
            <w:r>
              <w:rPr>
                <w:rFonts w:ascii="Times New Roman" w:hAnsi="Times New Roman"/>
                <w:color w:val="000000"/>
                <w:kern w:val="0"/>
                <w:sz w:val="25"/>
                <w:szCs w:val="24"/>
              </w:rPr>
              <w:t>24</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191,891.55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丰山转债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184,902.67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61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汇通转债</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139,411.41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bl>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14" w:name="_Toc210145115"/>
      <w:r>
        <w:rPr>
          <w:rFonts w:ascii="Times New Roman" w:hAnsi="Times New Roman"/>
          <w:sz w:val="30"/>
        </w:rPr>
        <w:lastRenderedPageBreak/>
        <w:t>十一、基金的业绩</w:t>
      </w:r>
      <w:bookmarkEnd w:id="14"/>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(1)、交银双利债券A/B</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3.89%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-2.24%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5.97%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4.47%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2.78%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2.62%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5.55%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4.53%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-3.72%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-1.29%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7.91%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5.04%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2.87%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32.31%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10.55%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21.76%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4.19%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-3.95%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8.14%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9.37%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8.12%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bl>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(2)、交银双利债券C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阶段</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3.47%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-2.66%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0.69%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5.55%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4.05%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2.62%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5.11%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4.53%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-1.77%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-2.15%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-4.13%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-1.70%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7.42%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5.04%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31.72%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10.55%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21.17%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3.85%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-3.95%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7.80%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8.66%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7.41%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r>
      <w:tr w:rsidR="009832D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bl>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9832D2" w:rsidRDefault="0052604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交银施罗德双利债券证券投资基金</w:t>
      </w:r>
    </w:p>
    <w:p w:rsidR="009832D2" w:rsidRDefault="0052604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份额累计份额净值增长率与业绩比较基准收益率的历史走势对比图</w:t>
      </w:r>
    </w:p>
    <w:p w:rsidR="009832D2" w:rsidRDefault="0052604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（2011年9月26日至2025年06月30日）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1．交银双利债券A/B</w:t>
      </w:r>
    </w:p>
    <w:p w:rsidR="009832D2" w:rsidRDefault="0068755B">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345pt">
            <v:imagedata r:id="rId18" o:title="1521256610242020828"/>
          </v:shape>
        </w:pic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2．交银双利债券C</w:t>
      </w:r>
    </w:p>
    <w:p w:rsidR="009832D2" w:rsidRDefault="0068755B">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8" type="#_x0000_t75" style="width:439.5pt;height:345pt">
            <v:imagedata r:id="rId19" o:title="1521256610242020828"/>
          </v:shape>
        </w:pic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15" w:name="_Toc210145116"/>
      <w:r>
        <w:rPr>
          <w:rFonts w:ascii="Times New Roman" w:hAnsi="Times New Roman"/>
          <w:sz w:val="30"/>
        </w:rPr>
        <w:lastRenderedPageBreak/>
        <w:t>十二、基金的财产</w:t>
      </w:r>
      <w:bookmarkEnd w:id="15"/>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基金资产总值是指基金拥有的各类有价证券、银行存款本息、基金应收申购款以及其他资产的价值总和。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以基金名义开立银行存款账户，以基金托管人的名义开立证券交易清算资金的结算备付金账户，以基金托管人和本基金联名的方式开立基金证券账户，以本基金的名义开立银行间债券托管账户。开立的基金专用账户与基金管理人、基金托管人、基金销售机构和注册登记机构自有的财产账户以及其他基金财产账户相独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（四）基金财产的处分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其他基金合同约定的费用。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16" w:name="_Toc210145117"/>
      <w:r>
        <w:rPr>
          <w:rFonts w:ascii="Times New Roman" w:hAnsi="Times New Roman"/>
          <w:sz w:val="30"/>
        </w:rPr>
        <w:lastRenderedPageBreak/>
        <w:t>十三、基金资产的估值</w:t>
      </w:r>
      <w:bookmarkEnd w:id="16"/>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基金资产的估值目的是客观、准确地反映基金资产是否保值、增值，并为基金份额提供计价依据。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本基金的估值日为本基金相关的证券交易场所的正常营业日以及国家法律法规规定需要对外披露基金净值的非营业日。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（三）估值对象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基金所拥有的股票、权证、债券和银行存款本息、应收款项、其它投资等资产和负债。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每个工作日计算基金资产净值及基金份额净值，并按规定公告。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对外公布。月末、年中和年末估值复核与基金会计账目的核对同时进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（五）估值方法</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w:t>
      </w:r>
      <w:r>
        <w:rPr>
          <w:rFonts w:ascii="宋体" w:hAnsi="宋体"/>
          <w:sz w:val="24"/>
        </w:rPr>
        <w:lastRenderedPageBreak/>
        <w:t>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（2）首次公开发行未上市的股票、债券和权证，采用估值技术确定公允价值，在估值技术难以可靠计量公允价值的情况下，按成本估值。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6、相关法律法规以及监管部门有强制规定的，从其规定。如有新增事项，按国家最新规定估值。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（六）估值错误的处理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基金管理人和基金托管人将采取必要、适当、合理的措施确保基金资产估值的准确性、及时性。当基金份额净值小数点后4位以内(含第4位)发生差错时，视为基金份额净值错误。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本基金合同的当事人应按照以下约定处理：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注册登记机构、或代销机构、或投资人自身的过错造成差错，导致其他当事人遭受损失的，过错的责任人应当对由于该差错遭受损失当事人(“受损方”)的直接损失按下述“差错处理原则”给予赔偿。</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对直接损失承担赔偿责任；若差错责任方已经积极协调，并且有协助义务的当事人有足够的时间进行更正而未更正，则其应当承担相应赔偿责任。差错责任方应对更正的情况向有关当事人进行确认，确保差错已得到更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(2)差错的责任方对有关当事人的直接损失负责，不对间接损失负责，并且仅对差错的有关直接当事人负责，不对第三方负责。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利的</w:t>
      </w:r>
      <w:r>
        <w:rPr>
          <w:rFonts w:ascii="宋体" w:hAnsi="宋体"/>
          <w:sz w:val="24"/>
        </w:rPr>
        <w:lastRenderedPageBreak/>
        <w:t>权利；如果获得不当得利的当事人已经将此部分不当得利返还给受损方，则受损方应当将其已经获得的赔偿额加上已经获得的不当得利返还的总和超过其实际损失的差额部分支付给差错责任方。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(4)差错调整采用尽量恢复至假设未发生差错的正确情形的方式。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原因造成基金财产损失时，基金托管人应为基金的利益向基金管理人追偿，如果因基金托管人原因造成基金财产损失时，基金管理人应为基金的利益向基金托管人追偿。基金管理人和基金托管人之外的第三方造成基金财产的损失，并拒绝进行赔偿时，由基金管理人负责向差错方追偿；追偿过程中产生的有关费用，应列入基金费用，从基金资产中支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出现过错的当事人进行追索，并有权要求其赔偿或补偿由此发生的费用和遭受的直接损失。</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(7)按法律法规规定的其他原则处理差错。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(4)根据差错处理的方法，需要修改基金注册登记机构交易数据的，由基金注册登记机构进行更正，并就差错的更正向有关当事人进行确认。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4、基金份额净值差错处理的原则和方法如下：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(3)因基金份额净值计算错误，给基金或基金份额持有人造成损失的，应由基</w:t>
      </w:r>
      <w:r>
        <w:rPr>
          <w:rFonts w:ascii="宋体" w:hAnsi="宋体"/>
          <w:sz w:val="24"/>
        </w:rPr>
        <w:lastRenderedPageBreak/>
        <w:t>金管理人先行赔付，基金管理人按差错情形，有权向其他当事人追偿。</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(5)前述内容如法律法规或监管机关另有规定的，从其规定处理。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2、因不可抗力或其它情形致使基金管理人、基金托管人无法准确评估基金资产价值时；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3、占基金相当比例的投资品种的估值出现重大转变，而基金管理人为保障投资人的利益，已决定延迟估值；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当特定资产占前一估值日基金资产净值50%以上的，经与基金托管人协商确认后，基金管理人应当暂停估值；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并发送给基金托管人。基金托管人对净值计算结果复核确认后发送给基金管理人，由基金管理人依照法律法规的规定对基金净值予以公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和基金托管人应当积极采取必要的措施消除由此造成的影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17" w:name="_Toc210145118"/>
      <w:r>
        <w:rPr>
          <w:rFonts w:ascii="Times New Roman" w:hAnsi="Times New Roman"/>
          <w:sz w:val="30"/>
        </w:rPr>
        <w:lastRenderedPageBreak/>
        <w:t>十四、基金的收益与分配</w:t>
      </w:r>
      <w:bookmarkEnd w:id="17"/>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1、由于本基金A类和B类基金份额不收取销售服务费，C类基金份额收取销售服务费，各基金份额类别对应的可供分配利润将有所不同，本基金同一基金份额类别的每份基金份额享有同等分配权；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益分配时所发生的银行转账或其他手续费用由投资人自行承担。当投资人的现金红利小于一定金额，不足以支付银行转账或其他手续费用时，基金注册登记机构可将基金份额持有人的现金红利自动转为基金份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3、本基金收益每年最多分配12次，每次基金收益分配比例不低于收益分配基准日可供分配利润的50%；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收益分配方式分为两种：现金分红与红利再投资，投资人可选择现金红利或将现金红利按除权后的单位净值自动转为基金份额进行再投资；若投资人不选择，本基金默认的收益分配方式是现金分红；基金份额持有人可对A类、B类以及C类基金份额分别选择不同的收益分配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5、基金红利发放日距离收益分配基准日（即可供分配利润计算截止日）的时间不得超过15个工作日；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6、基金收益分配后每一基金份额净值不能低于面值，即基金收益分配基准日的基金份额净值减去每单位基金份额收益分配金额后不能低于面值；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7、法律法规或监管机构另有规定的从其规定。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基金收益分配方案中应载明收益分配基准日以及该日的可供分配利润、基金收益分配对象、分配时间、分配数额及比例、分配方式、支付方式等内容。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（五）收益分配方案的确定、公告与实施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1、基金收益分配方案由基金管理人拟订，由基金托管人复核，依照《信息披露办法》的有关规定在指定媒介上公告。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2、在收益分配方案公布后，基金管理人依据具体方案的规定就支付的现金红利向基金托管人发送划款指令，基金托管人按照基金管理人的指令及时进行分红资金的划付。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3、法律法规或监管机关另有规定的，从其规定。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（六）收益分配中发生的费用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收益分配时所发生的银行转账或其他手续费用由投资人自行承担。</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投资人可至销售机构办理收益分配方式的修改，投资人对不同的交易账户可设置不同的收益分配方式。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投资人同一日多次申报分红方式变更的，按照《业务规则》执行，最终确认的分红方式以注册登记机构记录为准。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18" w:name="_Toc210145119"/>
      <w:r>
        <w:rPr>
          <w:rFonts w:ascii="Times New Roman" w:hAnsi="Times New Roman"/>
          <w:sz w:val="30"/>
        </w:rPr>
        <w:lastRenderedPageBreak/>
        <w:t>十五、基金的费用与税收</w:t>
      </w:r>
      <w:bookmarkEnd w:id="18"/>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3、基金财产拨划支付的银行费用；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4、基金合同生效后的基金信息披露费用；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6、基金合同生效后与基金有关的会计师费和律师费；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7、基金的证券交易费用；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8、本基金从C类基金份额的基金财产中计提销售服务费；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9、证券账户开户费用和银行账户维护费；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10、依法可以在基金财产中列支的其他费用。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在通常情况下，基金管理费按前一日基金资产净值的0.3%年费率计提。计算方法如下：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H＝E×年管理费率÷当年天数，本基金年管理费率为0.3%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在通常情况下，基金托管费按前一日基金资产净值的0.1%年费率计提。计算方法如下：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H＝E×年托管费率÷当年天数，本基金年托管费率为0.1%</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本基金A类和B类基金份额不收取销售服务费，C类基金份额的销售服务费按前一日C类基金资产净值的0.4%年费率计提。计算方法如下：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H＝E×年销售服务费率÷当年天数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服务费每日计提，按月支付。由基金管理人向基金托管人发送销售服务费划付指令，基金托管人复核后于次月首日起3个工作日内从基金财产中一次性支付给基金管理人，若遇法定节假日、休息日等，支付日期顺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(4)除管理费、托管费和C类基金份额销售服务费之外的基金费用由基金托管人根据其他有关法律法规及相应协议的规定，按费用支出金额支付，列入或摊入当期基金费用。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基金合同生效前所发生的信息披露费、律师费和会计师费以及其他费用不从基金财产中支</w:t>
      </w:r>
      <w:r>
        <w:rPr>
          <w:rFonts w:ascii="宋体" w:hAnsi="宋体"/>
          <w:sz w:val="24"/>
        </w:rPr>
        <w:lastRenderedPageBreak/>
        <w:t>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（四）基金管理费和基金托管费的调整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基金管理人和基金托管人可根据基金发展情况调整基金管理费率和基金托管费率。基金管理人必须最迟于新的费率实施日前按照《信息披露办法》的规定在指定媒介上刊登公告。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（五）实施侧袋机制期间的基金费用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基金和基金份额持有人根据国家法律法规的规定，履行纳税义务。</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19" w:name="_Toc210145120"/>
      <w:r>
        <w:rPr>
          <w:rFonts w:ascii="Times New Roman" w:hAnsi="Times New Roman"/>
          <w:sz w:val="30"/>
        </w:rPr>
        <w:lastRenderedPageBreak/>
        <w:t>十六、基金的会计与审计</w:t>
      </w:r>
      <w:bookmarkEnd w:id="19"/>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2、本基金的会计年度为公历每年的1月1日至12月31日；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4、会计制度执行国家有关的会计制度；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6、基金管理人保留完整的会计账目、凭证并进行日常的会计核算，按照有关规定编制基金会计报表；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（二）基金的审计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1、基金管理人聘请具有从事证券、期货相关业务资格的会计师事务所及其注册会计师对本基金年度财务报表及其他规定事项进行审计。会计师事务所及其注册会计师与基金管理人、基金托管人相互独立。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3、基金管理人认为有充足理由更换会计师事务所，经通报基金托管人后可以更换。就更换会计师事务所，基金管理人应当依照《信息披露办法》的有关规定在指定媒介上公告。</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20" w:name="_Toc210145121"/>
      <w:r>
        <w:rPr>
          <w:rFonts w:ascii="Times New Roman" w:hAnsi="Times New Roman"/>
          <w:sz w:val="30"/>
        </w:rPr>
        <w:lastRenderedPageBreak/>
        <w:t>十七、基金的信息披露</w:t>
      </w:r>
      <w:bookmarkEnd w:id="20"/>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的信息披露应符合《基金法》、《运作办法》、《信息披露办法》、《流动性规定》、基金合同及其他有关规定。基金管理人、基金托管人和其他基金信息披露义务人应当以保护基金份额持有人利益为根本出发点，依法披露基金信息，并保证所披露信息的真实性、准确性、完整性、及时性、简明性和易得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4、诋毁其他基金管理人、基金托管人或者基金份额发售机构；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1、招募说明书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招募说明书是基金向社会公开销售时对基金情况进行说明的法律文件。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基金合同》生效后，基金招募说明书的信息发生重大变更的，基金管理人应当</w:t>
      </w:r>
      <w:r>
        <w:rPr>
          <w:rFonts w:ascii="宋体" w:hAnsi="宋体"/>
          <w:sz w:val="24"/>
        </w:rPr>
        <w:lastRenderedPageBreak/>
        <w:t>在三个工作日内，更新基金招募说明书并登载在指定网站上；基金招募说明书其他信息发生变更的，基金管理人至少每年更新一次。基金终止运作的，基金管理人不再更新基金招募说明书。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2、基金合同、托管协议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基金管理人应在基金份额发售的3日前，将基金合同摘要登载在指定报刊和网站上；基金管理人、基金托管人应将基金合同、托管协议登载在各自网站上。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3、基金产品资料概要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4、基金份额发售公告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基金管理人将按照《基金法》、《信息披露办法》的有关规定，就基金份额发售的具体事宜编制基金份额发售公告，并在披露招募说明书的当日登载于指定报刊和网站上。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基金管理人将在基金合同生效的次日在指定报刊和网站上登载基金合同生效公告。基金合同生效公告中将说明基金募集情况。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6、基金净值信息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1）《基金合同》生效后，在开始办理基金份额申购或者赎回前，基金管理人应当至少每周在指定网站披露一次A/B类基金份额和C类基金份额所对应的基金份额净值和基金份额累计净值；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开始办理基金份额申购或者赎回后，基金管理人应当在不晚于每个开放日的次日，通过指定网站、销售机构网站或者营业网点披露开放日的A/B类基金份额和C类基金份额所对应的基金份额净值和基金份额累计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3）基金管理人应当在不晚于半年度和年度最后一日的次日，在指定网站披露半年度和年度最后一日的A/B类基金份额和C类基金份额所对应的基金份额净值和基金份额累计净值。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7、基金份额申购、赎回价格公告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基金管理人应当在《基金合同》、招募说明书等信息披露文件上载明基金份额申购、赎回价格的计算方式及有关申购、赎回费率，并保证投资者能够在基金销售机构网站或营业网点查阅或者复制前述信息资料。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8、基金年度报告、基金中期报告、基金季度报告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2）基金管理人应当在上半年结束之日起两个月内，编制完成基金中期报告，将中期报告登载在指定网站上，并将中期报告提示性公告登载在指定报刊上；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3）基金管理人应当在季度结束之日起15个工作日内，编制完成基金季度报告，将季度报告登载在指定网站上，并将季度报告提示性公告登载在指定报刊上；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4）《基金合同》生效不足2个月的，基金管理人可以不编制当期季度报告、中期报告或者年度报告。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6）基金管理人应当在基金年度报告和中期报告中披露基金组合资产情况及其流动性风险分析等。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9、临时报告与公告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在基金运作过程中发生如下可能对基金份额持有人权益或者基金份额的价格产生重大影响的事件时，有关信息披露义务人应当在2日内编制临时报告书，登载在指定报刊和指定网站上：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w:t>
      </w:r>
      <w:r>
        <w:rPr>
          <w:rFonts w:ascii="宋体" w:hAnsi="宋体"/>
          <w:sz w:val="24"/>
        </w:rPr>
        <w:lastRenderedPageBreak/>
        <w:t>项，基金托管人委托基金服务机构代为办理基金的核算、估值、复核等事项；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10、澄清公告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w:t>
      </w:r>
      <w:r>
        <w:rPr>
          <w:rFonts w:ascii="宋体" w:hAnsi="宋体"/>
          <w:sz w:val="24"/>
        </w:rPr>
        <w:lastRenderedPageBreak/>
        <w:t>有人权益的，相关信息披露义务人知悉后应当立即对该消息进行公开澄清，并将有关情况立即报告中国证监会。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11、基金份额持有人大会决议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12、实施侧袋机制期间的信息披露</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13、清算报告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《基金合同》终止的，基金管理人应当依法组织基金财产清算小组对基金财产进行清算并作出清算报告。基金财产清算小组应当将清算报告登载在指定网站上，并将清算报告提示性公告登载在指定报刊上。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14、信息披露事务管理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w:t>
      </w:r>
      <w:r>
        <w:rPr>
          <w:rFonts w:ascii="宋体" w:hAnsi="宋体"/>
          <w:sz w:val="24"/>
        </w:rPr>
        <w:lastRenderedPageBreak/>
        <w:t>常投资操作的前提下，自主提升信息披露服务的质量。具体要求应当符合中国证监会及自律规则的相关规定。前述自主披露如产生信息披露费用，该费用不得从基金财产中列支。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（七）本基金信息披露事项以法律法规规定及本章节约定的内容为准。</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21" w:name="_Toc210145122"/>
      <w:r>
        <w:rPr>
          <w:rFonts w:ascii="Times New Roman" w:hAnsi="Times New Roman"/>
          <w:sz w:val="30"/>
        </w:rPr>
        <w:lastRenderedPageBreak/>
        <w:t>十八、侧袋机制</w:t>
      </w:r>
      <w:bookmarkEnd w:id="21"/>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9832D2" w:rsidRDefault="0052604B">
      <w:pPr>
        <w:pStyle w:val="1"/>
        <w:snapToGrid w:val="0"/>
        <w:spacing w:beforeLines="0" w:before="240" w:after="240"/>
        <w:rPr>
          <w:rFonts w:ascii="宋体" w:hAnsi="宋体"/>
          <w:szCs w:val="30"/>
        </w:rPr>
      </w:pPr>
      <w:bookmarkStart w:id="22" w:name="_Toc210145123"/>
      <w:r>
        <w:rPr>
          <w:rFonts w:ascii="Times New Roman" w:hAnsi="Times New Roman"/>
          <w:sz w:val="30"/>
        </w:rPr>
        <w:lastRenderedPageBreak/>
        <w:t>十九、风险揭示</w:t>
      </w:r>
      <w:bookmarkEnd w:id="22"/>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w:t>
      </w:r>
      <w:r>
        <w:rPr>
          <w:rFonts w:ascii="宋体" w:hAnsi="宋体"/>
          <w:sz w:val="24"/>
        </w:rPr>
        <w:lastRenderedPageBreak/>
        <w:t>担。</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当金融市场利率水平变化时，将会引起债券的价格和收益率变化，同时也直接影响企业的融资成本和利润水平，造成股票和权证市场走势变化，进而影响基金的净值表现。例如当市场利率上升时，基金所持有的债券价格将下降，若基金组合久期较长，则基金资产面临损失。</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5、购买力风险。基金投资于债券所获得的收益将主要通过现金形式来分配，而现金可能受通货膨胀的影响以致购买力下降，从而使基金的实际收益下降。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此外，本基金可投资于股票，如果基金所投资的上市公司经营不善，可能导致其新股上市价格涨幅收窄甚至股价下跌，从而影响本基金参与股票投资的收益水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（二）管理风险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开放式基金。在基金的所有开放日，基金管理人都有义务接受投资人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w:t>
      </w:r>
      <w:r>
        <w:rPr>
          <w:rFonts w:ascii="宋体" w:hAnsi="宋体"/>
          <w:sz w:val="24"/>
        </w:rPr>
        <w:lastRenderedPageBreak/>
        <w:t>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w:t>
      </w:r>
      <w:r>
        <w:rPr>
          <w:rFonts w:ascii="宋体" w:hAnsi="宋体"/>
          <w:sz w:val="24"/>
        </w:rPr>
        <w:lastRenderedPageBreak/>
        <w:t>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（四）本基金特有的风险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债券型基金，投资于固定收益类资产的比例不低于基金资产的80%；对股票、权证等权益类资产的投资比例不高于基金资产的20%，即本基金在主要投资于固定收益类资产的同时也积极关注股票、权证的一级市场以及二级市场投资机会。因此，本基金可能面临以下三类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1、因投资固定收益类资产而面临的固定收益类资产市场的系统性风险和个券风险；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2、因参与新股申购而面临的新股发行放缓甚至停滞，或者新股申购收益率下降甚至出现亏损，或者新股申购制度变更所带来的风险；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3、因少量投资可转债，投资股票、权证二级市场而承担一定程度权益类资产的系统性风险以及个别证券的价格波动。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本基金可投资创业板股票，创业板个股上市后的前五个交易日不设价格涨跌幅限制，第六个交易日开始涨跌幅限制比例为20%。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（五）投资科创板股票的特定风险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w:t>
      </w:r>
      <w:r>
        <w:rPr>
          <w:rFonts w:ascii="宋体" w:hAnsi="宋体"/>
          <w:sz w:val="24"/>
        </w:rPr>
        <w:lastRenderedPageBreak/>
        <w:t>及交易规则等差异带来的特有风险，包括但不限于市场风险、流动性风险、退市风险、系统性风险、政策风险等。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（六）本基金法律文件风险收益特征表述与销售机构基金风险评价可能不一致的风险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w:t>
      </w:r>
      <w:r>
        <w:rPr>
          <w:rFonts w:ascii="宋体" w:hAnsi="宋体"/>
          <w:sz w:val="24"/>
        </w:rPr>
        <w:lastRenderedPageBreak/>
        <w:t>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（七）其他风险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23" w:name="_Toc210145124"/>
      <w:r>
        <w:rPr>
          <w:rFonts w:ascii="Times New Roman" w:hAnsi="Times New Roman"/>
          <w:sz w:val="30"/>
        </w:rPr>
        <w:lastRenderedPageBreak/>
        <w:t>二十、基金合同的变更、终止与基金财产的清算</w:t>
      </w:r>
      <w:bookmarkEnd w:id="23"/>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1、基金合同变更内容对基金合同当事人权利、义务产生重大影响的，应召开基金份额持有人大会，基金合同变更的内容应经基金份额持有人大会决议同意。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(1)转换基金运作方式；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(2)变更基金类别；</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(3)变更基金投资目标、投资范围或投资策略（法律法规和中国证监会另有规定的除外）；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(4)变更基金份额持有人大会程序；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(5)更换基金管理人、基金托管人；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(6)提高基金管理人、基金托管人的报酬标准，提高销售服务费用标准。但根据适用的相关规定提高该等报酬标准的除外；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(8)对基金合同当事人权利、义务产生重大影响的其他事项；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(9)法律法规、基金合同或中国证监会规定的其他情形。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但出现下列情况时，可不经基金份额持有人大会决议，由基金管理人和基金托管人同意变更后公布，并报中国证监会备案：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(1)调低基金管理费、基金托管费、销售服务费和其他应由基金份额持有人承担的费用；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(2)在法律法规和本基金合同规定的范围内调整基金的申购费率、调低赎回费率，变更或增加收费方式；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(3)因相应的法律法规发生变动必须对基金合同进行修改；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(4)对基金合同的修改不涉及本基金合同当事人权利义务关系发生重大变化；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(5)基金合同的修改对基金份额持有人利益无实质性不利影响；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(6)按照法律法规或本基金合同规定不需召开基金份额持有人大会的其他情形。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2、关于变更基金合同的基金份额持有人大会决议应报中国证监会核准或备案，并于中国证监会核准或出具无异议意见后生效执行，并自生效之日起2日内在至少一种指定媒介公告。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（二）基金合同的终止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有下列情形之一的，本基金合同终止：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2、基金管理人因解散、破产、撤销等事由，不能继续担任基金管理人的职务，而在6个月内无其他适当的基金管理人承接其原有权利义务；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3、基金托管人因解散、破产、撤销等事由，不能继续担任基金托管人的职务，而在6个月内无其他适当的基金托管人承接其原有权利义务；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基金合同生效后，连续90个工作日出现基金份额持有人数量不满200人的；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基金合同生效后，连续90个工作日出现基金资产净值低于3000 万元的；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基金合同生效后，连续90个工作日出现本基金前十大基金份额持有人持有的本基金份额数之和超过本基金总份额的90%的；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7、中国证监会规定的其他情况。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(1)基金合同终止时，成立基金财产清算组，基金财产清算组在中国证监会的监督下进行基金清算。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(2)基金财产清算组成员由基金管理人、基金托管人、具有从事证券相关业务资格的注册会计师、律师以及中国证监会指定的人员组成。基金财产清算组可以聘用必要的工作人员。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(3)基金财产清算组负责基金财产的保管、清理、估价、变现和分配。基金财产清算组可以依法进行必要的民事活动。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(1)基金合同终止后，发布基金财产清算公告；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(2)基金合同终止时，由基金财产清算组统一接管基金财产；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(3)对基金财产进行清理和确认；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(4)对基金财产进行估价和变现；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(5)聘请会计师事务所对清算报告进行审计；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(6)聘请律师事务所出具法律意见书；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(7)将基金财产清算结果报告中国证监会；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(8)公布基金财产清算结果；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(9)对基金剩余财产进行分配。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清算费用是指基金财产清算组在进行基金财产清算过程中发生的所有合理费用，清算费用由基金财产清算组优先从基金财产中支付。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结果经会计师事务所审计，律师事务所出具法律意见书后，由基金财产清算组报中国证监会备案并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24" w:name="_Toc210145125"/>
      <w:r>
        <w:rPr>
          <w:rFonts w:ascii="Times New Roman" w:hAnsi="Times New Roman"/>
          <w:sz w:val="30"/>
        </w:rPr>
        <w:lastRenderedPageBreak/>
        <w:t>二十一、基金合同内容摘要</w:t>
      </w:r>
      <w:bookmarkEnd w:id="24"/>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（一）基金合同当事人的权利与义务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根据《基金法》及其他有关法律法规，基金管理人的权利为：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(1)自本基金合同生效之日起，依照有关法律法规和本基金合同的规定独立运用基金财产；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(2)依照基金合同获得基金管理费以及法律法规规定或监管部门批准的其他收入；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(3)发售基金份额；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(4)依照有关规定行使因基金财产投资于证券所产生的权利；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有关法律法规的前提下，制订和调整有关基金认购、申购、赎回、转换、非交易过户、转托管等业务的规则，在法律法规和本基金合同规定的范围内决定和调整基金的除调高托管费率和管理费率之外的相关费率结构和收费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根据本基金合同及有关规定监督基金托管人，对于基金托管人违反了本基金合同或有关法律法规规定的行为，对基金财产、其他当事人的利益造成重大损失的情形，应及时呈报中国证监会，并采取必要措施保护基金及相关当事人的利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(7)在基金合同约定的范围内，拒绝或暂停受理申购和赎回申请；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(8)在法律法规允许的前提下，为基金的利益依法为基金进行融资、融券；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(9)自行担任或选择、更换注册登记机构，获取基金份额持有人名册，并对注册登记机构的代理行为进行必要的监督和检查；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(10)选择、更换代销机构，并依据基金销售服务代理协议和有关法律法规，对其行为进行必要的监督和检查；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(11)选择、更换律师事务所、会计师事务所、证券经纪商或其他为基金提供服务的外部机构；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(12)在基金托管人更换时，提名新的基金托管人；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(13)依法召集基金份额持有人大会；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(14)法律法规和基金合同规定的其他权利。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2、基金管理人的义务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根据《基金法》及其他有关法律法规，基金管理人的义务为：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(1)依法募集基金，办理或者委托经中国证监会认定的其他机构代为办理基金份额的发售、申购、赎回和登记事宜；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(3)自基金合同生效之日起，以诚实信用、勤勉尽责的原则管理和运用基金财产；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(5)建立健全内部风险控制、监察与稽核、财务管理及人事管理等制度，保证所管理的基金财产和管理人的财产相互独立，对所管理的不同基金分别管理，分别记账，进行证券投资；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(8)计算并公告基金净值信息，确定基金份额申购、赎回价格；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(9)采取适当合理的措施使计算基金份额认购、申购、赎回和注销价格的方法符合基金合同等法律文件的规定；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(10)按规定受理申购和赎回申请，及时、足额支付赎回款项；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(11)进行基金会计核算并编制基金财务会计报告；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(12)编制季度报告、中期报告和年度报告；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(13)严格按照《基金法》、基金合同及其他有关规定，履行信息披露及报告义务；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(15)按照基金合同的约定确定基金收益分配方案，及时向基金份额持有人分配收益；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(17)保存基金财产管理业务活动的记录、账册、报表和其他相关资料；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(18)以基金管理人名义，代表基金份额持有人利益行使诉讼权利或者实施其他</w:t>
      </w:r>
      <w:r>
        <w:rPr>
          <w:rFonts w:ascii="宋体" w:hAnsi="宋体"/>
          <w:sz w:val="24"/>
        </w:rPr>
        <w:lastRenderedPageBreak/>
        <w:t>法律行为；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(19)组织并参加基金财产清算小组，参与基金财产的保管、清理、估价、变现和分配；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(21)基金托管人违反基金合同造成基金财产损失时，应为基金份额持有人利益向基金托管人追偿；</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(22)按规定向基金托管人提供基金份额持有人名册资料；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(23)面临解散、依法被撤销或者被依法宣告破产时，及时报告中国证监会并通知基金托管人；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(24)执行生效的基金份额持有人大会决议；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(25)不从事任何有损基金及其他基金当事人利益的活动；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(26)依照法律法规为基金的利益对被投资公司行使股东权利，为基金的利益行使因基金财产投资于证券所产生的权利，不谋求对上市公司的控股和直接管理；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(27)法律法规、中国证监会和基金合同规定的其他义务。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3、基金托管人的权利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根据《基金法》及其他有关法律法规，基金托管人的权利为：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(1)依基金合同约定获得基金托管费以及法律法规规定或监管部门批准的其他收入；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(2)监督基金管理人对本基金的投资运作；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(3)自本基金合同生效之日起，依法保管基金资产；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(4)在基金管理人更换时，提名新任基金管理人；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管理人，对于基金管理人违反本基金合同或有关法律法规规定的行为，对基金资产、其他当事人的利益造成重大损失的情形，应及时呈报中国证监会，并采取必要措施保护基金及相关当事人的利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(6)依法召集基金份额持有人大会；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(7)按规定取得基金份额持有人名册资料；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(8)法律法规和基金合同规定的其他权利。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4、基金托管人的义务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根据《基金法》及其他有关法律法规，基金托管人的义务为：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(1)安全保管基金财产；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(2)设立专门的基金托管部，具有符合要求的营业场所，配备足够的、合格的熟悉基金托管业务的专职人员，负责基金财产托管事宜；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(3)对所托管的不同基金财产分别设置账户，确保基金财产的完整与独立；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(9)保存基金托管业务活动的记录、账册、报表和其他相关资料；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(10)按照基金合同的约定，根据基金管理人的投资指令，及时办理清算、交割事宜；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(11)办理与基金托管业务活动有关的信息披露事项；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(12)复核、审查基金管理人计算的基金资产净值、基金份额净值、基金份额申购、赎回价格；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(13)按照规定监督基金管理人的投资运作；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(14)按规定制作相关账册并与基金管理人核对；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(15)依据基金管理人的指令或有关规定向基金份额持有人支付基金收益和赎回款项；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(16)按照规定召集基金份额持有人大会或配合基金管理人、基金份额持有人依法自行召集基金份额持有人大会；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(17)因违反基金合同导致基金财产损失，应承担赔偿责任，其赔偿责任不因其退任而免除；</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(18)基金管理人因违反基金合同造成基金财产损失时，应为基金向基金管理人追偿；</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(19)参加基金财产清算小组，参与基金财产的保管、清理、估价、变现和分</w:t>
      </w:r>
      <w:r>
        <w:rPr>
          <w:rFonts w:ascii="宋体" w:hAnsi="宋体"/>
          <w:sz w:val="24"/>
        </w:rPr>
        <w:lastRenderedPageBreak/>
        <w:t>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(20)面临解散、依法被撤销或者被依法宣告破产时，及时报告中国证监会和中国银监会，并通知基金管理人；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(21)执行生效的基金份额持有人大会决议；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(22)不从事任何有损基金及其他基金当事人利益的活动；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(23)建立并保存基金份额持有人名册；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(24)法律法规、中国证监会和基金合同规定的其他义务。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5、基金份额持有人的权利与义务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（1）根据《基金法》及其他有关法律法规，基金份额持有人的权利为：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3)依法申请赎回其持有的基金份额；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8)对基金管理人、基金托管人、基金份额发售机构损害其合法权益的行为依法提起诉讼；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同一基金份额类别的每份基金份额具有同等的合法权益。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（2）根据《基金法》及其他有关法律法规，基金份额持有人的义务为：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1)遵守法律法规、基金合同及其他有关规定；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2)交纳基金认购、申购款项及法律法规和基金合同所规定的费用；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3)在持有的基金份额范围内，承担基金亏损或者基金合同终止的有限责任；</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4)不从事任何有损基金及其他基金份额持有人合法权益的活动；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5)执行生效的基金份额持有人大会决议；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6)返还在基金交易过程中因任何原因，自基金管理人及基金管理人的代理人、基金托管人、代销机构、其他基金份额持有人处获得的不当得利；</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7)法律法规和基金合同规定的其他义务。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6、本基金合同当事各方的权利义务以本基金合同为依据，不因基金财产账户名称而有所改变。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基金份额持有人大会由基金份额持有人组成。基金份额持有人持有的每一基金份额具有同等的投票权。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经基金管理人、基金托管人或持有基金份额10%以上(含10%，下同)的基金份额持有人(以基金管理人收到提议当日的基金份额计算，下同)提议时，应当召开基金份额持有人大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4)变更基金投资目标、投资范围或投资策略（法律法规和中国证监会另有规定的除外）；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5)变更基金份额持有人大会程序；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7)提高基金管理人、基金托管人的报酬标准，提高销售服务费用标准。但法律法规要求提高该等报酬标准的除外；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9)对基金合同当事人权利、义务产生重大影响的其他事项；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10)法律法规、基金合同或中国证监会规定的其他情形。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(2)出现以下情形之一的，可由基金管理人和基金托管人协商后修改基金合同，不需召开基金份额持有人大会：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1)调低基金管理费、基金托管费、销售服务费和其他应由基金份额持有人承担的费用；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2)在法律法规和本基金合同规定的范围内调整基金的申购费率、调低赎回费率，变更或增加收费方式；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3)因相应的法律法规发生变动必须对基金合同进行修改；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4)对基金合同的修改不涉及本基金合同当事人权利义务关系发生重大变化；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5)基金合同的修改对基金份额持有人利益无实质性不利影响；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6)按照法律法规或本基金合同规定不需召开基金份额持有人大会的其他情形。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基金合同生效后，出现以下事由情形之一时，终止基金合同不需要召开基金份额持有人大会：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1)连续90个工作日出现基金份额持有人数量不满200人的；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2)连续90个工作日出现基金资产净值低于3000 万元的；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3)连续90个工作日出现本基金前十大基金份额持有人持有的本基金份额数之和超过本基金总份额的90%的。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2、召集人及召集方式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（1）基金份额持有人大会的召集人(以下简称“召集人”)负责选择确定开会</w:t>
      </w:r>
      <w:r>
        <w:rPr>
          <w:rFonts w:ascii="宋体" w:hAnsi="宋体"/>
          <w:sz w:val="24"/>
        </w:rPr>
        <w:lastRenderedPageBreak/>
        <w:t>时间、地点、方式和权益登记日。召开基金份额持有人大会，召集人必须于会议召开日前30日在指定媒介公告。基金份额持有人大会通知须至少载明以下内容：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2)会议拟审议的主要事项；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3)会议形式；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4)议事程序；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5)有权出席基金份额持有人大会的基金份额持有人权益登记日；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6)代理投票的授权委托证明的内容要求(包括但不限于代理人身份、代理权限和代理有效期限等)、送达时间和地点；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用通讯方式开会并进行表决的情况下，由召集人决定通讯方式和书面表决方式，并在会议通知中说明本次基金份额持有人大会所采取的具体通讯方式、委托的公证机关及其联系方式和联系人、书面表决意见寄交的截止时间和收取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1)基金份额持有人大会的召开方式包括现场开会、通讯方式开会或法律法规和监管机关允许的其他方式。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2)会议的召开方式由会议召集人确定，但更换基金管理人和基金托管人必须以现场开会方式召开。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3)现场开会由基金份额持有人本人出席或通过授权委托证明委派其代理人出</w:t>
      </w:r>
      <w:r>
        <w:rPr>
          <w:rFonts w:ascii="宋体" w:hAnsi="宋体"/>
          <w:sz w:val="24"/>
        </w:rPr>
        <w:lastRenderedPageBreak/>
        <w:t>席，现场开会时基金管理人和基金托管人的授权代表应当出席，如基金管理人或基金托管人拒不派代表出席的，不影响表决效力。</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4)通讯方式开会指按照本基金合同的相关规定以通讯的书面方式进行表决。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5)会议的召开方式由召集人确定。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(2)召开基金份额持有人大会的条件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在同时符合以下条件时，现场会议方可举行：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①对到会者在权益登记日持有基金份额的统计显示，全部有效凭证所对应的基金份额应占权益登记日基金总份额的50%以上(含50%，下同)；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注册登记资料相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在同时符合以下条件时，通讯会议方可举行：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②召集人按基金合同规定通知基金托管人或/和基金管理人(分别或共同称为“监督人”)到指定地点对书面表决意见的计票进行监督；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③召集人在监督人和公证机关的监督下按照会议通知规定的方式收取和统计基金份额持有人的书面表决意见，如基金管理人或基金托管人经通知拒不到场监督的，不影响表决效力；</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④本人直接出具书面意见和授权他人代表出具书面意见的基金份额持有人所代表的基金份额占权益登记日基金总份额的50%以上；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⑤直接出具书面意见的基金份额持有人或受托代表他人出具书面意见的代理人提交的持有基金份额的凭证、授权委托证明等文件符合法律法规、基金合同和会议通知的规定，并与注册登记机构记录相符。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2)基金管理人、基金托管人、单独或合并持有权益登记日本基金总份额10%以上的基金份额持有人可以在大会召集人发出会议通知前就召开事由向大会召集人提交需由基金份额持有人大会审议表决的提案。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3)对于基金份额持有人提交的提案，大会召集人应当按照以下原则对提案进行审核：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做出决定。如将其提案进行分拆或合并表决，需征得原提案人同意；原提案人不同意变更的，大会主持人可以就程序性问题提请基金份额持有人大会做出决定，并按照基金份额持有人大会决定的程序进行审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5)基金份额持有人大会的召集人发出召开会议的通知后，如果需要对原有提案进行修改，应当在基金份额持有人大会召开前30日及时公告。否则，会议的召开日期应当顺延并保证至少与公告日期有30日的间隔期。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召集人授权代表主持。基金管理人为召集人的，其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召集人应当制作出席会议人员的签名册。签名册载明参加会议人员姓名(或单位名称)、身份证号码、持有或代表有表决权的基金份额数量、委托人姓名(或单位名称)等事项。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表决开会的方式下，首先由召集人提前30日公布提案，在所通知的表决截止日期后第2个工作日在公证机关及监督人的监督下由召集人统计全部有效表决并形成决议。如监督人经通知但拒绝到场监督，则在公证机关监督下形成的决议有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6、决议形成的条件、表决方式、程序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(1)基金份额持有人所持每一基金份额享有平等的表决权。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(2)基金份额持有人大会决议分为一般决议和特别决议：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一般决议须经出席会议的基金份额持有人(或其代理人)所持表决权的50%以上通过方为有效，除下列2)所规定的须以特别决议通过事项以外的其他事项均以一般决议的方式通过；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或其代理人)所持表决权的三分之二以上(含三分之二)通过方为有效；涉及更换基金管理人、更换基金托管人、转换基金运作方式、终止基金合同必须以特别决议通过方为有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3)基金份额持有人大会决定的事项，应当依法报中国证监会核准或者备案，并予以公告。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5)基金份额持有人大会采取记名方式进行投票表决。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6)基金份额持有人大会的各项提案或同一项提案内并列的各项议题应当分开审议、逐项表决。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（1）现场开会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基金份额持有人大会的主持人应当在会议开始后宣布在出席会议的基金份额持有人和代理人中推举两名基金份额持有人代表与基金管理人、基金托管人授权的一名监督员共同担任监票人；但如果基金管理人和基金托管人的授权代表未出席，则大会主持人可自行选举三名基金份额持有人代表担任监票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大会主持人对于提交的表决结果有异议，可以对投票数进行重新清点；如大会主持人未进行重新清点，而出席大会的基金份额持有人或代理人对大会主持人宣布的表决结果有异议，其有权在宣布表决结果后立即要求重新清点，大会主持人应当立即重新清点并公布重新清点结果。重新清点仅限一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票人在监督人派出的授权代表的监督下进行计票，并由公证机关对其计票过程予以公证；如监督人经通知但拒绝到场监督，则大会召集人可自行授权3名监票人进行计票，并由公证机关对其计票过程予以公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8、实施侧袋机制期间基金份额持有人大会的特殊约定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w:t>
      </w:r>
      <w:r>
        <w:rPr>
          <w:rFonts w:ascii="宋体" w:hAnsi="宋体"/>
          <w:sz w:val="24"/>
        </w:rPr>
        <w:lastRenderedPageBreak/>
        <w:t>持有人所持有的基金份额不小于在权益登记日相关基金份额的二分之一（含二分之一）；</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（三）基金合同的变更与终止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1、基金合同变更内容对基金合同当事人权利、义务产生重大影响的，应召开基金份额持有人大会，基金合同变更的内容应经基金份额持有人大会决议同意。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(1)转换基金运作方式；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(2)变更基金类别；</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(3)变更基金投资目标、投资范围或投资策略（法律法规和中国证监会另有规定的除外）；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(4)变更基金份额持有人大会程序；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(5)更换基金管理人、基金托管人；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(6)提高基金管理人、基金托管人的报酬标准，提高销售服务费用标准。但根据适用的相关规定提高该等报酬标准的除外；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(8)对基金合同当事人权利、义务产生重大影响的其他事项；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(9)法律法规、基金合同或中国证监会规定的其他情形。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但出现下列情况时，可不经基金份额持有人大会决议，由基金管理人和基金托</w:t>
      </w:r>
      <w:r>
        <w:rPr>
          <w:rFonts w:ascii="宋体" w:hAnsi="宋体"/>
          <w:sz w:val="24"/>
        </w:rPr>
        <w:lastRenderedPageBreak/>
        <w:t>管人同意变更后公布，并报中国证监会备案：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(1)调低基金管理费、基金托管费、销售服务费和其他应由基金份额持有人承担的费用；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(2)在法律法规和本基金合同规定的范围内调整基金的申购费率、调低赎回费率，变更或增加收费方式；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(3)因相应的法律法规发生变动必须对基金合同进行修改；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(4)对基金合同的修改不涉及本基金合同当事人权利义务关系发生重大变化；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(5)基金合同的修改对基金份额持有人利益无实质性不利影响；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(6)按照法律法规或本基金合同规定不需召开基金份额持有人大会的其他情形。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关于变更基金合同的基金份额持有人大会决议应报中国证监会核准或备案，并于中国证监会核准或出具无异议意见后生效执行，并自生效之日起2日内在至少一种指定媒介公告。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有下列情形之一的，本基金合同终止：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(2)基金管理人因解散、破产、撤销等事由，不能继续担任基金管理人的职务，而在6个月内无其他适当的基金管理人承接其原有权利义务；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(3)基金托管人因解散、破产、撤销等事由，不能继续担任基金托管人的职务，而在6个月内无其他适当的基金托管人承接其原有权利义务；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(4)基金合同生效后，连续90个工作日出现基金份额持有人数量不满200人的；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(5)基金合同生效后，连续90个工作日出现基金资产净值低于3000 万元的；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(6)基金合同生效后，连续90个工作日出现本基金前十大基金份额持有人持有的本基金份额数之和超过本基金总份额的90%的；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(7)中国证监会规定的其他情况。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w:t>
      </w:r>
      <w:r>
        <w:rPr>
          <w:rFonts w:ascii="宋体" w:hAnsi="宋体"/>
          <w:sz w:val="24"/>
        </w:rPr>
        <w:lastRenderedPageBreak/>
        <w:t>的，对各方当事人均有约束力，仲裁费用由败诉方承担。</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本基金合同受中国法律管辖。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（五）基金合同存放及投资人取得基金合同的方式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1、本基金合同正本一式八份，除中国证监会和中国银监会各持两份外，基金管理人和基金托管人各持有两份。每份均具有同等的法律效力。</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2、本基金合同可印制成册，供投资人在基金管理人、基金托管人、代销机构和注册登记机构办公场所查阅，但其效力应以基金合同正本为准。</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25" w:name="_Toc210145126"/>
      <w:r>
        <w:rPr>
          <w:rFonts w:ascii="Times New Roman" w:hAnsi="Times New Roman"/>
          <w:sz w:val="30"/>
        </w:rPr>
        <w:lastRenderedPageBreak/>
        <w:t>二十二、托管协议的内容摘要</w:t>
      </w:r>
      <w:bookmarkEnd w:id="25"/>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 200120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注册资本：贰亿元人民币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法定代表人：田国立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成立日期：2004年09月17日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基金托管业务批准文号：中国证监会证监基字[1998]12号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监</w:t>
      </w:r>
      <w:r>
        <w:rPr>
          <w:rFonts w:ascii="宋体" w:hAnsi="宋体"/>
          <w:sz w:val="24"/>
        </w:rPr>
        <w:lastRenderedPageBreak/>
        <w:t>会等监管部门批准的其他业务。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债券、货币市场工具、权证以及法律法规或中国证监会允许基金投资的其他金融工具（但须符合中国证监会的相关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如法律法规或监管机构以后允许基金投资的其他品种，基金管理人在履行适当程序后，可以将其纳入投资范围。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固定收益类资产的比例不低于基金资产的80%，固定收益类资产包括国债、金融债、央行票据、地方政府债、企业债、公司债、短期融资券、可转换债券及可分离转债、资产支持证券、次级债、债券回购等金融工具；对股票、权证等权益类资产的投资比例不高于基金资产的20%；其中现金及到期日在一年以内的政府债券的投资比例合计不低于基金资产净值的5%，现金不包括结算备付金、存出保证金、应收申购款等；本基金持有的全部权证，其市值不得超过基金资产净值的3%。</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(1)本基金持有一家上市公司的股票，其市值不超过基金资产净值的10%；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(2)本基金持有的全部权证，其市值不得超过基金资产净值的3%；本基金在任何交易日买入权证的总金额，不得超过上一交易日基金资产净值的0.5%；法律法规或监管部门另有规定的，遵从其规定。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(3)本基金进入全国银行间同业市场进行债券回购的资金余额不得超过基金资产净值的40%；本基金进入全国银行间同业市场进行债券回购的最长期限为1年,债券回购到期后不得展期；</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(4)本基金投资于固定收益类资产的比例不低于基金资产的80%；对股票、权证等权益类资产的投资比例不高于基金资产的20%；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资产支持证券，其市值不得超过基金资产净值的20%；本基金持有的同一(指同一信用级别)资产支持证券的比例，不得超过该资产支持证券规模的10%；本基金投资于同一原始权益人的各类资产支持证券的比例，不得超过基金资产净值的10%；中国证监会规定的特殊品种除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(6)本基金应投资于信用级别评级为BBB以上(含BBB)的资产支持证券。基金持有资产支持证券期间，如果其信用等级下降、不再符合投资标准，应在评级报告发布之日起3个月内予以全部卖出；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(7)基金财产参与股票发行申购，本基金所申报的金额不超过本基金的总资产，本基金所申报的股票数量不超过拟发行股票公司本次发行股票的总量；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(8)保持不低于基金资产净值5%的现金或者到期日在一年以内的政府债券，其中现金不包括结算备付金、存出保证金、应收申购款等；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(11)本基金与私募类证券资管产品及中国证监会认定的其他主体为交易对手开展逆回购交易的，可接受质押品的资质要求应当与基金合同约定的投资范围保持一致；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(12)本基金持有的所有流通受限证券，其公允价值不得超过本基金资产净值的15%；本基金持有的同一流通受限证券，其公允价值不得超过本基金资产净值的2%。</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如果法律法规对上述投资组合比例限制进行变更的，以变更后的规定为准。法律法规或监管部门取消上述限制，如适用于本基金，则本基金投资不再受相关限</w:t>
      </w:r>
      <w:r>
        <w:rPr>
          <w:rFonts w:ascii="宋体" w:hAnsi="宋体"/>
          <w:sz w:val="24"/>
        </w:rPr>
        <w:lastRenderedPageBreak/>
        <w:t>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(6)、(8)、(10)、(11)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九款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1个工作日内与基</w:t>
      </w:r>
      <w:r>
        <w:rPr>
          <w:rFonts w:ascii="宋体" w:hAnsi="宋体"/>
          <w:sz w:val="24"/>
        </w:rPr>
        <w:lastRenderedPageBreak/>
        <w:t>金托管人协商解决。基金管理人与基金托管人完成确认后，被确认调整的名单开始生效，新名单生效前已与本次剔除的交易对手所进行但尚未结算的交易，仍应按照协议进行结算。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5、基金托管人根据有关法律法规的规定及基金合同的约定，对基金管理人投资流通受限证券进行监督。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本基金投资的受限证券限于可由中国证券登记结算有限责任公司或中央国债登记结算有限责任公司负责登记和存管，并可在证券交易所或全国银行间债券市场交易的证券。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受限证券应保证登记存管在本基金名下，基金管理人负责相关工作的落实和协调，并确保基金托管人能够正常查询。因基金管理人原因产生的受限证券登记存管问题，造成基金托管人无法安全保管本基金资产的责任与损失，及因受限证券存管直接影响本基金安全的责任及损失，由基金管理人承担。</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本基金投资受限证券，不得预付任何形式的保证金。</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（2）基金管理人投资非公开发行股票，应制订流动性风险处置预案并经其董</w:t>
      </w:r>
      <w:r>
        <w:rPr>
          <w:rFonts w:ascii="宋体" w:hAnsi="宋体"/>
          <w:sz w:val="24"/>
        </w:rPr>
        <w:lastRenderedPageBreak/>
        <w:t>事会批准。风险处置预案应包括但不限于因投资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按法律法规规定承担所有损失。对本基金因投资受限证券导致的流动性风险，基金托管人不承担任何责任。如因基金管理人原因导致本基金出现损失致使基金托管人承担连带赔偿责任的，基金管理人应赔偿基金托管人由此遭受的损失。</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2）非公开发行股票有关发行数量、发行价格、锁定期等发行资料。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3）非公开发行股票发行人与中国证券登记结算有限责任公司或中央国债登记结算有限责任公司签订的证券登记及服务协议。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4）基金拟认购的数量、价格、总成本、账面价值。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在本基金投资非公开发行股票后两个交易日内，在中国证监会指定媒介披露所投资非公开发行股票的名称、数量、总成本、账面价值，以及总成本和账面价值占基金资产净值的比例、锁定期等信息。</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本基金有关投资受限证券比例如违反有关限制规定，在合理期限内未能进行及时调整，基金管理人应在两个工作日内编制临时报告书，予以公告。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（5）基金托管人根据有关规定有权对基金管理人进行以下事项监督：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1）本基金投资受限证券时的法律法规遵守情况。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2）在基金投资受限证券管理工作方面有关制度、流动性风险处置预案的建立与完善情况。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3）有关比例限制的执行情况。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4）信息披露情况。</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（6）相关法律法规对基金投资受限证券有新规定的，从其规定。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w:t>
      </w:r>
      <w:r>
        <w:rPr>
          <w:rFonts w:ascii="宋体" w:hAnsi="宋体"/>
          <w:sz w:val="24"/>
        </w:rPr>
        <w:lastRenderedPageBreak/>
        <w:t>计算的基金资产净值和基金份额净值、根据基金管理人指令办理清算交收、相关信息披露和监督基金投资运作等行为。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2、基金募集期间及募集资金的验资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（1）基金募集期间认购款项应存于专用账户。该账户由基金管理人委托的注册登记机构开立并管理。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基金财产的全部资金划入基金托管人为基金开立的基金银行账户，同时在规定时间内，聘请具有从事证券相关业务资格的会计师事务所进行验资，出具验资报告。出具的验资报告由参加验资的2名或2名以上中国注册会计师签字方为有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（1）基金托管人可以本基金的名义在其营业机构开立基金的银行账户，并根据基金管理人合法合规的指令办理资金收付。本基金的银行预留印鉴由基金托管人保管和使用。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（3）基金银行账户的开立和管理应符合中国银监会的有关规定。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（4）在符合法律法规规定的条件下，基金托管人可以通过基金托管人专用账户办理基金资产的支付。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w:t>
      </w:r>
      <w:r>
        <w:rPr>
          <w:rFonts w:ascii="宋体" w:hAnsi="宋体"/>
          <w:sz w:val="24"/>
        </w:rPr>
        <w:lastRenderedPageBreak/>
        <w:t>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以基金的名义在中央国债登记结算有限责任公司开立债券托管账户，并代表基金进行银行间市场债券的结算。基金管理人和基金托管人共同代表基金签订全国银行间债券市场债券回购主协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（1）因业务发展需要而开立的其他账户，可以根据法律法规和基金合同的规定，由基金托管人负责开立。新账户按有关规定使用并管理。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由基金托管人存放于基金托管人的保管库，也可存入中央国债登记结算有限责任公司、中国证券登记结算有限责任公司上海分公司/深圳分公司或票据营业中心的代保管库，保管凭证由基金托管人持有。实物证券等有价凭证的购买和转让，由基金管理人和基金托管人共同办理。基金托管人对由基金托管人以外机构实际有效控制的证券不承担保管责任。</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w:t>
      </w:r>
      <w:r>
        <w:rPr>
          <w:rFonts w:ascii="宋体" w:hAnsi="宋体"/>
          <w:sz w:val="24"/>
        </w:rPr>
        <w:lastRenderedPageBreak/>
        <w:t>15年。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（五）基金资产净值计算和会计核算</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基金份额净值是指基金资产净值除以基金份额总数，基金份额净值的计算，精确到0.0001元，小数点后第五位四舍五入，国家另有规定的，从其规定。</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基金管理人每个工作日分别计算本基金A/B类基金份额和C类基金份额的基金资产净值及基金份额净值，经基金托管人复核，按规定公告。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基金管理人每工作日对基金资产进行估值后，将本基金A/B类基金份额和C类基金份额的基金份额净值结果发送基金托管人，经基金托管人复核无误后，由基金管理人按照法律法规规定对外公布。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基金所拥有的股票、权证、债券和银行存款本息、应收款项、其它投资等资产和负债。</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②交易所市场上市交易或挂牌转让的固定收益品种（另有规定的除外），选取第三方估值机构提供的相应品种当日的估值净价进行估值；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③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④交易所上市不存在活跃市场的有价证券，采用估值技术确定公允价值。交易所上市的资产支持证券，采用估值技术确定公允价值，在估值技术难以可靠计量公允价值的情况下，按成本估值。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①送股、转增股、配股和公开增发的新股，按估值日在证券交易所挂牌的同一股票的估值方法估值；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②首次公开发行未上市的股票、债券和权证，采用估值技术确定公允价值，在估值技术难以可靠计量公允价值的情况下，按成本估值。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③首次公开发行有明确锁定期的股票，同一股票在交易所上市后，按交易所上市的同一股票的估值方法估值；非公开发行有明确锁定期的股票，按监管机构或行业协会有关规定确定公允价值。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6）相关法律法规以及监管部门有强制规定的，从其规定。如有新增事项，按国家最新规定估值。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1）基金管理人、基金托管人按估值方法的第5）项进行估值时，所造成的误差不作为基金份额净值错误处理。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由于不可抗力原因，或由于证券交易所或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由此造成的影响。</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当发生净值计算错误时，由基金管理人负责处理，由此给基金份额持有人和基金造成损失的，应由基金管理人先行赔付，基金管理人按差错情形，有权向其他当事人追偿。</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出错且造成基金份额持有人损失的，应根据法律法规的规定对投资人或基金支付赔偿金，就实际向投资人或基金支付的赔偿金额，基金管理人与基金托管人按照管理费和托管费的比例各自承担相应的责任。</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4)由于基金管理人提供的信息错误（包括但不限于基金申购或赎回金额等），进而导致基金份额净值计算错误而引起的基金份额持有人和基金财产的损失，由基</w:t>
      </w:r>
      <w:r>
        <w:rPr>
          <w:rFonts w:ascii="宋体" w:hAnsi="宋体"/>
          <w:sz w:val="24"/>
        </w:rPr>
        <w:lastRenderedPageBreak/>
        <w:t>金管理人负责赔付。</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（4）前述内容如法律法规或者监管部门另有规定的，从其规定。如果行业另有通行做法，双方当事人应本着平等和保护基金份额持有人利益的原则进行协商。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（1）基金投资所涉及的证券交易所遇法定节假日或因其他原因暂停营业时；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（2）因不可抗力或其他情形致使基金管理人、基金托管人无法准确评估基金资产价值时；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（3）占基金相当比例的投资品种的估值出现重大转变，而基金管理人为保障投资人的利益，已决定延迟估值；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5、实施侧袋机制期间的基金资产估值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6、基金会计制度</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7、基金账册的建立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若基金管理人和基金托管人对会计处理方法存在分歧，应以基金管理人的处理方法为准。若当日核对不符，暂时无法查找到错账的原因而影响到基金资产净值的计算和公告的，以基金管理人的账册为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8、基金财务报表与报告的编制和复核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w:t>
      </w:r>
      <w:r>
        <w:rPr>
          <w:rFonts w:ascii="宋体" w:hAnsi="宋体"/>
          <w:sz w:val="24"/>
        </w:rPr>
        <w:lastRenderedPageBreak/>
        <w:t>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1）报表的编制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月结束后5个工作日内完成月度报表的编制；在每个季度结束之日起15个工作日内完成基金季度报告的编制；在上半年结束之日起60日内完成基金半年度报告的编制；在每年结束之日起90日内完成基金年度报告的编制。基金年度报告的财务会计报告应当经过审计。基金合同生效不足两个月的，基金管理人可以不编制当期季度报告、半年度报告或者年度报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2）报表的复核</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基金管理人应及时完成报表编制，将有关报表提供基金托管人复核；基金托管人在复核过程中，发现双方的报表存在不符时，基金管理人和基金托管人应共同查明原因，进行调整，调整以国家有关规定为准。</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基金管理人应留足充分的时间，便于基金托管人复核相关报表及报告。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9、基金管理人应在编制季度报告、半年度报告或者年度报告之前及时向基金托管人提供基金业绩比较基准的基础数据和编制结果。</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（六）基金份额持有人名册的的登记与保管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注册登记机构根据基金管理人的指令编制和保管，基金管理人和基金托管人应分别保管基金份额持有人名册，保存期不少于15年。如不能妥善保管，则按相关法规承担责任。</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w:t>
      </w:r>
      <w:r>
        <w:rPr>
          <w:rFonts w:ascii="宋体" w:hAnsi="宋体"/>
          <w:sz w:val="24"/>
        </w:rPr>
        <w:lastRenderedPageBreak/>
        <w:t>实、勤勉、尽责地履行基金合同和本托管协议规定的义务，维护基金份额持有人的合法权益。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本协议双方当事人经协商一致，可以对协议进行修改。修改后的新协议，其内容不得与基金合同的规定有任何冲突。基金托管协议的变更报中国证监会核准或备案后生效。</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26" w:name="_Toc210145127"/>
      <w:r>
        <w:rPr>
          <w:rFonts w:ascii="Times New Roman" w:hAnsi="Times New Roman"/>
          <w:sz w:val="30"/>
        </w:rPr>
        <w:lastRenderedPageBreak/>
        <w:t>二十三、对基金份额持有人的服务</w:t>
      </w:r>
      <w:bookmarkEnd w:id="26"/>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公司网站的网上直销交易平台办理开户和本基金的申购、赎回、定期定额投资和转换等业务。本公司暂不开展网上直销本基金B类基金份额的认/申购业务，通过转托管转入网上直销账户的本基金B类基金份额只能办理赎回业务。通过网上直销交易平台办理本基金A类基金份额申购和定期定额投资业务的个人投资者将享受前端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赎回等交易情况、分红方式状态、基金账户余额、基金产品与服务等信息，请拨打本基金管理人客户服务电话（400-700-5000，021-61055000）或登录本基金管理人网站（www.fund001.com）进行咨询、查询。</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w:t>
      </w:r>
      <w:r>
        <w:rPr>
          <w:rFonts w:ascii="宋体" w:hAnsi="宋体"/>
          <w:sz w:val="24"/>
        </w:rPr>
        <w:lastRenderedPageBreak/>
        <w:t>资人通过客户服务电话查询基金账户下的账户和交易信息。投资人请在其知晓基金账号后，及时拨打本基金管理人客户服务电话修改基金查询密码。</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本基金收益分配时，投资人可以选择将当期分配所得的红利再投资于本基金，再投资红利按红利再投日（即除息日）除息后的基金份额净值自动转为基金份额，并免收申购费用。</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27" w:name="_Toc210145128"/>
      <w:r>
        <w:rPr>
          <w:rFonts w:ascii="Times New Roman" w:hAnsi="Times New Roman"/>
          <w:sz w:val="30"/>
        </w:rPr>
        <w:lastRenderedPageBreak/>
        <w:t>二十四、其他应披露事项</w:t>
      </w:r>
      <w:bookmarkEnd w:id="27"/>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交银施罗德双利债券证券投资基金招募说明书更新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交银施罗德双利债券证券投资基金（</w:t>
            </w:r>
            <w:r>
              <w:rPr>
                <w:rFonts w:ascii="Times New Roman" w:hAnsi="Times New Roman"/>
                <w:color w:val="000000"/>
                <w:kern w:val="0"/>
                <w:sz w:val="25"/>
                <w:szCs w:val="24"/>
              </w:rPr>
              <w:t>AB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交银施罗德双利债券证券投资基金（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交银施罗德双利债券证券投资基金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交银施罗德双利债券证券投资基金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交银施罗德双利债券证券投资基金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交银施罗德双利债券证券投资基金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14</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交银施罗德双利债券证券投资基金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交银施罗德基金管理有限公司关于交银施罗德双利债券证券投资基金分红公告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2025-08-20</w:t>
            </w:r>
          </w:p>
        </w:tc>
      </w:tr>
      <w:tr w:rsidR="009832D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交银施罗德双利债券证券投资基金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832D2" w:rsidRDefault="00526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28" w:name="_Toc210145129"/>
      <w:r>
        <w:rPr>
          <w:rFonts w:ascii="Times New Roman" w:hAnsi="Times New Roman"/>
          <w:sz w:val="30"/>
        </w:rPr>
        <w:lastRenderedPageBreak/>
        <w:t>二十五、招募说明书的存放及查阅方式</w:t>
      </w:r>
      <w:bookmarkEnd w:id="28"/>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人可在办公时间查阅；投资者在支付工本费后，可在合理时间内取得上述文件复制件或复印件。对投资人按此种方式所获得的文件及其复印件，基金管理人和基金托管人保证文本的内容与所公告的内容完全一致。</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52604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832D2" w:rsidRDefault="0052604B">
      <w:pPr>
        <w:pStyle w:val="1"/>
        <w:snapToGrid w:val="0"/>
        <w:spacing w:beforeLines="0" w:before="240" w:after="240"/>
        <w:rPr>
          <w:rFonts w:ascii="宋体" w:hAnsi="宋体"/>
          <w:szCs w:val="30"/>
        </w:rPr>
      </w:pPr>
      <w:bookmarkStart w:id="29" w:name="_Toc210145130"/>
      <w:r>
        <w:rPr>
          <w:rFonts w:ascii="Times New Roman" w:hAnsi="Times New Roman"/>
          <w:sz w:val="30"/>
        </w:rPr>
        <w:lastRenderedPageBreak/>
        <w:t>二十六、备查文件</w:t>
      </w:r>
      <w:bookmarkEnd w:id="29"/>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（一）中国证监会核准交银施罗德双利债券证券投资基金募集的文件</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（二）《交银施罗德双利债券证券投资基金基金合同》</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（三）《交银施罗德双利债券证券投资基金托管协议》</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9832D2" w:rsidRDefault="0052604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（六）关于申请募集交银施罗德双利债券证券投资基金之法律意见书</w:t>
      </w:r>
    </w:p>
    <w:sectPr w:rsidR="009832D2">
      <w:footerReference w:type="default" r:id="rId20"/>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280E" w:rsidRDefault="0052604B">
      <w:r>
        <w:separator/>
      </w:r>
    </w:p>
  </w:endnote>
  <w:endnote w:type="continuationSeparator" w:id="0">
    <w:p w:rsidR="00E9280E" w:rsidRDefault="00526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2D2" w:rsidRDefault="009832D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2D2" w:rsidRDefault="0068755B">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7728;mso-position-horizontal-relative:page;mso-position-vertical-relative:page;mso-width-relative:page;mso-height-relative:page" o:allowincell="f" filled="f" stroked="f">
          <v:textbox inset="0,0,0,0">
            <w:txbxContent>
              <w:p w:rsidR="009832D2" w:rsidRDefault="0052604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68755B">
                  <w:rPr>
                    <w:rFonts w:ascii="Times New Roman" w:hAnsi="Times New Roman"/>
                    <w:noProof/>
                    <w:kern w:val="0"/>
                    <w:sz w:val="18"/>
                    <w:szCs w:val="18"/>
                  </w:rPr>
                  <w:t>2</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2D2" w:rsidRDefault="009832D2">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2D2" w:rsidRDefault="0068755B">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6704;mso-position-horizontal-relative:page;mso-position-vertical-relative:page;mso-width-relative:page;mso-height-relative:page" o:allowincell="f" filled="f" stroked="f">
          <v:textbox inset="0,0,0,0">
            <w:txbxContent>
              <w:p w:rsidR="009832D2" w:rsidRDefault="0052604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68755B">
                  <w:rPr>
                    <w:rFonts w:ascii="Times New Roman" w:hAnsi="Times New Roman"/>
                    <w:noProof/>
                    <w:kern w:val="0"/>
                    <w:sz w:val="18"/>
                    <w:szCs w:val="18"/>
                  </w:rPr>
                  <w:t>164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280E" w:rsidRDefault="0052604B">
      <w:r>
        <w:separator/>
      </w:r>
    </w:p>
  </w:footnote>
  <w:footnote w:type="continuationSeparator" w:id="0">
    <w:p w:rsidR="00E9280E" w:rsidRDefault="005260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2D2" w:rsidRDefault="009832D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5D0" w:rsidRDefault="0052604B">
    <w:pPr>
      <w:pStyle w:val="a3"/>
      <w:jc w:val="right"/>
    </w:pPr>
    <w:r>
      <w:rPr>
        <w:noProof/>
      </w:rPr>
      <w:drawing>
        <wp:anchor distT="0" distB="0" distL="114300" distR="114300" simplePos="0" relativeHeight="251655680"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9832D2" w:rsidRDefault="0052604B">
    <w:pPr>
      <w:pStyle w:val="a3"/>
      <w:jc w:val="right"/>
      <w:rPr>
        <w:rFonts w:ascii="宋体" w:hAnsi="宋体"/>
      </w:rPr>
    </w:pPr>
    <w:r>
      <w:rPr>
        <w:rFonts w:ascii="宋体" w:hAnsi="宋体" w:hint="eastAsia"/>
      </w:rPr>
      <w:t>交银施罗德双利债券证券投资基金招募说明书更新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2D2" w:rsidRDefault="009832D2">
    <w:pPr>
      <w:pStyle w:val="10"/>
      <w:jc w:val="right"/>
    </w:pPr>
  </w:p>
  <w:p w:rsidR="009832D2" w:rsidRDefault="009832D2">
    <w:pPr>
      <w:pStyle w:val="10"/>
      <w:jc w:val="right"/>
    </w:pPr>
  </w:p>
  <w:p w:rsidR="009832D2" w:rsidRDefault="009832D2">
    <w:pPr>
      <w:pStyle w:val="a3"/>
      <w:jc w:val="right"/>
    </w:pPr>
  </w:p>
  <w:p w:rsidR="009E65D0" w:rsidRDefault="0052604B">
    <w:pPr>
      <w:pStyle w:val="a3"/>
      <w:jc w:val="right"/>
    </w:pPr>
    <w:r>
      <w:rPr>
        <w:noProof/>
      </w:rPr>
      <w:drawing>
        <wp:anchor distT="0" distB="0" distL="114300" distR="114300" simplePos="0" relativeHeight="251656704"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1"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9832D2" w:rsidRDefault="0052604B">
    <w:pPr>
      <w:pStyle w:val="a3"/>
      <w:jc w:val="right"/>
      <w:rPr>
        <w:rFonts w:ascii="宋体" w:hAnsi="宋体"/>
      </w:rPr>
    </w:pPr>
    <w:r>
      <w:rPr>
        <w:rFonts w:ascii="宋体" w:hAnsi="宋体" w:hint="eastAsia"/>
      </w:rPr>
      <w:t>交银施罗德双利债券证券投资基金招募说明书更新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2D2" w:rsidRDefault="009832D2">
    <w:pPr>
      <w:pStyle w:val="a3"/>
      <w:jc w:val="right"/>
    </w:pPr>
  </w:p>
  <w:p w:rsidR="009832D2" w:rsidRDefault="009832D2">
    <w:pPr>
      <w:pStyle w:val="a3"/>
      <w:jc w:val="right"/>
    </w:pPr>
  </w:p>
  <w:p w:rsidR="009832D2" w:rsidRDefault="009832D2">
    <w:pPr>
      <w:pStyle w:val="a3"/>
      <w:jc w:val="right"/>
    </w:pPr>
  </w:p>
  <w:p w:rsidR="009E65D0" w:rsidRDefault="0052604B">
    <w:pPr>
      <w:pStyle w:val="a3"/>
      <w:jc w:val="right"/>
    </w:pPr>
    <w:r>
      <w:rPr>
        <w:noProof/>
      </w:rPr>
      <w:drawing>
        <wp:anchor distT="0" distB="0" distL="114300" distR="114300" simplePos="0" relativeHeight="251657728"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4" name="图片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9832D2" w:rsidRDefault="0052604B">
    <w:pPr>
      <w:pStyle w:val="a3"/>
      <w:jc w:val="right"/>
      <w:rPr>
        <w:rFonts w:ascii="宋体" w:hAnsi="宋体"/>
      </w:rPr>
    </w:pPr>
    <w:r>
      <w:rPr>
        <w:rFonts w:ascii="宋体" w:hAnsi="宋体" w:hint="eastAsia"/>
      </w:rPr>
      <w:t>交银施罗德双利债券证券投资基金招募说明书更新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2604B"/>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8755B"/>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832D2"/>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80E"/>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7333A293-29F4-430E-B49C-941931844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165</Pages>
  <Words>16801</Words>
  <Characters>95767</Characters>
  <Application>Microsoft Office Word</Application>
  <DocSecurity>0</DocSecurity>
  <Lines>798</Lines>
  <Paragraphs>224</Paragraphs>
  <ScaleCrop>false</ScaleCrop>
  <Company>Microsoft</Company>
  <LinksUpToDate>false</LinksUpToDate>
  <CharactersWithSpaces>112344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2025-09-30T09:18:00Z</dcterms:created>
  <dcterms:modified xsi:type="dcterms:W3CDTF">2025-09-30T09:18:00Z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