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107E11">
      <w:pPr>
        <w:rPr>
          <w:sz w:val="32"/>
        </w:rPr>
      </w:pPr>
    </w:p>
    <w:p w:rsidR="00C92FC0" w:rsidRPr="00EB07BC" w:rsidRDefault="00107E11">
      <w:pPr>
        <w:rPr>
          <w:sz w:val="32"/>
        </w:rPr>
      </w:pPr>
    </w:p>
    <w:p w:rsidR="00C92FC0" w:rsidRPr="00EB07BC" w:rsidRDefault="00107E11">
      <w:pPr>
        <w:rPr>
          <w:sz w:val="32"/>
        </w:rPr>
      </w:pPr>
    </w:p>
    <w:p w:rsidR="00C92FC0" w:rsidRPr="00EB07BC" w:rsidRDefault="001E4CBF">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261D9A" w:rsidRDefault="00261D9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61D9A" w:rsidRDefault="00261D9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61D9A" w:rsidRDefault="001E4CBF">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交银施罗德上证科创板</w:t>
      </w:r>
      <w:r>
        <w:rPr>
          <w:rFonts w:ascii="Times New Roman" w:hAnsi="Times New Roman"/>
          <w:b/>
          <w:spacing w:val="2"/>
          <w:w w:val="99"/>
          <w:kern w:val="0"/>
          <w:position w:val="-4"/>
          <w:sz w:val="44"/>
          <w:szCs w:val="44"/>
        </w:rPr>
        <w:t>100</w:t>
      </w:r>
      <w:r>
        <w:rPr>
          <w:rFonts w:ascii="Times New Roman" w:hAnsi="Times New Roman"/>
          <w:b/>
          <w:spacing w:val="2"/>
          <w:w w:val="99"/>
          <w:kern w:val="0"/>
          <w:position w:val="-4"/>
          <w:sz w:val="44"/>
          <w:szCs w:val="44"/>
        </w:rPr>
        <w:t>指数型证券投资基金</w:t>
      </w:r>
    </w:p>
    <w:p w:rsidR="00261D9A" w:rsidRDefault="001E4CBF">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261D9A" w:rsidRDefault="00261D9A">
      <w:pPr>
        <w:snapToGrid w:val="0"/>
        <w:spacing w:line="360" w:lineRule="auto"/>
        <w:jc w:val="center"/>
        <w:rPr>
          <w:rFonts w:ascii="宋体" w:hAnsi="宋体"/>
          <w:b/>
          <w:sz w:val="30"/>
          <w:szCs w:val="30"/>
        </w:rPr>
      </w:pPr>
    </w:p>
    <w:p w:rsidR="00261D9A" w:rsidRDefault="00261D9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61D9A" w:rsidRDefault="00261D9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61D9A" w:rsidRDefault="00261D9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61D9A" w:rsidRDefault="00261D9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61D9A" w:rsidRDefault="00261D9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61D9A" w:rsidRDefault="00261D9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61D9A" w:rsidRDefault="001E4CB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261D9A" w:rsidRDefault="001E4CB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261D9A" w:rsidRDefault="00261D9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61D9A" w:rsidRDefault="00261D9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61D9A" w:rsidRDefault="001E4CBF">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261D9A" w:rsidRDefault="00261D9A">
      <w:pPr>
        <w:autoSpaceDE w:val="0"/>
        <w:autoSpaceDN w:val="0"/>
        <w:adjustRightInd w:val="0"/>
        <w:snapToGrid w:val="0"/>
        <w:spacing w:line="360" w:lineRule="auto"/>
        <w:ind w:left="1347" w:rightChars="6" w:right="13"/>
        <w:rPr>
          <w:rFonts w:ascii="宋体" w:hAnsi="宋体"/>
          <w:kern w:val="0"/>
          <w:sz w:val="32"/>
          <w:szCs w:val="32"/>
        </w:rPr>
        <w:sectPr w:rsidR="00261D9A">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261D9A" w:rsidRDefault="001E4CBF">
      <w:pPr>
        <w:pStyle w:val="1"/>
        <w:snapToGrid w:val="0"/>
        <w:spacing w:beforeLines="0" w:before="240" w:after="240"/>
        <w:rPr>
          <w:rFonts w:ascii="宋体" w:hAnsi="宋体"/>
          <w:kern w:val="0"/>
        </w:rPr>
      </w:pPr>
      <w:bookmarkStart w:id="0" w:name="_Toc324920538"/>
      <w:bookmarkStart w:id="1" w:name="_Toc496884613"/>
      <w:bookmarkStart w:id="2" w:name="_Toc210909727"/>
      <w:r>
        <w:rPr>
          <w:rFonts w:ascii="Times New Roman" w:hAnsi="Times New Roman"/>
          <w:kern w:val="0"/>
        </w:rPr>
        <w:lastRenderedPageBreak/>
        <w:t>重要提示</w:t>
      </w:r>
      <w:bookmarkEnd w:id="0"/>
      <w:bookmarkEnd w:id="1"/>
      <w:bookmarkEnd w:id="2"/>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交银施罗德上证科创板</w:t>
      </w:r>
      <w:r>
        <w:rPr>
          <w:rFonts w:ascii="Times New Roman" w:hAnsi="Times New Roman"/>
          <w:kern w:val="0"/>
          <w:sz w:val="24"/>
        </w:rPr>
        <w:t>100</w:t>
      </w:r>
      <w:r>
        <w:rPr>
          <w:rFonts w:ascii="Times New Roman" w:hAnsi="Times New Roman"/>
          <w:kern w:val="0"/>
          <w:sz w:val="24"/>
        </w:rPr>
        <w:t>指数型证券投资基金（以下简称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2024</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2024</w:t>
      </w:r>
      <w:r>
        <w:rPr>
          <w:rFonts w:ascii="Times New Roman" w:hAnsi="Times New Roman"/>
          <w:kern w:val="0"/>
          <w:sz w:val="24"/>
        </w:rPr>
        <w:t>】</w:t>
      </w:r>
      <w:r>
        <w:rPr>
          <w:rFonts w:ascii="Times New Roman" w:hAnsi="Times New Roman"/>
          <w:kern w:val="0"/>
          <w:sz w:val="24"/>
        </w:rPr>
        <w:t>1804</w:t>
      </w:r>
      <w:r>
        <w:rPr>
          <w:rFonts w:ascii="Times New Roman" w:hAnsi="Times New Roman"/>
          <w:kern w:val="0"/>
          <w:sz w:val="24"/>
        </w:rPr>
        <w:t>号文准予募集注册。本基金基金合同于</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26</w:t>
      </w:r>
      <w:r>
        <w:rPr>
          <w:rFonts w:ascii="Times New Roman" w:hAnsi="Times New Roman"/>
          <w:kern w:val="0"/>
          <w:sz w:val="24"/>
        </w:rPr>
        <w:t>日正式生效。</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投资股指期货的特定风险；投资资产支持证券的特定风险；投资流通受限证券的特定风险；投资存托凭证的特定风险；投资科创板股票的特定风险；本基金参与融资业务的特定风险；本基金参与转融通证券出借业务的特定风险；本基金法律文件风险收益特征表述与销售机构基金风险评价可能不一致的风险；投资本基金的其他风险等等。</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本基金是一只股票型基金，其预期风险和预期收益理论上高于混合型基金、债券型基金和货币市场基金。</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本基金为指数型基金，主要采用完全复制法跟踪上证科创板</w:t>
      </w:r>
      <w:r>
        <w:rPr>
          <w:rFonts w:ascii="Times New Roman" w:hAnsi="Times New Roman"/>
          <w:kern w:val="0"/>
          <w:sz w:val="24"/>
        </w:rPr>
        <w:t>100</w:t>
      </w:r>
      <w:r>
        <w:rPr>
          <w:rFonts w:ascii="Times New Roman" w:hAnsi="Times New Roman"/>
          <w:kern w:val="0"/>
          <w:sz w:val="24"/>
        </w:rPr>
        <w:t>指数，具有与标的指数相似的风险收益特征。</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本基金为指数基金，投资者投资于本基金面临跟踪误差控制未达约定目标、指数编制机构停止服务、成份股停牌等潜在风险。</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本基金标的指数为上证科创板</w:t>
      </w:r>
      <w:r>
        <w:rPr>
          <w:rFonts w:ascii="Times New Roman" w:hAnsi="Times New Roman"/>
          <w:kern w:val="0"/>
          <w:sz w:val="24"/>
        </w:rPr>
        <w:t>100</w:t>
      </w:r>
      <w:r>
        <w:rPr>
          <w:rFonts w:ascii="Times New Roman" w:hAnsi="Times New Roman"/>
          <w:kern w:val="0"/>
          <w:sz w:val="24"/>
        </w:rPr>
        <w:t>指数。</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1</w:t>
      </w:r>
      <w:r>
        <w:rPr>
          <w:rFonts w:ascii="Times New Roman" w:hAnsi="Times New Roman"/>
          <w:kern w:val="0"/>
          <w:sz w:val="24"/>
        </w:rPr>
        <w:t>、样本空间</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指数样本空间由满足以下条件的科创板上市的股票和红筹企业发行的存托凭证组成：</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）上市时间超过</w:t>
      </w:r>
      <w:r>
        <w:rPr>
          <w:rFonts w:ascii="Times New Roman" w:hAnsi="Times New Roman"/>
          <w:kern w:val="0"/>
          <w:sz w:val="24"/>
        </w:rPr>
        <w:t>12</w:t>
      </w:r>
      <w:r>
        <w:rPr>
          <w:rFonts w:ascii="Times New Roman" w:hAnsi="Times New Roman"/>
          <w:kern w:val="0"/>
          <w:sz w:val="24"/>
        </w:rPr>
        <w:t>个月；</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）非退市风险警示证券。</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、可投资性筛选</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过去一年日均成交金额排名位于样本空间前</w:t>
      </w:r>
      <w:r>
        <w:rPr>
          <w:rFonts w:ascii="Times New Roman" w:hAnsi="Times New Roman"/>
          <w:kern w:val="0"/>
          <w:sz w:val="24"/>
        </w:rPr>
        <w:t>90%</w:t>
      </w:r>
      <w:r>
        <w:rPr>
          <w:rFonts w:ascii="Times New Roman" w:hAnsi="Times New Roman"/>
          <w:kern w:val="0"/>
          <w:sz w:val="24"/>
        </w:rPr>
        <w:t>。</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、选样方法</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）对于样本空间内符合可投资性筛选条件的证券，剔除科创</w:t>
      </w:r>
      <w:r>
        <w:rPr>
          <w:rFonts w:ascii="Times New Roman" w:hAnsi="Times New Roman"/>
          <w:kern w:val="0"/>
          <w:sz w:val="24"/>
        </w:rPr>
        <w:t>50</w:t>
      </w:r>
      <w:r>
        <w:rPr>
          <w:rFonts w:ascii="Times New Roman" w:hAnsi="Times New Roman"/>
          <w:kern w:val="0"/>
          <w:sz w:val="24"/>
        </w:rPr>
        <w:t>指数样本以及过去一年日均总市值排名样本空间前</w:t>
      </w:r>
      <w:r>
        <w:rPr>
          <w:rFonts w:ascii="Times New Roman" w:hAnsi="Times New Roman"/>
          <w:kern w:val="0"/>
          <w:sz w:val="24"/>
        </w:rPr>
        <w:t>40</w:t>
      </w:r>
      <w:r>
        <w:rPr>
          <w:rFonts w:ascii="Times New Roman" w:hAnsi="Times New Roman"/>
          <w:kern w:val="0"/>
          <w:sz w:val="24"/>
        </w:rPr>
        <w:t>名的证券作为待选样本；</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）对待选样本按照过去一年的日均总市值由高到低排名，选取排名在</w:t>
      </w:r>
      <w:r>
        <w:rPr>
          <w:rFonts w:ascii="Times New Roman" w:hAnsi="Times New Roman"/>
          <w:kern w:val="0"/>
          <w:sz w:val="24"/>
        </w:rPr>
        <w:t>100</w:t>
      </w:r>
      <w:r>
        <w:rPr>
          <w:rFonts w:ascii="Times New Roman" w:hAnsi="Times New Roman"/>
          <w:kern w:val="0"/>
          <w:sz w:val="24"/>
        </w:rPr>
        <w:t>名之前的证券作为指数样本。</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4</w:t>
      </w:r>
      <w:r>
        <w:rPr>
          <w:rFonts w:ascii="Times New Roman" w:hAnsi="Times New Roman"/>
          <w:kern w:val="0"/>
          <w:sz w:val="24"/>
        </w:rPr>
        <w:t>、指数计算</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上证科创板</w:t>
      </w:r>
      <w:r>
        <w:rPr>
          <w:rFonts w:ascii="Times New Roman" w:hAnsi="Times New Roman"/>
          <w:kern w:val="0"/>
          <w:sz w:val="24"/>
        </w:rPr>
        <w:t>100</w:t>
      </w:r>
      <w:r>
        <w:rPr>
          <w:rFonts w:ascii="Times New Roman" w:hAnsi="Times New Roman"/>
          <w:kern w:val="0"/>
          <w:sz w:val="24"/>
        </w:rPr>
        <w:t>指数计算公式为：</w:t>
      </w:r>
    </w:p>
    <w:p w:rsidR="00261D9A" w:rsidRDefault="00107E11">
      <w:pPr>
        <w:autoSpaceDE w:val="0"/>
        <w:autoSpaceDN w:val="0"/>
        <w:adjustRightInd w:val="0"/>
        <w:snapToGrid w:val="0"/>
        <w:spacing w:line="360" w:lineRule="auto"/>
        <w:ind w:leftChars="50" w:left="105" w:firstLineChars="200" w:firstLine="480"/>
        <w:rPr>
          <w:rFonts w:ascii="宋体" w:hAnsi="宋体"/>
          <w:kern w:val="0"/>
          <w:sz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75pt;height:42pt">
            <v:imagedata r:id="rId15" o:title="1521256610242020828"/>
          </v:shape>
        </w:pic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其中，调整市值＝</w:t>
      </w:r>
      <w:r>
        <w:rPr>
          <w:rFonts w:ascii="Times New Roman" w:hAnsi="Times New Roman"/>
          <w:kern w:val="0"/>
          <w:sz w:val="24"/>
        </w:rPr>
        <w:t>∑(</w:t>
      </w:r>
      <w:r>
        <w:rPr>
          <w:rFonts w:ascii="Times New Roman" w:hAnsi="Times New Roman"/>
          <w:kern w:val="0"/>
          <w:sz w:val="24"/>
        </w:rPr>
        <w:t>证券价格</w:t>
      </w:r>
      <w:r>
        <w:rPr>
          <w:rFonts w:ascii="Times New Roman" w:hAnsi="Times New Roman"/>
          <w:kern w:val="0"/>
          <w:sz w:val="24"/>
        </w:rPr>
        <w:t>×</w:t>
      </w:r>
      <w:r>
        <w:rPr>
          <w:rFonts w:ascii="Times New Roman" w:hAnsi="Times New Roman"/>
          <w:kern w:val="0"/>
          <w:sz w:val="24"/>
        </w:rPr>
        <w:t>调整股本数</w:t>
      </w:r>
      <w:r>
        <w:rPr>
          <w:rFonts w:ascii="Times New Roman" w:hAnsi="Times New Roman"/>
          <w:kern w:val="0"/>
          <w:sz w:val="24"/>
        </w:rPr>
        <w:t>×</w:t>
      </w:r>
      <w:r>
        <w:rPr>
          <w:rFonts w:ascii="Times New Roman" w:hAnsi="Times New Roman"/>
          <w:kern w:val="0"/>
          <w:sz w:val="24"/>
        </w:rPr>
        <w:t>权重因子</w:t>
      </w:r>
      <w:r>
        <w:rPr>
          <w:rFonts w:ascii="Times New Roman" w:hAnsi="Times New Roman"/>
          <w:kern w:val="0"/>
          <w:sz w:val="24"/>
        </w:rPr>
        <w:t>)</w:t>
      </w:r>
      <w:r>
        <w:rPr>
          <w:rFonts w:ascii="Times New Roman" w:hAnsi="Times New Roman"/>
          <w:kern w:val="0"/>
          <w:sz w:val="24"/>
        </w:rPr>
        <w:t>。调整股本数的计算方法、除数修正方法参见计算与维护细则。权重因子介于</w:t>
      </w:r>
      <w:r>
        <w:rPr>
          <w:rFonts w:ascii="Times New Roman" w:hAnsi="Times New Roman"/>
          <w:kern w:val="0"/>
          <w:sz w:val="24"/>
        </w:rPr>
        <w:t xml:space="preserve"> 0 </w:t>
      </w:r>
      <w:r>
        <w:rPr>
          <w:rFonts w:ascii="Times New Roman" w:hAnsi="Times New Roman"/>
          <w:kern w:val="0"/>
          <w:sz w:val="24"/>
        </w:rPr>
        <w:t>和</w:t>
      </w:r>
      <w:r>
        <w:rPr>
          <w:rFonts w:ascii="Times New Roman" w:hAnsi="Times New Roman"/>
          <w:kern w:val="0"/>
          <w:sz w:val="24"/>
        </w:rPr>
        <w:t xml:space="preserve"> 1 </w:t>
      </w:r>
      <w:r>
        <w:rPr>
          <w:rFonts w:ascii="Times New Roman" w:hAnsi="Times New Roman"/>
          <w:kern w:val="0"/>
          <w:sz w:val="24"/>
        </w:rPr>
        <w:t>之间，以使单个样本权重不超过</w:t>
      </w:r>
      <w:r>
        <w:rPr>
          <w:rFonts w:ascii="Times New Roman" w:hAnsi="Times New Roman"/>
          <w:kern w:val="0"/>
          <w:sz w:val="24"/>
        </w:rPr>
        <w:t>10%</w:t>
      </w:r>
      <w:r>
        <w:rPr>
          <w:rFonts w:ascii="Times New Roman" w:hAnsi="Times New Roman"/>
          <w:kern w:val="0"/>
          <w:sz w:val="24"/>
        </w:rPr>
        <w:t>，前五大样本权重合计不超过</w:t>
      </w:r>
      <w:r>
        <w:rPr>
          <w:rFonts w:ascii="Times New Roman" w:hAnsi="Times New Roman"/>
          <w:kern w:val="0"/>
          <w:sz w:val="24"/>
        </w:rPr>
        <w:t>40%</w:t>
      </w:r>
      <w:r>
        <w:rPr>
          <w:rFonts w:ascii="Times New Roman" w:hAnsi="Times New Roman"/>
          <w:kern w:val="0"/>
          <w:sz w:val="24"/>
        </w:rPr>
        <w:t>。</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5</w:t>
      </w:r>
      <w:r>
        <w:rPr>
          <w:rFonts w:ascii="Times New Roman" w:hAnsi="Times New Roman"/>
          <w:kern w:val="0"/>
          <w:sz w:val="24"/>
        </w:rPr>
        <w:t>、指数样本和权重调整</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）定期调整</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指数样本每季度调整一次，样本调整实施时间为每年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9</w:t>
      </w:r>
      <w:r>
        <w:rPr>
          <w:rFonts w:ascii="Times New Roman" w:hAnsi="Times New Roman"/>
          <w:kern w:val="0"/>
          <w:sz w:val="24"/>
        </w:rPr>
        <w:t>月和</w:t>
      </w:r>
      <w:r>
        <w:rPr>
          <w:rFonts w:ascii="Times New Roman" w:hAnsi="Times New Roman"/>
          <w:kern w:val="0"/>
          <w:sz w:val="24"/>
        </w:rPr>
        <w:t>12</w:t>
      </w:r>
      <w:r>
        <w:rPr>
          <w:rFonts w:ascii="Times New Roman" w:hAnsi="Times New Roman"/>
          <w:kern w:val="0"/>
          <w:sz w:val="24"/>
        </w:rPr>
        <w:t>月的第二个星期五的下一交易日。每次调整数量比例原则上不超过</w:t>
      </w:r>
      <w:r>
        <w:rPr>
          <w:rFonts w:ascii="Times New Roman" w:hAnsi="Times New Roman"/>
          <w:kern w:val="0"/>
          <w:sz w:val="24"/>
        </w:rPr>
        <w:t>10%</w:t>
      </w:r>
      <w:r>
        <w:rPr>
          <w:rFonts w:ascii="Times New Roman" w:hAnsi="Times New Roman"/>
          <w:kern w:val="0"/>
          <w:sz w:val="24"/>
        </w:rPr>
        <w:t>。采用缓冲区规则，排名在前</w:t>
      </w:r>
      <w:r>
        <w:rPr>
          <w:rFonts w:ascii="Times New Roman" w:hAnsi="Times New Roman"/>
          <w:kern w:val="0"/>
          <w:sz w:val="24"/>
        </w:rPr>
        <w:t>80</w:t>
      </w:r>
      <w:r>
        <w:rPr>
          <w:rFonts w:ascii="Times New Roman" w:hAnsi="Times New Roman"/>
          <w:kern w:val="0"/>
          <w:sz w:val="24"/>
        </w:rPr>
        <w:t>名的候选新样本优先进入指数，排名在前</w:t>
      </w:r>
      <w:r>
        <w:rPr>
          <w:rFonts w:ascii="Times New Roman" w:hAnsi="Times New Roman"/>
          <w:kern w:val="0"/>
          <w:sz w:val="24"/>
        </w:rPr>
        <w:t>120</w:t>
      </w:r>
      <w:r>
        <w:rPr>
          <w:rFonts w:ascii="Times New Roman" w:hAnsi="Times New Roman"/>
          <w:kern w:val="0"/>
          <w:sz w:val="24"/>
        </w:rPr>
        <w:t>名的老样本优先保留。权重因子随样本定期调整而调整，调整时间与指数样本定期调整实施时间相同。在下一个定期调整日前，权重因子一般固定不变。</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指数定期审核时设置备选名单，具体规则参见指数计算与维护细则。当指数因为样本退市、合并等原因出现样本空缺或其他原因需要临时更换样本时，依次选择备选名单中排序靠前的证券作为样本。</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）临时调整</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特殊情况下将对指数进行临时调整。当样本退市时，将其从指数样本中剔除。样本公司发生收购、合并、分拆等情形的处理，参照计算与维护细则处理。</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有关标的指数具体编制方案及成份股信息详见中证指数有限公司网站，网址：</w:t>
      </w:r>
      <w:r>
        <w:rPr>
          <w:rFonts w:ascii="Times New Roman" w:hAnsi="Times New Roman"/>
          <w:kern w:val="0"/>
          <w:sz w:val="24"/>
        </w:rPr>
        <w:t>www.csindex.com.cn</w:t>
      </w:r>
      <w:r>
        <w:rPr>
          <w:rFonts w:ascii="Times New Roman" w:hAnsi="Times New Roman"/>
          <w:kern w:val="0"/>
          <w:sz w:val="24"/>
        </w:rPr>
        <w:t>。</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以及不适当的估值使基金资产面临损失的风险等。</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科创板股票，会面临科创板机制下因投资标的、市场制度以及交易规则等差异带来的特有风险，包括但不限于市场风险、流动性风险、退市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本基金可参与融资业务，面临的风险包括但不限于市场风险、流动性风险、信用风险等。</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本基金可参与转融通证券出借业务，面临的风险包括但不限于流动性风险、信用风险、市场风险、其他风险等。</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基金合同提前终止风险。《基金合同》生效后，连续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万元情形的，基金合同终止，不需召开基金份额持有人大会。因此，投资者可能面临基金合同提前终止的风险。</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本次更新招募说明书主要对指数编制方案进行了相应更新，更新生效日为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w:t>
      </w:r>
    </w:p>
    <w:p w:rsidR="00261D9A" w:rsidRDefault="001E4CB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日，财务和业绩表现数据未经审计。</w:t>
      </w:r>
    </w:p>
    <w:p w:rsidR="00261D9A" w:rsidRDefault="00261D9A">
      <w:pPr>
        <w:autoSpaceDE w:val="0"/>
        <w:autoSpaceDN w:val="0"/>
        <w:adjustRightInd w:val="0"/>
        <w:snapToGrid w:val="0"/>
        <w:spacing w:before="51" w:line="360" w:lineRule="auto"/>
        <w:ind w:left="120" w:rightChars="6" w:right="13" w:firstLine="480"/>
        <w:rPr>
          <w:rFonts w:ascii="宋体" w:hAnsi="宋体"/>
          <w:kern w:val="0"/>
          <w:szCs w:val="24"/>
        </w:rPr>
        <w:sectPr w:rsidR="00261D9A">
          <w:headerReference w:type="default" r:id="rId16"/>
          <w:pgSz w:w="11920" w:h="16840"/>
          <w:pgMar w:top="1440" w:right="1680" w:bottom="280" w:left="1680" w:header="0" w:footer="1073" w:gutter="0"/>
          <w:pgNumType w:start="1"/>
          <w:cols w:space="720"/>
        </w:sectPr>
      </w:pPr>
    </w:p>
    <w:p w:rsidR="00107E11" w:rsidRPr="00107E11" w:rsidRDefault="001E4CBF" w:rsidP="00107E11">
      <w:pPr>
        <w:pStyle w:val="ad"/>
        <w:snapToGrid w:val="0"/>
        <w:spacing w:after="240" w:line="360" w:lineRule="auto"/>
        <w:jc w:val="center"/>
        <w:rPr>
          <w:rFonts w:ascii="宋体" w:hAnsi="宋体"/>
          <w:noProof/>
          <w:sz w:val="24"/>
        </w:rPr>
      </w:pPr>
      <w:r w:rsidRPr="00107E11">
        <w:rPr>
          <w:rFonts w:ascii="宋体" w:hAnsi="宋体"/>
          <w:color w:val="000000"/>
          <w:position w:val="-4"/>
          <w:sz w:val="24"/>
          <w:szCs w:val="30"/>
        </w:rPr>
        <w:lastRenderedPageBreak/>
        <w:t>目</w:t>
      </w:r>
      <w:r w:rsidRPr="00107E11">
        <w:rPr>
          <w:rFonts w:ascii="宋体" w:hAnsi="宋体"/>
          <w:color w:val="000000"/>
          <w:position w:val="-4"/>
          <w:sz w:val="24"/>
          <w:szCs w:val="30"/>
        </w:rPr>
        <w:tab/>
        <w:t>录</w:t>
      </w:r>
      <w:r w:rsidR="00107E11" w:rsidRPr="00107E11">
        <w:rPr>
          <w:rFonts w:ascii="宋体" w:hAnsi="宋体"/>
          <w:color w:val="000000"/>
          <w:position w:val="-4"/>
          <w:sz w:val="24"/>
          <w:szCs w:val="30"/>
        </w:rPr>
        <w:fldChar w:fldCharType="begin"/>
      </w:r>
      <w:r w:rsidR="00107E11" w:rsidRPr="00107E11">
        <w:rPr>
          <w:rFonts w:ascii="宋体" w:hAnsi="宋体"/>
          <w:color w:val="000000"/>
          <w:position w:val="-4"/>
          <w:sz w:val="24"/>
          <w:szCs w:val="30"/>
        </w:rPr>
        <w:instrText xml:space="preserve"> TOC \o "1-3" \f - \h \t "-1" </w:instrText>
      </w:r>
      <w:r w:rsidR="00107E11" w:rsidRPr="00107E11">
        <w:rPr>
          <w:rFonts w:ascii="宋体" w:hAnsi="宋体"/>
          <w:color w:val="000000"/>
          <w:position w:val="-4"/>
          <w:sz w:val="24"/>
          <w:szCs w:val="30"/>
        </w:rPr>
        <w:fldChar w:fldCharType="separate"/>
      </w:r>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27" w:history="1">
        <w:r w:rsidRPr="00107E11">
          <w:rPr>
            <w:rStyle w:val="aa"/>
            <w:rFonts w:ascii="宋体" w:hAnsi="宋体" w:hint="eastAsia"/>
            <w:noProof/>
            <w:kern w:val="0"/>
            <w:sz w:val="24"/>
          </w:rPr>
          <w:t>重要提示</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_Toc210909727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1</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28" w:history="1">
        <w:r w:rsidRPr="00107E11">
          <w:rPr>
            <w:rStyle w:val="aa"/>
            <w:rFonts w:ascii="宋体" w:hAnsi="宋体" w:hint="eastAsia"/>
            <w:noProof/>
            <w:sz w:val="24"/>
          </w:rPr>
          <w:t>一、绪言</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_Toc210909728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6</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29" w:history="1">
        <w:r w:rsidRPr="00107E11">
          <w:rPr>
            <w:rStyle w:val="aa"/>
            <w:rFonts w:ascii="宋体" w:hAnsi="宋体" w:hint="eastAsia"/>
            <w:noProof/>
            <w:sz w:val="24"/>
          </w:rPr>
          <w:t>二、释义</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_Toc210909729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7</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30" w:history="1">
        <w:r w:rsidRPr="00107E11">
          <w:rPr>
            <w:rStyle w:val="aa"/>
            <w:rFonts w:ascii="宋体" w:hAnsi="宋体" w:hint="eastAsia"/>
            <w:noProof/>
            <w:sz w:val="24"/>
          </w:rPr>
          <w:t>三、基金管理人</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_Toc210909730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12</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31" w:history="1">
        <w:r w:rsidRPr="00107E11">
          <w:rPr>
            <w:rStyle w:val="aa"/>
            <w:rFonts w:ascii="宋体" w:hAnsi="宋体" w:hint="eastAsia"/>
            <w:noProof/>
            <w:sz w:val="24"/>
          </w:rPr>
          <w:t>四、基金托管人</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_Toc210909731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20</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32" w:history="1">
        <w:r w:rsidRPr="00107E11">
          <w:rPr>
            <w:rStyle w:val="aa"/>
            <w:rFonts w:ascii="宋体" w:hAnsi="宋体" w:hint="eastAsia"/>
            <w:noProof/>
            <w:sz w:val="24"/>
          </w:rPr>
          <w:t>五、相关服务机构</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_Toc210909732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23</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33" w:history="1">
        <w:r w:rsidRPr="00107E11">
          <w:rPr>
            <w:rStyle w:val="aa"/>
            <w:rFonts w:ascii="宋体" w:hAnsi="宋体" w:hint="eastAsia"/>
            <w:noProof/>
            <w:sz w:val="24"/>
          </w:rPr>
          <w:t>六、基金的募集</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_Toc210909733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42</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34" w:history="1">
        <w:r w:rsidRPr="00107E11">
          <w:rPr>
            <w:rStyle w:val="aa"/>
            <w:rFonts w:ascii="宋体" w:hAnsi="宋体" w:hint="eastAsia"/>
            <w:noProof/>
            <w:sz w:val="24"/>
          </w:rPr>
          <w:t>七、基金合同的生效</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_Toc210909734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43</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35" w:history="1">
        <w:r w:rsidRPr="00107E11">
          <w:rPr>
            <w:rStyle w:val="aa"/>
            <w:rFonts w:ascii="宋体" w:hAnsi="宋体" w:hint="eastAsia"/>
            <w:noProof/>
            <w:sz w:val="24"/>
          </w:rPr>
          <w:t>八、基金份额的申购与赎回</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_Toc210909735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44</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36" w:history="1">
        <w:r w:rsidRPr="00107E11">
          <w:rPr>
            <w:rStyle w:val="aa"/>
            <w:rFonts w:ascii="宋体" w:hAnsi="宋体" w:hint="eastAsia"/>
            <w:noProof/>
            <w:sz w:val="24"/>
          </w:rPr>
          <w:t>九、基金的转换</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_Toc210909736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57</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37" w:history="1">
        <w:r w:rsidRPr="00107E11">
          <w:rPr>
            <w:rStyle w:val="aa"/>
            <w:rFonts w:ascii="宋体" w:hAnsi="宋体" w:hint="eastAsia"/>
            <w:noProof/>
            <w:sz w:val="24"/>
          </w:rPr>
          <w:t>十、基金的投资</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_Toc210909737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64</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38" w:history="1">
        <w:r w:rsidRPr="00107E11">
          <w:rPr>
            <w:rStyle w:val="aa"/>
            <w:rFonts w:ascii="宋体" w:hAnsi="宋体" w:hint="eastAsia"/>
            <w:noProof/>
            <w:sz w:val="24"/>
          </w:rPr>
          <w:t>十一、基金的业绩</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_Toc210909738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76</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39" w:history="1">
        <w:r w:rsidRPr="00107E11">
          <w:rPr>
            <w:rStyle w:val="aa"/>
            <w:rFonts w:ascii="宋体" w:hAnsi="宋体" w:hint="eastAsia"/>
            <w:noProof/>
            <w:sz w:val="24"/>
          </w:rPr>
          <w:t>十二、基金的财产</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_Toc210909739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78</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40" w:history="1">
        <w:r w:rsidRPr="00107E11">
          <w:rPr>
            <w:rStyle w:val="aa"/>
            <w:rFonts w:ascii="宋体" w:hAnsi="宋体" w:hint="eastAsia"/>
            <w:noProof/>
            <w:sz w:val="24"/>
          </w:rPr>
          <w:t>十三、基金资产的估值</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_Toc210909740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79</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41" w:history="1">
        <w:r w:rsidRPr="00107E11">
          <w:rPr>
            <w:rStyle w:val="aa"/>
            <w:rFonts w:ascii="宋体" w:hAnsi="宋体" w:hint="eastAsia"/>
            <w:noProof/>
            <w:sz w:val="24"/>
          </w:rPr>
          <w:t>十四、基金收益与分配</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_Toc210909741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85</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42" w:history="1">
        <w:r w:rsidRPr="00107E11">
          <w:rPr>
            <w:rStyle w:val="aa"/>
            <w:rFonts w:ascii="宋体" w:hAnsi="宋体" w:hint="eastAsia"/>
            <w:noProof/>
            <w:sz w:val="24"/>
          </w:rPr>
          <w:t>十五、基金的费用与税收</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_Toc210909742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87</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43" w:history="1">
        <w:r w:rsidRPr="00107E11">
          <w:rPr>
            <w:rStyle w:val="aa"/>
            <w:rFonts w:ascii="宋体" w:hAnsi="宋体" w:hint="eastAsia"/>
            <w:noProof/>
            <w:sz w:val="24"/>
          </w:rPr>
          <w:t>十六、基金的会计与审计</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_Toc210909743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90</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44" w:history="1">
        <w:r w:rsidRPr="00107E11">
          <w:rPr>
            <w:rStyle w:val="aa"/>
            <w:rFonts w:ascii="宋体" w:hAnsi="宋体" w:hint="eastAsia"/>
            <w:noProof/>
            <w:sz w:val="24"/>
          </w:rPr>
          <w:t>十七、基金的信息披露</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_Toc210909744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91</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45" w:history="1">
        <w:r w:rsidRPr="00107E11">
          <w:rPr>
            <w:rStyle w:val="aa"/>
            <w:rFonts w:ascii="宋体" w:hAnsi="宋体" w:hint="eastAsia"/>
            <w:noProof/>
            <w:sz w:val="24"/>
          </w:rPr>
          <w:t>十八、侧袋机制</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_Toc210909745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98</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46" w:history="1">
        <w:r w:rsidRPr="00107E11">
          <w:rPr>
            <w:rStyle w:val="aa"/>
            <w:rFonts w:ascii="宋体" w:hAnsi="宋体" w:hint="eastAsia"/>
            <w:noProof/>
            <w:sz w:val="24"/>
          </w:rPr>
          <w:t>十九、风险揭示</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_Toc210909746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101</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47" w:history="1">
        <w:r w:rsidRPr="00107E11">
          <w:rPr>
            <w:rStyle w:val="aa"/>
            <w:rFonts w:ascii="宋体" w:hAnsi="宋体" w:hint="eastAsia"/>
            <w:noProof/>
            <w:sz w:val="24"/>
          </w:rPr>
          <w:t>二十、基金合同的变更、终止与基金财产的清算</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_Toc210909747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113</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48" w:history="1">
        <w:r w:rsidRPr="00107E11">
          <w:rPr>
            <w:rStyle w:val="aa"/>
            <w:rFonts w:ascii="宋体" w:hAnsi="宋体" w:hint="eastAsia"/>
            <w:noProof/>
            <w:sz w:val="24"/>
          </w:rPr>
          <w:t>二十一、基金合同内容摘要</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_Toc210909748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115</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49" w:history="1">
        <w:r w:rsidRPr="00107E11">
          <w:rPr>
            <w:rStyle w:val="aa"/>
            <w:rFonts w:ascii="宋体" w:hAnsi="宋体" w:hint="eastAsia"/>
            <w:noProof/>
            <w:sz w:val="24"/>
          </w:rPr>
          <w:t>二十二、托管协议的内容摘要</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_Toc210909749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132</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50" w:history="1">
        <w:r w:rsidRPr="00107E11">
          <w:rPr>
            <w:rStyle w:val="aa"/>
            <w:rFonts w:ascii="宋体" w:hAnsi="宋体" w:hint="eastAsia"/>
            <w:noProof/>
            <w:sz w:val="24"/>
          </w:rPr>
          <w:t>二十三、对基金份额持有人的服务</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_Toc210909750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152</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51" w:history="1">
        <w:r w:rsidRPr="00107E11">
          <w:rPr>
            <w:rStyle w:val="aa"/>
            <w:rFonts w:ascii="宋体" w:hAnsi="宋体" w:hint="eastAsia"/>
            <w:noProof/>
            <w:sz w:val="24"/>
          </w:rPr>
          <w:t>二十四、其他应披露事项</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_Toc210909751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154</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52" w:history="1">
        <w:r w:rsidRPr="00107E11">
          <w:rPr>
            <w:rStyle w:val="aa"/>
            <w:rFonts w:ascii="宋体" w:hAnsi="宋体" w:hint="eastAsia"/>
            <w:noProof/>
            <w:sz w:val="24"/>
          </w:rPr>
          <w:t>二十五、招募说明书的存放及查阅方式</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_Toc210909752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157</w:t>
        </w:r>
        <w:r w:rsidRPr="00107E11">
          <w:rPr>
            <w:rFonts w:ascii="宋体" w:hAnsi="宋体"/>
            <w:noProof/>
            <w:sz w:val="24"/>
          </w:rPr>
          <w:fldChar w:fldCharType="end"/>
        </w:r>
      </w:hyperlink>
    </w:p>
    <w:p w:rsidR="00107E11" w:rsidRPr="00107E11" w:rsidRDefault="00107E11" w:rsidP="00107E11">
      <w:pPr>
        <w:pStyle w:val="10"/>
        <w:tabs>
          <w:tab w:val="right" w:leader="dot" w:pos="8550"/>
        </w:tabs>
        <w:spacing w:line="360" w:lineRule="auto"/>
        <w:rPr>
          <w:rFonts w:ascii="宋体" w:hAnsi="宋体" w:cstheme="minorBidi"/>
          <w:noProof/>
          <w:sz w:val="24"/>
        </w:rPr>
      </w:pPr>
      <w:hyperlink w:anchor="_Toc210909753" w:history="1">
        <w:r w:rsidRPr="00107E11">
          <w:rPr>
            <w:rStyle w:val="aa"/>
            <w:rFonts w:ascii="宋体" w:hAnsi="宋体" w:hint="eastAsia"/>
            <w:noProof/>
            <w:sz w:val="24"/>
          </w:rPr>
          <w:t>二十六、备查文件</w:t>
        </w:r>
        <w:r w:rsidRPr="00107E11">
          <w:rPr>
            <w:rFonts w:ascii="宋体" w:hAnsi="宋体"/>
            <w:noProof/>
            <w:sz w:val="24"/>
          </w:rPr>
          <w:tab/>
        </w:r>
        <w:r w:rsidRPr="00107E11">
          <w:rPr>
            <w:rFonts w:ascii="宋体" w:hAnsi="宋体"/>
            <w:noProof/>
            <w:sz w:val="24"/>
          </w:rPr>
          <w:fldChar w:fldCharType="begin"/>
        </w:r>
        <w:r w:rsidRPr="00107E11">
          <w:rPr>
            <w:rFonts w:ascii="宋体" w:hAnsi="宋体"/>
            <w:noProof/>
            <w:sz w:val="24"/>
          </w:rPr>
          <w:instrText xml:space="preserve"> PAGEREF _Toc210909753 \h </w:instrText>
        </w:r>
        <w:r w:rsidRPr="00107E11">
          <w:rPr>
            <w:rFonts w:ascii="宋体" w:hAnsi="宋体"/>
            <w:noProof/>
            <w:sz w:val="24"/>
          </w:rPr>
        </w:r>
        <w:r w:rsidRPr="00107E11">
          <w:rPr>
            <w:rFonts w:ascii="宋体" w:hAnsi="宋体"/>
            <w:noProof/>
            <w:sz w:val="24"/>
          </w:rPr>
          <w:fldChar w:fldCharType="separate"/>
        </w:r>
        <w:r w:rsidRPr="00107E11">
          <w:rPr>
            <w:rFonts w:ascii="宋体" w:hAnsi="宋体"/>
            <w:noProof/>
            <w:sz w:val="24"/>
          </w:rPr>
          <w:t>158</w:t>
        </w:r>
        <w:r w:rsidRPr="00107E11">
          <w:rPr>
            <w:rFonts w:ascii="宋体" w:hAnsi="宋体"/>
            <w:noProof/>
            <w:sz w:val="24"/>
          </w:rPr>
          <w:fldChar w:fldCharType="end"/>
        </w:r>
      </w:hyperlink>
    </w:p>
    <w:p w:rsidR="00261D9A" w:rsidRPr="00107E11" w:rsidRDefault="00107E11" w:rsidP="00107E11">
      <w:pPr>
        <w:pStyle w:val="ad"/>
        <w:snapToGrid w:val="0"/>
        <w:spacing w:after="240" w:line="360" w:lineRule="auto"/>
        <w:jc w:val="center"/>
        <w:rPr>
          <w:rFonts w:ascii="宋体" w:hAnsi="宋体"/>
          <w:color w:val="000000"/>
          <w:sz w:val="24"/>
        </w:rPr>
      </w:pPr>
      <w:r w:rsidRPr="00107E11">
        <w:rPr>
          <w:rFonts w:ascii="宋体" w:hAnsi="宋体"/>
          <w:color w:val="000000"/>
          <w:position w:val="-4"/>
          <w:sz w:val="24"/>
          <w:szCs w:val="30"/>
        </w:rPr>
        <w:fldChar w:fldCharType="end"/>
      </w:r>
      <w:bookmarkStart w:id="3" w:name="_GoBack"/>
      <w:bookmarkEnd w:id="3"/>
    </w:p>
    <w:p w:rsidR="00261D9A" w:rsidRDefault="00261D9A">
      <w:pPr>
        <w:autoSpaceDE w:val="0"/>
        <w:autoSpaceDN w:val="0"/>
        <w:adjustRightInd w:val="0"/>
        <w:snapToGrid w:val="0"/>
        <w:spacing w:line="360" w:lineRule="auto"/>
        <w:ind w:left="120" w:rightChars="6" w:right="13"/>
        <w:rPr>
          <w:rFonts w:ascii="宋体" w:hAnsi="宋体"/>
          <w:kern w:val="0"/>
          <w:szCs w:val="24"/>
        </w:rPr>
        <w:sectPr w:rsidR="00261D9A">
          <w:pgSz w:w="11920" w:h="16840"/>
          <w:pgMar w:top="1480" w:right="1680" w:bottom="280" w:left="1680" w:header="0" w:footer="1073" w:gutter="0"/>
          <w:cols w:space="720"/>
        </w:sectPr>
      </w:pPr>
    </w:p>
    <w:p w:rsidR="00261D9A" w:rsidRDefault="001E4CBF">
      <w:pPr>
        <w:pStyle w:val="1"/>
        <w:snapToGrid w:val="0"/>
        <w:spacing w:beforeLines="0" w:before="240" w:after="240"/>
        <w:rPr>
          <w:rFonts w:ascii="宋体" w:hAnsi="宋体"/>
          <w:szCs w:val="30"/>
        </w:rPr>
      </w:pPr>
      <w:bookmarkStart w:id="4" w:name="_Toc210909728"/>
      <w:r>
        <w:rPr>
          <w:rFonts w:ascii="Times New Roman" w:hAnsi="Times New Roman"/>
          <w:sz w:val="30"/>
        </w:rPr>
        <w:lastRenderedPageBreak/>
        <w:t>一、绪言</w:t>
      </w:r>
      <w:bookmarkEnd w:id="4"/>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上证科创板100指数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和其他相关法律法规的规定以及《交银施罗德上证科创板100指数型证券投资基金基金合同》（以下简称“基金合同”）编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5" w:name="_Toc210909729"/>
      <w:r>
        <w:rPr>
          <w:rFonts w:ascii="Times New Roman" w:hAnsi="Times New Roman"/>
          <w:sz w:val="30"/>
        </w:rPr>
        <w:lastRenderedPageBreak/>
        <w:t>二、释义</w:t>
      </w:r>
      <w:bookmarkEnd w:id="5"/>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1、基金或本基金：指交银施罗德上证科创板100指数型证券投资基金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3、基金托管人：指中国农业银行股份有限公司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4、基金合同或《基金合同》：指《交银施罗德上证科创板100指数型证券投资基金基金合同》及对基金合同的任何有效修订和补充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5、托管协议：指基金管理人与基金托管人就本基金签订之《交银施罗德上证科创板100指数型证券投资基金托管协议》及对该托管协议的任何有效修订和补充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6、招募说明书、《招募说明书》或本招募说明书：指《交银施罗德上证科创板100指数型证券投资基金招募说明书》及其更新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7、基金份额发售公告：指《交银施罗德上证科创板100指数型证券投资基金基金份额发售公告》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8、基金产品资料概要：指《交银施罗德上证科创板100指数型证券投资基金基金产品资料概要》及其更新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15、《指数基金指引》：指《公开募集证券投资基金运作指引第3号——指数基金指引》及颁布机关对其不时做出的修订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16、中国证监会：指中国证券监督管理委员会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17、银行业监督管理机构：指中国人民银行和/或国家金融监督管理总局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22、投资人、投资者：指个人投资者、机构投资者、合格境外投资者以及法律法规或中国证监会允许购买证券投资基金的其他投资人的合称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29、基金交易账户：指销售机构为投资人开立的、记录投资人通过该销售机构办理认购、申购、赎回、转换及转托管等业务而引起的基金份额变动及结余情况的账户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30、基金合同生效日：指基金募集达到法律法规规定及基金合同规定的条件，基金管理人向中国证监会办理基金备案手续完毕，并获得中国证监会书面确认的日期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39、《业务规则》：指中国证券登记结算有限责任公司相关业务规则及其不时做出的修订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49、基金资产总值：指基金拥有的各类有价证券、股指期货合约、银行存款本息、基金应收款项及其他资产的价值总和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53、规定媒介：指符合中国证监会规定条件的用以进行信息披露的全国性报刊及《信息披露办法》规定的互联网网站（包括基金管理人网站、基金托管人网站、中国证监会基金电子披露网站）等媒介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54、销售服务费：指从基金财产中计提的，用于本基金市场推广、销售以及基金份额持有人服务的费用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55、A类基金份额：指在投资人认购/申购时收取认购/申购费用、不从本类别基金资产中计提销售服务费的基金份额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56、C类基金份额：指在投资人认购/申购时不收取认购/申购费用、从本类别基金资产中计提销售服务费的基金份额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57、标的指数：指上证科创板100指数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w:t>
      </w:r>
      <w:r>
        <w:rPr>
          <w:rFonts w:ascii="宋体" w:hAnsi="宋体"/>
          <w:sz w:val="24"/>
        </w:rPr>
        <w:lastRenderedPageBreak/>
        <w:t>损害并得到公平对待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62、转融通证券出借业务：指本基金以一定费率通过证券交易所综合业务平台向中国证券金融股份有限公司出借证券，中国证券金融股份有限公司到期归还所借证券及相应权益补偿并支付费用的业务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63、不可抗力：指基金合同当事人不能预见、不能避免且不能克服的客观事件</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6" w:name="_Toc210909730"/>
      <w:r>
        <w:rPr>
          <w:rFonts w:ascii="Times New Roman" w:hAnsi="Times New Roman"/>
          <w:sz w:val="30"/>
        </w:rPr>
        <w:lastRenderedPageBreak/>
        <w:t>三、基金管理人</w:t>
      </w:r>
      <w:bookmarkEnd w:id="6"/>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邵文婷女士:多资产研究部副总监、基金经理。英国诺丁汉大学金融与投资硕士、西南财经大学数学与经济学双学士。9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交银施罗德中证海外中国互联网指数型证券投资基金(LOF)(2021年04月30日至今)、交银施罗德深证300价值交易型开放式指数证券投资基金联接基金(2021年04月30日至今)、交银施罗德上证180公司治理交易型开放式指数证券投资基金联接基金(2021年04月30日至今)、深证300价值交易型开放式指数证券投资基金(2021年04月30日至今)、交银施罗德中证环境治理指数型证券投资基金(LOF)(2021年04月30日至今)、交银施罗德国证新能源指数证券投资基金（LOF）(2021年04月30日至今)、交银施罗德创业板50指数型证券投资基金(2021年04月30日至今)、上证180公司治理交易型开放式指数证券投资基金(2021年04月30日至今)、交银施罗德中证红利低波动100指数型证券投资基金(2024年03月15日至今)、交银施罗德中证A500指数型证券投资基金(2025年01月22日至今)、交银施罗德上证科创板100指数型证券投资基金(2025年02月26日至今)、交银施罗德中证A50指数型证券投资基金(2025年04月02日至今)、交银施罗德恒生港股通创新药精选指数型证券投资基金(2025年08月20日至今)的基金经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马俊（副总经理）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（4）向基金份额持有人违规承诺收益或者承担损失；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公司运用科学化的经营管理方法降低运作成本，提高经济效益，力争以合理的控制成本达到最佳的内部控制效果。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w:t>
      </w:r>
      <w:r>
        <w:rPr>
          <w:rFonts w:ascii="宋体" w:hAnsi="宋体"/>
          <w:sz w:val="24"/>
        </w:rPr>
        <w:lastRenderedPageBreak/>
        <w:t>助促进公司风险管理、控制和治理过程的完善，实现合规经营目标。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w:t>
      </w:r>
      <w:r>
        <w:rPr>
          <w:rFonts w:ascii="宋体" w:hAnsi="宋体"/>
          <w:sz w:val="24"/>
        </w:rPr>
        <w:lastRenderedPageBreak/>
        <w:t>控制和规避，尽可能地减少损失。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7" w:name="_Toc210909731"/>
      <w:r>
        <w:rPr>
          <w:rFonts w:ascii="Times New Roman" w:hAnsi="Times New Roman"/>
          <w:sz w:val="30"/>
        </w:rPr>
        <w:lastRenderedPageBreak/>
        <w:t>四、基金托管人</w:t>
      </w:r>
      <w:bookmarkEnd w:id="7"/>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截止到2025年6月30日，中国农业银行托管的封闭式证券投资基金和开放式证券投资基金共957只。</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8" w:name="_Toc210909732"/>
      <w:r>
        <w:rPr>
          <w:rFonts w:ascii="Times New Roman" w:hAnsi="Times New Roman"/>
          <w:sz w:val="30"/>
        </w:rPr>
        <w:lastRenderedPageBreak/>
        <w:t>五、相关服务机构</w:t>
      </w:r>
      <w:bookmarkEnd w:id="8"/>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（2）名称：中国农业银行股份有限公司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住所：北京市东城区建国门内大街69号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（3）名称：平安证券股份有限公司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（4）名称：中信证券（山东）有限责任公司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（5）名称：国金证券股份有限公司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电话：（028）86690057，（028）86690058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（6）名称：中信证券华南股份有限公司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（7）名称：招商证券股份有限公司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（8）名称：华泰证券股份有限公司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客户服务电话：95597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（9）名称：东方财富证券股份有限公司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（10）名称：中信建投证券股份有限公司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（11）名称：国投证券股份有限公司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（12）名称：西部证券股份有限公司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办公地址：陕西省西安市新城区东新街 319 号 8 幢 10000 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（13）名称：中国中金财富证券有限公司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（14）名称：中信证券股份有限公司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（15）名称：深圳市新兰德证券投资咨询有限公司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网址：http://8.jrj.com.cn/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（16）名称：泛华普益基金销售有限公司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（17）名称：中国人寿保险股份有限公司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（18）名称：上海联泰基金销售有限公司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（19）名称：宜信普泽（北京）基金销售有限公司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（20）名称：浙江同花顺基金销售有限公司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（21）名称：上海基煜基金销售有限公司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（22）名称：中信期货有限公司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传真：021-60819988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（23）名称：蚂蚁（杭州）基金销售有限公司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（24）名称：深圳众禄基金销售股份有限公司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（25）名称：上海长量基金销售有限公司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网址：www.erichfund.com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（26）名称：上海好买基金销售有限公司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（27）名称：诺亚正行基金销售有限公司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（28）名称：和讯信息科技有限公司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（29）名称：上海天天基金销售有限公司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法定代表人：其实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（30）名称：奕丰基金销售有限公司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（31）名称：北京创金启富基金销售有限公司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（32）名称：上海证达通基金销售有限公司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传真：（021）20538999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（33）名称：中证金牛（北京）基金销售有限公司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（34）名称：北京新浪仓石基金销售有限公司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（35）名称：北京雪球基金销售有限公司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客户服务电话：400-1599-288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（36）名称：深圳市金斧子基金销售有限公司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（37）名称：格上富信投资顾问有限公司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（38）名称：上海万得基金销售有限公司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（39）名称：万家财富基金销售（天津）有限公司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住所：天津自贸区（中心商务区）迎宾大道1988号滨海浙商大厦公寓2-2413室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（40）名称：上海挖财基金销售有限公司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（41）名称：上海陆金所基金销售有限公司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（42）名称：上海利得基金销售有限公司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法定代表人：李兴春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（43）名称：北京汇成基金销售有限公司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（44）名称：嘉实财富管理有限公司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（45）名称：南京苏宁基金销售有限公司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联系人：冯鹏鹏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（46）名称：北京度小满基金销售有限公司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（47）名称：上海华夏财富投资管理有限公司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（48）名称：珠海盈米基金销售有限公司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（49）名称：腾安基金销售（深圳）有限公司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（50）名称：和耕传承基金销售有限公司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（51）名称：上海大智慧基金销售有限公司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（52）名称：京东肯特瑞基金销售有限公司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办公地址：北京市通州区亦庄经济技术开发区科创十一街18号院京东集团总部A座17层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（53）名称：玄元保险代理有限公司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（54）名称：阳光人寿保险股份有限公司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（55）名称：大连网金基金销售有限公司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传真：（0411-39027835）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（56）名称：博时财富基金销售有限公司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（57）名称：济安财富（北京）基金销售有限公司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传真：（010）50938907</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9" w:name="_Toc210909733"/>
      <w:r>
        <w:rPr>
          <w:rFonts w:ascii="Times New Roman" w:hAnsi="Times New Roman"/>
          <w:sz w:val="30"/>
        </w:rPr>
        <w:lastRenderedPageBreak/>
        <w:t>六、基金的募集</w:t>
      </w:r>
      <w:bookmarkEnd w:id="9"/>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本基金由基金管理人依照《基金法》、《运作办法》、《销售办法》、基金合同及其他有关规定，并经中国证监会2024年12月11日证监许可【2024】1804号文准予募集注册。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本基金为契约型开放式股票型基金。基金存续期间为不定期。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本基金2025年2月10日至2025年2月21日进行发售，本基金设立募集期共募集572,924,263.63份基金份额，有效认购户数为14,416户。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注册并成立追踪同一标的指数的交易型开放式指数基金（ETF），本基金可变更为该ETF的联接基金。该联接基金将其绝大部分基金财产投资于跟踪同一标的指数的ETF，紧密跟踪标的指数表现，追求跟踪偏离度和跟踪误差的最小化。该联接基金具体投资范围及比例等将依据届时有效的法律法规或监管机构要求确定。以上变更需经基金管理人和基金托管人协商一致后修改基金合同，但不需召开基金份额持有人大会审议。</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10" w:name="_Toc210909734"/>
      <w:r>
        <w:rPr>
          <w:rFonts w:ascii="Times New Roman" w:hAnsi="Times New Roman"/>
          <w:sz w:val="30"/>
        </w:rPr>
        <w:lastRenderedPageBreak/>
        <w:t>七、基金合同的生效</w:t>
      </w:r>
      <w:bookmarkEnd w:id="10"/>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根据有关规定，本基金满足基金合同生效条件，基金合同已于2025年2月26日正式生效。自基金合同生效之日起，本基金管理人正式开始管理本基金。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11" w:name="_Toc210909735"/>
      <w:r>
        <w:rPr>
          <w:rFonts w:ascii="Times New Roman" w:hAnsi="Times New Roman"/>
          <w:sz w:val="30"/>
        </w:rPr>
        <w:lastRenderedPageBreak/>
        <w:t>八、基金份额的申购与赎回</w:t>
      </w:r>
      <w:bookmarkEnd w:id="11"/>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本基金已于2025年4月16日起开放申购、赎回业务。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基金交易账户保留的本基金基金份额余额少于1份时，若当日该账户同时有基金份额减少类业务（如赎回、转换出等）被确认，则基金管理人有权将投资人在该账户保留的本基金基金份额一次性全部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4、基金管理人可以规定本基金的总规模上限、单个投资人累计持有的基金份额上限，具体规定请参见相关公告。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w:t>
      </w:r>
      <w:r>
        <w:rPr>
          <w:rFonts w:ascii="宋体" w:hAnsi="宋体"/>
          <w:sz w:val="24"/>
        </w:rPr>
        <w:lastRenderedPageBreak/>
        <w:t>效。投资者赎回申请生效后，基金管理人将在T＋7日（包括该日）内支付赎回款项。在发生巨额赎回或基金合同载明的其他暂停赎回或延缓支付赎回款项的情形时，款项的支付办法参照基金合同有关条款处理。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本基金基金份额分为A类基金份额和C类基金份额，投资人申购A类基金份额在申购时支付申购费用；申购C类基金份额不支付申购费用、从该类别基金资产中计提销售服务费。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投资人可以多次申购本基金，A类基金份额的申购费用按每笔A类基金份额的申购申请单独计算。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61D9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261D9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61D9A" w:rsidRDefault="00261D9A">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261D9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61D9A" w:rsidRDefault="00261D9A">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61D9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61D9A" w:rsidRDefault="00261D9A">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万元以上（含</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261D9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261D9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61D9A" w:rsidRDefault="00261D9A">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261D9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61D9A" w:rsidRDefault="00261D9A">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261D9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61D9A" w:rsidRDefault="00261D9A">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万元以上（含</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w:t>
      </w:r>
      <w:r>
        <w:rPr>
          <w:rFonts w:ascii="宋体" w:hAnsi="宋体"/>
          <w:sz w:val="24"/>
        </w:rPr>
        <w:lastRenderedPageBreak/>
        <w:t>有时间增加而递减。本基金A类基金份额和C类基金份额的赎回费用由赎回该类基金份额的基金份额持有人承担，在基金份额持有人赎回基金份额时收取。对于持续持有期间少于7日的投资者收取的赎回费全额计入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本基金A类基金份额、C类基金份额适用相同费率，具体的赎回费率如下：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赎回金额单位为元。赎回金额计算结果按四舍五入方法，保留到小数点后2位，由此产生的收益或损失由基金财产承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本基金采用金额申购的方式。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净申购金额=申购总金额/（1+申购费率）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 T日A类基金份额净值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例一：某投资者（非养老金客户）投资100,000.00元申购本基金的A类基金份额，假设申购当日A类基金份额净值为1.0400元，申购费率为1.0%，则其可得到的申购份额为：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净申购金额=100,000.00/（1+1.0%）=99,009.90元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申购费用=100,000.00-99,009.90=990.10元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申购份额=99,009.90/1.0400=95,201.83份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即：该投资者（非养老金客户）投资100,000.00元申购本基金A类基金份额，假设申购当日A类基金份额净值为1.0400元，则其可得到95,201.83份A类基金份额。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例二：某养老金客户投资1,000,000.00元通过基金管理人的直销柜台申购本基金的A类基金份额，假设申购当日A类基金份额净值为1.0400元，申购费用为1,000.00元，则其可得到的申购份额为：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净申购金额=1,000,000.00-1,000.00=999,000.00元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999,000.00/1.0400= 960,576.92份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即：该养老金客户投资1,000,000.00元通过基金管理人的直销柜台申购本基金的A类基金份额，假设申购当日A类基金份额净值为1.0400元，则其可得到960,576.92份A类基金份额。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例三：某投资者投资100,000.00元申购本基金的C类基金份额，假设申购当日C类基金份额净值为1.0400元，则其可得到的申购份额为：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申购份额＝100,000.00/1.0400＝96,153.85份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本基金采用“份额赎回”的方式。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例四：某投资者赎回100,000.00份A类基金份额，持有期限为6日，对应的赎回费率为1.5%，假设赎回当日A类基金份额净值是1.0160元，则其可得到的赎回金额为：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赎回费用=100,000.00×1.0160×1.5%＝1,524.00元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赎回金额=100,000.00×1.0160-1,524.00＝100,076.00元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即：该投资者赎回100,000.00份A类基金份额，持有期限为6日，对应的赎回费率为1.5%，假设赎回当日A类基金份额净值是1.0160元，则其可得到的赎回金额为100,076.00元。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如果投资者赎回C类基金份额，赎回金额的计算方法如下：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例五：某投资者赎回100,000.00份C类基金份额，持有期限为6日，对应的赎回费率为1.5%，假设赎回当日C类基金份额净值是1.0160元，则其可得到的赎回金额为：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赎回费用=100,000.00×1.0160×1.5%＝1,524.00元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赎回金额=100,000.00×1.0160-1,524.00＝100,076.00元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即：该投资者赎回100,000.00份C类基金份额，持有期限为6日，对应的赎回费</w:t>
      </w:r>
      <w:r>
        <w:rPr>
          <w:rFonts w:ascii="宋体" w:hAnsi="宋体"/>
          <w:sz w:val="24"/>
        </w:rPr>
        <w:lastRenderedPageBreak/>
        <w:t>率为1.5%，假设赎回当日C类基金份额净值是1.0160元，则其可得到的赎回金额为100,076.00元。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6、基金销售机构、基金销售支付结算机构或登记机构的异常情况导致基金销售系统、基金销售支付结算系统、基金注册登记系统或基金会计系统无法正常运行。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9、法律法规规定、中国证监会认定或基金合同约定的其他情形。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w:t>
      </w:r>
      <w:r>
        <w:rPr>
          <w:rFonts w:ascii="宋体" w:hAnsi="宋体"/>
          <w:sz w:val="24"/>
        </w:rPr>
        <w:lastRenderedPageBreak/>
        <w:t>换中转出申请份额总数后扣除申购申请份额总数及基金转换中转入申请份额总数后的余额）超过前一开放日的基金总份额的10%，即认为是发生了巨额赎回。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w:t>
      </w:r>
      <w:r>
        <w:rPr>
          <w:rFonts w:ascii="宋体" w:hAnsi="宋体"/>
          <w:sz w:val="24"/>
        </w:rPr>
        <w:lastRenderedPageBreak/>
        <w:t>受理的部分赎回申请将被撤销。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2、如发生暂停的时间为1日，基金管理人应于重新开放日，在规定媒介上刊登基金重新开放申购或赎回公告，并公布最近1个开放日的各类基金份额的基金份额净值。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w:t>
      </w:r>
      <w:r>
        <w:rPr>
          <w:rFonts w:ascii="宋体" w:hAnsi="宋体"/>
          <w:sz w:val="24"/>
        </w:rPr>
        <w:lastRenderedPageBreak/>
        <w:t>售机构可以按照规定的标准收取转托管费。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本基金2025年4月14日刊登公告自2025年4月16日起开通定期定额投资计划业务，具体开通销售机构名单和业务规则参见相关公告。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12" w:name="_Toc210909736"/>
      <w:r>
        <w:rPr>
          <w:rFonts w:ascii="Times New Roman" w:hAnsi="Times New Roman"/>
          <w:sz w:val="30"/>
        </w:rPr>
        <w:lastRenderedPageBreak/>
        <w:t>九、基金的转换</w:t>
      </w:r>
      <w:bookmarkEnd w:id="12"/>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本基金2025年4月14日刊登公告自2025年4月16日起开放日常转换业务。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13" w:name="_Toc210909737"/>
      <w:r>
        <w:rPr>
          <w:rFonts w:ascii="Times New Roman" w:hAnsi="Times New Roman"/>
          <w:sz w:val="30"/>
        </w:rPr>
        <w:lastRenderedPageBreak/>
        <w:t>十、基金的投资</w:t>
      </w:r>
      <w:bookmarkEnd w:id="13"/>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本基金采用指数化投资策略，紧密跟踪上证科创板100指数，追求跟踪偏离度与跟踪误差最小化。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上证科创板100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本基金可根据法律法规的规定参与融资及转融通证券出借业务。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上证科创板100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离度和跟踪误差超过上述范围，基金管理人应采取合理措施避免跟踪偏离度、跟踪</w:t>
      </w:r>
      <w:r>
        <w:rPr>
          <w:rFonts w:ascii="宋体" w:hAnsi="宋体"/>
          <w:sz w:val="24"/>
        </w:rPr>
        <w:lastRenderedPageBreak/>
        <w:t>误差进一步扩大。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1、股票投资策略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（1）组合复制策略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本基金主要采取完全复制法，即按照标的指数成份股及其权重构建基金的股票投资组合，并根据标的指数成份股及其权重的变动对股票投资组合进行相应地调整。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（2）替代性策略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出现市场流动性不足、因法律法规原因个别成份股被限制投资等情况，导致本基金无法获得足够数量的股票时，或出于其他基金管理人认定不适合投资的股票或可能严重限制本基金跟踪标的指数的合理原因，基金管理人将通过投资成份股、非成份股等进行替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本基金将以降低跟踪误差和流动性管理为目的，综合考虑流动性和收益性，适当参与债券投资。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3、股指期货投资策略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本基金投资股指期货将根据风险管理的原则，以套期保值为目的，主要选择流动性好、交易活跃的股指期货合约，以降低股票仓位调整的交易成本，提高投资效率，从而更好地跟踪标的指数，实现投资目标。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健收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5、存托凭证投资策略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6、融资、转融通证券出借业务投资策略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在条件允许的情况下，本着谨慎原则，适度参与融资、转融通证券出借业务。本基金在参与融资业务时，将通过对市场环境、利率水平、基金规模以及基金申购赎回情况等因素的研究和判断，决定融资规模。本基金管理人将充分考虑融资业务的收益性、流动性及风险性特征，谨慎进行投资。为了更好地实现投资目标，在加强风险防范并遵守审慎原则的前提下，本基金可根据投资管理需要参与转融通证券出借业务。本基金将在分析市场情况、投资者类型与结构、基金历史申购赎回情况、出借证券流动性情况等因素的基础上，合理确定出借证券的范围、期限和比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未来，随着投资工具的发展和丰富，基金管理人可以在不改变投资目标的前提下，在履行适当程序后相应调整和更新相关投资策略，并在招募说明书中更新。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（1）本基金投资于上证科创板100指数成份股（含存托凭证）及备选成份股（含存托凭证）的比例不低于基金资产净值的90%且不低于非现金基金资产的80%；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（3）本基金投资于同一原始权益人的各类资产支持证券的比例，不得超过基金资产净值的10％；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（4）本基金持有的全部资产支持证券，其市值不得超过基金资产净值的20％；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（5）本基金持有的同一（指同一信用级别）资产支持证券的比例，不得超过该资产支持证券规模的10％；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（6）本基金管理人管理的全部基金投资于同一原始权益人的各类资产支持证券，不得超过其各类资产支持证券合计规模的10％；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（7）本基金应投资于信用级别评级为BBB以上（含BBB）的资产支持证券。基金持有资产支持证券期间，如果其信用等级下降、不再符合投资标准，应在评级报告发布之日起3个月内予以全部卖出；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（8）基金财产参与股票发行申购，本基金所申报的金额不超过本基金的总资产，本基金所申报的股票数量不超过拟发行股票公司本次发行股票的总量；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（11）本基金资产总值不超过基金资产净值的140%；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（12）本基金参与股指期货交易，则：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（13）本基金参与融资业务后，每个交易日日终，本基金持有的融资买入股票与其他有价证券市值之和，不得超过基金资产净值的95%；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（14）本基金参与转融通证券出借业务，需遵守下列投资限制：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1）出借证券资产不得超过基金资产净值的30%，出借期限在10个交易日以上的出借证券应纳入《流动性风险管理规定》所述流动性受限证券的范围；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2）参与出借业务的单只证券不得超过本基金持有该证券总量的50%；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3）最近6个月内日均基金资产净值不得低于2亿元；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4）证券出借的平均剩余期限不得超过30天，平均剩余期限按照市值加权平均计算；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因证券市场波动、上市公司合并、基金规模变动等基金管理人之外的因素致使基金投资不符合上述规定的，基金管理人不得新增出借业务；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（15）本基金投资存托凭证的比例限制依照境内上市交易的股票执行；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（16）法律法规及中国证监会规定的和《基金合同》约定的其他投资限制。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7）、（9）、（10）、（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w:t>
      </w:r>
      <w:r>
        <w:rPr>
          <w:rFonts w:ascii="宋体" w:hAnsi="宋体"/>
          <w:sz w:val="24"/>
        </w:rPr>
        <w:lastRenderedPageBreak/>
        <w:t>露。重大关联交易应提交基金管理人董事会审议，并经过三分之二以上的独立董事通过。基金管理人董事会应至少每半年对关联交易事项进行审查。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本基金业绩比较基准：上证科创板100指数收益率×95%＋人民币银行活期存款利率（税后）×5%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但若标的指数变更对基金投资无实质性影响（包括但不限于编制机构名称变更、指数更名等），则经基金管理人与基金托管人协商一致并按照监管部门要求履行适当程序后在规定媒介上刊登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本基金运作过程中，当标的指数成份股发生明显负面事件面临退市风险，且指数编制机构暂未作出调整的，基金管理人应当按照持有人利益优先的原则，履行内部决策程序后及时对相关成份股进行调整。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本基金是一只股票型基金，其预期风险和预期收益理论上高于混合型基金、债券型基金和货币市场基金。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本基金为指数型基金，主要采用完全复制法跟踪上证科创板100指数，具有与标的指数相似的风险收益特征。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3、有利于基金财产的安全与增值；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本基金托管人中国农业银行根据本基金合同规定，于2025年07月17日复核了本报告中的财务指标、净值表现和投资组合报告等内容，保证复核内容不存在虚假记载、误导性陈述或者重大遗漏。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本报告期为2025年04月01日起至06月30日。本报告财务资料未经审计师审计。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150,234,431.33</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78.63</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150,234,431.33</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78.63</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58,333.12</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58,333.12</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35,455,938.36</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18.56</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5,313,996.26</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2.78</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191,062,699.07</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报告期末指数投资按行业分类的境内股票投资组合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122,353,540.25</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71.04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26,359,181.67</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15.30</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1,519,212.24</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0.88</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261D9A">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150,231,934.16</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87.23</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报告期末积极投资按行业分类的境内股票投资组合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B</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2,497.17</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261D9A">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2,497.17</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 报告期末按行业分类的港股通投资股票投资组合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报告期末指数投资按公允价值占基金资产净值比例大小排序的前十名股票投资明细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688235</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百济神州</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19,574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4,573,269.36</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2.66</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62,058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4,326,683.76</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2.51</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688347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华虹公司</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69,369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3,809,051.79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2.21</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688266</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泽璟制药</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31,524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3,389,145.24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1.97</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688220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翱捷科技</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42,699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3,343,331.70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1.94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688361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中科飞测</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38,108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3,208,312.52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1.86</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688019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安集科技</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3,036,000.00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1.76</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688052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纳芯微</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17,171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2,996,167.79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1.74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688037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芯源微</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27,375</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2,934,600.00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1.70</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688027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国盾量子</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10,622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2,921,156.22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1.70</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报告期末积极投资按公允价值占基金资产净值比例大小排序的前五名股票投资明细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603400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华之杰</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2,497.17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58,333.12</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58,333.12</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安集转债</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410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58,333.12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9、报告期末本基金投资的股指期货交易情况说明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76,285.77</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5,091,441.67</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146,268.82</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5,313,996.26</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报告期末股票中存在流通受限情况的说明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报告期末指数投资前十名股票中存在流通受限情况的说明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报告期末积极投资前五名股票中存在流通受限情况的说明</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流通受限部分的公允价值（元）</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流通受限情况说明</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603400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华之杰</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2,497.17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14" w:name="_Toc210909738"/>
      <w:r>
        <w:rPr>
          <w:rFonts w:ascii="Times New Roman" w:hAnsi="Times New Roman"/>
          <w:sz w:val="30"/>
        </w:rPr>
        <w:lastRenderedPageBreak/>
        <w:t>十一、基金的业绩</w:t>
      </w:r>
      <w:bookmarkEnd w:id="14"/>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（1）交银上证科创板100指数A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61D9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61D9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3.84%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2.53%</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2.08%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r>
      <w:tr w:rsidR="00261D9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自基金合同生效起至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3.48%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5.68%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（2）交银上证科创板100指数C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61D9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61D9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3.79%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2.53%</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2.08%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r>
      <w:tr w:rsidR="00261D9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自基金合同生效起至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5.61%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r>
    </w:tbl>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注：本基金的业绩比较基准为上证科创板100指数收益率×95%＋人民币银行活期存款利率（税后）×5%，每日进行再平衡过程。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261D9A" w:rsidRDefault="001E4CB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交银施罗德上证科创板100指数型证券投资基金</w:t>
      </w:r>
    </w:p>
    <w:p w:rsidR="00261D9A" w:rsidRDefault="001E4CB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261D9A" w:rsidRDefault="001E4CB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（2025年2月26日至2025年06月30日）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（1）交银上证科创板100指数A</w:t>
      </w:r>
    </w:p>
    <w:p w:rsidR="00261D9A" w:rsidRDefault="00107E1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7" o:title="1521256610242020828"/>
          </v:shape>
        </w:pic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（2）交银上证科创板100指数C</w:t>
      </w:r>
    </w:p>
    <w:p w:rsidR="00261D9A" w:rsidRDefault="00107E1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8" o:title="1521256610242020828"/>
          </v:shape>
        </w:pic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注：本基金基金合同生效日为2025年2月26日，基金合同生效日至报告期期末，本基金运作时间未满一年。本基金建仓期为自基金合同生效日起的6个月。截至2025年6月30日，本基金尚处于建仓期。</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15" w:name="_Toc210909739"/>
      <w:r>
        <w:rPr>
          <w:rFonts w:ascii="Times New Roman" w:hAnsi="Times New Roman"/>
          <w:sz w:val="30"/>
        </w:rPr>
        <w:lastRenderedPageBreak/>
        <w:t>十二、基金的财产</w:t>
      </w:r>
      <w:bookmarkEnd w:id="15"/>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16" w:name="_Toc210909740"/>
      <w:r>
        <w:rPr>
          <w:rFonts w:ascii="Times New Roman" w:hAnsi="Times New Roman"/>
          <w:sz w:val="30"/>
        </w:rPr>
        <w:lastRenderedPageBreak/>
        <w:t>十三、基金资产的估值</w:t>
      </w:r>
      <w:bookmarkEnd w:id="16"/>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1、交易所上市的有价证券（包括股票等，另有规定的除外），以其估值日在证</w:t>
      </w:r>
      <w:r>
        <w:rPr>
          <w:rFonts w:ascii="宋体" w:hAnsi="宋体"/>
          <w:sz w:val="24"/>
        </w:rPr>
        <w:lastRenderedPageBreak/>
        <w:t>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（2）首次公开发行未上市的股票，采用估值技术确定公允价值；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3、对于已上市或已挂牌转让的不含权固定收益品种（另有规定的除外），选取第三方估值基准服务机构提供的相应品种当日的估值全价进行估值。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4、对于已上市或已挂牌转让的含权固定收益品种（另有规定的除外），选取第三方估值基准服务机构提供的相应品种当日的唯一估值全价或推荐估值全价进行估值。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6、对于未上市或未挂牌转让且不存在活跃市场的固定收益品种，采用在当前情况下适用并且有足够可利用数据和其他信息支持的估值技术确定其公允价值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7、本基金投资股指期货合约，一般以估值当日结算价进行估值，估值当日无结算价的，且最近交易日后经济环境未发生重大变化的，采用最近交易日结算价估值。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8、同一证券同时在两个或两个以上市场交易的，按证券所处的市场分别估值。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9、对于因税收规定调整或其他原因导致产品实际交纳税金与估算的应交税金有差异的，产品将在相关税金调整日或实际支付日进行相应的会计处理。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10、本基金投资存托凭证的估值核算依照境内上市交易的股票执行。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11、基金参与融资和转融通证券出借业务的，应参照相关法律法规和中国证券投资基金业协会发布的相关规定进行估值。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12、如有确凿证据表明按上述方法进行估值不能客观反映其公允价值的，基金管理人可根据具体情况与基金托管人商定后，按最能反映公允价值的价格估值。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13、当发生大额申购或赎回情形时，基金管理人可以采用摆动定价机制，以确保基金估值的公平性。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14、相关法律法规以及监管部门有强制规定的，从其规定。如有新增事项，按国家最新规定估值。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w:t>
      </w:r>
      <w:r>
        <w:rPr>
          <w:rFonts w:ascii="宋体" w:hAnsi="宋体"/>
          <w:sz w:val="24"/>
        </w:rPr>
        <w:lastRenderedPageBreak/>
        <w:t>由基金管理人依据基金合同和相关法律法规的规定对外公布。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w:t>
      </w:r>
      <w:r>
        <w:rPr>
          <w:rFonts w:ascii="宋体" w:hAnsi="宋体"/>
          <w:sz w:val="24"/>
        </w:rPr>
        <w:lastRenderedPageBreak/>
        <w:t>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 50%以上的，经与基金托管人协商确认后，基金管理人应当暂停估值；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（八）基金净值的确认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1、基金管理人或基金托管人按估值方法的第12项进行估值时，所造成的误差不作为基金资产估值错误处理。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期货经纪机构、登记结算公司、指数编制机构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17" w:name="_Toc210909741"/>
      <w:r>
        <w:rPr>
          <w:rFonts w:ascii="Times New Roman" w:hAnsi="Times New Roman"/>
          <w:sz w:val="30"/>
        </w:rPr>
        <w:lastRenderedPageBreak/>
        <w:t>十四、基金收益与分配</w:t>
      </w:r>
      <w:bookmarkEnd w:id="17"/>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2、基金管理人可每季度对基金相对业绩比较基准的超额收益率以及基金的可供分配利润进行评价，在符合收益分配相关规定的前提下，基金管理人可进行收益分配；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3、在符合有关基金分红条件的前提下，本基金可每季度进行收益分配，同时基金管理人可根据实际情况对本基金进行收益分配，具体分配方案以公告为准；若《基金合同》生效不满3个月可不进行收益分配；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在不违反法律法规且对基金份额持有人利益无实质性不利影响的前提下，基金管理人履行适当程序后可对上述原则进行修改或调整。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（四）基金相对业绩比较基准的超额收益率计算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在评价日，基金管理人计算基金累计报酬率、业绩比较基准同期累计报酬率。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基金评价日本基金相对业绩比较基准的超额收益率＝基金累计报酬率－业绩比较基准同期累计报酬率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基金累计报酬率＝（评价日基金份额净值/基金合同生效日所对应的 3 个月月</w:t>
      </w:r>
      <w:r>
        <w:rPr>
          <w:rFonts w:ascii="宋体" w:hAnsi="宋体"/>
          <w:sz w:val="24"/>
        </w:rPr>
        <w:lastRenderedPageBreak/>
        <w:t>度对日的前一工作日基金份额净值－1）×100%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业绩比较基准同期累计报酬率＝（评价日业绩比较基准数值/基金合同生效日所对应的 3 个月月度对日的前一工作日业绩比较基准数值－1）×100%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3个月月度对日指某一特定日期在之后第3个月月度中的对应日期，若该日历月度中不存在对应日期，则取该月度最后一日。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如基金份额发生折算，则采用剔除折算因素的基金份额净值，详见届时基金管理人发布的相关公告。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（六）收益分配方案的确定、公告与实施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（七）基金收益分配中发生的费用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（八）收益分配方式的修改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投资人可至销售机构办理收益分配方式的修改，投资人对本基金不同的基金交易账户可设置不同的收益分配方式。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（九）实施侧袋机制期间的收益分配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18" w:name="_Toc210909742"/>
      <w:r>
        <w:rPr>
          <w:rFonts w:ascii="Times New Roman" w:hAnsi="Times New Roman"/>
          <w:sz w:val="30"/>
        </w:rPr>
        <w:lastRenderedPageBreak/>
        <w:t>十五、基金的费用与税收</w:t>
      </w:r>
      <w:bookmarkEnd w:id="18"/>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本基金的管理费按前一日基金资产净值的0.5%年费率计提。管理费的计算方法如下：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H＝E×0.5%÷当年天数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根据双方核对一致的数据向基金托管人发送基金管理费划付指令，基金托管人于次月首日起5个工作日内从基金财产中一次性支付给基金管理人。若遇法定节假日、休息日或不可抗力致使无法按时支付的，顺延至最近可支付日支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本基金的托管费按前一日基金资产净值的0.1%年费率计提。托管费的计算方法如下：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根据双方核对一致的数据向基金托管人发送基金托管费划付指令，基金托管人于次月首日起5个工作日内从基金财产中一次性支付给基金托管人。若遇法定节假日、休息日或不可抗力致使无法按时支付的，顺延至最近可支付日支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本基金A类基金份额不收取销售服务费，C类基金份额的销售服务费按前一日C类基金份额的基金资产净值的0.2%年费率计提。销售服务费的计算方法如下：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每日计提，逐日累计至每月月末，按月支付。由基金管理人根据双方核对一致的数据向基金托管人发送销售服务费划付指令，基金托管人于次月首日起5个工作日内从基金财产中一次性支付给基金管理人，由基金管理人代付给销售机构。若遇法定节假日、休息日或不可抗力致使无法按时支付的，顺延至最近可支付日支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下列费用不列入基金费用：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4、标的指数许可使用费（由基金管理人承担）；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5、其他根据相关法律法规及中国证监会的有关规定不得列入基金费用的项目。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19" w:name="_Toc210909743"/>
      <w:r>
        <w:rPr>
          <w:rFonts w:ascii="Times New Roman" w:hAnsi="Times New Roman"/>
          <w:sz w:val="30"/>
        </w:rPr>
        <w:lastRenderedPageBreak/>
        <w:t>十六、基金的会计与审计</w:t>
      </w:r>
      <w:bookmarkEnd w:id="19"/>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7、基金托管人每月与基金管理人就基金的会计核算、报表编制等进行核对并以双方认可的方式确认。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20" w:name="_Toc210909744"/>
      <w:r>
        <w:rPr>
          <w:rFonts w:ascii="Times New Roman" w:hAnsi="Times New Roman"/>
          <w:sz w:val="30"/>
        </w:rPr>
        <w:lastRenderedPageBreak/>
        <w:t>十七、基金的信息披露</w:t>
      </w:r>
      <w:bookmarkEnd w:id="20"/>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（一）本基金的信息披露应符合《基金法》、《运作办法》、《信息披露办法》、《流动性风险管理规定》、《基金合同》及其他有关规定。相关法律法规关于信息披露的规定发生变化时，本基金从其最新规定。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4、基金净值信息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w:t>
      </w:r>
      <w:r>
        <w:rPr>
          <w:rFonts w:ascii="宋体" w:hAnsi="宋体"/>
          <w:sz w:val="24"/>
        </w:rPr>
        <w:lastRenderedPageBreak/>
        <w:t>性风险分析等。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（15）管理费、托管费、销售服务费、申购费、赎回费等费用计提标准、计提方式和费率发生变更；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（25）本基金变更标的指数；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（26）《基金合同》生效后，连续30、40、45个工作日出现基金份额持有人数量不满200人或者基金资产净值低于5000万元情形，基金管理人应当发布提示性公告；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（27）基金信息披露义务人认为可能对基金份额持有人权益或者基金份额的价格产生重大影响的其他事项或中国证监会规定和基金合同约定的其他事项。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11、清算报告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交易政策、持仓情况、损益情况、风险指标等，并充分揭示股指期货交易对基金总体风险的影响以及是否符合既定的投资政策和投资目标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14、基金参与融资和转融通证券出借业务情况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本基金参与转融通证券出借业务的，基金管理人应当在基金定期报告等文件中就报告期内发生的重大关联交易事项做详细说明。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w:t>
      </w:r>
      <w:r>
        <w:rPr>
          <w:rFonts w:ascii="宋体" w:hAnsi="宋体"/>
          <w:sz w:val="24"/>
        </w:rPr>
        <w:lastRenderedPageBreak/>
        <w:t>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21" w:name="_Toc210909745"/>
      <w:r>
        <w:rPr>
          <w:rFonts w:ascii="Times New Roman" w:hAnsi="Times New Roman"/>
          <w:sz w:val="30"/>
        </w:rPr>
        <w:lastRenderedPageBreak/>
        <w:t>十八、侧袋机制</w:t>
      </w:r>
      <w:bookmarkEnd w:id="21"/>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261D9A" w:rsidRDefault="001E4CBF">
      <w:pPr>
        <w:pStyle w:val="1"/>
        <w:snapToGrid w:val="0"/>
        <w:spacing w:beforeLines="0" w:before="240" w:after="240"/>
        <w:rPr>
          <w:rFonts w:ascii="宋体" w:hAnsi="宋体"/>
          <w:szCs w:val="30"/>
        </w:rPr>
      </w:pPr>
      <w:bookmarkStart w:id="22" w:name="_Toc210909746"/>
      <w:r>
        <w:rPr>
          <w:rFonts w:ascii="Times New Roman" w:hAnsi="Times New Roman"/>
          <w:sz w:val="30"/>
        </w:rPr>
        <w:lastRenderedPageBreak/>
        <w:t>十九、风险揭示</w:t>
      </w:r>
      <w:bookmarkEnd w:id="22"/>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w:t>
      </w:r>
      <w:r>
        <w:rPr>
          <w:rFonts w:ascii="宋体" w:hAnsi="宋体"/>
          <w:sz w:val="24"/>
        </w:rPr>
        <w:lastRenderedPageBreak/>
        <w:t>自行负担。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业务，具体业务办理时间在赎回开始公告中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以下一开放日该类基金份额的基金份额净值为基础计算赎回金额，以此类推，直到全部赎回为止。如投资人在提交赎回申请时未作明确选择，投资人未能赎回部分作自动延期赎回处理。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基金合同约定的时限支付赎回款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w:t>
      </w:r>
      <w:r>
        <w:rPr>
          <w:rFonts w:ascii="宋体" w:hAnsi="宋体"/>
          <w:sz w:val="24"/>
        </w:rPr>
        <w:lastRenderedPageBreak/>
        <w:t>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股票型基金，投资于上证科创板100指数成份股（含存托凭证）及备选成份股（含存托凭证）的比例不低于基金资产净值的90%且不低于非现金基金资产的80%，因投资权益类资产而面临权益类资产市场的系统性风险和个股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2、标的指数回报与股票市场平均回报偏离的风险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标的指数并不能代表整个股票市场。标的指数成份股的平均回报率与整个股票市场的平均回报率可能存在偏离。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3、标的指数波动的风险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标的指数成份股的价格可能受到政治因素、经济因素、上市公司经营状况、投资人心理和交易制度等各种因素的影响而波动，导致指数波动，从而使基金收益水平发生变化，产生风险。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4、基金投资组合回报与标的指数回报偏离及跟踪误差控制未达约定目标的风险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以下因素可能使基金投资组合的收益率与标的指数的收益率发生偏离，也可能使基金的跟踪误差控制未达约定目标：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（1）由于标的指数调整成份股或变更编制方法，使本基金在相应的组合调整中产生跟踪偏离度与跟踪误差。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（2）由于标的指数成份股发生配股、增发等行为导致成份股在标的指数中的权重发生变化，使本基金在相应的组合调整中产生跟踪偏离度和跟踪误差。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（3）标的指数成份股派发现金红利、新股市值配售收益将导致基金收益率超过标的指数收益率，产生正的跟踪偏离度。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（4）由于标的指数成份股停牌、摘牌或流动性差等原因使本基金无法及时调整投资组合或承担冲击成本而产生跟踪偏离度和跟踪误差。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（5）因法律法规的限制或其他限制，本基金可能不能投资于部分标的指数成份股。在使用替代方法，如投资同行业中相关性较高的股票以替代上述投资受限股票时，会产生一定的跟踪偏离度和跟踪误差。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（6）基金有投资成本、各种费用及税收，而指数编制不考虑费用和税收，这将导致基金收益率落后于标的指数收益率，产生负的跟踪偏离度。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（7）在本基金指数化投资过程中，基金管理人的管理能力，例如跟踪指数的水平、技术手段、买入卖出的时机选择等，都会对本基金的收益产生影响，从而影响本基金对标的指数的跟踪程度。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正常市场情况下，本基金力争控制本基金日均跟踪偏离度的绝对值不超过0.35%，年跟踪误差不超过4%。但因标的指数编制规则调整或其他因素可能导致跟踪偏离度和跟踪误差超过上述范围，本基金净值表现与指数价格走势可能发生较大偏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5、指数编制机构停止服务的风险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标的指数的管理和维护，本基金将根据基金合同的约定自该情形发生之日起十个工作日内向中国证监会报告并提出解决方案，如转换运作方式，</w:t>
      </w:r>
      <w:r>
        <w:rPr>
          <w:rFonts w:ascii="宋体" w:hAnsi="宋体"/>
          <w:sz w:val="24"/>
        </w:rPr>
        <w:lastRenderedPageBreak/>
        <w:t>与其他基金合并或者终止基金合同等，并在6个月内召集基金份额持有人大会进行表决，基金份额持有人大会未成功召开或就上述事项表决未通过的，基金合同终止。投资人将面临转换运作方式，与其他基金合并或者终止基金合同等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6、成份股停牌或退市的风险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标的指数成份股可能因各种原因临时或长期停牌，发生成份股停牌时可能面临如下风险：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（1）基金可能因无法及时调整投资组合而导致跟踪偏离度和跟踪误差扩大。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（2）若成份股停牌时间较长，在约定时间内仍未能及时买入或卖出的，由此可能影响投资者的投资损益并使基金产生跟踪偏离度和跟踪误差。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风险，且指数编制机构暂未作出调整的，基金管理人应当按照持有人利益优先的原则，履行内部决策程序后及时对相关成份股进行调整，可能影响投资者的投资损益并使基金产生跟踪偏离度和跟踪误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7、基金合同提前终止风险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《基金合同》生效后，连续50个工作日出现基金份额持有人数量不满200人或者基金资产净值低于5000万元情形的，基金合同终止，不需召开基金份额持有人大会。因此，投资者可能面临基金合同提前终止的风险。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8、本基金可投资创业板股票，创业板个股上市后的前五个交易日不设价格涨跌幅限制，第六个交易日开始涨跌幅限制比例为20%。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w:t>
      </w:r>
      <w:r>
        <w:rPr>
          <w:rFonts w:ascii="宋体" w:hAnsi="宋体"/>
          <w:sz w:val="24"/>
        </w:rPr>
        <w:lastRenderedPageBreak/>
        <w:t>险、信用风险和操作风险。具体为：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（九）投资存托凭证的特定风险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w:t>
      </w:r>
      <w:r>
        <w:rPr>
          <w:rFonts w:ascii="宋体" w:hAnsi="宋体"/>
          <w:sz w:val="24"/>
        </w:rPr>
        <w:lastRenderedPageBreak/>
        <w:t>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基金资产投资于科创板股票，会面临科创板机制下因投资标的、市场制度以及交易规则等差异带来的特有风险，包括但不限于市场风险、流动性风险、退市风险、系统性风险、政策风险等。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（十一）本基金参与融资业务的特定风险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本基金可根据法律法规的规定参与融资业务，面临的风险包括但不限于：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可能放大投资损失的风险：融资业务具有杠杆效应，它在放大投资收益的同时也必然放大投资风险。将股票作为担保品进行融资交易时，既需要承担原有的股票价格下跌带来的风险，又得承担融资买入股票带来的风险，同时还须支付相应的利息和费用，由此承担的风险可能远远超过普通证券交易。</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2）利率变动带来的成本加大风险：在从事融资交易期间，如中国人民银行规定的同期贷款基准利率调高，证券公司将相应调高融资利率，投资成本也因为利率的上调而增加，将面临融资成本增加的风险。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强制平仓风险：融资交易中，投资组合与证券公司间除了普通交易的委托买卖关系外，还存在着较为复杂的债权债务关系，以及由于债权债务产生的信托关系和担保关系。证券公司为保护自身债权，对投资组合信用账户的资产负债情况实时监控，在一定条件下可以对投资组合担保资产执行强制平仓,且平仓的品种、数量、价格、时机将不受投资组合的控制，平仓的数额可能超过全部负债，由此给投资组合带来损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外部监管风险：在融资交易出现异常或市场出现系统性风险时，监管部门、证券交易所和证券公司都将可能对融资交易采取相应措施，例如提高融资保证金比例、维持担保比例和强制平仓的条件等，以维护市场平稳运行。这些措施将可能给本金带来杠杆效应降低、甚至提前进入追加担保物或强制平仓状态等潜在损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融资业务的流动性风险主要指当基金不能按照约定的期限清偿债务，或上市证券价格波动导致担保物价值与融资债务之间的比例低于平仓维持担保比例，且不能按照约定的时间追加担保物时面临强制平仓的风险。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（3）信用风险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风险主要指交易对手违约产生的风险。一方面，如果证券公司没有按照融资合同的要求履行义务可能带来风险；另一方面，若在从事融资交易期间，证券公司融资业务资格、融资业务交易权限被取消或被暂停，证券公司可能无法履约，则投资组合可能会面临一定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（十二）本基金参与转融通证券出借业务的特定风险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本基金可根据法律法规和基金合同的约定参与转融通证券出借业务，面临的风险包括但不限于：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（1）流动性风险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面对大额赎回时，可能因证券出借原因发生无法及时变现、支付赎回款项的风险；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证券出借对手方可能无法及时归还证券、无法支付相应权益补偿及借券费用的风险；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（3）市场风险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证券出借后可能面临出借期间无法及时处置证券的风险；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如宏观政策变化、证券市场剧烈波动、个别证券出现重大事件、交易对手方违约、业务规则调整、信息技术不能正常运行等风险。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（十三）本基金法律文件风险收益特征表述与销售机构基金风险评价可能不一致的风险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（十四）其他风险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6、战争、自然灾害等不可抗力可能导致基金财产的损失，影响基金收益水平，从而带来风险；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23" w:name="_Toc210909747"/>
      <w:r>
        <w:rPr>
          <w:rFonts w:ascii="Times New Roman" w:hAnsi="Times New Roman"/>
          <w:sz w:val="30"/>
        </w:rPr>
        <w:lastRenderedPageBreak/>
        <w:t>二十、基金合同的变更、终止与基金财产的清算</w:t>
      </w:r>
      <w:bookmarkEnd w:id="23"/>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4、连续50个工作日出现基金份额持有人数量不满200人或者基金资产净值低于5000万元情形的，基金合同终止，不需召开基金份额持有人大会；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w:t>
      </w:r>
      <w:r>
        <w:rPr>
          <w:rFonts w:ascii="宋体" w:hAnsi="宋体"/>
          <w:sz w:val="24"/>
        </w:rPr>
        <w:lastRenderedPageBreak/>
        <w:t>估价、变现和分配。基金财产清算小组可以依法进行必要的民事活动。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24" w:name="_Toc210909748"/>
      <w:r>
        <w:rPr>
          <w:rFonts w:ascii="Times New Roman" w:hAnsi="Times New Roman"/>
          <w:sz w:val="30"/>
        </w:rPr>
        <w:lastRenderedPageBreak/>
        <w:t>二十一、基金合同内容摘要</w:t>
      </w:r>
      <w:bookmarkEnd w:id="24"/>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13）在法律法规允许的前提下，为基金的利益依法为基金进行融资及转融通证券出借业务；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w:t>
      </w:r>
      <w:r>
        <w:rPr>
          <w:rFonts w:ascii="宋体" w:hAnsi="宋体"/>
          <w:sz w:val="24"/>
        </w:rPr>
        <w:lastRenderedPageBreak/>
        <w:t>但不限于：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6）按规定开设基金财产的资金账户、证券账户等投资所需账户，按照《基金合同》的约定，根据基金管理人的投资指令，及时办理清算、交割事宜；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情</w:t>
      </w:r>
      <w:r>
        <w:rPr>
          <w:rFonts w:ascii="宋体" w:hAnsi="宋体"/>
          <w:sz w:val="24"/>
        </w:rPr>
        <w:lastRenderedPageBreak/>
        <w:t>况除外；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w:t>
      </w:r>
      <w:r>
        <w:rPr>
          <w:rFonts w:ascii="宋体" w:hAnsi="宋体"/>
          <w:sz w:val="24"/>
        </w:rPr>
        <w:lastRenderedPageBreak/>
        <w:t>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9）遵守基金管理人、基金托管人、销售机构和登记机构的相关交易及业务规则；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（1）当出现或需要决定下列事由之一的，应当召开基金份额持有人大会，法律法规、中国证监会另有规定的除外：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w:t>
      </w:r>
      <w:r>
        <w:rPr>
          <w:rFonts w:ascii="宋体" w:hAnsi="宋体"/>
          <w:sz w:val="24"/>
        </w:rPr>
        <w:lastRenderedPageBreak/>
        <w:t>无实质性不利影响的前提下，以下情况可由基金管理人和基金托管人协商后修改，不需召开基金份额持有人大会：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3）在法律法规和《基金合同》规定的范围内调整本基金的申购费率、在对现有基金份额持有人利益无实质性不利影响的前提下变更收费方式；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6）在法律法规允许的情况下，且在对现有基金份额持有人利益无实质性不利影响的前提下，基金管理人履行适当程序后，推出新业务或服务；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7）在符合法律法规及本基金合同规定、并且对基金份额持有人利益无实质性不利影响的前提下，增加或调整本基金份额类别的设置、对基金份额分类办法及规则进行调整；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w:t>
      </w:r>
      <w:r>
        <w:rPr>
          <w:rFonts w:ascii="宋体" w:hAnsi="宋体"/>
          <w:sz w:val="24"/>
        </w:rPr>
        <w:lastRenderedPageBreak/>
        <w:t>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（2）议事程序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w:t>
      </w:r>
      <w:r>
        <w:rPr>
          <w:rFonts w:ascii="宋体" w:hAnsi="宋体"/>
          <w:sz w:val="24"/>
        </w:rPr>
        <w:lastRenderedPageBreak/>
        <w:t>会议通知规定的表决意见视为有效表决，表决意见模糊不清或相互矛盾的视为弃权表决，但应当计入出具表决意见的基金份额持有人所代表的基金份额总数。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基金份额持有人大会的决议，召集人应当自通过之日起5日内报中国证监会备案。基金份额持有人大会的决议自表决通过之日起生效。法律法规另有规定的，从其规定。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w:t>
      </w:r>
      <w:r>
        <w:rPr>
          <w:rFonts w:ascii="宋体" w:hAnsi="宋体"/>
          <w:sz w:val="24"/>
        </w:rPr>
        <w:lastRenderedPageBreak/>
        <w:t>介上公告。如果采用通讯方式进行表决，在公告基金份额持有人大会决议时，必须将公证书全文、公证机构、公证员姓名等一同公告。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（4）连续50个工作日出现基金份额持有人数量不满200人或者基金资产净值低于5000万元情形的，基金合同终止，不需召开基金份额持有人大会；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w:t>
      </w:r>
      <w:r>
        <w:rPr>
          <w:rFonts w:ascii="宋体" w:hAnsi="宋体"/>
          <w:sz w:val="24"/>
        </w:rPr>
        <w:lastRenderedPageBreak/>
        <w:t>管人、符合《中华人民共和国证券法》规定的注册会计师、律师以及中国证监会指定的人员组成。基金财产清算小组可以聘用必要的工作人员。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w:t>
      </w:r>
      <w:r>
        <w:rPr>
          <w:rFonts w:ascii="宋体" w:hAnsi="宋体"/>
          <w:sz w:val="24"/>
        </w:rPr>
        <w:lastRenderedPageBreak/>
        <w:t>限。</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仲裁地点为北京市，按照中国国际经济贸易仲裁委员会届时有效的仲裁规则进行仲裁。仲裁裁决是终局的，对各方当事人均有约束力，除非仲裁裁决另有规定，仲裁费由败诉方承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《基金合同》受中国法律（为本基金合同之目的，不含港澳台地区法律）管辖并从其解释。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25" w:name="_Toc210909749"/>
      <w:r>
        <w:rPr>
          <w:rFonts w:ascii="Times New Roman" w:hAnsi="Times New Roman"/>
          <w:sz w:val="30"/>
        </w:rPr>
        <w:lastRenderedPageBreak/>
        <w:t>二十二、托管协议的内容摘要</w:t>
      </w:r>
      <w:bookmarkEnd w:id="25"/>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w:t>
      </w:r>
      <w:r>
        <w:rPr>
          <w:rFonts w:ascii="宋体" w:hAnsi="宋体"/>
          <w:sz w:val="24"/>
        </w:rPr>
        <w:lastRenderedPageBreak/>
        <w:t>府债券、金融债券；从事同业拆借；买卖、代理买卖外汇；结汇、售汇；从事银行卡业务；提供信用证服务及担保；代理收付款项；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上证科创板100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本基金可根据法律法规的规定参与融资及转融通证券出借业务。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基金的投资组合比例为：本基金投资于上证科创板100指数成份股（含存托凭</w:t>
      </w:r>
      <w:r>
        <w:rPr>
          <w:rFonts w:ascii="宋体" w:hAnsi="宋体"/>
          <w:sz w:val="24"/>
        </w:rPr>
        <w:lastRenderedPageBreak/>
        <w:t>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（1）本基金投资于上证科创板100指数成份股（含存托凭证）及备选成份股（含存托凭证）的比例不低于基金资产净值的90%且不低于非现金基金资产的80%；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（3）本基金投资于同一原始权益人的各类资产支持证券的比例，不得超过基金资产净值的10％；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（4）本基金持有的全部资产支持证券，其市值不得超过基金资产净值的20％；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（5）本基金持有的同一(指同一信用级别)资产支持证券的比例，不得超过该资产支持证券规模的10％；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（6）本基金管理人管理的、且由本基金托管人托管的全部基金投资于同一原始权益人的各类资产支持证券，不得超过其各类资产支持证券合计规模的10％；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（7）本基金应投资于信用级别评级为BBB以上(含BBB)的资产支持证券。基金持有资产支持证券期间，如果其信用等级下降、不再符合投资标准，应在评级报告发布之日起3个月内予以全部卖出；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（8）基金财产参与股票发行申购，本基金所申报的金额不超过本基金的总资产，本基金所申报的股票数量不超过拟发行股票公司本次发行股票的总量；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（10）本基金与私募类证券资管产品及中国证监会认定的其他主体为交易对手开展逆回购交易的，可接受质押品的资质要求应当与基金合同约定的投资范围保持一致；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（11）本基金资产总值不超过基金资产净值的140%；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（12）本基金参与股指期货交易，则：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（13）本基金参与融资业务后，每个交易日日终，本基金持有的融资买入股票与其他有价证券市值之和，不得超过基金资产净值的95%；</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（14）本基金参与转融通证券出借业务，需遵守下列投资限制：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1）出借证券资产不得超过基金资产净值的30%，出借期限在10个交易日以上的出借证券应纳入《流动性风险管理规定》所述流动性受限证券的范围；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2）参与出借业务的单只证券不得超过本基金持有该证券总量的50%；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3）最近6个月内日均基金资产净值不得低于2亿元；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4）证券出借的平均剩余期限不得超过30天，平均剩余期限按照市值加权平均计算；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因证券市场波动、上市公司合并、基金规模变动等基金管理人之外的因素致使基金投资不符合上述规定的，基金管理人不得新增出借业务；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（15）本基金投资存托凭证的比例限制依照境内上市交易的股票执行；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（16）法律法规及中国证监会规定的和《基金合同》约定的其他投资限制。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除上述（2）、（7）、（9）、（10）、（14）项以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有权向中国证监会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w:t>
      </w:r>
      <w:r>
        <w:rPr>
          <w:rFonts w:ascii="宋体" w:hAnsi="宋体"/>
          <w:sz w:val="24"/>
        </w:rPr>
        <w:lastRenderedPageBreak/>
        <w:t>管理人是否按事前提供的银行间债券市场交易对手名单进行交易。基金管理人可以对银行间债券市场交易对手名单进行更新，如基金管理人根据市场情况需要临时调整银行间债券市场交易对手名单，应向基金托管人说明理由，在与交易对手发生交易前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相应损失和责任。如基金管理人在基金投资运作之前未向基金托管人提供银行间债券市场交易对手名单的，视为基金管理人认可全市场交易对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如果基金管理人未经基金托管人的审核擅自将不实的业绩表现数据印制在宣传推介材料上，则基金托管人对此不承担相应责任，并将在发现后立即报告中国证监会。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（2）此处的流通受限证券与上文提及的流动性受限资产并不完全一致，流通受限证券包括由《上市公司证券发行注册管理办法》规范的非公开发行股票、公开</w:t>
      </w:r>
      <w:r>
        <w:rPr>
          <w:rFonts w:ascii="宋体" w:hAnsi="宋体"/>
          <w:sz w:val="24"/>
        </w:rPr>
        <w:lastRenderedPageBreak/>
        <w:t>发行股票网下配售部分等在发行时明确一定期限锁定期的可交易证券，不包括由于发布重大消息或其他原因而临时停牌的证券、已发行未上市证券、回购交易中的质押券等流通受限证券。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相应责任，并有权报告中国证监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基金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参与转融通证券出借业务，基金管理人应当遵守审慎经营原则，配备技术系统和专业人员，制定科学合理的投资策略和风险管理制度，完善业务流程，有效防范和控制风险，基金托管人将对管理人参与转融通证券出借业务进行监督和复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有义务配合和协助基金托管人依照法律法规、基金合同和本托管协议对基金业务执行核查。对基金托管人发出的书面提示，基金管理人应在规定时间内答复并改正，或就基金托管人的合理疑义进行解释或举证；对基金托管人按照法规要求需向中国证监会报送基金监督报告的事项，基金管理人应积极配合提供相关数据资料和制度等。</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的基金份额净值、根据基金管理人指令办理清算交收、相关信息披露和监督基金投资运作等行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w:t>
      </w:r>
      <w:r>
        <w:rPr>
          <w:rFonts w:ascii="宋体" w:hAnsi="宋体"/>
          <w:sz w:val="24"/>
        </w:rPr>
        <w:lastRenderedPageBreak/>
        <w:t>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基金财产的完整性和真实性，在规定时间内答复基金管理人并改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（3）基金托管人按照规定开设基金财产的资金账户、证券账户等投资所需账户、协助开立股指期货业务相关账户及交易编码。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（4）基金托管人对所托管的不同基金财产分别设置账户，与基金托管人的其他业务和其他基金的托管业务实行严格的分账管理，独立核算，确保基金财产的完整与独立。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相应责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w:t>
      </w:r>
      <w:r>
        <w:rPr>
          <w:rFonts w:ascii="宋体" w:hAnsi="宋体"/>
          <w:sz w:val="24"/>
        </w:rPr>
        <w:lastRenderedPageBreak/>
        <w:t>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符合《中华人民共和国证券法》规定的会计师事务所进行验资，出具验资报告。出具的验资报告由参加验资的2名或2名以上中国注册会计师签字方为有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（1）基金托管人应负责本基金的基金托管资金账户的开设和管理。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基金托管资金账户进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（4）基金证券账户的开立和开户回执的保管由基金托管人负责，账户资产的管理和运用由基金管理人负责。</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代表基金签订全国银行间债券市场债券回购主协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等有价凭证在基金托管人保管期间的损坏、灭失，由此产生的责任应由基金托管人承担。基金托管人对基金托管人以外机构实际有效控制的证券不承担保管责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本协议另有规定外，基金管理人在代表基金签署与基金有关的重大合同时应保证基金一方持有两份以上的正本，以便基金管理人和基金托管</w:t>
      </w:r>
      <w:r>
        <w:rPr>
          <w:rFonts w:ascii="宋体" w:hAnsi="宋体"/>
          <w:sz w:val="24"/>
        </w:rPr>
        <w:lastRenderedPageBreak/>
        <w:t>人至少各持有一份正本的原件。重大合同的保管期限不低于法律法规规定的最低期限。</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（五）基金资产净值的计算及复核程序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进行估值后，将基金资产净值、各类基金份额净值结果发送基金托管人，经基金托管人复核无误后，由基金管理人依据基金合同和相关法律法规的规定对外公布。月末、年中和年末估值复核与基金会计账目的核对同时进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①送股、转增股、配股和公开增发的新股，按估值日在证券交易所挂牌的同一股票的估值方法估值；该日无交易的，以最近一日的市价（收盘价）估值；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②首次公开发行未上市的股票，采用估值技术确定公允价值；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3）对于已上市或已挂牌转让的不含权固定收益品种（另有规定的除外），选取第三方估值基准服务机构提供的相应品种当日的估值全价进行估值。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4）对于已上市或已挂牌转让的含权固定收益品种（另有规定的除外），选取第三方估值基准服务机构提供的相应品种当日的唯一估值全价或推荐估值全价进行估值。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6）对于未上市或未挂牌转让且不存在活跃市场的固定收益品种，采用在当前情况下适用并且有足够可利用数据和其他信息支持的估值技术确定其公允价值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7）本基金投资股指期货合约，一般以估值当日结算价进行估值，估值当日无结算价的，且最近交易日后经济环境未发生重大变化的，采用最近交易日结算价估值。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8）同一证券同时在两个或两个以上市场交易的，按证券所处的市场分别估值。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9）对于因税收规定调整或其他原因导致产品实际交纳税金与估算的应交税金有差异的，产品将在相关税金调整日或实际支付日进行相应的会计处理。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10）本基金投资存托凭证的估值核算依照境内上市交易的股票执行。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11）基金参与融资和转融通证券出借业务的，应参照相关法律法规和中国证券</w:t>
      </w:r>
      <w:r>
        <w:rPr>
          <w:rFonts w:ascii="宋体" w:hAnsi="宋体"/>
          <w:sz w:val="24"/>
        </w:rPr>
        <w:lastRenderedPageBreak/>
        <w:t>投资基金业协会发布的相关规定进行估值。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12）如有确凿证据表明按上述方法进行估值不能客观反映其公允价值的，基金管理人可根据具体情况与基金托管人商定后，按最能反映公允价值的价格估值。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13）当发生大额申购或赎回情形时，基金管理人可以采用摆动定价机制，以确保基金估值的公平性。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14）相关法律法规以及监管部门有强制规定的，从其规定。如有新增事项，按国家最新规定估值。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1）基金管理人或基金托管人按估值方法的第12）项进行估值时，所造成的误差不作为基金资产估值错误处理。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登记结算公司、指数编制机构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估值错误时，视为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并报中国证监会备案；当发生基金份额净值错误时，由基金管理人负责处理，由此给基金份额持有人和基金造成</w:t>
      </w:r>
      <w:r>
        <w:rPr>
          <w:rFonts w:ascii="宋体" w:hAnsi="宋体"/>
          <w:sz w:val="24"/>
        </w:rPr>
        <w:lastRenderedPageBreak/>
        <w:t>损失的，应由基金管理人先行赔付，基金管理人按差错情形，有权向其他当事人追偿。</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（4）前述内容如法律法规或监管机构另有规定的，从其规定处理。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4、暂停估值的情形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（4）法律法规、中国证监会和基金合同认定的其它情形。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净值信息的计算和公告的，以基金管理人的账册为准。</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上半年结束之日起两个月内编制完毕并予以公告；年度报告在每年结束之日起三个月内编制完毕并予以公告。基金合同生效不足2个月的，基金管理人可以不编制当期季度报告、中期报告或者年度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传真的方式或双方商定的其他方式进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w:t>
      </w:r>
      <w:r>
        <w:rPr>
          <w:rFonts w:ascii="宋体" w:hAnsi="宋体"/>
          <w:sz w:val="24"/>
        </w:rPr>
        <w:lastRenderedPageBreak/>
        <w:t>管人应共同查明原因，进行调整，调整以双方认可的账务处理方式为准；若双方无法达成一致，以基金管理人的账务处理为准。核对无误后，基金托管人在基金管理人提供的报告上加盖托管业务专用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8、基金管理人应每季向基金托管人提供基金业绩比较基准的基础数据和编制结果。</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基金份额持有人的名称和持有的基金份额。</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按照相关法律法规要求基金管理人提供任意一个交易日或全部交易日的基金份额持有人名册，基金管理人应及时提供，不得拖延或拒绝提供。</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双方当事人均有约束力，除非仲裁裁决另有规定，仲裁费由</w:t>
      </w:r>
      <w:r>
        <w:rPr>
          <w:rFonts w:ascii="宋体" w:hAnsi="宋体"/>
          <w:sz w:val="24"/>
        </w:rPr>
        <w:lastRenderedPageBreak/>
        <w:t>败诉方承担。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本协议适用中华人民共和国法律（为本协议之目的，不含港澳台地区法律）并从其解释。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本协议双方当事人经协商一致，可以对协议进行修改。修改后的新协议，其内容不得与基金合同的规定有任何冲突。基金托管协议的变更应按规定报中国证监会备案。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1)自出现《基金合同》终止事由之日起30个工作日内成立基金财产清算小组，基金管理人组织基金财产清算小组并在中国证监会的监督下进行基金清算。</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2)基金财产清算小组成员由基金管理人、基金托管人、符合《中华人民共和国证券法》规定的注册会计师、律师以及中国证监会指定的人员组成。基金财产清算小组可以聘用必要的工作人员。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3)在基金财产清算过程中，基金管理人和基金托管人应各自履行职责，继续忠实、勤勉、尽责地履行基金合同和本托管协议规定的义务，维护基金份额持有人的合法权益。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4)基金财产清算小组负责基金财产的保管、清理、估价、变现和分配。基金财产清算小组可以依法进行必要的民事活动。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（2）基金财产清算程序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7)将清算报告报中国证监会备案；</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8)公告基金清算报告；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261D9A" w:rsidRDefault="001E4CBF">
      <w:pPr>
        <w:pStyle w:val="1"/>
        <w:snapToGrid w:val="0"/>
        <w:spacing w:beforeLines="0" w:before="240" w:after="240"/>
        <w:rPr>
          <w:rFonts w:ascii="宋体" w:hAnsi="宋体"/>
          <w:szCs w:val="30"/>
        </w:rPr>
      </w:pPr>
      <w:bookmarkStart w:id="26" w:name="_Toc210909750"/>
      <w:r>
        <w:rPr>
          <w:rFonts w:ascii="Times New Roman" w:hAnsi="Times New Roman"/>
          <w:sz w:val="30"/>
        </w:rPr>
        <w:lastRenderedPageBreak/>
        <w:t>二十三、对基金份额持有人的服务</w:t>
      </w:r>
      <w:bookmarkEnd w:id="26"/>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投资人可以拨打本基金管理人客户服务电话投诉直销机构的人员和服务。</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A类基金份额和C类基金份额默认的收益分配方式是现金分红，Y类基金份额默认的收益分配方式为红利再投资；基金份额持有人可对其持有的各类基金份额分别选择不同的收益分配方式。再投资红利按红利再投日（即除息日）除息后的基金份额净值自动转为基金份额，并免收申购费用。</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27" w:name="_Toc210909751"/>
      <w:r>
        <w:rPr>
          <w:rFonts w:ascii="Times New Roman" w:hAnsi="Times New Roman"/>
          <w:sz w:val="30"/>
        </w:rPr>
        <w:lastRenderedPageBreak/>
        <w:t>二十四、其他应披露事项</w:t>
      </w:r>
      <w:bookmarkEnd w:id="27"/>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指数型证券投资基金基金合同及招募说明书提示性公告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指数型证券投资基金基金合同摘要</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2025-02-07</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指数型证券投资基金基金合同生效公告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2025-02-27</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2025-03-13</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2025-03-13</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2025-03-13</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指数型证券投资基金落实上证科创板</w:t>
            </w:r>
            <w:r>
              <w:rPr>
                <w:rFonts w:ascii="Times New Roman" w:hAnsi="Times New Roman"/>
                <w:color w:val="000000"/>
                <w:kern w:val="0"/>
                <w:sz w:val="25"/>
                <w:szCs w:val="24"/>
              </w:rPr>
              <w:t>100</w:t>
            </w:r>
            <w:r>
              <w:rPr>
                <w:rFonts w:ascii="Times New Roman" w:hAnsi="Times New Roman"/>
                <w:color w:val="000000"/>
                <w:kern w:val="0"/>
                <w:sz w:val="25"/>
                <w:szCs w:val="24"/>
              </w:rPr>
              <w:t>指数编制方案修订相关安排的公告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2025-03-13</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指数型证券投资基金开放日常申购、赎回、转换、定期定额投资业务的公告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2025-04-14</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交银施罗德基金管理有限公司关于增加西部证券股份有限公司为旗下基金的销售机构的公告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2025-07-17</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22</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交银施罗德基金管理有限公司关于旗下基金所持停牌股票估值调整的公告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261D9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交银施罗德上证科创板</w:t>
            </w:r>
            <w:r>
              <w:rPr>
                <w:rFonts w:ascii="Times New Roman" w:hAnsi="Times New Roman"/>
                <w:color w:val="000000"/>
                <w:kern w:val="0"/>
                <w:sz w:val="25"/>
                <w:szCs w:val="24"/>
              </w:rPr>
              <w:t>100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61D9A" w:rsidRDefault="001E4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28" w:name="_Toc210909752"/>
      <w:r>
        <w:rPr>
          <w:rFonts w:ascii="Times New Roman" w:hAnsi="Times New Roman"/>
          <w:sz w:val="30"/>
        </w:rPr>
        <w:lastRenderedPageBreak/>
        <w:t>二十五、招募说明书的存放及查阅方式</w:t>
      </w:r>
      <w:bookmarkEnd w:id="28"/>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1E4CB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61D9A" w:rsidRDefault="001E4CBF">
      <w:pPr>
        <w:pStyle w:val="1"/>
        <w:snapToGrid w:val="0"/>
        <w:spacing w:beforeLines="0" w:before="240" w:after="240"/>
        <w:rPr>
          <w:rFonts w:ascii="宋体" w:hAnsi="宋体"/>
          <w:szCs w:val="30"/>
        </w:rPr>
      </w:pPr>
      <w:bookmarkStart w:id="29" w:name="_Toc210909753"/>
      <w:r>
        <w:rPr>
          <w:rFonts w:ascii="Times New Roman" w:hAnsi="Times New Roman"/>
          <w:sz w:val="30"/>
        </w:rPr>
        <w:lastRenderedPageBreak/>
        <w:t>二十六、备查文件</w:t>
      </w:r>
      <w:bookmarkEnd w:id="29"/>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（一）中国证监会准予交银施罗德上证科创板100指数型证券投资基金募集注册的文件</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（二）《交银施罗德上证科创板100指数型证券投资基金基金合同》</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（三）《交银施罗德上证科创板100指数型证券投资基金托管协议》</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261D9A" w:rsidRDefault="001E4CB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（六）关于申请募集注册交银施罗德上证科创板100指数型证券投资基金的法律意见书</w:t>
      </w:r>
    </w:p>
    <w:sectPr w:rsidR="00261D9A">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2FBB" w:rsidRDefault="001E4CBF">
      <w:r>
        <w:separator/>
      </w:r>
    </w:p>
  </w:endnote>
  <w:endnote w:type="continuationSeparator" w:id="0">
    <w:p w:rsidR="001D2FBB" w:rsidRDefault="001E4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D9A" w:rsidRDefault="00261D9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D9A" w:rsidRDefault="00107E1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261D9A" w:rsidRDefault="001E4CB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07E11">
                  <w:rPr>
                    <w:rFonts w:ascii="Times New Roman" w:hAnsi="Times New Roman"/>
                    <w:noProof/>
                    <w:kern w:val="0"/>
                    <w:sz w:val="18"/>
                    <w:szCs w:val="18"/>
                  </w:rPr>
                  <w:t>5</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D9A" w:rsidRDefault="00261D9A">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D9A" w:rsidRDefault="00107E1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261D9A" w:rsidRDefault="001E4CB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07E11">
                  <w:rPr>
                    <w:rFonts w:ascii="Times New Roman" w:hAnsi="Times New Roman"/>
                    <w:noProof/>
                    <w:kern w:val="0"/>
                    <w:sz w:val="18"/>
                    <w:szCs w:val="18"/>
                  </w:rPr>
                  <w:t>158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2FBB" w:rsidRDefault="001E4CBF">
      <w:r>
        <w:separator/>
      </w:r>
    </w:p>
  </w:footnote>
  <w:footnote w:type="continuationSeparator" w:id="0">
    <w:p w:rsidR="001D2FBB" w:rsidRDefault="001E4C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D9A" w:rsidRDefault="00261D9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1E4CBF">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261D9A" w:rsidRDefault="001E4CBF">
    <w:pPr>
      <w:pStyle w:val="a3"/>
      <w:jc w:val="right"/>
      <w:rPr>
        <w:rFonts w:ascii="宋体" w:hAnsi="宋体"/>
      </w:rPr>
    </w:pPr>
    <w:r>
      <w:rPr>
        <w:rFonts w:ascii="宋体" w:hAnsi="宋体" w:hint="eastAsia"/>
      </w:rPr>
      <w:t>交银施罗德上证科创板100指数型证券投资基金招募说明书更新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D9A" w:rsidRDefault="00261D9A">
    <w:pPr>
      <w:pStyle w:val="10"/>
      <w:jc w:val="right"/>
    </w:pPr>
  </w:p>
  <w:p w:rsidR="00261D9A" w:rsidRDefault="00261D9A">
    <w:pPr>
      <w:pStyle w:val="10"/>
      <w:jc w:val="right"/>
    </w:pPr>
  </w:p>
  <w:p w:rsidR="00261D9A" w:rsidRDefault="00261D9A">
    <w:pPr>
      <w:pStyle w:val="a3"/>
      <w:jc w:val="right"/>
    </w:pPr>
  </w:p>
  <w:p w:rsidR="009E65D0" w:rsidRDefault="001E4CBF">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261D9A" w:rsidRDefault="001E4CBF">
    <w:pPr>
      <w:pStyle w:val="a3"/>
      <w:jc w:val="right"/>
      <w:rPr>
        <w:rFonts w:ascii="宋体" w:hAnsi="宋体"/>
      </w:rPr>
    </w:pPr>
    <w:r>
      <w:rPr>
        <w:rFonts w:ascii="宋体" w:hAnsi="宋体" w:hint="eastAsia"/>
      </w:rPr>
      <w:t>交银施罗德上证科创板100指数型证券投资基金招募说明书更新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D9A" w:rsidRDefault="00261D9A">
    <w:pPr>
      <w:pStyle w:val="a3"/>
      <w:jc w:val="right"/>
    </w:pPr>
  </w:p>
  <w:p w:rsidR="00261D9A" w:rsidRDefault="00261D9A">
    <w:pPr>
      <w:pStyle w:val="a3"/>
      <w:jc w:val="right"/>
    </w:pPr>
  </w:p>
  <w:p w:rsidR="00261D9A" w:rsidRDefault="00261D9A">
    <w:pPr>
      <w:pStyle w:val="a3"/>
      <w:jc w:val="right"/>
    </w:pPr>
  </w:p>
  <w:p w:rsidR="009E65D0" w:rsidRDefault="001E4CBF">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261D9A" w:rsidRDefault="001E4CBF">
    <w:pPr>
      <w:pStyle w:val="a3"/>
      <w:jc w:val="right"/>
      <w:rPr>
        <w:rFonts w:ascii="宋体" w:hAnsi="宋体"/>
      </w:rPr>
    </w:pPr>
    <w:r>
      <w:rPr>
        <w:rFonts w:ascii="宋体" w:hAnsi="宋体" w:hint="eastAsia"/>
      </w:rPr>
      <w:t>交银施罗德上证科创板100指数型证券投资基金招募说明书更新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7"/>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07E11"/>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2FBB"/>
    <w:rsid w:val="001D3730"/>
    <w:rsid w:val="001D4727"/>
    <w:rsid w:val="001D5665"/>
    <w:rsid w:val="001D61DC"/>
    <w:rsid w:val="001D6377"/>
    <w:rsid w:val="001D68A8"/>
    <w:rsid w:val="001D6B88"/>
    <w:rsid w:val="001D6C5F"/>
    <w:rsid w:val="001D7ECC"/>
    <w:rsid w:val="001E144C"/>
    <w:rsid w:val="001E25FD"/>
    <w:rsid w:val="001E2A4F"/>
    <w:rsid w:val="001E3F8F"/>
    <w:rsid w:val="001E4CB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1D9A"/>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3"/>
    </o:shapelayout>
  </w:shapeDefaults>
  <w:decimalSymbol w:val="."/>
  <w:listSeparator w:val=","/>
  <w15:docId w15:val="{AF904835-C37D-48E3-817F-A037515BA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159</Pages>
  <Words>16917</Words>
  <Characters>96432</Characters>
  <Application>Microsoft Office Word</Application>
  <DocSecurity>0</DocSecurity>
  <Lines>803</Lines>
  <Paragraphs>226</Paragraphs>
  <ScaleCrop>false</ScaleCrop>
  <Company>Microsoft</Company>
  <LinksUpToDate>false</LinksUpToDate>
  <CharactersWithSpaces>113123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2025-10-09T05:41:00Z</dcterms:created>
  <dcterms:modified xsi:type="dcterms:W3CDTF">2025-10-09T05:41:00Z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