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C7EB8">
      <w:pPr>
        <w:rPr>
          <w:sz w:val="32"/>
        </w:rPr>
      </w:pPr>
    </w:p>
    <w:p w:rsidR="00C92FC0" w:rsidRPr="00EB07BC" w:rsidRDefault="001C7EB8">
      <w:pPr>
        <w:rPr>
          <w:sz w:val="32"/>
        </w:rPr>
      </w:pPr>
    </w:p>
    <w:p w:rsidR="00C92FC0" w:rsidRPr="00EB07BC" w:rsidRDefault="001C7EB8">
      <w:pPr>
        <w:rPr>
          <w:sz w:val="32"/>
        </w:rPr>
      </w:pPr>
    </w:p>
    <w:p w:rsidR="00C92FC0" w:rsidRPr="00EB07BC" w:rsidRDefault="006C1649">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9035A2" w:rsidRDefault="009035A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035A2" w:rsidRDefault="009035A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035A2" w:rsidRDefault="006C164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深证</w:t>
      </w:r>
      <w:r>
        <w:rPr>
          <w:rFonts w:ascii="Times New Roman" w:hAnsi="Times New Roman"/>
          <w:b/>
          <w:spacing w:val="2"/>
          <w:w w:val="99"/>
          <w:kern w:val="0"/>
          <w:position w:val="-4"/>
          <w:sz w:val="44"/>
          <w:szCs w:val="44"/>
        </w:rPr>
        <w:t>300</w:t>
      </w:r>
      <w:r>
        <w:rPr>
          <w:rFonts w:ascii="Times New Roman" w:hAnsi="Times New Roman"/>
          <w:b/>
          <w:spacing w:val="2"/>
          <w:w w:val="99"/>
          <w:kern w:val="0"/>
          <w:position w:val="-4"/>
          <w:sz w:val="44"/>
          <w:szCs w:val="44"/>
        </w:rPr>
        <w:t>价值交易型开放式指数证券投资基金</w:t>
      </w:r>
    </w:p>
    <w:p w:rsidR="009035A2" w:rsidRDefault="006C164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035A2" w:rsidRDefault="009035A2">
      <w:pPr>
        <w:snapToGrid w:val="0"/>
        <w:spacing w:line="360" w:lineRule="auto"/>
        <w:jc w:val="center"/>
        <w:rPr>
          <w:rFonts w:ascii="宋体" w:hAnsi="宋体"/>
          <w:b/>
          <w:sz w:val="30"/>
          <w:szCs w:val="30"/>
        </w:rPr>
      </w:pP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6C164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035A2" w:rsidRDefault="006C164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9035A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35A2" w:rsidRDefault="006C164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9035A2" w:rsidRDefault="009035A2">
      <w:pPr>
        <w:autoSpaceDE w:val="0"/>
        <w:autoSpaceDN w:val="0"/>
        <w:adjustRightInd w:val="0"/>
        <w:snapToGrid w:val="0"/>
        <w:spacing w:line="360" w:lineRule="auto"/>
        <w:ind w:left="1347" w:rightChars="6" w:right="13"/>
        <w:rPr>
          <w:rFonts w:ascii="宋体" w:hAnsi="宋体"/>
          <w:kern w:val="0"/>
          <w:sz w:val="32"/>
          <w:szCs w:val="32"/>
        </w:rPr>
        <w:sectPr w:rsidR="009035A2">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9035A2" w:rsidRDefault="006C1649">
      <w:pPr>
        <w:pStyle w:val="1"/>
        <w:snapToGrid w:val="0"/>
        <w:spacing w:beforeLines="0" w:before="240" w:after="240"/>
        <w:rPr>
          <w:rFonts w:ascii="宋体" w:hAnsi="宋体"/>
          <w:kern w:val="0"/>
        </w:rPr>
      </w:pPr>
      <w:bookmarkStart w:id="0" w:name="_Toc324920538"/>
      <w:bookmarkStart w:id="1" w:name="_Toc496884613"/>
      <w:bookmarkStart w:id="2" w:name="_Toc210145110"/>
      <w:r>
        <w:rPr>
          <w:rFonts w:ascii="Times New Roman" w:hAnsi="Times New Roman"/>
          <w:kern w:val="0"/>
        </w:rPr>
        <w:lastRenderedPageBreak/>
        <w:t>重要提示</w:t>
      </w:r>
      <w:bookmarkEnd w:id="0"/>
      <w:bookmarkEnd w:id="1"/>
      <w:bookmarkEnd w:id="2"/>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深证</w:t>
      </w:r>
      <w:r>
        <w:rPr>
          <w:rFonts w:ascii="Times New Roman" w:hAnsi="Times New Roman"/>
          <w:kern w:val="0"/>
          <w:sz w:val="24"/>
        </w:rPr>
        <w:t>300</w:t>
      </w:r>
      <w:r>
        <w:rPr>
          <w:rFonts w:ascii="Times New Roman" w:hAnsi="Times New Roman"/>
          <w:kern w:val="0"/>
          <w:sz w:val="24"/>
        </w:rPr>
        <w:t>价值交易型开放式指数证券投资基金（以下简称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2011</w:t>
      </w:r>
      <w:r>
        <w:rPr>
          <w:rFonts w:ascii="Times New Roman" w:hAnsi="Times New Roman"/>
          <w:kern w:val="0"/>
          <w:sz w:val="24"/>
        </w:rPr>
        <w:t>】</w:t>
      </w:r>
      <w:r>
        <w:rPr>
          <w:rFonts w:ascii="Times New Roman" w:hAnsi="Times New Roman"/>
          <w:kern w:val="0"/>
          <w:sz w:val="24"/>
        </w:rPr>
        <w:t>967</w:t>
      </w:r>
      <w:r>
        <w:rPr>
          <w:rFonts w:ascii="Times New Roman" w:hAnsi="Times New Roman"/>
          <w:kern w:val="0"/>
          <w:sz w:val="24"/>
        </w:rPr>
        <w:t>号文核准募集。本基金基金合同于</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市场风险、标的指数回报与股票市场平均回报偏离的风险、标的指数波动的风险以及基金投资组合回报与标的指数回报偏离的风险、标的指数变更的风险、跟踪误差控制未达约定目标的风险、指数编制机构停止服务的风险、成份股停牌的风险，基金份额二级市场交易价格折溢价的风险，基金的退市风险，投资者申购、赎回失败的风险以及基金份额赎回对价的变现风险、流动性风险等等。</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本基金属于股票基金，风险与收益高于混合基金、债券基金与货币市场基金。同时本基金为指数型基金，具有与标的指数、以及标的指数所代表的股票市场相似的风险收益特征。</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本基金为指数基金，投资者投资于本基金面临跟踪误差控制未达约定目标、指数编制机构停止服务、成份券停牌等潜在风险。</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本基金标的指数为深证</w:t>
      </w:r>
      <w:r>
        <w:rPr>
          <w:rFonts w:ascii="Times New Roman" w:hAnsi="Times New Roman"/>
          <w:kern w:val="0"/>
          <w:sz w:val="24"/>
        </w:rPr>
        <w:t>300</w:t>
      </w:r>
      <w:r>
        <w:rPr>
          <w:rFonts w:ascii="Times New Roman" w:hAnsi="Times New Roman"/>
          <w:kern w:val="0"/>
          <w:sz w:val="24"/>
        </w:rPr>
        <w:t>价值价格指数。</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深证</w:t>
      </w:r>
      <w:r>
        <w:rPr>
          <w:rFonts w:ascii="Times New Roman" w:hAnsi="Times New Roman"/>
          <w:kern w:val="0"/>
          <w:sz w:val="24"/>
        </w:rPr>
        <w:t>300</w:t>
      </w:r>
      <w:r>
        <w:rPr>
          <w:rFonts w:ascii="Times New Roman" w:hAnsi="Times New Roman"/>
          <w:kern w:val="0"/>
          <w:sz w:val="24"/>
        </w:rPr>
        <w:t>指数样本股。</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、选样方法</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1</w:t>
      </w:r>
      <w:r>
        <w:rPr>
          <w:rFonts w:ascii="Times New Roman" w:hAnsi="Times New Roman"/>
          <w:kern w:val="0"/>
          <w:sz w:val="24"/>
        </w:rPr>
        <w:t>）计算价值因子的变量数值</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价值因子有四个变量：每股收益与价格比率、每股经营现金流与价格比率、股息收益率、每股净资产与价格比率。</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）计算风格</w:t>
      </w:r>
      <w:r>
        <w:rPr>
          <w:rFonts w:ascii="Times New Roman" w:hAnsi="Times New Roman"/>
          <w:kern w:val="0"/>
          <w:sz w:val="24"/>
        </w:rPr>
        <w:t>Z</w:t>
      </w:r>
      <w:r>
        <w:rPr>
          <w:rFonts w:ascii="Times New Roman" w:hAnsi="Times New Roman"/>
          <w:kern w:val="0"/>
          <w:sz w:val="24"/>
        </w:rPr>
        <w:t>值</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计算出每只股票的变量值之后，在样本空间内对所有变量值进行标准化</w:t>
      </w:r>
      <w:r>
        <w:rPr>
          <w:rFonts w:ascii="Times New Roman" w:hAnsi="Times New Roman"/>
          <w:kern w:val="0"/>
          <w:sz w:val="24"/>
        </w:rPr>
        <w:t>z</w:t>
      </w:r>
      <w:r>
        <w:rPr>
          <w:rFonts w:ascii="Times New Roman" w:hAnsi="Times New Roman"/>
          <w:kern w:val="0"/>
          <w:sz w:val="24"/>
        </w:rPr>
        <w:t>分处理。</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为确保用于标准化处理的市场均值不会因为极值而受到太大影响，计算增长率变量时，先对样本空间内所有股票的数值按照升序排列。对于处在下端</w:t>
      </w:r>
      <w:r>
        <w:rPr>
          <w:rFonts w:ascii="Times New Roman" w:hAnsi="Times New Roman"/>
          <w:kern w:val="0"/>
          <w:sz w:val="24"/>
        </w:rPr>
        <w:t>10%</w:t>
      </w:r>
      <w:r>
        <w:rPr>
          <w:rFonts w:ascii="Times New Roman" w:hAnsi="Times New Roman"/>
          <w:kern w:val="0"/>
          <w:sz w:val="24"/>
        </w:rPr>
        <w:t>或者上端</w:t>
      </w:r>
      <w:r>
        <w:rPr>
          <w:rFonts w:ascii="Times New Roman" w:hAnsi="Times New Roman"/>
          <w:kern w:val="0"/>
          <w:sz w:val="24"/>
        </w:rPr>
        <w:t>90%</w:t>
      </w:r>
      <w:r>
        <w:rPr>
          <w:rFonts w:ascii="Times New Roman" w:hAnsi="Times New Roman"/>
          <w:kern w:val="0"/>
          <w:sz w:val="24"/>
        </w:rPr>
        <w:t>等级的数值，分别设定为第</w:t>
      </w:r>
      <w:r>
        <w:rPr>
          <w:rFonts w:ascii="Times New Roman" w:hAnsi="Times New Roman"/>
          <w:kern w:val="0"/>
          <w:sz w:val="24"/>
        </w:rPr>
        <w:t>10%</w:t>
      </w:r>
      <w:r>
        <w:rPr>
          <w:rFonts w:ascii="Times New Roman" w:hAnsi="Times New Roman"/>
          <w:kern w:val="0"/>
          <w:sz w:val="24"/>
        </w:rPr>
        <w:t>等级与</w:t>
      </w:r>
      <w:r>
        <w:rPr>
          <w:rFonts w:ascii="Times New Roman" w:hAnsi="Times New Roman"/>
          <w:kern w:val="0"/>
          <w:sz w:val="24"/>
        </w:rPr>
        <w:t>90%</w:t>
      </w:r>
      <w:r>
        <w:rPr>
          <w:rFonts w:ascii="Times New Roman" w:hAnsi="Times New Roman"/>
          <w:kern w:val="0"/>
          <w:sz w:val="24"/>
        </w:rPr>
        <w:t>等级的数值。</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一个公司股票的价值</w:t>
      </w:r>
      <w:r>
        <w:rPr>
          <w:rFonts w:ascii="Times New Roman" w:hAnsi="Times New Roman"/>
          <w:kern w:val="0"/>
          <w:sz w:val="24"/>
        </w:rPr>
        <w:t>Z</w:t>
      </w:r>
      <w:r>
        <w:rPr>
          <w:rFonts w:ascii="Times New Roman" w:hAnsi="Times New Roman"/>
          <w:kern w:val="0"/>
          <w:sz w:val="24"/>
        </w:rPr>
        <w:t>值是四个价值因子变量</w:t>
      </w:r>
      <w:r>
        <w:rPr>
          <w:rFonts w:ascii="Times New Roman" w:hAnsi="Times New Roman"/>
          <w:kern w:val="0"/>
          <w:sz w:val="24"/>
        </w:rPr>
        <w:t>Z</w:t>
      </w:r>
      <w:r>
        <w:rPr>
          <w:rFonts w:ascii="Times New Roman" w:hAnsi="Times New Roman"/>
          <w:kern w:val="0"/>
          <w:sz w:val="24"/>
        </w:rPr>
        <w:t>值的均值。</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）指数选样</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在深证</w:t>
      </w:r>
      <w:r>
        <w:rPr>
          <w:rFonts w:ascii="Times New Roman" w:hAnsi="Times New Roman"/>
          <w:kern w:val="0"/>
          <w:sz w:val="24"/>
        </w:rPr>
        <w:t>300</w:t>
      </w:r>
      <w:r>
        <w:rPr>
          <w:rFonts w:ascii="Times New Roman" w:hAnsi="Times New Roman"/>
          <w:kern w:val="0"/>
          <w:sz w:val="24"/>
        </w:rPr>
        <w:t>中选取价值</w:t>
      </w:r>
      <w:r>
        <w:rPr>
          <w:rFonts w:ascii="Times New Roman" w:hAnsi="Times New Roman"/>
          <w:kern w:val="0"/>
          <w:sz w:val="24"/>
        </w:rPr>
        <w:t>Z</w:t>
      </w:r>
      <w:r>
        <w:rPr>
          <w:rFonts w:ascii="Times New Roman" w:hAnsi="Times New Roman"/>
          <w:kern w:val="0"/>
          <w:sz w:val="24"/>
        </w:rPr>
        <w:t>值最高的</w:t>
      </w:r>
      <w:r>
        <w:rPr>
          <w:rFonts w:ascii="Times New Roman" w:hAnsi="Times New Roman"/>
          <w:kern w:val="0"/>
          <w:sz w:val="24"/>
        </w:rPr>
        <w:t>100</w:t>
      </w:r>
      <w:r>
        <w:rPr>
          <w:rFonts w:ascii="Times New Roman" w:hAnsi="Times New Roman"/>
          <w:kern w:val="0"/>
          <w:sz w:val="24"/>
        </w:rPr>
        <w:t>只股票作为深证</w:t>
      </w:r>
      <w:r>
        <w:rPr>
          <w:rFonts w:ascii="Times New Roman" w:hAnsi="Times New Roman"/>
          <w:kern w:val="0"/>
          <w:sz w:val="24"/>
        </w:rPr>
        <w:t>300</w:t>
      </w:r>
      <w:r>
        <w:rPr>
          <w:rFonts w:ascii="Times New Roman" w:hAnsi="Times New Roman"/>
          <w:kern w:val="0"/>
          <w:sz w:val="24"/>
        </w:rPr>
        <w:t>价值指数初始样本股。</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、指数计算</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指数采用派氏加权法，依据下列公式逐日连锁实时计算：</w:t>
      </w:r>
    </w:p>
    <w:p w:rsidR="009035A2" w:rsidRDefault="001C7EB8">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57.75pt">
            <v:imagedata r:id="rId15" o:title="1521256610242020828"/>
          </v:shape>
        </w:pic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有关标的指数具体编制方案及成份股信息详见深圳证券信息有限公司国证指数网网站，网址：</w:t>
      </w:r>
      <w:r>
        <w:rPr>
          <w:rFonts w:ascii="Times New Roman" w:hAnsi="Times New Roman"/>
          <w:kern w:val="0"/>
          <w:sz w:val="24"/>
        </w:rPr>
        <w:t>www.cnindex.com.cn</w:t>
      </w:r>
      <w:r>
        <w:rPr>
          <w:rFonts w:ascii="Times New Roman" w:hAnsi="Times New Roman"/>
          <w:kern w:val="0"/>
          <w:sz w:val="24"/>
        </w:rPr>
        <w:t>。</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投资有风险，投资者在投资本基金前应认真阅读本基金的招募说明书、基金合同、基金产品资料概要。基金的过往业绩并不代表其未来表现。基金管理人管理的其他基金的业绩并不构成对本基金业绩表现的保证。</w:t>
      </w:r>
    </w:p>
    <w:p w:rsidR="009035A2" w:rsidRDefault="006C164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9035A2" w:rsidRDefault="009035A2">
      <w:pPr>
        <w:autoSpaceDE w:val="0"/>
        <w:autoSpaceDN w:val="0"/>
        <w:adjustRightInd w:val="0"/>
        <w:snapToGrid w:val="0"/>
        <w:spacing w:before="51" w:line="360" w:lineRule="auto"/>
        <w:ind w:left="120" w:rightChars="6" w:right="13" w:firstLine="480"/>
        <w:rPr>
          <w:rFonts w:ascii="宋体" w:hAnsi="宋体"/>
          <w:kern w:val="0"/>
          <w:szCs w:val="24"/>
        </w:rPr>
        <w:sectPr w:rsidR="009035A2">
          <w:headerReference w:type="default" r:id="rId16"/>
          <w:pgSz w:w="11920" w:h="16840"/>
          <w:pgMar w:top="1440" w:right="1680" w:bottom="280" w:left="1680" w:header="0" w:footer="1073" w:gutter="0"/>
          <w:pgNumType w:start="1"/>
          <w:cols w:space="720"/>
        </w:sectPr>
      </w:pPr>
    </w:p>
    <w:p w:rsidR="001C7EB8" w:rsidRPr="001C7EB8" w:rsidRDefault="006C1649" w:rsidP="001C7EB8">
      <w:pPr>
        <w:pStyle w:val="ad"/>
        <w:snapToGrid w:val="0"/>
        <w:spacing w:after="240" w:line="360" w:lineRule="auto"/>
        <w:jc w:val="center"/>
        <w:rPr>
          <w:rFonts w:ascii="宋体" w:hAnsi="宋体"/>
          <w:noProof/>
          <w:sz w:val="24"/>
        </w:rPr>
      </w:pPr>
      <w:r w:rsidRPr="001C7EB8">
        <w:rPr>
          <w:rFonts w:ascii="宋体" w:hAnsi="宋体"/>
          <w:color w:val="000000"/>
          <w:position w:val="-4"/>
          <w:sz w:val="24"/>
          <w:szCs w:val="30"/>
        </w:rPr>
        <w:lastRenderedPageBreak/>
        <w:t>目</w:t>
      </w:r>
      <w:r w:rsidRPr="001C7EB8">
        <w:rPr>
          <w:rFonts w:ascii="宋体" w:hAnsi="宋体"/>
          <w:color w:val="000000"/>
          <w:position w:val="-4"/>
          <w:sz w:val="24"/>
          <w:szCs w:val="30"/>
        </w:rPr>
        <w:tab/>
        <w:t>录</w:t>
      </w:r>
      <w:r w:rsidR="001C7EB8" w:rsidRPr="001C7EB8">
        <w:rPr>
          <w:rFonts w:ascii="宋体" w:hAnsi="宋体"/>
          <w:color w:val="000000"/>
          <w:position w:val="-4"/>
          <w:sz w:val="24"/>
          <w:szCs w:val="30"/>
        </w:rPr>
        <w:fldChar w:fldCharType="begin"/>
      </w:r>
      <w:r w:rsidR="001C7EB8" w:rsidRPr="001C7EB8">
        <w:rPr>
          <w:rFonts w:ascii="宋体" w:hAnsi="宋体"/>
          <w:color w:val="000000"/>
          <w:position w:val="-4"/>
          <w:sz w:val="24"/>
          <w:szCs w:val="30"/>
        </w:rPr>
        <w:instrText xml:space="preserve"> TOC \o "1-3" \f - \h \t "-1" </w:instrText>
      </w:r>
      <w:r w:rsidR="001C7EB8" w:rsidRPr="001C7EB8">
        <w:rPr>
          <w:rFonts w:ascii="宋体" w:hAnsi="宋体"/>
          <w:color w:val="000000"/>
          <w:position w:val="-4"/>
          <w:sz w:val="24"/>
          <w:szCs w:val="30"/>
        </w:rPr>
        <w:fldChar w:fldCharType="separate"/>
      </w:r>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0" w:history="1">
        <w:r w:rsidRPr="001C7EB8">
          <w:rPr>
            <w:rStyle w:val="aa"/>
            <w:rFonts w:ascii="宋体" w:hAnsi="宋体" w:hint="eastAsia"/>
            <w:noProof/>
            <w:kern w:val="0"/>
            <w:sz w:val="24"/>
          </w:rPr>
          <w:t>重要提示</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_Toc210145110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1" w:history="1">
        <w:r w:rsidRPr="001C7EB8">
          <w:rPr>
            <w:rStyle w:val="aa"/>
            <w:rFonts w:ascii="宋体" w:hAnsi="宋体" w:hint="eastAsia"/>
            <w:noProof/>
            <w:sz w:val="24"/>
          </w:rPr>
          <w:t>一、绪言</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_Toc210145111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5</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2" w:history="1">
        <w:r w:rsidRPr="001C7EB8">
          <w:rPr>
            <w:rStyle w:val="aa"/>
            <w:rFonts w:ascii="宋体" w:hAnsi="宋体" w:hint="eastAsia"/>
            <w:noProof/>
            <w:sz w:val="24"/>
          </w:rPr>
          <w:t>二、释义</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_Toc210145112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6</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3" w:history="1">
        <w:r w:rsidRPr="001C7EB8">
          <w:rPr>
            <w:rStyle w:val="aa"/>
            <w:rFonts w:ascii="宋体" w:hAnsi="宋体" w:hint="eastAsia"/>
            <w:noProof/>
            <w:sz w:val="24"/>
          </w:rPr>
          <w:t>三、基金管理人</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_Toc210145113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10</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4" w:history="1">
        <w:r w:rsidRPr="001C7EB8">
          <w:rPr>
            <w:rStyle w:val="aa"/>
            <w:rFonts w:ascii="宋体" w:hAnsi="宋体" w:hint="eastAsia"/>
            <w:noProof/>
            <w:sz w:val="24"/>
          </w:rPr>
          <w:t>四、基金托管人</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_Toc210145114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18</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5" w:history="1">
        <w:r w:rsidRPr="001C7EB8">
          <w:rPr>
            <w:rStyle w:val="aa"/>
            <w:rFonts w:ascii="宋体" w:hAnsi="宋体" w:hint="eastAsia"/>
            <w:noProof/>
            <w:sz w:val="24"/>
          </w:rPr>
          <w:t>五、相关服务机构</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_Toc210145115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21</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6" w:history="1">
        <w:r w:rsidRPr="001C7EB8">
          <w:rPr>
            <w:rStyle w:val="aa"/>
            <w:rFonts w:ascii="宋体" w:hAnsi="宋体" w:hint="eastAsia"/>
            <w:noProof/>
            <w:sz w:val="24"/>
          </w:rPr>
          <w:t>六、基金的募集</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_Toc210145116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30</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7" w:history="1">
        <w:r w:rsidRPr="001C7EB8">
          <w:rPr>
            <w:rStyle w:val="aa"/>
            <w:rFonts w:ascii="宋体" w:hAnsi="宋体" w:hint="eastAsia"/>
            <w:noProof/>
            <w:sz w:val="24"/>
          </w:rPr>
          <w:t>七、基金合同的生效</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_Toc210145117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31</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8" w:history="1">
        <w:r w:rsidRPr="001C7EB8">
          <w:rPr>
            <w:rStyle w:val="aa"/>
            <w:rFonts w:ascii="宋体" w:hAnsi="宋体" w:hint="eastAsia"/>
            <w:noProof/>
            <w:sz w:val="24"/>
          </w:rPr>
          <w:t>八、基金份额的上市交易</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_Toc210145118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32</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19" w:history="1">
        <w:r w:rsidRPr="001C7EB8">
          <w:rPr>
            <w:rStyle w:val="aa"/>
            <w:rFonts w:ascii="宋体" w:hAnsi="宋体" w:hint="eastAsia"/>
            <w:noProof/>
            <w:sz w:val="24"/>
          </w:rPr>
          <w:t>九、基金份额的申购与赎回</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_Toc210145119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34</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0" w:history="1">
        <w:r w:rsidRPr="001C7EB8">
          <w:rPr>
            <w:rStyle w:val="aa"/>
            <w:rFonts w:ascii="宋体" w:hAnsi="宋体" w:hint="eastAsia"/>
            <w:noProof/>
            <w:sz w:val="24"/>
          </w:rPr>
          <w:t>十、基金的投资</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_Toc210145120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43</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1" w:history="1">
        <w:r w:rsidRPr="001C7EB8">
          <w:rPr>
            <w:rStyle w:val="aa"/>
            <w:rFonts w:ascii="宋体" w:hAnsi="宋体" w:hint="eastAsia"/>
            <w:noProof/>
            <w:sz w:val="24"/>
          </w:rPr>
          <w:t>十一、基金的业绩</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_Toc210145121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56</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2" w:history="1">
        <w:r w:rsidRPr="001C7EB8">
          <w:rPr>
            <w:rStyle w:val="aa"/>
            <w:rFonts w:ascii="宋体" w:hAnsi="宋体" w:hint="eastAsia"/>
            <w:noProof/>
            <w:sz w:val="24"/>
          </w:rPr>
          <w:t>十二、基金的财产</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_Toc210145122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58</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3" w:history="1">
        <w:r w:rsidRPr="001C7EB8">
          <w:rPr>
            <w:rStyle w:val="aa"/>
            <w:rFonts w:ascii="宋体" w:hAnsi="宋体" w:hint="eastAsia"/>
            <w:noProof/>
            <w:sz w:val="24"/>
          </w:rPr>
          <w:t>十三、基金资产的估值</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_Toc210145123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59</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4" w:history="1">
        <w:r w:rsidRPr="001C7EB8">
          <w:rPr>
            <w:rStyle w:val="aa"/>
            <w:rFonts w:ascii="宋体" w:hAnsi="宋体" w:hint="eastAsia"/>
            <w:noProof/>
            <w:sz w:val="24"/>
          </w:rPr>
          <w:t>十四、基金的收益与分配</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_Toc210145124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66</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5" w:history="1">
        <w:r w:rsidRPr="001C7EB8">
          <w:rPr>
            <w:rStyle w:val="aa"/>
            <w:rFonts w:ascii="宋体" w:hAnsi="宋体" w:hint="eastAsia"/>
            <w:noProof/>
            <w:sz w:val="24"/>
          </w:rPr>
          <w:t>十五、基金的费用与税收</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_Toc210145125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68</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6" w:history="1">
        <w:r w:rsidRPr="001C7EB8">
          <w:rPr>
            <w:rStyle w:val="aa"/>
            <w:rFonts w:ascii="宋体" w:hAnsi="宋体" w:hint="eastAsia"/>
            <w:noProof/>
            <w:sz w:val="24"/>
          </w:rPr>
          <w:t>十六、基金的会计与审计</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_Toc210145126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70</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7" w:history="1">
        <w:r w:rsidRPr="001C7EB8">
          <w:rPr>
            <w:rStyle w:val="aa"/>
            <w:rFonts w:ascii="宋体" w:hAnsi="宋体" w:hint="eastAsia"/>
            <w:noProof/>
            <w:sz w:val="24"/>
          </w:rPr>
          <w:t>十七、基金的信息披露</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_Toc210145127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71</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8" w:history="1">
        <w:r w:rsidRPr="001C7EB8">
          <w:rPr>
            <w:rStyle w:val="aa"/>
            <w:rFonts w:ascii="宋体" w:hAnsi="宋体" w:hint="eastAsia"/>
            <w:noProof/>
            <w:sz w:val="24"/>
          </w:rPr>
          <w:t>十八、风险揭示</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_Toc210145128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77</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29" w:history="1">
        <w:r w:rsidRPr="001C7EB8">
          <w:rPr>
            <w:rStyle w:val="aa"/>
            <w:rFonts w:ascii="宋体" w:hAnsi="宋体" w:hint="eastAsia"/>
            <w:noProof/>
            <w:sz w:val="24"/>
          </w:rPr>
          <w:t>十九、基金合同的终止与基金财产的清算</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_Toc210145129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84</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30" w:history="1">
        <w:r w:rsidRPr="001C7EB8">
          <w:rPr>
            <w:rStyle w:val="aa"/>
            <w:rFonts w:ascii="宋体" w:hAnsi="宋体" w:hint="eastAsia"/>
            <w:noProof/>
            <w:sz w:val="24"/>
          </w:rPr>
          <w:t>二十、基金合同内容摘要</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_Toc210145130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86</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31" w:history="1">
        <w:r w:rsidRPr="001C7EB8">
          <w:rPr>
            <w:rStyle w:val="aa"/>
            <w:rFonts w:ascii="宋体" w:hAnsi="宋体" w:hint="eastAsia"/>
            <w:noProof/>
            <w:sz w:val="24"/>
          </w:rPr>
          <w:t>二十一、托管协议的内容摘要</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_Toc210145131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102</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32" w:history="1">
        <w:r w:rsidRPr="001C7EB8">
          <w:rPr>
            <w:rStyle w:val="aa"/>
            <w:rFonts w:ascii="宋体" w:hAnsi="宋体" w:hint="eastAsia"/>
            <w:noProof/>
            <w:sz w:val="24"/>
          </w:rPr>
          <w:t>二十二、对基金份额持有人的服务</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_Toc210145132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119</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33" w:history="1">
        <w:r w:rsidRPr="001C7EB8">
          <w:rPr>
            <w:rStyle w:val="aa"/>
            <w:rFonts w:ascii="宋体" w:hAnsi="宋体" w:hint="eastAsia"/>
            <w:noProof/>
            <w:sz w:val="24"/>
          </w:rPr>
          <w:t>二十三、其他应披露事项</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_Toc210145133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120</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34" w:history="1">
        <w:r w:rsidRPr="001C7EB8">
          <w:rPr>
            <w:rStyle w:val="aa"/>
            <w:rFonts w:ascii="宋体" w:hAnsi="宋体" w:hint="eastAsia"/>
            <w:noProof/>
            <w:sz w:val="24"/>
          </w:rPr>
          <w:t>二十四、招募说明书的存放及查阅方式</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_Toc210145134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122</w:t>
        </w:r>
        <w:r w:rsidRPr="001C7EB8">
          <w:rPr>
            <w:rFonts w:ascii="宋体" w:hAnsi="宋体"/>
            <w:noProof/>
            <w:sz w:val="24"/>
          </w:rPr>
          <w:fldChar w:fldCharType="end"/>
        </w:r>
      </w:hyperlink>
    </w:p>
    <w:p w:rsidR="001C7EB8" w:rsidRPr="001C7EB8" w:rsidRDefault="001C7EB8" w:rsidP="001C7EB8">
      <w:pPr>
        <w:pStyle w:val="10"/>
        <w:tabs>
          <w:tab w:val="right" w:leader="dot" w:pos="8550"/>
        </w:tabs>
        <w:spacing w:line="360" w:lineRule="auto"/>
        <w:rPr>
          <w:rFonts w:ascii="宋体" w:hAnsi="宋体" w:cstheme="minorBidi"/>
          <w:noProof/>
          <w:sz w:val="24"/>
        </w:rPr>
      </w:pPr>
      <w:hyperlink w:anchor="_Toc210145135" w:history="1">
        <w:r w:rsidRPr="001C7EB8">
          <w:rPr>
            <w:rStyle w:val="aa"/>
            <w:rFonts w:ascii="宋体" w:hAnsi="宋体" w:hint="eastAsia"/>
            <w:noProof/>
            <w:sz w:val="24"/>
          </w:rPr>
          <w:t>二十五、备查文件</w:t>
        </w:r>
        <w:r w:rsidRPr="001C7EB8">
          <w:rPr>
            <w:rFonts w:ascii="宋体" w:hAnsi="宋体"/>
            <w:noProof/>
            <w:sz w:val="24"/>
          </w:rPr>
          <w:tab/>
        </w:r>
        <w:r w:rsidRPr="001C7EB8">
          <w:rPr>
            <w:rFonts w:ascii="宋体" w:hAnsi="宋体"/>
            <w:noProof/>
            <w:sz w:val="24"/>
          </w:rPr>
          <w:fldChar w:fldCharType="begin"/>
        </w:r>
        <w:r w:rsidRPr="001C7EB8">
          <w:rPr>
            <w:rFonts w:ascii="宋体" w:hAnsi="宋体"/>
            <w:noProof/>
            <w:sz w:val="24"/>
          </w:rPr>
          <w:instrText xml:space="preserve"> PAGEREF _Toc210145135 \h </w:instrText>
        </w:r>
        <w:r w:rsidRPr="001C7EB8">
          <w:rPr>
            <w:rFonts w:ascii="宋体" w:hAnsi="宋体"/>
            <w:noProof/>
            <w:sz w:val="24"/>
          </w:rPr>
        </w:r>
        <w:r w:rsidRPr="001C7EB8">
          <w:rPr>
            <w:rFonts w:ascii="宋体" w:hAnsi="宋体"/>
            <w:noProof/>
            <w:sz w:val="24"/>
          </w:rPr>
          <w:fldChar w:fldCharType="separate"/>
        </w:r>
        <w:r w:rsidRPr="001C7EB8">
          <w:rPr>
            <w:rFonts w:ascii="宋体" w:hAnsi="宋体"/>
            <w:noProof/>
            <w:sz w:val="24"/>
          </w:rPr>
          <w:t>123</w:t>
        </w:r>
        <w:r w:rsidRPr="001C7EB8">
          <w:rPr>
            <w:rFonts w:ascii="宋体" w:hAnsi="宋体"/>
            <w:noProof/>
            <w:sz w:val="24"/>
          </w:rPr>
          <w:fldChar w:fldCharType="end"/>
        </w:r>
      </w:hyperlink>
    </w:p>
    <w:p w:rsidR="009035A2" w:rsidRPr="001C7EB8" w:rsidRDefault="001C7EB8" w:rsidP="001C7EB8">
      <w:pPr>
        <w:pStyle w:val="ad"/>
        <w:snapToGrid w:val="0"/>
        <w:spacing w:after="240" w:line="360" w:lineRule="auto"/>
        <w:jc w:val="center"/>
        <w:rPr>
          <w:rFonts w:ascii="宋体" w:hAnsi="宋体"/>
          <w:color w:val="000000"/>
          <w:sz w:val="24"/>
        </w:rPr>
      </w:pPr>
      <w:r w:rsidRPr="001C7EB8">
        <w:rPr>
          <w:rFonts w:ascii="宋体" w:hAnsi="宋体"/>
          <w:color w:val="000000"/>
          <w:position w:val="-4"/>
          <w:sz w:val="24"/>
          <w:szCs w:val="30"/>
        </w:rPr>
        <w:fldChar w:fldCharType="end"/>
      </w:r>
      <w:bookmarkStart w:id="3" w:name="_GoBack"/>
      <w:bookmarkEnd w:id="3"/>
    </w:p>
    <w:p w:rsidR="009035A2" w:rsidRDefault="009035A2">
      <w:pPr>
        <w:autoSpaceDE w:val="0"/>
        <w:autoSpaceDN w:val="0"/>
        <w:adjustRightInd w:val="0"/>
        <w:snapToGrid w:val="0"/>
        <w:spacing w:line="360" w:lineRule="auto"/>
        <w:ind w:left="120" w:rightChars="6" w:right="13"/>
        <w:rPr>
          <w:rFonts w:ascii="宋体" w:hAnsi="宋体"/>
          <w:kern w:val="0"/>
          <w:szCs w:val="24"/>
        </w:rPr>
        <w:sectPr w:rsidR="009035A2">
          <w:pgSz w:w="11920" w:h="16840"/>
          <w:pgMar w:top="1480" w:right="1680" w:bottom="280" w:left="1680" w:header="0" w:footer="1073" w:gutter="0"/>
          <w:cols w:space="720"/>
        </w:sectPr>
      </w:pPr>
    </w:p>
    <w:p w:rsidR="009035A2" w:rsidRDefault="006C1649">
      <w:pPr>
        <w:pStyle w:val="1"/>
        <w:snapToGrid w:val="0"/>
        <w:spacing w:beforeLines="0" w:before="240" w:after="240"/>
        <w:rPr>
          <w:rFonts w:ascii="宋体" w:hAnsi="宋体"/>
          <w:szCs w:val="30"/>
        </w:rPr>
      </w:pPr>
      <w:bookmarkStart w:id="4" w:name="_Toc210145111"/>
      <w:r>
        <w:rPr>
          <w:rFonts w:ascii="Times New Roman" w:hAnsi="Times New Roman"/>
          <w:sz w:val="30"/>
        </w:rPr>
        <w:lastRenderedPageBreak/>
        <w:t>一、绪言</w:t>
      </w:r>
      <w:bookmarkEnd w:id="4"/>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深证300价值交易型开放式指数证券投资基金招募说明书》（以下简称“本招募说明书”或“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公开募集证券投资基金运作指引第3号——指数基金指引》（以下简称“《指数基金指引》”）和其他相关法律法规的规定以及《深证300价值交易型开放式指数证券投资基金基金合同》（以下简称“基金合同”）编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5" w:name="_Toc210145112"/>
      <w:r>
        <w:rPr>
          <w:rFonts w:ascii="Times New Roman" w:hAnsi="Times New Roman"/>
          <w:sz w:val="30"/>
        </w:rPr>
        <w:lastRenderedPageBreak/>
        <w:t>二、释义</w:t>
      </w:r>
      <w:bookmarkEnd w:id="5"/>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基金合同或本基金合同</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价值交易型开放式指数证券投资基金基金合同》及对基金合同的任何有效修订和补充</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托管协议或本托管协议</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价值交易型开放式指数证券投资基金托管协议》及对该托管协议的任何有效修订和补充</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招募说明书或本招募书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价值交易型开放式指数证券投资基金招募说明书》，及其更新</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价值交易型开放式指数证券投资基金份额发售公告》</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价值交易型开放式指数证券投资基金基金产品资料概要》及其更新</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指中国现行有效并公布实施的法律、行政法规、部门规章、规范性文件及对该等法律法规不时作出的修订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日经第十届全国人民代表大会常务委员会第十八次会议通过，自</w:t>
            </w:r>
            <w:r>
              <w:rPr>
                <w:rFonts w:ascii="Times New Roman" w:hAnsi="Times New Roman"/>
                <w:color w:val="000000"/>
                <w:kern w:val="0"/>
                <w:sz w:val="25"/>
                <w:szCs w:val="24"/>
              </w:rPr>
              <w:t>2006</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日实施的《中华人民共和国证券法》及颁布机关对其不时做出的修订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日经第十届全国人民代表大会常务委员会第五次会议通过，自</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日起实施的《中华人民共和国证券投资基金法》及颁布机关对其不时作出的修订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9</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日实施的《证券投资基金销售管理办法》及对其不时作出的修订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日实施的《公开募集证券投资基金信息披露管理办法》及对其不时作出的修订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29</w:t>
            </w:r>
            <w:r>
              <w:rPr>
                <w:rFonts w:ascii="Times New Roman" w:hAnsi="Times New Roman"/>
                <w:color w:val="000000"/>
                <w:kern w:val="0"/>
                <w:sz w:val="25"/>
                <w:szCs w:val="24"/>
              </w:rPr>
              <w:t>日颁布、同年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日实施的《证券投资基金运作管理办法》及对其不时作出的修订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《指数基金指引》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日颁布、同年</w:t>
            </w:r>
            <w:r>
              <w:rPr>
                <w:rFonts w:ascii="Times New Roman" w:hAnsi="Times New Roman"/>
                <w:color w:val="000000"/>
                <w:kern w:val="0"/>
                <w:sz w:val="25"/>
                <w:szCs w:val="24"/>
              </w:rPr>
              <w:t>2</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日实施的《公开募集证券投资基金运作指引第</w:t>
            </w:r>
            <w:r>
              <w:rPr>
                <w:rFonts w:ascii="Times New Roman" w:hAnsi="Times New Roman"/>
                <w:color w:val="000000"/>
                <w:kern w:val="0"/>
                <w:sz w:val="25"/>
                <w:szCs w:val="24"/>
              </w:rPr>
              <w:t>3</w:t>
            </w:r>
            <w:r>
              <w:rPr>
                <w:rFonts w:ascii="Times New Roman" w:hAnsi="Times New Roman"/>
                <w:color w:val="000000"/>
                <w:kern w:val="0"/>
                <w:sz w:val="25"/>
                <w:szCs w:val="24"/>
              </w:rPr>
              <w:t>号</w:t>
            </w:r>
            <w:r>
              <w:rPr>
                <w:rFonts w:ascii="Times New Roman" w:hAnsi="Times New Roman"/>
                <w:color w:val="000000"/>
                <w:kern w:val="0"/>
                <w:sz w:val="25"/>
                <w:szCs w:val="24"/>
              </w:rPr>
              <w:t>——</w:t>
            </w:r>
            <w:r>
              <w:rPr>
                <w:rFonts w:ascii="Times New Roman" w:hAnsi="Times New Roman"/>
                <w:color w:val="000000"/>
                <w:kern w:val="0"/>
                <w:sz w:val="25"/>
                <w:szCs w:val="24"/>
              </w:rPr>
              <w:t>指数基金指引》及颁布机关对其不时做出的修订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中国银监会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指中国银行业监督管理委员会</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指符合法律法规规定的条件可以投资证券投资基金的自然人</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指符合法律法规规定可以投资证券投资基金的在中国境内注册登记或经政府有关部门批准设立的机构</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指符合《合格境外机构投资者境内证券投资管理办法》及其他相关法律法规规定的条件，经中国证监会批准可投资于中国证券市场，并取得国家外汇管理局额度批准的中国境外的机构投资者</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基金投资者或投资者</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指个人投资者、机构投资者和合格境外机构投资者，以及法律法规或中国证监会允许购买证券投资基金的其他投资者</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指依据基金合同和招募说明书合法取得基金份额的基金投资者</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深交所《业务细则》</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指《深圳证券交易所交易型开放式指数基金业务实施细则》及对其不时作出的修订</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交易型开放式指数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指深交所《业务细则》定义的</w:t>
            </w:r>
            <w:r>
              <w:rPr>
                <w:rFonts w:ascii="Times New Roman" w:hAnsi="Times New Roman"/>
                <w:color w:val="000000"/>
                <w:kern w:val="0"/>
                <w:sz w:val="25"/>
                <w:szCs w:val="24"/>
              </w:rPr>
              <w:t>“</w:t>
            </w:r>
            <w:r>
              <w:rPr>
                <w:rFonts w:ascii="Times New Roman" w:hAnsi="Times New Roman"/>
                <w:color w:val="000000"/>
                <w:kern w:val="0"/>
                <w:sz w:val="25"/>
                <w:szCs w:val="24"/>
              </w:rPr>
              <w:t>交易型开放式指数基金</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证券投资基金联接基金</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指将绝大部分基金财产投资于本基金，与本基金的投资目标类似，紧密跟踪标的指数表现，追求跟踪偏离度和跟踪误差最小化，采用开放式运作的基金</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发售代理机构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指符合《销售办法》和中国证监会规定的其他条件，由基金管理人指定的代理本基金发售业务的机构</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申购赎回代理券商</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指符合《销售办法》和中国证监会规定的其他条件，由基金管理人指定的办理本基金申购、赎回业务的证券公司，又称为代办证券公司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指符合《销售办法》和中国证监会规定的其他条件，取得基金代销业务资格并接受基金管理人委托，代为办理基金销售业务的机构，包括发售代理机构及申购赎回代理券商</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w:t>
            </w:r>
            <w:r>
              <w:rPr>
                <w:rFonts w:ascii="Times New Roman" w:hAnsi="Times New Roman"/>
                <w:color w:val="000000"/>
                <w:kern w:val="0"/>
                <w:sz w:val="25"/>
                <w:szCs w:val="24"/>
              </w:rPr>
              <w:t>/</w:t>
            </w:r>
            <w:r>
              <w:rPr>
                <w:rFonts w:ascii="Times New Roman" w:hAnsi="Times New Roman"/>
                <w:color w:val="000000"/>
                <w:kern w:val="0"/>
                <w:sz w:val="25"/>
                <w:szCs w:val="24"/>
              </w:rPr>
              <w:t>或代销机构</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指直销机构的直销中心和</w:t>
            </w:r>
            <w:r>
              <w:rPr>
                <w:rFonts w:ascii="Times New Roman" w:hAnsi="Times New Roman"/>
                <w:color w:val="000000"/>
                <w:kern w:val="0"/>
                <w:sz w:val="25"/>
                <w:szCs w:val="24"/>
              </w:rPr>
              <w:t>/</w:t>
            </w:r>
            <w:r>
              <w:rPr>
                <w:rFonts w:ascii="Times New Roman" w:hAnsi="Times New Roman"/>
                <w:color w:val="000000"/>
                <w:kern w:val="0"/>
                <w:sz w:val="25"/>
                <w:szCs w:val="24"/>
              </w:rPr>
              <w:t>或代销机构的代销网点</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指基金登记、存管、过户、清算和结算业务，具体内容包括投资人基金账户的建立和管理、基金份额登记、基金销售业务的确认、清算和结算、代理发放红利、建立并保管基金份额持有人名册和办理非交易过户等</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指注册登记机构为基金投资者开立的、记录其持有的、基金管理人所管理的基金份额余额及其变动情况的账户</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指基金募集期结束后达到法律法规规定及基金合同约定的备案条件，基金管理人聘请法定机构验资并向中国证监会办理基金备案手续完毕，并收到其书面确认的日期</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指深圳证券交易所的正常交易日</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指销售机构在规定时间受理基金投资者有效申请工作日</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指为基金投资者办理基金份额申购、赎回或其他业务的工作日</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指在基金募集期内，基金投资者申请购买基金份额的行为</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指在基金存续期内，投资者按本基金合同规定的条件，以申购赎回清单规定的申购对价向基金管理人购买基金份额的行为，申购将导致本基金份额总数的增加</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指在基金存续期内，基金份额持有人按基金合同规定的条件，向基金管理人申请将本基金基金份额兑换为申购赎回清单所规定的赎回对价的行为，赎回将导致本基金份额总数的减少</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申购赎回清单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指由基金管理人编制的用以公告申购对价、赎回对价等信息的文件</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申购对价</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指投资者申购基金份额时，按基金合同和招募说明书规定应交付的组合证券、现金替代、现金差额及其他对价</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赎回对价</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指投资者赎回基金份额时，基金管理人按基金合同和招募说明书规定应交付给赎回人的组合证券、现金替代、现金差额及其他对价</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标的指数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指深证</w:t>
            </w:r>
            <w:r>
              <w:rPr>
                <w:rFonts w:ascii="Times New Roman" w:hAnsi="Times New Roman"/>
                <w:color w:val="000000"/>
                <w:kern w:val="0"/>
                <w:sz w:val="25"/>
                <w:szCs w:val="24"/>
              </w:rPr>
              <w:t>300</w:t>
            </w:r>
            <w:r>
              <w:rPr>
                <w:rFonts w:ascii="Times New Roman" w:hAnsi="Times New Roman"/>
                <w:color w:val="000000"/>
                <w:kern w:val="0"/>
                <w:sz w:val="25"/>
                <w:szCs w:val="24"/>
              </w:rPr>
              <w:t>价值价格指数及其未来可能发生的变更</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完全复制法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指一种构建跟踪指数的投资组合的方法。通过购买标的指数中的所有成份证券，并且按照每种成份证券在标的指数中的权重确定购买的比例，以达到复制指数的目的</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最小申购赎回单位</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指本基金申购份额、赎回份额的最低数量，投资者申购或赎回的基金份额应为最小申购赎回单位的整数倍</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现金替代</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指申购或赎回过程中，投资者按基金合同和招募说明书的规定，用于替代组合证券中部分证券的一定数量的现金</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现金差额</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最小申购赎回单位的资产净值与按当日收盘价计算的最小申购赎回单位中的组合证券市值和现金替代之差；投资者申购或赎回时应支付或应获得的现金差额根据最小申购赎回单位对应的现金差额、申购或赎回的基金份额数计算</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预估现金差额</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指由基金管理人计算并在</w:t>
            </w:r>
            <w:r>
              <w:rPr>
                <w:rFonts w:ascii="Times New Roman" w:hAnsi="Times New Roman"/>
                <w:color w:val="000000"/>
                <w:kern w:val="0"/>
                <w:sz w:val="25"/>
                <w:szCs w:val="24"/>
              </w:rPr>
              <w:t>T</w:t>
            </w:r>
            <w:r>
              <w:rPr>
                <w:rFonts w:ascii="Times New Roman" w:hAnsi="Times New Roman"/>
                <w:color w:val="000000"/>
                <w:kern w:val="0"/>
                <w:sz w:val="25"/>
                <w:szCs w:val="24"/>
              </w:rPr>
              <w:t>日申购赎回清单中公布的当日现金差额的预估值，预估现金差额由申购赎回代理券商预先冻结</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基金份额参考净值</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指深圳证券交易在交易时间内根据基金管理人提供的计算依据及计算方法计算并发布的基金份额参考净值，简称</w:t>
            </w:r>
            <w:r>
              <w:rPr>
                <w:rFonts w:ascii="Times New Roman" w:hAnsi="Times New Roman"/>
                <w:color w:val="000000"/>
                <w:kern w:val="0"/>
                <w:sz w:val="25"/>
                <w:szCs w:val="24"/>
              </w:rPr>
              <w:t>IOPV</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基金利润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指基金利息收入、投资收益、公允价值变动收益和其他收入扣除相关费用后的余额</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收益评价日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指基金管理人计算本基金净值增长率与标的指数同期增长率差额之日</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基金净值增长率</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指收益评价日基金份额净值与基金上市前一日基金份额净值之比减去</w:t>
            </w:r>
            <w:r>
              <w:rPr>
                <w:rFonts w:ascii="Times New Roman" w:hAnsi="Times New Roman"/>
                <w:color w:val="000000"/>
                <w:kern w:val="0"/>
                <w:sz w:val="25"/>
                <w:szCs w:val="24"/>
              </w:rPr>
              <w:t>1</w:t>
            </w:r>
            <w:r>
              <w:rPr>
                <w:rFonts w:ascii="Times New Roman" w:hAnsi="Times New Roman"/>
                <w:color w:val="000000"/>
                <w:kern w:val="0"/>
                <w:sz w:val="25"/>
                <w:szCs w:val="24"/>
              </w:rPr>
              <w:t>乘以</w:t>
            </w:r>
            <w:r>
              <w:rPr>
                <w:rFonts w:ascii="Times New Roman" w:hAnsi="Times New Roman"/>
                <w:color w:val="000000"/>
                <w:kern w:val="0"/>
                <w:sz w:val="25"/>
                <w:szCs w:val="24"/>
              </w:rPr>
              <w:t>100%</w:t>
            </w:r>
            <w:r>
              <w:rPr>
                <w:rFonts w:ascii="Times New Roman" w:hAnsi="Times New Roman"/>
                <w:color w:val="000000"/>
                <w:kern w:val="0"/>
                <w:sz w:val="25"/>
                <w:szCs w:val="24"/>
              </w:rPr>
              <w:t>（期间如发生基金份额折算，则以基金份额折算日为初始日重新计算）</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标的指数同期增长率</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指收益评价日标的指数收盘值与基金上市前一日标的指数收盘值之比减去</w:t>
            </w:r>
            <w:r>
              <w:rPr>
                <w:rFonts w:ascii="Times New Roman" w:hAnsi="Times New Roman"/>
                <w:color w:val="000000"/>
                <w:kern w:val="0"/>
                <w:sz w:val="25"/>
                <w:szCs w:val="24"/>
              </w:rPr>
              <w:t>1</w:t>
            </w:r>
            <w:r>
              <w:rPr>
                <w:rFonts w:ascii="Times New Roman" w:hAnsi="Times New Roman"/>
                <w:color w:val="000000"/>
                <w:kern w:val="0"/>
                <w:sz w:val="25"/>
                <w:szCs w:val="24"/>
              </w:rPr>
              <w:t>乘以</w:t>
            </w:r>
            <w:r>
              <w:rPr>
                <w:rFonts w:ascii="Times New Roman" w:hAnsi="Times New Roman"/>
                <w:color w:val="000000"/>
                <w:kern w:val="0"/>
                <w:sz w:val="25"/>
                <w:szCs w:val="24"/>
              </w:rPr>
              <w:t>100%</w:t>
            </w:r>
            <w:r>
              <w:rPr>
                <w:rFonts w:ascii="Times New Roman" w:hAnsi="Times New Roman"/>
                <w:color w:val="000000"/>
                <w:kern w:val="0"/>
                <w:sz w:val="25"/>
                <w:szCs w:val="24"/>
              </w:rPr>
              <w:t>（期间如发生基金份额折算，则以基金份额折算日为初始日重新计算）</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指基金拥有的各类有价证券、银行存款本息、基金应收款项及其他资产的价值总和</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指基金资产总值减去基金负债后的净资产值</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指计算日基金资产净值除以计算日基金份额总数的数值</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且在基金合同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w:t>
            </w:r>
          </w:p>
        </w:tc>
      </w:tr>
    </w:tbl>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6" w:name="_Toc210145113"/>
      <w:r>
        <w:rPr>
          <w:rFonts w:ascii="Times New Roman" w:hAnsi="Times New Roman"/>
          <w:sz w:val="30"/>
        </w:rPr>
        <w:lastRenderedPageBreak/>
        <w:t>三、基金管理人</w:t>
      </w:r>
      <w:bookmarkEnd w:id="6"/>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9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海外中国互联网指数型证券投资基金(LOF)(2021年04月30日至今)、交银施罗德深证300价值交易型开放式指数证券投资基金联接基金(2021年04月30日至今)、交银施罗德上证180公司治理交易型开放式指数证券投资基金联接基金(2021年04月30日至今)、深证300价值交易型开放式指数证券投资基金(2021年04月30日至今)、交银施罗德中证环境治理指数型证券投资基金(LOF)(2021年04月30日至今)、交银施罗德国证新能源指数证券投资基金（LOF）(2021年04月30日至今)、交银施罗德创业板50指数型证券投资基金(2021年04月30日至今)、上证180公司治理交易型开放式指数证券投资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的基金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屈乐伟先生(2011年09月22日至2013年03月29日)；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蔡铮先生(2012年12月27日至2021年04月30日)。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（2）不公平地对待管理的不同基金财产；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w:t>
      </w:r>
      <w:r>
        <w:rPr>
          <w:rFonts w:ascii="宋体" w:hAnsi="宋体"/>
          <w:sz w:val="24"/>
        </w:rPr>
        <w:lastRenderedPageBreak/>
        <w:t>控制和规避，尽可能地减少损失。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7" w:name="_Toc210145114"/>
      <w:r>
        <w:rPr>
          <w:rFonts w:ascii="Times New Roman" w:hAnsi="Times New Roman"/>
          <w:sz w:val="30"/>
        </w:rPr>
        <w:lastRenderedPageBreak/>
        <w:t>四、基金托管人</w:t>
      </w:r>
      <w:bookmarkEnd w:id="7"/>
    </w:p>
    <w:p w:rsidR="009035A2" w:rsidRDefault="006C164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8" w:name="_Toc210145115"/>
      <w:r>
        <w:rPr>
          <w:rFonts w:ascii="Times New Roman" w:hAnsi="Times New Roman"/>
          <w:sz w:val="30"/>
        </w:rPr>
        <w:lastRenderedPageBreak/>
        <w:t>五、相关服务机构</w:t>
      </w:r>
      <w:bookmarkEnd w:id="8"/>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1、申购赎回代理券商（简称“一级交易商”）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（1）名称：光大证券股份有限公司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（2）名称：国泰海通证券股份有限公司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（3）名称：中信建投证券股份有限公司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网址：www.csc108.com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（4）名称：中国银河证券股份有限公司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（5）名称：华泰证券股份有限公司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（6）名称：兴业证券股份有限公司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（7）名称：海通证券股份有限公司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电话：（021）23219000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（8）名称：招商证券股份有限公司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（9）名称：申万宏源西部证券有限公司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（10）名称：中信证券（山东）有限责任公司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客户服务电话：95548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（11）名称：申万宏源证券有限公司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（12）名称：国都证券股份有限公司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（13）名称：中银国际证券股份有限公司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（14）名称：国信证券股份有限公司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（15）名称：国投证券股份有限公司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（16）名称：中泰证券股份有限公司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（17）名称：平安证券股份有限公司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（18）名称：方正证券股份有限公司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办公地址：湖南长沙芙蓉中路二段华侨国际大厦22-24层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法定代表人：雷杰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联系人：徐锦福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（19）名称：华宝证券股份有限公司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（20）名称：国金证券股份有限公司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（21）名称：渤海证券股份有限公司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传真：（022）28451892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（22）名称：东方证券股份有限公司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（23）名称：信达证券股份有限公司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（24）名称：东兴证券股份有限公司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（25）名称：华福证券有限责任公司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住所：福州市五四路157号新天地大厦7、8层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（26）名称：中原证券股份有限公司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（27）名称：中国中金财富证券有限公司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2、二级市场交易代理券商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包括具有经纪业务资格及上海证券交易所会员资格的所有证券公司。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3、基金管理人可根据有关法律法规的要求，选择其它符合要求的机构代理销售本基金，并在管理人网站公示。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住所：北京市西城区太平桥大街17号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9" w:name="_Toc210145116"/>
      <w:r>
        <w:rPr>
          <w:rFonts w:ascii="Times New Roman" w:hAnsi="Times New Roman"/>
          <w:sz w:val="30"/>
        </w:rPr>
        <w:lastRenderedPageBreak/>
        <w:t>六、基金的募集</w:t>
      </w:r>
      <w:bookmarkEnd w:id="9"/>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本基金由基金管理人依照《基金法》、《运作办法》、基金合同及其他有关规定，并经中国证监会证监许可[2011] 967号文核准募集发售。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本基金为交易型开放式基金。基金存续期间为不定期。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本基金的募集期限不超过3个月，自基金份额开始发售之日起计算。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本基金自2011年8月29日至2011年9月16日止进行发售。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本基金设立募集期共募集332,329,693.00份基金份额，有效认购户数为4,556户。</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0" w:name="_Toc210145117"/>
      <w:r>
        <w:rPr>
          <w:rFonts w:ascii="Times New Roman" w:hAnsi="Times New Roman"/>
          <w:sz w:val="30"/>
        </w:rPr>
        <w:lastRenderedPageBreak/>
        <w:t>七、基金合同的生效</w:t>
      </w:r>
      <w:bookmarkEnd w:id="10"/>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根据有关规定，本基金满足基金合同生效条件，基金合同已于2011年9月22日正式生效。自基金合同生效之日起，本基金管理人正式开始管理本基金。</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1" w:name="_Toc210145118"/>
      <w:r>
        <w:rPr>
          <w:rFonts w:ascii="Times New Roman" w:hAnsi="Times New Roman"/>
          <w:sz w:val="30"/>
        </w:rPr>
        <w:lastRenderedPageBreak/>
        <w:t>八、基金份额的上市交易</w:t>
      </w:r>
      <w:bookmarkEnd w:id="11"/>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（一）基金份额的上市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根据有关规定，本基金合同生效后，具备上市条件，于2011年10月25日起在深圳证券交易所上市交易。（二级市场交易代码：159913）。</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（二）基金份额的上市交易</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本基金基金份额在深圳证券交易所的上市交易需遵照《深圳证券交易所交易规则》、《深圳证券交易所证券投资基金上市规则》、《深圳证券交易所交易型开放式指数基金业务实施细则》等有关规定。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（三）暂停上市交易</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基金份额上市交易期间出现下列情形之一的，深圳证券交易所可暂停基金的上市交易，并报中国证监会备案：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1、不再具备本章第(一)款规定的上市条件；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2、违反法律、行政法规，中国证监会决定暂停其上市；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3、严重违反深圳证券交易所有关规则的；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4、深圳证券交易所认为应当暂停上市的其他情形。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当暂停上市情形消除后，基金管理人应向深圳证券交易所提出恢复上市申请，经深圳证券交易所核准后可恢复本基金上市，并在至少一种指定媒介发布基金恢复上市公告。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（四）终止上市交易</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基金份额上市交易后，有下列情形之一的，深圳证券交易所可终止基金的上市交易，并报中国证监会备案：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1、自暂停上市之日起半年内未能消除暂停上市原因的；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3、基金份额持有人大会决定终止上市；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4、深圳证券交易所认为应当终止上市的其他情形。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基金管理人应当在收到深圳证券交易所终止基金上市的决定之日起2日内发布基金终止上市公告。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若因上述1、4 项等原因使本基金不再具备上市条件而被深圳证券交易所终止上市的，本基金将在履行适当程序后由交易型开放式基金变更为同一标的指数的非</w:t>
      </w:r>
      <w:r>
        <w:rPr>
          <w:rFonts w:ascii="宋体" w:hAnsi="宋体"/>
          <w:sz w:val="24"/>
        </w:rPr>
        <w:lastRenderedPageBreak/>
        <w:t>上市的开放式指数基金。若届时本基金管理人已有以该指数作为标的指数的指数基金，则本基金将本着维护投资者合法权益的原则，履行适当的程序后选取其他合适的指数作为标的指数。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（五）基金份额参考净值（IOPV）的计算与公告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每一交易日开市前向深圳证券交易所提供当日的申购赎回清单，深圳证券交易所在开市后根据申购赎回清单和组合证券内各只证券的实时成交数据，计算并发布基金份额参考净值（IOPV），供投资者交易、申购、赎回基金份额时参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1、基金份额参考净值计算公式为：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参考净值＝（申购赎回清单中必须用现金替代的替代金额＋申购赎回清单中可以用现金替代成份证券的数量与最新成交价相乘之和+申购赎回清单中禁止用现金替代成份证券的数量与最新成交价相乘之和＋申购赎回清单中的预估现金差额）/最小申购赎回单位对应的基金份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2、基金份额参考净值的计算以四舍五入的方法保留小数点后3 位。若深圳证券交易所调整有关基金份额参考净值保留位数，本基金将相应调整。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3、基金管理人可以调整基金份额参考净值计算公式，并在管理人网站公示。</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2" w:name="_Toc210145119"/>
      <w:r>
        <w:rPr>
          <w:rFonts w:ascii="Times New Roman" w:hAnsi="Times New Roman"/>
          <w:sz w:val="30"/>
        </w:rPr>
        <w:lastRenderedPageBreak/>
        <w:t>九、基金份额的申购与赎回</w:t>
      </w:r>
      <w:bookmarkEnd w:id="12"/>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投资者应当在申购赎回代理券商办理基金申购、赎回业务的营业场所或按申购赎回代理券商提供的其他方式办理本基金的申购和赎回。</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本基金申购赎回代理券商的名称、住所等信息请详见本招募说明书“五、相关服务机构”中“（一）基金份额销售机构”的相关描述。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基金管理人可依据实际情况增加或减少申购赎回代理券商，并在管理人网站公示。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办理申购、赎回等业务的开放日为深圳证券交易所的交易日，具体业务办理时间为深圳证券交易所交易日的交易时间。但基金管理人根据法律法规、中国证监会的要求或基金合同的规定公告暂停申购、赎回时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或实际情况需要，基金管理人将视情况对前述开放日及具体业务办理时间进行相应的调整，但应在实施日前依照《信息披露办法》的有关规定在指定媒介上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2、申购、赎回的开始日及业务办理时间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本基金可在基金上市交易之前开始办理申购。但在基金申请上市期间，基金可暂停办理申购。具体业务办理时间在申购开始公告中规定。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本基金已于2011年10月25日开放申购、赎回业务，投资者可在开放日的开放时间办理本基金的申购、赎回业务。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1、本基金采用份额申购和份额赎回的方式，即申购和赎回均以份额申请。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2、本基金的申购对价、赎回对价包括组合证券、现金替代、现金差额及其他对价。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3、申购、赎回申请提交后不得撤销。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4、申购、赎回应遵守深交所《业务细则》的规定。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5、基金管理人可在不损害基金份额持有人实质利益、不违背交易所相关规则的情况下更改上述原则，但最迟应在新的原则实施前依照有关规定在指定媒介上予</w:t>
      </w:r>
      <w:r>
        <w:rPr>
          <w:rFonts w:ascii="宋体" w:hAnsi="宋体"/>
          <w:sz w:val="24"/>
        </w:rPr>
        <w:lastRenderedPageBreak/>
        <w:t>以公告。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1、申购和赎回的申请的提出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投资者必须按申购赎回代理券商规定的手续，在开放日的具体业务办理时间提出申购或赎回的申请。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提交申购申请时须根据申购赎回清单备足申购对价要求的组合证券和现金，投资者在提交赎回申请时须持有足够的基金份额余额和赎回对价要求的现金。否则，投资者所提交的申购、赎回的申请无效而不予成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申购、赎回申请在受理当日进行确认。如投资者未能提供符合要求的申购对价，则申购申请失败。如投资者持有的符合要求的基金份额不足或未能根据要求准备足额的现金，或本基金投资组合内不具备足额的符合要求的赎回对价，则赎回申请失败。投资者可在申请当日通过其办理申购、赎回的销售网点查询有关申请的确认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3、申购和赎回的清算交收与登记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赎回过程中涉及的基金份额、组合证券、现金替代、现金差额及其他对价的交收适用深圳证券交易所、中国证券登记结算有限责任公司的相关规定和参与各方相关协议的有关规定。投资者T日申购、赎回成功后，注册登记机构在T日收市后为投资者办理组合证券、基金份额的清算交收以及现金替代的清算，在T+1日办理现金替代的交收以及现金差额的清算，在T+2日办理现金差额的交收，并将结果发送给申购赎回代理券商、基金管理人和基金托管人。如深圳证券交易所、中国证券登记结算有限责任公司修改或更新相关规则并适用于本基金的，则按照新的规则执行，并在招募说明书中进行更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如果深圳证券交易所、登记结算机构和基金管理人在清算交收时发现不能正常履约的情形，则依据深圳证券交易所、登记结算机构相关业务规则和参与各方相关协议的有关规定进行处理。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（五）申购和赎回的数额限定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投资者申购、赎回的基金份额需为最小申购赎回单位的整数倍。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当接受申购申请对存量基金份额持有人利益构成潜在重大不利影响时，基金管理人应当采取设定单一投资者申购金额上限或基金单日净申购比例上限、拒绝大额</w:t>
      </w:r>
      <w:r>
        <w:rPr>
          <w:rFonts w:ascii="宋体" w:hAnsi="宋体"/>
          <w:sz w:val="24"/>
        </w:rPr>
        <w:lastRenderedPageBreak/>
        <w:t>申购、暂停基金申购等措施，切实保护存量基金份额持有人的合法权益。具体请参见相关公告。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本基金最小申购赎回单位为30万份。基金管理人可以根据市场情况，调整上述规定的数量或比例限制。基金管理人必须在调整前依照有关规定在指定媒介上公告。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（六）申购、赎回的对价及费用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对价是指投资者申购基金份额时应交付的组合证券、现金替代、现金差额及其他对价。赎回对价是指投资者赎回基金份额时，基金管理人应交付给赎回人的组合证券、现金替代、现金差额及其他对价。申购对价和赎回对价根据申购赎回清单和投资者申购、赎回的基金份额数额确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清单由基金管理人编制。T日的申购赎回清单在当日深圳证券交易所开市前公告。T日的基金份额净值在当天收市后计算，并在T+1日公告，计算公式为计算日基金资产净值除以计算日发售在外的基金份额总数。如遇特殊情况，可以适当延迟计算或公告，并报中国证监会备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3、投资者在申购或赎回基金份额时，申购赎回代理券商可按照不超过申购或赎回份额0.5%的标准收取佣金，其中包含证券交易所、注册登记机构等收取的相关费用。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（七）申购赎回清单的内容与格式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1、申购赎回清单的内容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申购赎回清单公告内容包括最小申购赎回单位所对应的组合证券内各成份证券数据、现金替代、T日现金替代的保证金率、T日允许现金替代的最高比例、T日预估现金差额、T-1日现金差额、基金份额净值及其它相关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2、申购赎回清单组合证券相关内容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组合证券是指本基金标的指数所包含的全部或部分证券。申购赎回清单将公告最小申购赎回单位所对应的各成份证券名称、证券代码及数量。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3、最小申购赎回单位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最小申购赎回单位是基金申购赎回的最基本单位。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4、申购赎回清单现金替代相关内容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现金替代是指申购、赎回过程中，投资者按基金合同和招募说明书的规定，用于替代组合证券中部分证券的一定数量的现金。</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（1）现金替代分为3种类型：禁止现金替代（标志为“禁止”）、可以现金替代（标志为“允许”）和必须现金替代（标志为“必须”）。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禁止现金替代是指在申购、赎回基金份额时，该成份证券不允许使用现金作为替代。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可以现金替代是指在申购基金份额时，允许使用现金作为全部或部分该成份证券的替代，但在赎回基金份额时，该成份证券不允许使用现金作为替代。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必须现金替代是指在申购、赎回基金份额时，该成份证券必须使用现金作为替代。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（2）可以现金替代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①适用情形：可以现金替代的证券一般是由于停牌等原因导致投资者无法在申购时买入的证券，或基金管理人认为可以采用现金替代的其他情形。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②替代金额：对于可以现金替代的证券，替代金额的计算公式为：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替代金额＝替代证券数量×该证券经除权调整的T-1日收盘价×（1＋现金替代保证金率）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取现金替代保证金的原因是,对于使用现金替代的证券，基金管理人需在证券恢复交易后买入，而实际买入价格加上相关交易费用后与申购时的最新价格可能有所差异。为便于操作，基金管理人在申购赎回清单中预先确定现金替代保证金率，并据此收取替代金额。如果预先收取的金额高于基金购入该部分证券的实际成本，则基金管理人将退还多收取的差额；如果预先收取的金额低于基金购入该部分证券的实际成本，则基金管理人将向投资者收取欠缺的差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③替代金额的处理程序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T日，基金管理人在申购赎回清单中公布现金替代保证金率，并据此收取替代金额。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在T日后被替代的成份证券有正常交易的2个交易日（简称为T+2日）内，基金管理人将以收到的替代金额买入被替代的部分证券。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+2日日终，若已购入全部被替代的证券，则以替代金额与被替代证券的实际购入成本（包括买入价格与交易费用）的差额，确定基金应退还投资者或投资者应补交的款项；若未能购入全部被替代的证券，则以替代金额与所购入的部分被替代证券实际购入成本加上按照T+2日收盘价计算的未购入的部分被替代证券价值的差额，确定基金应退还投资者或投资者应补交的款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特例情况：若自T日起（不含T日），深圳证券交易所正常交易日已达到20日而该证券正常交易日低于2日，则以替代金额与所购入的部分被替代证券实际购入成本加上按照最近一次收盘价计算的未购入的部分被替代证券价值的差额，确定基金应退还投资者或投资者应补交的款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若现金替代日（T日）后至T+2日（若在特例情况下，则为T日起第20个交易日）期间发生除息、送股（转增）、配股等权益变动，则进行相应调整。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2日后第1个工作日(若在特例情况下,则为T日起第21个交易日),基金管理人将应退款和补款的明细及汇总数据发送给注册登记机构，注册登记机构办理现金替代多退少补资金的清算；T＋2日后第2个工作日（若在特例情况下，则为T日起第22个交易日），注册登记机构办理现金替代多退少补资金的交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④替代限制：为更有效控制基金的跟踪偏离度和跟踪误差，基金管理人可规定投资者使用可以现金替代的比例合计不得超过申购基金份额资产净值的一定比例。现金替代比例的计算公式为：</w:t>
      </w:r>
    </w:p>
    <w:p w:rsidR="009035A2" w:rsidRDefault="001C7EB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1in">
            <v:imagedata r:id="rId17" o:title="1521256610242020828"/>
          </v:shape>
        </w:pic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说明：假设当天可以现金替代的股票只数为n。</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（3）必须现金替代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①适用情形：必须现金替代的证券一般是由于标的指数调整，即将被剔除的成份证券，或基金管理人出于保护持有人利益等原因认为有必要实行必须现金替代的成份证券。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替代金额：对于必须现金替代的证券，基金管理人将在申购赎回清单中公告替代的一定数量的现金，即“固定替代金额”。固定替代金额的计算方法为申购赎回清单中该证券的数量乘以其经除权调整的T-1日收盘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5、预估现金差额相关内容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预估现金差额是指由基金管理人计算并在T日申购赎回清单中公布的当日现金差额的预估值，预估现金差额由申购赎回代理券商预先冻结。</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预估现金差额的计算公式为：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T日预估现金差额＝T-1日最小申购赎回单位的基金资产净值－（申购赎回清单中必须用现金替代的固定替代金额＋申购赎回清单中可以用现金替代成份证券的数</w:t>
      </w:r>
      <w:r>
        <w:rPr>
          <w:rFonts w:ascii="宋体" w:hAnsi="宋体"/>
          <w:sz w:val="24"/>
        </w:rPr>
        <w:lastRenderedPageBreak/>
        <w:t>量与T日经除权调整的前收盘价乘积之和＋申购赎回清单中禁止用现金替代成份证券的数量与T日经除权调整的前收盘价乘积之和）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T日经除权调整的前收盘价由深圳证券交易所提供。另外，若T日为基金分红除息日，则计算公式中的“T-1日最小申购赎回单位的基金资产净值”需扣减相应的收益分配数额。预估现金差额的数值可能为正、为负或为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6、申购赎回清单现金差额相关内容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T日现金差额在T+1日的申购赎回清单中公告，其计算公式为：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现金差额＝T日最小申购赎回单位对应的基金份额×T日基金份额净值－（申购赎回清单中必须用现金替代的固定替代金额＋申购赎回清单中可以用现金替代成份证券的数量与T日收盘价相乘之和+申购赎回清单中禁止用现金替代成份证券的数量与T日收盘价相乘之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投资者申购赎回基金份额时，需按T+1日公告的T日现金差额进行资金的清算交收。现金差额的数值可能为正、为负或为零。在投资者申购时，如现金差额为正数，则投资者应根据其申购的基金份额支付相应的现金，如现金差额为负数，则投资者将根据其申购的基金份额获得相应的现金；在投资者赎回时，如现金差额为正数，则投资者将根据其赎回的基金份额获得相应的现金，如现金差额为负数，则投资者应根据其赎回的基金份额支付相应的现金。</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7、申购赎回清单的格式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申购赎回清单的格式举例如下：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基本信息</w:t>
      </w:r>
    </w:p>
    <w:tbl>
      <w:tblPr>
        <w:tblW w:w="5000" w:type="pct"/>
        <w:tblCellMar>
          <w:left w:w="0" w:type="dxa"/>
          <w:right w:w="0" w:type="dxa"/>
        </w:tblCellMar>
        <w:tblLook w:val="0000" w:firstRow="0" w:lastRow="0" w:firstColumn="0" w:lastColumn="0" w:noHBand="0" w:noVBand="0"/>
      </w:tblPr>
      <w:tblGrid>
        <w:gridCol w:w="2167"/>
        <w:gridCol w:w="650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最新公告日期</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基金名称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基金管理公司名称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基金代码</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标的指数代码</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T-1日信息内容</w:t>
      </w:r>
    </w:p>
    <w:tbl>
      <w:tblPr>
        <w:tblW w:w="5000" w:type="pct"/>
        <w:tblCellMar>
          <w:left w:w="0" w:type="dxa"/>
          <w:right w:w="0" w:type="dxa"/>
        </w:tblCellMar>
        <w:tblLook w:val="0000" w:firstRow="0" w:lastRow="0" w:firstColumn="0" w:lastColumn="0" w:noHBand="0" w:noVBand="0"/>
      </w:tblPr>
      <w:tblGrid>
        <w:gridCol w:w="2167"/>
        <w:gridCol w:w="650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现金差额（单位</w:t>
            </w:r>
            <w:r>
              <w:rPr>
                <w:rFonts w:ascii="Times New Roman" w:hAnsi="Times New Roman"/>
                <w:color w:val="000000"/>
                <w:kern w:val="0"/>
                <w:sz w:val="25"/>
                <w:szCs w:val="24"/>
              </w:rPr>
              <w:t>:</w:t>
            </w: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最小申购赎回单位资产净值（单位</w:t>
            </w:r>
            <w:r>
              <w:rPr>
                <w:rFonts w:ascii="Times New Roman" w:hAnsi="Times New Roman"/>
                <w:color w:val="000000"/>
                <w:kern w:val="0"/>
                <w:sz w:val="25"/>
                <w:szCs w:val="24"/>
              </w:rPr>
              <w:t>:</w:t>
            </w: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基金份额净值（单位</w:t>
            </w:r>
            <w:r>
              <w:rPr>
                <w:rFonts w:ascii="Times New Roman" w:hAnsi="Times New Roman"/>
                <w:color w:val="000000"/>
                <w:kern w:val="0"/>
                <w:sz w:val="25"/>
                <w:szCs w:val="24"/>
              </w:rPr>
              <w:t>:</w:t>
            </w: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T日信息内容</w:t>
      </w:r>
    </w:p>
    <w:tbl>
      <w:tblPr>
        <w:tblW w:w="5000" w:type="pct"/>
        <w:tblCellMar>
          <w:left w:w="0" w:type="dxa"/>
          <w:right w:w="0" w:type="dxa"/>
        </w:tblCellMar>
        <w:tblLook w:val="0000" w:firstRow="0" w:lastRow="0" w:firstColumn="0" w:lastColumn="0" w:noHBand="0" w:noVBand="0"/>
      </w:tblPr>
      <w:tblGrid>
        <w:gridCol w:w="2167"/>
        <w:gridCol w:w="650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预估现金差额</w:t>
            </w:r>
            <w:r>
              <w:rPr>
                <w:rFonts w:ascii="Times New Roman" w:hAnsi="Times New Roman"/>
                <w:color w:val="000000"/>
                <w:kern w:val="0"/>
                <w:sz w:val="25"/>
                <w:szCs w:val="24"/>
              </w:rPr>
              <w:t>(</w:t>
            </w:r>
            <w:r>
              <w:rPr>
                <w:rFonts w:ascii="Times New Roman" w:hAnsi="Times New Roman"/>
                <w:color w:val="000000"/>
                <w:kern w:val="0"/>
                <w:sz w:val="25"/>
                <w:szCs w:val="24"/>
              </w:rPr>
              <w:t>单位</w:t>
            </w:r>
            <w:r>
              <w:rPr>
                <w:rFonts w:ascii="Times New Roman" w:hAnsi="Times New Roman"/>
                <w:color w:val="000000"/>
                <w:kern w:val="0"/>
                <w:sz w:val="25"/>
                <w:szCs w:val="24"/>
              </w:rPr>
              <w:t>:</w:t>
            </w:r>
            <w:r>
              <w:rPr>
                <w:rFonts w:ascii="Times New Roman" w:hAnsi="Times New Roman"/>
                <w:color w:val="000000"/>
                <w:kern w:val="0"/>
                <w:sz w:val="25"/>
                <w:szCs w:val="24"/>
              </w:rPr>
              <w:t>元</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最小申购赎回单位</w:t>
            </w:r>
            <w:r>
              <w:rPr>
                <w:rFonts w:ascii="Times New Roman" w:hAnsi="Times New Roman"/>
                <w:color w:val="000000"/>
                <w:kern w:val="0"/>
                <w:sz w:val="25"/>
                <w:szCs w:val="24"/>
              </w:rPr>
              <w:t>(</w:t>
            </w:r>
            <w:r>
              <w:rPr>
                <w:rFonts w:ascii="Times New Roman" w:hAnsi="Times New Roman"/>
                <w:color w:val="000000"/>
                <w:kern w:val="0"/>
                <w:sz w:val="25"/>
                <w:szCs w:val="24"/>
              </w:rPr>
              <w:t>单位</w:t>
            </w:r>
            <w:r>
              <w:rPr>
                <w:rFonts w:ascii="Times New Roman" w:hAnsi="Times New Roman"/>
                <w:color w:val="000000"/>
                <w:kern w:val="0"/>
                <w:sz w:val="25"/>
                <w:szCs w:val="24"/>
              </w:rPr>
              <w:t>:</w:t>
            </w:r>
            <w:r>
              <w:rPr>
                <w:rFonts w:ascii="Times New Roman" w:hAnsi="Times New Roman"/>
                <w:color w:val="000000"/>
                <w:kern w:val="0"/>
                <w:sz w:val="25"/>
                <w:szCs w:val="24"/>
              </w:rPr>
              <w:t>份</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日最小申购赎回单位分红金额</w:t>
            </w:r>
            <w:r>
              <w:rPr>
                <w:rFonts w:ascii="Times New Roman" w:hAnsi="Times New Roman"/>
                <w:color w:val="000000"/>
                <w:kern w:val="0"/>
                <w:sz w:val="25"/>
                <w:szCs w:val="24"/>
              </w:rPr>
              <w:t>(</w:t>
            </w:r>
            <w:r>
              <w:rPr>
                <w:rFonts w:ascii="Times New Roman" w:hAnsi="Times New Roman"/>
                <w:color w:val="000000"/>
                <w:kern w:val="0"/>
                <w:sz w:val="25"/>
                <w:szCs w:val="24"/>
              </w:rPr>
              <w:t>单位</w:t>
            </w:r>
            <w:r>
              <w:rPr>
                <w:rFonts w:ascii="Times New Roman" w:hAnsi="Times New Roman"/>
                <w:color w:val="000000"/>
                <w:kern w:val="0"/>
                <w:sz w:val="25"/>
                <w:szCs w:val="24"/>
              </w:rPr>
              <w:t>:</w:t>
            </w:r>
            <w:r>
              <w:rPr>
                <w:rFonts w:ascii="Times New Roman" w:hAnsi="Times New Roman"/>
                <w:color w:val="000000"/>
                <w:kern w:val="0"/>
                <w:sz w:val="25"/>
                <w:szCs w:val="24"/>
              </w:rPr>
              <w:t>元</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是否需要公布</w:t>
            </w:r>
            <w:r>
              <w:rPr>
                <w:rFonts w:ascii="Times New Roman" w:hAnsi="Times New Roman"/>
                <w:color w:val="000000"/>
                <w:kern w:val="0"/>
                <w:sz w:val="25"/>
                <w:szCs w:val="24"/>
              </w:rPr>
              <w:t>IOPV</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是</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是否允许申购</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允许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是否允许赎回</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允许</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可以现金替代比例上限</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X</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成分股信息内容</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证券简称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股票数量</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现金替代标志</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可以现金替代保证金率</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固定替代金额</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X</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X</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X</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X</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X</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X</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以上申购赎回清单仅为示例，具体以实际公布的为准。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发生下列情况时，基金管理人可拒绝或暂停接受投资者的申购申请：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1、因不可抗力导致基金无法正常运作或无法接受申购；</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2、因特殊原因（如深圳证券交易所决定临时停市），导致基金管理人无法计算当日基金资产净值；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赎回代理券商、深圳证券交易所、注册登记机构等因异常情况无法办理申购、赎回，或者指数编制单位、深圳证券交易所等因异常情况使申购赎回清单无法编制或编制不当（上述异常情况指基金管理人无法预见并不可控制的情形，包括但不限于系统故障、网络故障、通讯故障、电力故障、数据错误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4、当前一估值日基金资产净值50%以上的资产出现无可参考的活跃市场价格且采用估值技术仍导致公允价值存在重大不确定性时，经与基金托管人协商确认后，基金管理人应当暂停接受基金申购申请；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5、发生本基金合同规定的暂停基金资产估值的情形；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7、法律法规、深圳证券交易所规定或中国证监会认定的其他情形。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发生上述情形之一时，基金管理人应按照有关规定在指定媒介上及时公告。在</w:t>
      </w:r>
      <w:r>
        <w:rPr>
          <w:rFonts w:ascii="宋体" w:hAnsi="宋体"/>
          <w:sz w:val="24"/>
        </w:rPr>
        <w:lastRenderedPageBreak/>
        <w:t>暂停申购的情况消除时，基金管理人应及时恢复申购业务的办理，并按照有关规定在指定媒介上予以公告。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（九）暂停赎回的情形及处理方式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发生下列情况时，基金管理人可暂停接受投资者的赎回申请：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1、因不可抗力导致基金无法正常运作或无法接受赎回；</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2、因特殊原因（如深圳证券交易所决定临时停市），导致基金管理人无法计算当日基金资产净值；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赎回代理券商、深圳证券交易所、注册登记机构等因异常情况无法办理申购、赎回，或者指数编制单位、深圳证券交易所等因异常情况使申购赎回清单无法编制或编制不当（上述异常情况指基金管理人无法预见并不可控制的情形，包括但不限于系统故障、网络故障、通讯故障、电力故障、数据错误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5、发生本基金合同规定的暂停基金资产估值的情形；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6、法律法规、深圳证券交易所规定或中国证监会认定的其他情形。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发生上述情形之一时，基金管理人应按照有关规定在指定媒介上及时公告。在暂停赎回的情况消除时，基金管理人应及时恢复赎回业务的办理，并按照有关规定在指定媒介上予以公告。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（十）基金的非交易过户等其他业务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注册登记机构可依据其业务规则，受理基金份额的非交易过户、冻结与解冻等业务，并收取一定的手续费用。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（十一）集合申购与其他服务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允许时，基金管理人可开放集合申购，即允许多个投资者集合其持有的组合证券，共同构成最小申购赎回单位或其整数倍，进行申购。在不损害基金份额持有人利益的前提下，基金管理人有权制定集合申购业务的相关规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在条件允许时，基金管理人也可采取其他合理的申购、赎回方式，并于新的申购、赎回方式开始执行前的至少3个工作日予以公告。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基金管理人指定的代理机构可依据本基金合同开展其他服务，双方需签订书面委托代理协议，并报中国证监会备案。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（十二）基金的份额折算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基金合同生效后，为提高交易便利，本基金可以进行份额折算。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1、基金份额折算的时间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基金管理人应事先确定基金份额折算日，并依照《信息披露办法》的有关规定提前公告。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2、基金份额折算的原则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基金份额折算由基金管理人向注册登记机构申请办理，并由注册登记机构进行基金份额的变更登记。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如果基金份额折算过程中发生不可抗力，基金管理人可延迟办理基金份额折算。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3、基金份额折算的方法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基金份额折算的具体方法在基金份额折算公告中列示。</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3" w:name="_Toc210145120"/>
      <w:r>
        <w:rPr>
          <w:rFonts w:ascii="Times New Roman" w:hAnsi="Times New Roman"/>
          <w:sz w:val="30"/>
        </w:rPr>
        <w:lastRenderedPageBreak/>
        <w:t>十、基金的投资</w:t>
      </w:r>
      <w:bookmarkEnd w:id="13"/>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紧密跟踪标的指数，追求跟踪偏离度和跟踪误差最小化。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(二)投资理念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指数化投资理念，以反映深圳证券市场中规模较大、流动性好、具有明显价值特征的股票整体收益状况的深证300价值价格指数作为标的指数，采用被动式指数化投资实现跟踪偏离度与跟踪误差的最小化，力求帮助投资人以较低的成本获取与标的指数相似的收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标的指数成份股、备选成份股为主要投资对象（含中小板股票和创业板股票及其他经中国证监会核准的上市股票、存托凭证），把全部或接近全部的基金资产用于跟踪标的指数的表现，正常情况下指数化投资比例，即投资于标的指数成份股（含存托凭证）和备选成份股（含存托凭证）的资产比例不低于基金资产净值的95%。此外，为更好地实现投资目标，本基金也可少量投资于新股（含存托凭证）、债券、回购、权证及中国证监会允许基金投资的其它金融工具（但须符合中国证监会的相关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因标的指数成份股调整、基金份额申购赎回清单内现金替代、现金差额等因素导致基金投资比例不符合上述标准的，基金管理人将在10个交易日内进行调整。法律法规或监管机构日后允许本基金投资其他品种，基金管理人在履行适当程序后，可以将其纳入投资范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(四)投资策略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本基金绝大部分资产采用完全复制法，跟踪深证300价值价格指数，以完全按照标的指数成份股组成及其权重构建基金股票投资组合为原则，进行被动式指数化投资。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在投资组合中的权重原则上根据标的指数成份股及其权重的变动而进行相应调整。当预期成份股发生调整和成份股发生配股、增发、分红等行为时，或因基金的申购和赎回等对本基金跟踪标的指数的效果可能带来影响时，或因某些特殊情况导致流动性不足时，或其他原因导致无法有效复制和跟踪标的指数时，基金管理人可以对投资组合管理进行适当变通和调整，从而使得投资组合紧密地跟踪标的指</w:t>
      </w:r>
      <w:r>
        <w:rPr>
          <w:rFonts w:ascii="宋体" w:hAnsi="宋体"/>
          <w:sz w:val="24"/>
        </w:rPr>
        <w:lastRenderedPageBreak/>
        <w:t>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 业绩比较基准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本基金的业绩比较基准为标的指数。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为深证300价值价格指数。深证300价值价格指数是由深圳证券信息公司编制，并以深证300指数为基础开发的风格指数，它以深证300指数的成份股为样本空间，选取采用价值因子评分最高的100只股票为指数的成份股，并于每年1月和7月对指数成份股进行调整。该指数的基期为2004年12月31日，基点为1000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 风险收益特征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本基金属于股票基金，风险与预期收益高于混合基金、债券基金与货币市场基金。同时本基金为指数型基金，具有与标的指数、以及标的指数所代表的股票市场相似的风险收益特征。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 投资决策依据与流程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1、决策依据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有关法律法规、基金合同和标的指数的相关规定是基金管理人运用基金财产的决策依据。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本基金实行投资决策委员会领导下的基金经理负责制。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投资决策委员会的主要职责是决定有关指数重大调整的应对决策、其他重大组合调整决策以及重大的单项投资决策。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基金经理的主要职责是决定日常指数跟踪维护过程中的组合构建、调整决策以及每日申购赎回清单的编制决策。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研究、决策、组合构建、交易、评估及组合维护的有机配合共同构成了本基金的投资管理程序。严格的投资管理程序可以保证投资理念的正确执行，避免重大风险的发生。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研究支持：量化投资部依托公司整体研究平台，整合外部信息以及券商等外部研究力量的研究成果开展指数跟踪、成份股公司行为等相关信息的搜集与分析、流动性分析、误差及其归因分析等工作，以作为基金投资决策的重要依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(2)投资决策：投资决策委员会定期召开或遇重大事项时召开投资决策会议，决策相关事项。基金经理根据投资决策委员会的决议，每日进行基金投资管理的日常决策。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(3)组合构建：根据标的指数情况，结合研究支持，基金经理以完全复制指数成份股权重的方法构建组合。在追求跟踪误差和偏离度最小化的前提下，基金经理将采取适当的方法，以降低买入成本、控制投资风险。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(4)交易执行：中央交易室负责具体的交易执行，同时履行一线监控的职责。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绩效评估：量化投资部定期和不定期对基金进行投资绩效评估，并提供相关报告。绩效评估能够确认组合是否实现了投资预期、组合误差的来源及投资策略成功与否，基金经理可以据此检讨投资策略，进而调整投资组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组合监控与调整：基金经理将跟踪标的指数变动，结合成份股基本面情况、成份股公司行为、流动性状况、基金申购和赎回的现金、现券流量情况以及组合投资绩效评估的结果等，采取适当的跟踪技术对投资组合进行监控和调整，密切跟踪标的指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基金管理人在确保基金份额持有人利益的前提下有权根据环境变化和实际需要对上述投资管理程序做出调整，并在基金招募说明书更新中公告。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(八)投资组合管理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1、投资组合的建立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基金管理人构建投资组合的过程主要分为三步：确定目标组合、确定建仓策略和逐步调整。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(1)确定目标组合：基金管理人根据完全复制成份股权重的方法确定目标组合。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(2)确定建仓策略：基金经理根据对成份股流动性、公司行为、基本面等因素的分析，确定合理的建仓策略。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(3)逐步调整：通过完全复制法最终确定目标组合之后，基金经理在规定时间内采用适当的手段构建和调整实际组合直至达到跟踪指数要求。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2、日常投资组合管理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成份股公司行为信息的跟踪与分析：跟踪标的指数成份股公司行为（如：股本变化、分红、停牌、复牌等）信息，以及成份股公司其它重大信息，分析这些信息对指数的影响，进而进行组合调整分析，为投资决策提供依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(2)标的指数的跟踪与分析：由于各种原因，跟踪标的指数的编制方法可能会发生调整，分析这种调整对跟踪标的指数的影响，并制定相应的应对方案。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(3)每日申购赎回情况的跟踪与分析：跟踪本基金申购和赎回信息，分析其对组合的影响。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(4)组合持有证券、现金头寸及流动性分析：基金经理分析实际组合与目标组合的差异及其原因，并进行成份股调整的流动性分析。</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(5)组合调整：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1）利用数量化分析方法，找出将实际组合调整到目标组合的最优方案，确定组合调整及交易策略。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2）如发生成份股变动、成份股公司合并及其它重大事项，可提请投资决策委员会召开会议，决定基金的操作策略。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3）调整组合，达到目标组合的持仓结构。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(6)复制标的指数并核对，同时根据最新的公司行为信息预测下一交易日指数结构。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(7)对比指数与组合的每日及累计的绩效数据，检测跟踪误差及其趋势。分析由于组合每只股票构成与指数构成的差异导致的跟踪误差的程度与趋势以找出跟踪</w:t>
      </w:r>
      <w:r>
        <w:rPr>
          <w:rFonts w:ascii="宋体" w:hAnsi="宋体"/>
          <w:sz w:val="24"/>
        </w:rPr>
        <w:lastRenderedPageBreak/>
        <w:t>误差的来源，进而决定需要对组合调整的部分及调整方法。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(8)根据指数跟踪研究结果及当日最新组合情况进行指数分析及组合分析并进行组合调整计算，进而制定下一个交易日的交易内容与策略。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(9)以T-1日指数成份股构成及其权重为基础，考虑T日将会发生的上市公司变动等情况，设计T日申购赎回清单并公告。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3、定期投资组合管理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每月末，根据基金合同中基金管理费、基金托管费等的支付要求，及时检查组合中现金的比例，进行支付现金的准备。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每月末，在基金经理会议上对投资操作、组合、跟踪误差等进行分析。分析最近基金组合与标的指数间的跟踪偏离度情况，找出未能有效控制较大偏离的原因。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每月，投资决策委员会可对基金的操作进行指导与决策。基金经理根据公司投资决策委员会的决策开展下一阶段的工作。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(2)标的指数调整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根据标的指数的编制规则及调整公告，基金经理依据投资决策委员会的决策，在指数成份股调整生效前，分析并确定组合调整策略，尽量减少变更成份股带来的跟踪偏离度和跟踪误差。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4、投资绩效评估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(1)定期对基金的绩效评估进行，主要是对跟踪偏离度进行评估；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(2)量化投资部对本基金的运行情况进行量化评估；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(3)基金经理根据量化评估报告，重点分析本基金的偏离度和跟踪误差产生原因、现金的控制情况、标的指数调整成份股前后的操作、未来成份股的变化等。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力争控制本基金日均跟踪偏离度的绝对值不超过0.1%，年跟踪误差不超过2%。如因指数编制规则调整或其他因素导致跟踪偏离度和跟踪误差超过上述范围，基金管理人应采取合理措施避免跟踪偏离度、跟踪误差进一步扩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 投资限制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本基金的投资组合将遵循以下限制：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1、进入全国银行间同业市场的债券回购融入的资金余额不得超过基金资产净值的40%。债券回购最长期限为1年，债券回购到期后不得展期；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2、本基金参与股票发行申购，本基金所申报的金额不超过本基金的总资产，本基金所申报的股票数量不超过拟发行股票公司本次发行股票的总量；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3、本基金投资权证，在任何交易日买入的总金额，不超过上一交易日基金资产净值的0.5%，基金持有的全部权证的市值不超过基金资产净值的 3%，本基金管理人管理的全部基金持有同一权证的比例不超过该权证的10%。法律法规或监管部门另有规定的，遵从其规定；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5、本基金与私募类证券资管产品及中国证监会认定的其他主体为交易对手开展逆回购交易的，可接受质押品的资质要求应当与本基金合同约定的投资范围保持一致；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6、本基金投资存托凭证的比例限制依照境内上市交易的股票执行；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7、本基金不得违反基金合同中有关投资范围、投资策略、投资比例的规定；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8、法律法规或监管部门对上述比例限制另有规定的，从其规定。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三个月内使基金的投资组合比例符合基金合同的约定。在符合相关法律法规规定的前提下，除上述第4、5项以外,因证券市场波动、上市公司合并、基金规模变动、标的指数成分股调整、基金申购或赎回带来现金等非本基金管理人的因素致使基金的投资组合不符合上述规定的投资比例的，基金管理人应当在10个交易日内进行调整。法律法规或监管部门另有规定的，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若法律法规或监管部门对上述约定的投资组合比例限制规定进行变更的，以变更后的规定为准；若法律法规或监管部门取消上述限制，在履行适当程序后，本基金投资可不受上述规定限制。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 禁止行为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4、买卖其他基金份额，但是法律法规或国务院另有规定的除外；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5、向基金管理人、基金托管人出资或者买卖基金管理人、基金托管人发行的股票或者债券；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对于因上述5、6 项情形导致无法投资的标的指数成份股或备选成份股，基金管理人将在严格控制跟踪误差的前提下，结合使用其他合理方法进行适当替代。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若法律法规或监管部门取消上述禁止性规定，履行适当程序后，本基金投资可不受上述规定限制。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 基金管理人代表基金行使股东权利的处理原则及方法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1、基金管理人按照国家有关规定代表基金独立行使股东权利，保护基金份额持有人的利益；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 基金的融资、融券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本基金可以根据有关法律法规和政策的规定进行融资、融券。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 基金投资组合报告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本基金托管人中国农业银行根据本基金合同规定，于2025年07月17日复核了本报告中的财务指标、净值表现和投资组合报告等内容，保证复核内容不存在虚假记载、误导性陈述或者重大遗漏。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本投资组合报告期为2025年04月01日起至06月30日，所载财务数据未经审计师审计。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62,076,080.99</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96.90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62,076,080.99</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96.90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46,871.32</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46,871.32</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1,868,696.99</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2.92</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71,050.50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64,062,699.80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注：上述股票投资包括可退替代款估值增值，而5.2的合计项中不含可退替代款估值增值。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报告期末指数投资按行业分类的境内股票投资组合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1,919,857.00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3.00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763,754.40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1.19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43,884,436.77</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68.60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1,772,660.69</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2.77</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2,631,070.00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4.11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463,372.00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0.72</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8,095,821.99</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12.65</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750,214.22</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1,468,700.00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2.30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312,252.00</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9035A2">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62,062,139.07</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97.01</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报告期末积极投资按行业分类的境内股票投资组合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13,941.92</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9035A2">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13,941.92</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报告期末按行业分类的港股通投资股票投资组合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3、期末按公允价值占基金资产净值比例大小排序的股票投资明细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报告期末指数投资按公允价值占基金资产净值比例大小排序的前十名股票投资明细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000333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美的集团</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90,713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6,549,478.60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10.24</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002594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比亚迪</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15,600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5,177,796.00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8.09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000651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格力电器</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80,074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3,596,924.08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5.62</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京东方</w:t>
            </w: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609,385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2,431,446.15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3.80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002352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顺丰控股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40,400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1,969,904.00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002714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牧原股份</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45,700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1,919,857.00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3.00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000063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中兴通讯</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58,600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1,903,914.00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2.98</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000001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平安银行</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155,800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1,880,506.00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2.94</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002142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宁波银行</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62,624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1,713,392.64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2.68</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000568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泸州老窖</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13,700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1,553,580.00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2.43</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报告期末积极投资按公允价值占基金资产净值比例大小排序的前五名股票投资明细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364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5,976.88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301678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新恒汇</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92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4,097.68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301636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泽润新能</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1,945.86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301560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众捷汽车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1,921.50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46,871.32</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46,871.32</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405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46,871.32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2024年11月22日,国家金融监督管理总局宁波监管局公示甬金罚决字</w:t>
      </w:r>
      <w:r>
        <w:rPr>
          <w:rFonts w:ascii="宋体" w:hAnsi="宋体"/>
          <w:sz w:val="24"/>
        </w:rPr>
        <w:lastRenderedPageBreak/>
        <w:t xml:space="preserve">[2024]108号行政处罚决定书,给予宁波银行股份有限公司120万元人民币的行政处罚。　</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2025年03月12日,国家金融监督管理总局上海监管局公示沪金罚决字[2025]88号行政处罚决定书,给予平安银行股份有限公司300万元人民币的行政处罚。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3,841.92</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67,208.58</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71,050.50</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报告期末股票中存在流通受限情况的说明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报告期末指数投资前十名股票中存在流通受限情况的说明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报告期末积极投资前五名股票中存在流通受限情况的说明</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流通受限部分的公允价值（元）</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流通受限情况说明</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5,369.34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新股未上市</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607.54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301678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新恒汇</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4,097.68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301636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泽润新能</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1,945.86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301560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众捷汽车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1,921.50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4" w:name="_Toc210145121"/>
      <w:r>
        <w:rPr>
          <w:rFonts w:ascii="Times New Roman" w:hAnsi="Times New Roman"/>
          <w:sz w:val="30"/>
        </w:rPr>
        <w:lastRenderedPageBreak/>
        <w:t>十一、基金的业绩</w:t>
      </w:r>
      <w:bookmarkEnd w:id="14"/>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-2.26%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17.01%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14.93%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-2.63%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-19.79%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-22.15%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2.36%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-7.00%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-11.95%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4.95%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20.32%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17.05%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3.27%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53.97%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52.38%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-28.74%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-29.72%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32.47%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32.11%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-8.63%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-9.28%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15.34%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2.56%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15.63%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2.60%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45.96%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44.92%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5.05%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9035A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-9.00%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-19.19%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10.19%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bl>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9035A2" w:rsidRDefault="006C164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深证300价值交易型开放式指数证券投资基金</w:t>
      </w:r>
    </w:p>
    <w:p w:rsidR="009035A2" w:rsidRDefault="006C164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9035A2" w:rsidRDefault="006C164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（2011年9月22日至2025年06月30日）</w:t>
      </w:r>
    </w:p>
    <w:p w:rsidR="009035A2" w:rsidRDefault="001C7EB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345pt">
            <v:imagedata r:id="rId18" o:title="1521256610242020828"/>
          </v:shape>
        </w:pic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注：本基金建仓期为自基金合同生效日起的3个月。截至建仓期结束，本基金各项资产配置比例符合基金合同及招募说明书有关投资比例的约定。</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5" w:name="_Toc210145122"/>
      <w:r>
        <w:rPr>
          <w:rFonts w:ascii="Times New Roman" w:hAnsi="Times New Roman"/>
          <w:sz w:val="30"/>
        </w:rPr>
        <w:lastRenderedPageBreak/>
        <w:t>十二、基金的财产</w:t>
      </w:r>
      <w:bookmarkEnd w:id="15"/>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基金资产总值是指基金拥有的各类有价证券、银行存款本息、基金应收款项以及其他资产的价值总和。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基金资产净值是指基金资产总值减去基金负债后的净资产值。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(四)基金财产的处分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6" w:name="_Toc210145123"/>
      <w:r>
        <w:rPr>
          <w:rFonts w:ascii="Times New Roman" w:hAnsi="Times New Roman"/>
          <w:sz w:val="30"/>
        </w:rPr>
        <w:lastRenderedPageBreak/>
        <w:t>十三、基金资产的估值</w:t>
      </w:r>
      <w:bookmarkEnd w:id="16"/>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本基金的估值日为相关的证券交易场所的正常交易日，以及国家法律法规规定需要对外披露基金净值的非交易日。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基金依法拥有的股票、债券、权证及其他基金资产和负债。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（1）上市股票的估值：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上市流通股票按估值日其所在证券交易所的收盘价估值；估值日无交易的，以最近交易日的收盘价估值。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首次发行未上市的股票，采用估值技术确定公允价值，在估值技术难以可靠计量公允价值的情况下，按成本价估值；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送股、转增股、配股和公开增发新股等发行未上市的股票，按估值日在证券交易所上市的同一股票的市价进行估值；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首次公开发行有明确锁定期的股票，同一股票在交易所上市后，按估值日在证券交易所上市的同一股票的市价进行估值；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非公开发行的且在发行时明确一定期限锁定期的股票，按监管机构或行业协会有关规定确定公允价值。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（3）本基金投资存托凭证的估值核算依照境内上市交易的股票执行。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（5）国家有最新规定的，按其规定进行估值。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（5）在全国银行间债券市场交易的债券、资产支持证券等固定收益品种，采用估值技术确定公允价值。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（6）同一债券同时在两个或两个以上市场交易的，按债券所处的市场分别估值。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（8）国家有最新规定的，按其规定进行估值。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w:t>
      </w:r>
      <w:r>
        <w:rPr>
          <w:rFonts w:ascii="宋体" w:hAnsi="宋体"/>
          <w:sz w:val="24"/>
        </w:rPr>
        <w:lastRenderedPageBreak/>
        <w:t>整最近交易市价，确定公允价格。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（3）因持有股票而享有的配股权，以及停止交易、但未行权的权证，采用估值技术确定公允价值进行估值。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4、衍生品及其他有价证券等资产按国家有关规定进行估值。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份额净值由基金管理人完成估值后，将估值结果以书面形式报给基金托管人，基金托管人按基金合同规定的估值方法、时间、程序进行复核，基金托管人复核无误后签章返回给基金管理人，由基金管理人依据本基金合同和有关法律法规的规定予以公布。月末、年中和年末估值复核与基金会计账目的核对同时进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w:t>
      </w:r>
      <w:r>
        <w:rPr>
          <w:rFonts w:ascii="宋体" w:hAnsi="宋体"/>
          <w:sz w:val="24"/>
        </w:rPr>
        <w:lastRenderedPageBreak/>
        <w:t>机构或投资者自身的过错造成差错，导致其他当事人遭受损失的，差错的责任人应当对由于该差错遭受损失的当事人（“受损方”）按下述“差错处理原则”给予赔偿。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w:t>
      </w:r>
      <w:r>
        <w:rPr>
          <w:rFonts w:ascii="宋体" w:hAnsi="宋体"/>
          <w:sz w:val="24"/>
        </w:rPr>
        <w:lastRenderedPageBreak/>
        <w:t>基金托管人之外的第三方造成基金财产的损失，并拒绝进行赔偿时，由基金管理人负责向差错方追偿，追偿过程中产生的有关费用，由责任方承担；</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差错时，视为基金份额净值错误；基金份额净值出现错误时，基金管理人应当立即予以纠正，通报基金托管人，并采取合理的措施防止损失进一步扩大；当错误达到或超过基金资产净值的0.25%时，基金管理人应当及时通知基金托管人并报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本基金的基金会计责任方由基金管理人担任，与本基金有关的会计问题，如经双方在平等基础上充分讨论后，尚不能达成一致时，按基金会计责任方的建议</w:t>
      </w:r>
      <w:r>
        <w:rPr>
          <w:rFonts w:ascii="宋体" w:hAnsi="宋体"/>
          <w:sz w:val="24"/>
        </w:rPr>
        <w:lastRenderedPageBreak/>
        <w:t>执行，由此给基金份额持有人和基金造成的损失，由基金管理人负责赔付；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（4）前述内容如法律法规或者监管部门另有规定的，从其规定。如果行业有通行做法，双方当事人应本着平等和保护基金份额持有人利益的原则进行协商。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工作日交易结束后将当日的净值计算结果发送给基金托管人。基金托管人对净值计算结果复核确认后发送给基金管理</w:t>
      </w:r>
      <w:r>
        <w:rPr>
          <w:rFonts w:ascii="宋体" w:hAnsi="宋体"/>
          <w:sz w:val="24"/>
        </w:rPr>
        <w:lastRenderedPageBreak/>
        <w:t>人，由基金管理人依据本基金合同和有关法律法规的规定对基金净值予以公布。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基金份额净值的计算精确到0.001元，小数点后第四位四舍五入。国家另有规定的，从其规定。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1、基金管理人或基金托管人按股票估值方法的第（4）项、债券估值方法的第（7）项、权证估值方法的第（4）项进行估值时，所造成的误差不作为基金资产估值错误处理。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注册登记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7" w:name="_Toc210145124"/>
      <w:r>
        <w:rPr>
          <w:rFonts w:ascii="Times New Roman" w:hAnsi="Times New Roman"/>
          <w:sz w:val="30"/>
        </w:rPr>
        <w:lastRenderedPageBreak/>
        <w:t>十四、基金的收益与分配</w:t>
      </w:r>
      <w:bookmarkEnd w:id="17"/>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基金利润的构成</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(二)收益分配原则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1、本基金的每份基金份额享有同等分配权；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2、当基金净值增长率超过标的指数同期增长率达到1%以上时，可进行收益分配；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本基金的性质和特点，本基金收益分配不须以弥补浮动亏损为前提，收益分配后有可能使除息后的基金份额净值低于面值，即基金收益分配基准日的基金份额净值减去每单位基金份额收益分配金额后可能低于面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4、本基金收益每年最多分配12次，每次基金收益分配比例依据以下原则确定：使收益分配后基金份额净值增长率尽可能贴近标的指数同期增长率；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5、本基金收益分配采取现金分红方式；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6、法律法规或监管机构另有规定的从其规定。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在不影响投资者利益的情况下，基金管理人可在法律法规允许的前提下酌情调整以上基金收益分配原则，并于变更实施日前在指定媒介上公告。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(三)基金收益分配数额的确定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1、在收益评价日，基金管理人计算基金净值增长率和标的指数同期增长率，并计算基金净值增长率与标的指数同期净值增长率的差额，当差额超过1%时，基金管理人有权进行收益分配。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2、根据前述收益分配原则确定收益评价日本基金的收益分配比例及收益分配数额。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基金收益分配方案中应载明基金收益分配对象、分配时间、分配数额及比例、分配方式等内容。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1、本基金收益分配方案由基金管理人拟定、由基金托管人复核，依照《信息</w:t>
      </w:r>
      <w:r>
        <w:rPr>
          <w:rFonts w:ascii="宋体" w:hAnsi="宋体"/>
          <w:sz w:val="24"/>
        </w:rPr>
        <w:lastRenderedPageBreak/>
        <w:t>披露办法》的有关规定在指定媒介公告。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的发放日距离收益分配基准日的时间不超过15个工作日。在分配方案公布后(依据具体方案的规定)，基金管理人就支付的现金红利向基金托管人发送划款指令，基金托管人按照基金管理人的指令及时进行分红资金的划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8" w:name="_Toc210145125"/>
      <w:r>
        <w:rPr>
          <w:rFonts w:ascii="Times New Roman" w:hAnsi="Times New Roman"/>
          <w:sz w:val="30"/>
        </w:rPr>
        <w:lastRenderedPageBreak/>
        <w:t>十五、基金的费用与税收</w:t>
      </w:r>
      <w:bookmarkEnd w:id="18"/>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3、基金合同生效后的信息披露费用；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4、基金上市费及年费；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5、基金收益分配中发生的费用；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7、基金合同生效后与基金有关的会计师费和律师费；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8、基金的证券交易费用；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9、基金财产拨划支付的银行费用；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10、按照国家有关规定可以在基金财产中列支的其他费用。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在通常情况下，基金管理费按前一日基金资产净值0.5%的年费率计提。计算方法如下：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H＝E×年管理费率÷当年天数，本基金年管理费率为0.5%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在通常情况下，基金托管费按前一日基金资产净值0.1%的年费率计提。计算方法如下：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H＝E×年托管费率÷当年天数，本基金年托管费率为0.1%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 基金费用的种类”中第3到10项费用由基金托管人根据其他有关法律法规及相应协议的规定，按费用支出金额支付，列入或摊入当期基金费用。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基金收取认购费的，可以从认购费中列支。标的指数许可使用费由基金管理人承担，不得从基金财产中列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调整基金管理费率和基金托管费率。降低基金管理费率和基金托管费率，无须召开基金份额持有人大会。基金管理人必须依照有关规定最迟于新的费率实施日前在指定媒介上刊登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19" w:name="_Toc210145126"/>
      <w:r>
        <w:rPr>
          <w:rFonts w:ascii="Times New Roman" w:hAnsi="Times New Roman"/>
          <w:sz w:val="30"/>
        </w:rPr>
        <w:lastRenderedPageBreak/>
        <w:t>十六、基金的会计与审计</w:t>
      </w:r>
      <w:bookmarkEnd w:id="19"/>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(一)基金的会计政策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1、基金管理人聘请具有从事证券、期货相关相关业务资格的会计师事务所及其注册会计师对本基金年度财务报表及其他规定事项进行审计。会计师事务所及其注册会计师与基金管理人、基金托管人相互独立。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20" w:name="_Toc210145127"/>
      <w:r>
        <w:rPr>
          <w:rFonts w:ascii="Times New Roman" w:hAnsi="Times New Roman"/>
          <w:sz w:val="30"/>
        </w:rPr>
        <w:lastRenderedPageBreak/>
        <w:t>十七、基金的信息披露</w:t>
      </w:r>
      <w:bookmarkEnd w:id="20"/>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(三)本基金信息披露义务人在承诺公开披露的基金信息时，不得有下列行为：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4、诋毁其他基金管理人、基金托管人或者基金份额销售机构；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基金募集申请经中国证监会核准后，基金管理人在基金份额发售3日前，将招</w:t>
      </w:r>
      <w:r>
        <w:rPr>
          <w:rFonts w:ascii="宋体" w:hAnsi="宋体"/>
          <w:sz w:val="24"/>
        </w:rPr>
        <w:lastRenderedPageBreak/>
        <w:t>募说明书、基金合同摘要登载在指定报刊和网站上；基金管理人、基金托管人应当将基金合同、托管协议登载在网站上。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应当最大限度地披露影响基金投资者决策的全部事项，说明基金认购、申购和赎回安排、基金投资、基金产品特性、风险揭示、信息披露及基金份额持有人服务等内容。本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(2)基金合同是界定基金合同当事人的各项权利、义务关系，明确基金份额持有人大会召开的规则及具体程序，说明基金产品的特性等涉及基金投资者重大利益的事项的法律文件。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(3)托管协议是界定基金托管人和基金管理人在基金财产保管及基金运作监督等活动中的权利、义务关系的法律文件。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基金管理人应当就基金份额发售的具体事宜编制基金份额发售公告，并在披露招募说明书的当日登载于指定报刊和网站上。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基金管理人应当在本基金合同生效的次日在指定报刊和网站上登载基金合同生效公告。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4、基金份额折算公告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基金管理人确定基金份额折算日，并至少提前3个工作日将基金份额折算日公告登载于指定报刊和网站上。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基金份额进行折算并由注册登记机构完成基金份额的变更登记后，基金管理人将在3个工作日内将基金份额折算结果公告登载于指定报刊和网站上。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5、基金开始申购、赎回公告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基金管理人应于申购开始日、赎回开始日前在指定报刊和网站上公告。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6、基金份额上市交易公告书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基金份额获准在证券交易所上市交易的，基金管理人应当在基金份额上市交易3个工作日前，将基金份额上市交易公告书登载在指定报刊和网站上。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7、基金净值信息公告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本基金合同生效后，在开始办理基金份额申购或者赎回前，基金管理人应当至少每周在指定网站披露一次基金份额净值和基金份额累计净值。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在开始办理基金份额申购或者赎回后，基金管理人应当在不晚于每个开放日的次日，通过指定网站、基金销售机构网站或者营业网点披露开放日的基金份额净值和基金份额累计净值。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8、申购赎回清单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在开始办理基金份额申购或者赎回之后，基金管理人应当在每个开放日，通过指定网站、申购赎回代理机构网站或者营业网点公告当日的申购赎回清单。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9、基金定期报告，包括基金年度报告、基金中期报告和基金季度报告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于指定网站上，并将年度报告提示性公告登载在指定报刊上。基金年度报告中的财务会计报告应当经过具有证券、期货相关业务资格的会计师事务所审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基金管理人应当在基金年度报告和中期报告中披露基金组合资产情况及其流动性风险分析等。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10、临时报告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（14）基金收益分配事项；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（18）本基金暂停接受申购、赎回申请或重新接受申购、赎回申请；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（19）发生涉及基金申购、赎回事项调整或潜在影响投资者赎回等重大事项时；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（20）基金变更标的指数；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（21）基金暂停上市、恢复上市或终止上市；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（22）基金推出新业务或服务；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11、澄清公告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12、基金份额持有人大会决议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(六)信息披露文件的存放与查阅</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（七）本基金信息披露事项以法律法规规定及本章节约定的内容为准。</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035A2" w:rsidRDefault="006C1649">
      <w:pPr>
        <w:pStyle w:val="1"/>
        <w:snapToGrid w:val="0"/>
        <w:spacing w:beforeLines="0" w:before="240" w:after="240"/>
        <w:rPr>
          <w:rFonts w:ascii="宋体" w:hAnsi="宋体"/>
          <w:szCs w:val="30"/>
        </w:rPr>
      </w:pPr>
      <w:bookmarkStart w:id="21" w:name="_Toc210145128"/>
      <w:r>
        <w:rPr>
          <w:rFonts w:ascii="Times New Roman" w:hAnsi="Times New Roman"/>
          <w:sz w:val="30"/>
        </w:rPr>
        <w:lastRenderedPageBreak/>
        <w:t>十八、风险揭示</w:t>
      </w:r>
      <w:bookmarkEnd w:id="21"/>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担。</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证券市场价格因受到经济因素、政治因素、投资心理和交易制度等各种因素的影响而引起的波动，将对基金收益水平产生潜在风险，主要包括：</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（二）投资本基金的特有风险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1、标的指数回报与股票市场平均回报偏离的风险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标的指数并不能完全代表整个股票市场。标的指数成份股的平均回报率与整个股票市场的平均回报率可能存在偏离。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2、标的指数波动的风险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标的指数成份股的价格可能受到政治因素、经济因素、上市公司经营状况、投资者心理和交易制度等各种因素的影响而波动，导致指数波动，从而使基金收益水平发生变化，产生风险。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3、基金投资组合回报与标的指数回报偏离的风险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以下因素可能使基金投资组合的收益率与标的指数的收益率发生偏离：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2)由于标的指数成份股发生配股、增发等行为导致成份股在标的指数中的权重发生变化，使本基金在相应的组合调整中产生跟踪偏离度和跟踪误差。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3)标的指数成份股派发现金红利、新股市值配售收益将导致基金收益率超过标的指数收益率，产生正的跟踪偏离度。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5)因法律法规的限制或其他限制，本基金可能不能投资于部分标的指数成分股。在使用替代方法，如投资同行业中相关性较高的股票以替代上述投资受限股票时，会产生一定的跟踪偏离度和跟踪误差。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7)在本基金指数化投资过程中，基金管理人的管理能力，例如跟踪指数的水平、技术手段、买入卖出的时机选择等，都会对本基金的收益产生影响，从而影响本基金对标的指数的跟踪程度。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4、标的指数变更的风险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可能性很小，但根据基金合同规定，如出现变更标的指数的情形，本基金将变更标的指数。基于原标的指数的投资政策将会改变，投资组合将随之调整，基金的收益风险特征将与新的标的指数保持一致，投资者须承担此项调整带来的风险与成本。</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5、跟踪误差控制未达约定目标的风险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本基金力争控制本基金日均跟踪偏离度的绝对值不超过0.1%，年跟踪误差不超过2%。但因标的指数编制规则调整或其他因素可能导致跟踪误差超过上述范围，本基金净值表现与指数价格走势可能发生较大偏离。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6、指数编制机构停止服务的风险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w:t>
      </w:r>
      <w:r>
        <w:rPr>
          <w:rFonts w:ascii="宋体" w:hAnsi="宋体"/>
          <w:sz w:val="24"/>
        </w:rPr>
        <w:lastRenderedPageBreak/>
        <w:t>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7、成份股停牌的风险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（2）停牌成份股可能因其权重占比、市场复牌预期、现金替代标识等因素影响本基金二级市场价格的折溢价水平。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成份股停牌时间较长，在约定时间内仍未能及时买入或卖出的，则该部分款项将按照约定方式进行结算（具体见招募说明书“九、基金份额的申购与赎回”之“（七）申购赎回清单的内容与格式”相关约定），由此可能影响投资者的投资损益并使基金产生跟踪偏离度和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极端情况下，标的指数成份股可能大面积停牌，基金可能无法及时卖出成份股以获取足额的符合要求的赎回对价，由此基金管理人可能采取在申购赎回清单中设置较低的赎回份额上限或者暂停赎回的措施，投资者将面临无法赎回全部或部分基金份额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8、基金份额二级市场交易价格折溢价的风险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尽管本基金将通过有效的套利机制使基金份额二级市场交易价格的折溢价控制在一定范围内，但基金份额在证券交易所的交易价格受诸多因素影响，存在不同于</w:t>
      </w:r>
      <w:r>
        <w:rPr>
          <w:rFonts w:ascii="宋体" w:hAnsi="宋体"/>
          <w:sz w:val="24"/>
        </w:rPr>
        <w:lastRenderedPageBreak/>
        <w:t>基金份额净值的情形，即存在价格折溢价的风险。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9、参考IOPV决策和IOPV计算错误的风险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交易所在开市后根据申购赎回清单和组合证券内各只证券的实时成交数据，计算并发布基金份额参考净值(IOPV)，供投资者交易、申购、赎回基金份额时参考。IOPV与实时的基金份额净值可能存在差异，IOPV计算可能出现错误，投资者若参考IOPV进行投资决策可能导致损失，需投资者自行承担。</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10、退市风险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因本基金不再符合证券交易所上市条件被终止上市，或被基金份额持有人大会决议提前终止上市，导致基金份额不能继续进行二级市场交易的风险。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11、投资者申购失败的风险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赎回清单中，可能仅允许对部分成份股使用现金替代，且设置现金替代比例上限，因此，投资者在进行申购时，可能存在因个别成份股涨停、临时停牌等原因而无法买入申购所需的足够的成份股，导致申购失败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12、投资者赎回失败的风险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投资者在提出赎回申请时，如基金组合中不具备足额的符合条件的赎回对价，可能导致赎回失败的情形。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能根据成份股市值规模变化等因素调整最小申购赎回单位，由此可能导致投资者按原最小申购赎回单位申购并持有的基金份额，可能无法按照新的最小申购赎回单位全部赎回，而只能在二级市场卖出全部或部分基金份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13、基金份额赎回对价的变现风险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本基金赎回对价主要为组合证券，在组合证券变现过程中，由于市场变化、部分成份股流动性差等因素，导致投资者变现后的价值与赎回时赎回对价的价值有差异，存在变现风险。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14、本基金可投资创业板股票，创业板个股上市后的前五个交易日不设价格涨跌幅限制，第六个交易日开始涨跌幅限制比例为20%。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深圳证券交易所的正常交易日的交易时间，但基金管理人根据法律法规、中国证监会的要求或基金合同的规定公告暂停申购、赎回时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2、投资市场、行业及资产的流动性风险评估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3、实施备用的流动性风险管理工具的情形、程序及对投资者的潜在影响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延缓支付赎回款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（四）投资存托凭证的特定风险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（五）本基金法律文件风险收益特征表述与销售机构基金风险评价可能不一致的风险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w:t>
      </w:r>
      <w:r>
        <w:rPr>
          <w:rFonts w:ascii="宋体" w:hAnsi="宋体"/>
          <w:sz w:val="24"/>
        </w:rPr>
        <w:lastRenderedPageBreak/>
        <w:t>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（六）其他风险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1、第三方机构服务的风险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本基金的多项服务委托第三方机构办理，存在以下风险：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1)申购赎回代理券商因多种原因，导致代理申购、赎回业务受到限制、暂停或终止，由此影响对投资者申购赎回服务的风险。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2)注册登记机构可能调整结算制度，对投资者基金份额、组合证券及资金的结算方式发生变化，制度调整可能给投资者带来理解偏差的风险。同样的风险还可能来自于证券交易所及其他代理机构。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3)证券交易所、注册登记机构、基金托管人及其他代理机构可能违约，导致基金或投资者利益受损的风险。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2、管理风险与操作风险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等相关当事人的业务发展状况、人员配备、管理水平与内部控制等对基金收益水平存在影响。因业务扩张过快、行业内过度竞争、对主要业务人员过度依赖等可能会产生影响投资者利益的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相关当事人在业务各环节操作过程中，可能因内部控制存在缺陷或者人为因素造成操作失误或违反操作规程等引致风险，例如，申购赎回清单编制错误、越权违规交易、欺诈行为及交易错误等风险。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3、技术风险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在本基金的投资、交易、服务与后台运作等业务过程中，可能因为技术系统的故障或差错导致投资者的利益受到影响。这种技术风险可能来自基金管理人、基金托管人、证券交易所、注册登记机构及代销机构等。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4、不可抗力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战争、自然灾害等不可抗力可能导致基金资产有遭受损失的风险。基金管理人、基金托管人、证券交易所、注册登记机构和代销机构等可能因不可抗力无法正常工作，从而影响基金的各项业务按正常时限完成。</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22" w:name="_Toc210145129"/>
      <w:r>
        <w:rPr>
          <w:rFonts w:ascii="Times New Roman" w:hAnsi="Times New Roman"/>
          <w:sz w:val="30"/>
        </w:rPr>
        <w:lastRenderedPageBreak/>
        <w:t>十九、基金合同的终止与基金财产的清算</w:t>
      </w:r>
      <w:bookmarkEnd w:id="22"/>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3、基金管理人职责终止，而在6个月内没有新的基金管理人承接的；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4、基金托管人职责终止，而在6个月内没有新的基金托管人承接的；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(1)基金合同终止后，成立基金清算小组，基金清算小组在中国证监会的监督下进行基金清算。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(2)基金清算小组成员由基金管理人、基金托管人、具有从事证券相关业务资格的注册会计师、律师以及中国证监会指定的人员组成。基金清算小组可以聘用必要的工作人员。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(1)基金合同终止时，由基金清算小组统一接管基金财产；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(9)对基金剩余财产进行分配。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清算费用是指基金清算小组在进行基金清算过程中发生的所有合理费用，清算费用由基金清算小组优先从基金财产中支付。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经会计师事务所审计，律师事务所出具法律意见书后，由基金财产清算小组报中国证监会备案并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23" w:name="_Toc210145130"/>
      <w:r>
        <w:rPr>
          <w:rFonts w:ascii="Times New Roman" w:hAnsi="Times New Roman"/>
          <w:sz w:val="30"/>
        </w:rPr>
        <w:lastRenderedPageBreak/>
        <w:t>二十、基金合同内容摘要</w:t>
      </w:r>
      <w:bookmarkEnd w:id="23"/>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根据《基金法》及其他有关法律法规，基金管理人的权利为：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（2）依照本基金合同获得基金管理费以及法律法规规定或中国证监会批准的其他收入；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（3）根据法律法规和基金合同之规定销售基金份额；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（4）根据法律法规和基金合同的规定制定基金收益分配方案；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（5）依照有关规定为基金的利益行使因基金财产投资于证券所产生的权利；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（6）在符合有关法律法规、交易所及注册登记结构相关业务规则和本基金合同的前提下，决定基金的除调高托管费和管理费之外的费率结构和收费方式；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根据本基金合同及有关规定监督基金托管人，对于基金托管人违反了本基金合同或有关法律法规规定的行为，对基金财产、其他基金当事人的利益造成重大损失的情形，应及时呈报中国证监会和中国银监会，并采取必要措施保护基金及相关基金当事人的利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（8）在基金合同约定的范围内，拒绝或暂停受理申购、赎回申请；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（9）自行担任基金注册登记机构或选择、更换注册登记机构，并对注册登记机构的代理行为进行必要的监督和检查；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（10）选择、更换代销机构，并依据销售代理协议和有关法律法规，对其行为进行必要的监督和检查；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（11）在基金托管人更换时，提名新的基金托管人；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（12）依法召集基金份额持有人大会；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（13）以基金管理人名义代表基金份额持有人利益行使诉讼权利或者实施其他法律行为；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（14）选择、更换律师事务所、会计师事务所、证券经纪商或其他为基金提供服务的外部机构；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（15）根据国家有关规定，在法律法规允许的前提下，以基金的名义依法为基</w:t>
      </w:r>
      <w:r>
        <w:rPr>
          <w:rFonts w:ascii="宋体" w:hAnsi="宋体"/>
          <w:sz w:val="24"/>
        </w:rPr>
        <w:lastRenderedPageBreak/>
        <w:t>金融资、融券；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（16）法律法规、基金合同以及依据基金合同制定的其它法律文件规定的其他权利。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根据《基金法》及其他有关法律法规，基金管理人的义务为：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（1）依法募集基金，办理或者委托经由中国证监会认定的其他机构代为办理基金份额的发售、申购、赎回和注册登记事宜；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（8）计算并公告基金净值信息，确定基金份额申购赎回清单；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（9）采取适当合理的措施使计算基金份额认购价格以及申购、赎回对价的方法符合基金合同等法律文件的规定；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（10）按规定受理基金份额的申购和赎回申请，及时、足额支付申购的应付基金份额和现金及赎回之对价；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w:t>
      </w:r>
      <w:r>
        <w:rPr>
          <w:rFonts w:ascii="宋体" w:hAnsi="宋体"/>
          <w:sz w:val="24"/>
        </w:rPr>
        <w:lastRenderedPageBreak/>
        <w:t>配收益；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（18）以基金管理人名义，代表基金份额持有人利益行使诉讼权利或者实施其他法律行为；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（24）面临解散、依法被撤销或者被依法宣告破产时，及时报告中国证监会并通知基金托管人；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（26）不从事任何有损基金及其他基金合同当事人合法权益的活动；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（28）法律法规、基金合同规定的以及中国证监会要求的其他义务。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根据《基金法》及其他有关法律法规，基金托管人的权利为：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（1）依照基金合同的约定获得基金托管费；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（3）自本基金合同生效之日起，依照法律法规和基金合同、托管协议的规定保管基金财产；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w:t>
      </w:r>
      <w:r>
        <w:rPr>
          <w:rFonts w:ascii="宋体" w:hAnsi="宋体"/>
          <w:sz w:val="24"/>
        </w:rPr>
        <w:lastRenderedPageBreak/>
        <w:t>重大损失的情形，应及时呈报中国证监会，并采取必要措施保护基金及相关基金合同当事人的利益；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（6）依法提议召开或召集基金份额持有人大会；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（8）法律法规规定的其他权利。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根据《基金法》及其他有关法律法规，基金托管人的义务为：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（9）保存基金托管业务活动的记录、账册、报表和其他相关资料不少于15年；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（12）复核、审查基金管理人计算的基金资产净值、基金份额净值和基金份额申购、赎回对价；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（14）按规定制作相关账册并与基金管理人核对；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（15）依据基金管理人的指令或有关规定向基金份额持有人支付基金收益和交付赎回对价；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（16）按照规定召集基金份额持有人大会或配合基金管理人、基金份额持有人依法自行召集基金份额持有人大会；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（18）按规定监督基金管理人按照法律法规规定和基金合同履行其义务，基金管理人因违反基金合同造成基金财产损失时，应为基金向基金管理人追偿；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（19）根据本基金合同和托管协议规定建立并保存基金份额持有人名册；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（20）参加基金财产清算组，参与基金财产的保管、清理、估价、变现和分配；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（21）面临解散、依法被撤销、破产或者由接管人接管其资产时，及时报告中国证监会和中国银监会，并通知基金管理人；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（23）法律法规、基金合同规定的以及中国证监会要求的其他义务。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根据《基金法》、《运作办法》及其他有关法律法规，基金份额持有人的权利包括但不限于：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（6）查阅或者复制公开披露的基金信息资料；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（8）对基金管理人、基金托管人、基金份额代销机构损害其合法权益的行为依法提起诉讼；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根据《基金法》、《运作办法》及其他有关法律法规，基金份额持有人的义务包括但不限于：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（2）缴纳基金认购款项和认购股票、应付申购对价和赎回对价及缴纳法律法规、基金合同和招募说明书规定的费用；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（6）遵守基金管理人、基金托管人及销售机构和注册登记机构的相关交易及业务规则；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（7）返还在基金交易过程中因任何原因，自基金管理人、基金托管人、代销机构以及其他基金份额持有人处获得的不当得利；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（8）法律法规和基金合同规定的其他义务。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4、本基金合同当事人各方的权利义务以本基金合同为依据，不因基金财产账户名称而有所改变。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1、基金份额持有人大会的组成</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（1）基金份额持有人大会由基金份额持有人组成，基金份额持有人的合法授权代表有权代表基金份额持有人出席会议并表决。基金份额持有人持有的每一基金份额拥有平等的投票权。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鉴于本基金和本基金的联接基金（即“交银施罗德深证300价值交易型开放式指数证券投资基金联接基金”，以下简称“联接基金”）的相关性，本基金联接基金的基金份额持有人可以凭所持有的联接基金份额出席或者委派代表出席本基金的份额持有人大会并参与表决。在计算参会份额和计票时，联接基金持有人持有</w:t>
      </w:r>
      <w:r>
        <w:rPr>
          <w:rFonts w:ascii="宋体" w:hAnsi="宋体"/>
          <w:sz w:val="24"/>
        </w:rPr>
        <w:lastRenderedPageBreak/>
        <w:t>的享有表决权的基金份额数和表决票数为，在本基金基金份额持有人大会的权益登记日，联接基金持有本基金份额的总数乘以该持有人所持有的联接基金份额占联接基金总份额的比例，计算结果按照四舍五入的方法，保留到整数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经基金管理人、基金托管人或持有基金份额10%以上(“以上”含本数，下同)的基金份额持有人(以基金管理人收到提议当日的基金份额计算，下同)提议时，应当召开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4)变更基金投资目标、投资范围或投资策略（法律法规和中国证监会另有规定的除外）；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5)变更基金份额持有人大会议事程序；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7)提高基金管理人、基金托管人的报酬标准。但根据法律法规的要求提高该等报酬标准的除外；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终止基金上市，但因基金不再具备上市条件而被深圳证券交易所终止上市的除外；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10)对基金合同当事人权利、义务产生重大影响，需召开基金份额持有人大会的变更基金合同等其他事项；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11)法律法规、基金合同或中国证监会规定的其他情形。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（2）出现以下情形之一的，可由基金管理人和基金托管人协商后修改，不需召开基金份额持有人大会：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1)调低基金管理费、基金托管费等其他应由基金或基金份额持有人承担的费用；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3)在法律法规和本基金合同规定的范围内调整基金的申购费率、调低赎回费率、变更或增加收费方式；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4)因相应的法律法规、深圳证券交易所或者注册登记机构的相关业务规则发生变动必须对基金合同进行修改；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3、召集人和召集方式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w:t>
      </w:r>
      <w:r>
        <w:rPr>
          <w:rFonts w:ascii="宋体" w:hAnsi="宋体"/>
          <w:sz w:val="24"/>
        </w:rPr>
        <w:lastRenderedPageBreak/>
        <w:t>份额持有人有权自行召集基金份额持有人大会，但应当至少提前30日向中国证监会备案。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集人(以下简称“召集人”)负责选择确定开会时间、地点、方式和权益登记日。召开基金份额持有人大会，召集人必须于会议召开日前40日在指定媒介公告。基金份额持有人大会通知须至少载明以下内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5)有权出席基金份额持有人大会的基金份额持有人的权益登记日；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6)授权委托证明的内容要求(包括但不限于代理人身份、代理权限和代理有效期限等)、送达时间和地点；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的寄交的截止时间和收取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2)现场开会由基金份额持有人本人出席或通过授权委托证明委派其代理人出席，现场开会时基金管理人和基金托管人的授权代表应当出席，基金管理人或基金托管人拒不派代表出席的，不影响表决效力。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的规定，并且持有基金份额的凭证与基金管理人持有的登记资料相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和公证机关的监督下按照会议通知规定的方式收取和统计基金份额持有人的书面表决意见，基金管理人或基金托管人经通知拒不参加收取和统计书面表决意见的，不影响表决效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④直接出具书面意见的基金份额持有人或受托代表他人出具书面意见的代表，同时提交的持有基金份额的凭证和受托出席会议者出具的委托人持有基金份额的凭</w:t>
      </w:r>
      <w:r>
        <w:rPr>
          <w:rFonts w:ascii="宋体" w:hAnsi="宋体"/>
          <w:sz w:val="24"/>
        </w:rPr>
        <w:lastRenderedPageBreak/>
        <w:t>证和授权委托证明等文件符合法律法规、基金合同和会议通知的规定，并与注册登记机构记录相符；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如果开会条件达不到上述的条件，则召集人可另行确定并公告重新表决的时间(至少应在25个工作日后)，且确定有权出席会议的基金份额持有人资格的权益登记日不变。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3)在法律法规或监管机构允许的情况下，经会议通知载明，基金份额持有人也可以采用网络、电话或其他方式进行表决，或者采用网络、电话或其他方式授权他人代为出席会议并表决。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3)对于基金份额持有人提交的提案(包括临时提案)，大会召集人应当按照以下原则对提案进行审核：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w:t>
      </w:r>
      <w:r>
        <w:rPr>
          <w:rFonts w:ascii="宋体" w:hAnsi="宋体"/>
          <w:sz w:val="24"/>
        </w:rPr>
        <w:lastRenderedPageBreak/>
        <w:t>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第2个工作日在公证机构和基金托管人(如果基金托管人为召集人，则为基金管理人)监督下由召集人统计全部有效表决并形成决议，基金管理人或基金托管人经通知拒不参加收取和统计书面表决意见的，不影响表决效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一般决议须经出席会议的基金份额持有人及其代理人所持表决权的50%以上通过方为有效，除下列2)所规定的须以特别决议通过事项以外的其他事项均以一般决议的方式通过；</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特别决议须经出席会议的基金份额持有人及代理人所持表决权的三分之二以上通过方为有效；更换基金管理人、更换基金托管人、转换基金运作方式、终止基金合同必须以特别决议通过方为有效。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w:t>
      </w:r>
      <w:r>
        <w:rPr>
          <w:rFonts w:ascii="宋体" w:hAnsi="宋体"/>
          <w:sz w:val="24"/>
        </w:rPr>
        <w:lastRenderedPageBreak/>
        <w:t>应当立即重新清点并公布重新清点结果。重新清点仅限一次。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基金托管人授权代表(如果基金托管人为召集人，则为基金管理人授权代表)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并在生效后方可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（2）生效的基金份额持有人大会决议对全体基金份额持有人、基金管理人、基金托管人均有约束力。基金管理人、基金托管人和基金份额持有人应当执行生效的基金份额持有人大会的决定。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（4）如果采用通讯方式进行表决，在公告基金份额持有人大会决议时，必须将公证书全文、公证机关、公证员姓名等一同公告。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（1）按照法律法规或本基金合同的规定，对基金合同的变更应当召开基金份额持有人大会的，基金合同变更的内容应经基金份额持有人大会决议通过，并依法报中国证监会核准，自中国证监会核准之日起生效。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1)调低基金管理费、基金托管费等其他应由基金或基金份额持有人承担的费用；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3)在法律法规和本基金合同规定的范围内调整基金的申购费率、调低赎回费</w:t>
      </w:r>
      <w:r>
        <w:rPr>
          <w:rFonts w:ascii="宋体" w:hAnsi="宋体"/>
          <w:sz w:val="24"/>
        </w:rPr>
        <w:lastRenderedPageBreak/>
        <w:t>率、变更或增加收费方式；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4)因相应的法律法规、深圳证券交易所或者注册登记机构的相关业务规则发生变动必须对基金合同进行修改；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（3）基金管理人职责终止，而在6个月内没有新的基金管理人承接的；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（4）基金托管人职责终止，而在6个月内没有新的基金托管人承接的；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本基金合同适用中华人民共和国法律并从其解释。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本基金合同正本一式六份，除上报相关监管部门两份外，基金管理人和基金托管人各持有两份。每份均具有同等的法律效力。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本基金合同可印制成册，供基金投资者在基金管理人和基金托管人办公场所查阅。基金合同条款及内容应以基金合同正本为准。</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035A2" w:rsidRDefault="006C1649">
      <w:pPr>
        <w:pStyle w:val="1"/>
        <w:snapToGrid w:val="0"/>
        <w:spacing w:beforeLines="0" w:before="240" w:after="240"/>
        <w:rPr>
          <w:rFonts w:ascii="宋体" w:hAnsi="宋体"/>
          <w:szCs w:val="30"/>
        </w:rPr>
      </w:pPr>
      <w:bookmarkStart w:id="24" w:name="_Toc210145131"/>
      <w:r>
        <w:rPr>
          <w:rFonts w:ascii="Times New Roman" w:hAnsi="Times New Roman"/>
          <w:sz w:val="30"/>
        </w:rPr>
        <w:lastRenderedPageBreak/>
        <w:t>二十一、托管协议的内容摘要</w:t>
      </w:r>
      <w:bookmarkEnd w:id="24"/>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 中国(上海)自由贸易试验区银城中路188号交通银行大楼二层（裙）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注册资本：贰亿元人民币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 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深证300价值价格指数（简称“标的指数”）成份股、备选成份股为主要投资对象（含中小板股票和创业板股票及其他经中国证监会核准的上市股票、存托凭证），把全部或接近全部的基金资产用于跟踪标的指数的表现，正常情况下指数化投资比例，即投资于标的指数成份股（含存托凭证）和备选成份股（含存托凭证）的资产比例不低于基金资产净值的95%。此外，为更好地实现投资目标，本基金也可少量投资于新股（含存托凭证）、债券、回购、权证及中国证监会允许基金投资的其它金融工具（但须符合中国证监会的相关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因标的指数成份股调整、基金份额申购赎回清单内现金替代、现金差额等因素导致基金投资比例不符合上述标准的，基金管理人将在10个交易日内进行调整。法律法规或监管机构日后允许本基金投资其他品种，基金管理人在履行适当程序后，可以将其纳入投资范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（1）进入全国银行间同业市场的债券回购融入的资金余额不超过基金资产净值的40%。债券回购最长期限为１年，债券回购到期后不得展期；</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（2）本基金参与股票发行申购，本基金所申报的金额不超过本基金的总资产，本基金所申报的股票数量不超过拟发行股票公司本次发行股票的总量；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权证，在任何交易日买入权证的总金额，不得超过上一交易日基金资产净值的0.5%；本基金持有的全部权证，其市值不得超过基金资产净值的3%；本基金与本基金管理人管理的其他基金持有的同一权证，不得超过该权证的10%；法律法规或监管部门另有规定的，遵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（4）本基金持有一家公司发行的流通受限证券，其市值不得超过基金资产净值的2%；本基金持有的所有流通受限证券，其市值不得超过该基金资产净值的15%；</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（5）本基金投资存托凭证的比例限制依照境内上市交易的股票执行；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（6）本基金不得违反基金合同中有关投资范围、投资策略、投资比例的规定；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（7）法律法规或监管部门对上述比例限制另有规定的，从其规定。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三个月内使基金的投资组合比例符合基金合同的约定。在符合相关法律法规规定的前提下，因证券市场波动、上市公司合并、基金规模变动、标的指数成分股调整、基金申购或赎回带来现金等基金管理人之外的因素致使基金投资组合比例不符合上述规定的投资比例的，基金管理人应当在10个交易日内进行调整。法律法规或监管部门另有规定的，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若法律法规或监管部门对上述约定的投资组合比例限制规定进行变更的，以变更后的规定为准；若法律法规或监管部门取消上述限制，在履行适当程序后，本基金投资可不受上述规定限制。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w:t>
      </w:r>
      <w:r>
        <w:rPr>
          <w:rFonts w:ascii="宋体" w:hAnsi="宋体"/>
          <w:sz w:val="24"/>
        </w:rPr>
        <w:lastRenderedPageBreak/>
        <w:t>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w:t>
      </w:r>
      <w:r>
        <w:rPr>
          <w:rFonts w:ascii="宋体" w:hAnsi="宋体"/>
          <w:sz w:val="24"/>
        </w:rPr>
        <w:lastRenderedPageBreak/>
        <w:t>法》、《运作办法》等有关法律法规，以及国家有关账户管理、利率管理、支付结算等的各项规定。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w:t>
      </w:r>
      <w:r>
        <w:rPr>
          <w:rFonts w:ascii="宋体" w:hAnsi="宋体"/>
          <w:sz w:val="24"/>
        </w:rPr>
        <w:lastRenderedPageBreak/>
        <w:t>管人提供有关非公开定向增发流通受限证券的相关信息，具体应当包括但不限于如下文件（如有）：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受限证券登记存管在本基金名下，并确保基金托管人能够正常查询。因基金管理人原因产生的受限证券登记存管问题，造成基金财产的损失或基金托管人无法安全保管基金财产的责任与损失，由基金管理人承担。</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在履行其监督职责后不承担上述损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（4）基金托管人对所托管的不同基金财产分别设置账户，与基金托管人的其他业务和其他基金的托管业务实行严格的分帐管理，确保基金财产的完整与独立。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赎回、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当存入基金管理人在具有托管资格的商业银行开设的基金认购专户及中国证券登记结算有限责任公司深圳分公司预先开立的认购专户，募集的股票由发售代理机构予以冻结，并在募集结束后划入中国证券登记结算有限责任公司深圳分公司预先开立的组合证券认购专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全部资金划入基金托管人为基金开立的基金托管资金账户，网下股票认购所募集到的股票划入以基金托管人和基金联名方式开立的证券账户下，同时在规定时间内，聘请具有从事证券相关业务资格的会计师事务所进行验资，出具验资报告。出具的验资报告由参加验资的2名或2名以上中国注册会计师签字方为有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（3）若基金募集期限届满，未能达到基金合同生效的条件，由基金管理人按规定办理退款和募集股票解冻等事宜，基金托管人应提供充分协助。</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或收取现金差额、支付或收取现金替代款、支付或收取现金替代款的多退少补、支付基金收益，均需通过本基金的资金账户进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5、投资人申购或赎回时现金替代、现金差额的查收与划付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基金托管人应根据注册登记机构的交收指令办理本基金因申购、赎回产生的现金替代、现金差额的结算。现金替代的退款和补款由基金管理人负责办理。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6、债券托管专户的开设和管理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基金托管人根据中国人民银行、中央国债登记结算有限责任公司的有关规定，以基金的名义在中央国债登记结算有限责任公司开立债券托管与结算账户，并代表基金进行银行间市场债券的结算。基金管理人和基金托管人同时代表基金签订全国银行间债券市场债券回购主协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7、其他账户的开立和管理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8、基金财产投资的有关有价凭证等的保管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9、与基金财产有关的重大合同的保管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（五）基金资产净值计算和会计复核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基金份额净值是指基金资产净值除以基金份额总数。基金份额净值的计算，精确到0.001元，小数点后第四位四舍五入，由此产生的误差计入基金财产。国家另有规定的，从其规定。</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每工作日计算基金资产净值及基金份额净值，并按规定公告。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基金管理人每工作日对基金资产进行估值后，将基金份额净值结果发送基金托管人，经基金托管人复核无误后，由基金管理人依据基金合同和有关法律法规的规定对外公布。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基金依法拥有的股票、债券、权证及其他基金资产和负债。</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①上市股票的估值：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上市流通股票按估值日其所在证券交易所的收盘价估值；估值日无交易的，以最近交易日的收盘价估值。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②未上市股票的估值：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a.首次发行未上市的股票，采用估值技术确定公允价值，在估值技术难以可靠计量公允价值的情况下，按成本价估值；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b.送股、转增股、配股和公开增发新股等发行未上市的股票，按估值日在证券交易所上市的同一股票的市价进行估值；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c.首次公开发行有明确锁定期的股票，同一股票在交易所上市后，按估值日在证券交易所上市的同一股票的市价进行估值；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d.非公开发行的且在发行时明确一定期限锁定期的股票，按监管机构或行业协会有关规定确定公允价值。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③本基金投资存托凭证的估值核算依照境内上市交易的股票执行。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在任何情况下，基金管理人如采用本项第①－③小项规定的方法对基金资产进行估值，均应被认为采用了适当的估值方法。但是，如果基金管理人认为按本项第①－③小项规定的方法对基金资产进行估值不能客观反映其公允价值的，基金管理人可根据具体情况，并与基金托管人商定后，按最能反映公允价值的价格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⑤国家有最新规定的，按其规定进行估值。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①交易所市场上市交易或挂牌转让的固定收益品种（另有规定的除外），选取第三方估值机构提供的相应品种当日的估值净价进行估值；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②在证券交易所市场挂牌交易且未实行净价交易的债券按估值日收盘价减去债</w:t>
      </w:r>
      <w:r>
        <w:rPr>
          <w:rFonts w:ascii="宋体" w:hAnsi="宋体"/>
          <w:sz w:val="24"/>
        </w:rPr>
        <w:lastRenderedPageBreak/>
        <w:t>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③首次发行未上市债券采用估值技术确定的公允价值进行估值，在估值技术难以可靠计量公允价值的情况下，按成本估值。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④交易所以大宗交易方式转让的资产支持证券，采用估值技术确定公允价值，在估值技术难以可靠计量公允价值的情况下，按成本进行后续计量。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⑤在全国银行间债券市场交易的债券、资产支持证券等固定收益品种，采用估值技术确定公允价值。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⑥同一债券同时在两个或两个以上市场交易的，按债券所处的市场分别估值。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在任何情况下，基金管理人如采用本项第①－⑥小项规定的方法对基金资产进行估值，均应被认为采用了适当的估值方法。但是，如果基金管理人认为按本项第①－⑥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⑧国家有最新规定的，按其规定进行估值。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②首次发行未上市的权证，采用估值技术确定公允价值，在估值技术难以可靠计量公允价值的情况下，按成本估值。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③因持有股票而享有的配股权，以及停止交易、但未行权的权证，采用估值技术确定公允价值进行估值。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④在任何情况下，基金管理人如采用本项第①－③项规定的方法对基金资产进</w:t>
      </w:r>
      <w:r>
        <w:rPr>
          <w:rFonts w:ascii="宋体" w:hAnsi="宋体"/>
          <w:sz w:val="24"/>
        </w:rPr>
        <w:lastRenderedPageBreak/>
        <w:t>行估值，均应被认为采用了适当的估值方法。但是，如果基金管理人认为按本项第①－③项规定的方法对基金资产进行估值不能客观反映其公允价值的，基金管理人可根据具体情况，并与基金托管人商定后，按最能反映公允价值的价格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⑤国家有最新规定的，按其规定进行估值。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4）衍生品及其他有价证券等资产按国家有关规定进行估值。</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1)基金管理人、基金托管人按股票估值方法的第④项、债券估值方法的第⑦项、权证估值方法的第④项进行估值时，所造成的误差不作为基金份额净值错误处理。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注册登记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差错时，视为基金份额净值错误；基金份额净值出现错误时，基金管理人应当立即予以纠正，通报基金托管人，并采取合理的措施防止损失进一步扩大；错误偏差达到或超过基金资产净值的0.25%时，基金管理人应当及时通知基金托管人并报中国证监会；错误偏差达到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w:t>
      </w:r>
      <w:r>
        <w:rPr>
          <w:rFonts w:ascii="宋体" w:hAnsi="宋体"/>
          <w:sz w:val="24"/>
        </w:rPr>
        <w:lastRenderedPageBreak/>
        <w:t>偿时，基金管理人和基金托管人应根据实际情况界定双方承担的责任，经确认后按以下条款进行赔偿：</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基金合同生效不足2个月的，基金管理人可以不编制当期季度报告、中期报告或者年度报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w:t>
      </w:r>
      <w:r>
        <w:rPr>
          <w:rFonts w:ascii="宋体" w:hAnsi="宋体"/>
          <w:sz w:val="24"/>
        </w:rPr>
        <w:lastRenderedPageBreak/>
        <w:t>前就相关报表达成一致，基金管理人有权按照其编制的报表对外发布公告，基金托管人有权就相关情况报中国证监会备案。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本协议双方当事人经协商一致，可以对协议进行修改。修改后的新协议，其内容不得与基金合同的规定有任何冲突。基金托管协议的变更报中国证监会核准后生效。</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25" w:name="_Toc210145132"/>
      <w:r>
        <w:rPr>
          <w:rFonts w:ascii="Times New Roman" w:hAnsi="Times New Roman"/>
          <w:sz w:val="30"/>
        </w:rPr>
        <w:lastRenderedPageBreak/>
        <w:t>二十二、对基金份额持有人的服务</w:t>
      </w:r>
      <w:bookmarkEnd w:id="25"/>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对本基金份额持有人的服务主要由基金管理人、发售代理机构以及申购赎回代理券商提供。本基金管理人根据基金份额持有人的需要和市场的变化，有权增加或变更服务项目。主要服务内容如下：</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投资者如果想查询基金净值、相关公告、基金产品与服务等信息，请拨打本基金管理人客户服务电话（400-700-5000，021-61055000）或登录本基金管理人网站（www.fund001.com）进行咨询、查询。</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26" w:name="_Toc210145133"/>
      <w:r>
        <w:rPr>
          <w:rFonts w:ascii="Times New Roman" w:hAnsi="Times New Roman"/>
          <w:sz w:val="30"/>
        </w:rPr>
        <w:lastRenderedPageBreak/>
        <w:t>二十三、其他应披露事项</w:t>
      </w:r>
      <w:bookmarkEnd w:id="26"/>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关于交银施罗德基金管理有限公司旗下部分指数基金指数使用费调整为基金管理人承担并修订基金合同的公告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价值交易型开放式指数证券投资基金基金合同更新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价值交易型开放式指数证券投资基金托管协议更新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2025-03-19</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035A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深证</w:t>
            </w:r>
            <w:r>
              <w:rPr>
                <w:rFonts w:ascii="Times New Roman" w:hAnsi="Times New Roman"/>
                <w:color w:val="000000"/>
                <w:kern w:val="0"/>
                <w:sz w:val="25"/>
                <w:szCs w:val="24"/>
              </w:rPr>
              <w:t>300</w:t>
            </w:r>
            <w:r>
              <w:rPr>
                <w:rFonts w:ascii="Times New Roman" w:hAnsi="Times New Roman"/>
                <w:color w:val="000000"/>
                <w:kern w:val="0"/>
                <w:sz w:val="25"/>
                <w:szCs w:val="24"/>
              </w:rPr>
              <w:t>价值交易型开放式指数证券投资基金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35A2" w:rsidRDefault="006C1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27" w:name="_Toc210145134"/>
      <w:r>
        <w:rPr>
          <w:rFonts w:ascii="Times New Roman" w:hAnsi="Times New Roman"/>
          <w:sz w:val="30"/>
        </w:rPr>
        <w:lastRenderedPageBreak/>
        <w:t>二十四、招募说明书的存放及查阅方式</w:t>
      </w:r>
      <w:bookmarkEnd w:id="27"/>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6C164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35A2" w:rsidRDefault="006C1649">
      <w:pPr>
        <w:pStyle w:val="1"/>
        <w:snapToGrid w:val="0"/>
        <w:spacing w:beforeLines="0" w:before="240" w:after="240"/>
        <w:rPr>
          <w:rFonts w:ascii="宋体" w:hAnsi="宋体"/>
          <w:szCs w:val="30"/>
        </w:rPr>
      </w:pPr>
      <w:bookmarkStart w:id="28" w:name="_Toc210145135"/>
      <w:r>
        <w:rPr>
          <w:rFonts w:ascii="Times New Roman" w:hAnsi="Times New Roman"/>
          <w:sz w:val="30"/>
        </w:rPr>
        <w:lastRenderedPageBreak/>
        <w:t>二十五、备查文件</w:t>
      </w:r>
      <w:bookmarkEnd w:id="28"/>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（一）中国证监会核准深证300价值交易型开放式指数证券投资基金募集的文件</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（二）《深证300价值交易型开放式指数证券投资基金基金合同》</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（三）《深证300价值交易型开放式指数证券投资基金托管协议》</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035A2" w:rsidRDefault="006C164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（六）关于申请募集深证300价值交易型开放式指数证券投资基金之法律意见书</w:t>
      </w:r>
    </w:p>
    <w:sectPr w:rsidR="009035A2">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9EB" w:rsidRDefault="006C1649">
      <w:r>
        <w:separator/>
      </w:r>
    </w:p>
  </w:endnote>
  <w:endnote w:type="continuationSeparator" w:id="0">
    <w:p w:rsidR="00B439EB" w:rsidRDefault="006C1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2" w:rsidRDefault="009035A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2" w:rsidRDefault="001C7EB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9035A2" w:rsidRDefault="006C164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C7EB8">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2" w:rsidRDefault="009035A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2" w:rsidRDefault="001C7EB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9035A2" w:rsidRDefault="006C164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C7EB8">
                  <w:rPr>
                    <w:rFonts w:ascii="Times New Roman" w:hAnsi="Times New Roman"/>
                    <w:noProof/>
                    <w:kern w:val="0"/>
                    <w:sz w:val="18"/>
                    <w:szCs w:val="18"/>
                  </w:rPr>
                  <w:t>123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9EB" w:rsidRDefault="006C1649">
      <w:r>
        <w:separator/>
      </w:r>
    </w:p>
  </w:footnote>
  <w:footnote w:type="continuationSeparator" w:id="0">
    <w:p w:rsidR="00B439EB" w:rsidRDefault="006C1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2" w:rsidRDefault="009035A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6C1649">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9035A2" w:rsidRDefault="006C1649">
    <w:pPr>
      <w:pStyle w:val="a3"/>
      <w:jc w:val="right"/>
      <w:rPr>
        <w:rFonts w:ascii="宋体" w:hAnsi="宋体"/>
      </w:rPr>
    </w:pPr>
    <w:r>
      <w:rPr>
        <w:rFonts w:ascii="宋体" w:hAnsi="宋体" w:hint="eastAsia"/>
      </w:rPr>
      <w:t>深证300价值交易型开放式指数证券投资基金招募说明书更新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2" w:rsidRDefault="009035A2">
    <w:pPr>
      <w:pStyle w:val="10"/>
      <w:jc w:val="right"/>
    </w:pPr>
  </w:p>
  <w:p w:rsidR="009035A2" w:rsidRDefault="009035A2">
    <w:pPr>
      <w:pStyle w:val="10"/>
      <w:jc w:val="right"/>
    </w:pPr>
  </w:p>
  <w:p w:rsidR="009035A2" w:rsidRDefault="009035A2">
    <w:pPr>
      <w:pStyle w:val="a3"/>
      <w:jc w:val="right"/>
    </w:pPr>
  </w:p>
  <w:p w:rsidR="009E65D0" w:rsidRDefault="006C1649">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9035A2" w:rsidRDefault="006C1649">
    <w:pPr>
      <w:pStyle w:val="a3"/>
      <w:jc w:val="right"/>
      <w:rPr>
        <w:rFonts w:ascii="宋体" w:hAnsi="宋体"/>
      </w:rPr>
    </w:pPr>
    <w:r>
      <w:rPr>
        <w:rFonts w:ascii="宋体" w:hAnsi="宋体" w:hint="eastAsia"/>
      </w:rPr>
      <w:t>深证300价值交易型开放式指数证券投资基金招募说明书更新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2" w:rsidRDefault="009035A2">
    <w:pPr>
      <w:pStyle w:val="a3"/>
      <w:jc w:val="right"/>
    </w:pPr>
  </w:p>
  <w:p w:rsidR="009035A2" w:rsidRDefault="009035A2">
    <w:pPr>
      <w:pStyle w:val="a3"/>
      <w:jc w:val="right"/>
    </w:pPr>
  </w:p>
  <w:p w:rsidR="009035A2" w:rsidRDefault="009035A2">
    <w:pPr>
      <w:pStyle w:val="a3"/>
      <w:jc w:val="right"/>
    </w:pPr>
  </w:p>
  <w:p w:rsidR="009E65D0" w:rsidRDefault="006C1649">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9035A2" w:rsidRDefault="006C1649">
    <w:pPr>
      <w:pStyle w:val="a3"/>
      <w:jc w:val="right"/>
      <w:rPr>
        <w:rFonts w:ascii="宋体" w:hAnsi="宋体"/>
      </w:rPr>
    </w:pPr>
    <w:r>
      <w:rPr>
        <w:rFonts w:ascii="宋体" w:hAnsi="宋体" w:hint="eastAsia"/>
      </w:rPr>
      <w:t>深证300价值交易型开放式指数证券投资基金招募说明书更新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C7EB8"/>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1649"/>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5A2"/>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439EB"/>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768D863B-61CA-4A11-AE38-D7B37AAEB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124</Pages>
  <Words>12787</Words>
  <Characters>72888</Characters>
  <Application>Microsoft Office Word</Application>
  <DocSecurity>0</DocSecurity>
  <Lines>607</Lines>
  <Paragraphs>171</Paragraphs>
  <ScaleCrop>false</ScaleCrop>
  <Company>Microsoft</Company>
  <LinksUpToDate>false</LinksUpToDate>
  <CharactersWithSpaces>85504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2025-09-30T09:18:00Z</dcterms:created>
  <dcterms:modified xsi:type="dcterms:W3CDTF">2025-09-30T09:18:00Z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