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交银施罗德创业板50指数型证券投资基金（Y类份额）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交银创业板50指数Y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022934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本基金采用指数化投资策略，紧密跟踪创业板50指数，追求跟踪偏离度与跟踪误差最小化。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 地方政府债券、企业债券、公司债券、可转换债券(含可分离交易可转换债券的纯债部分)、可交换公司债券、公开发行的次级债券、中期票据、短期融资券、超短期 融资券等)、资产支持证券、货币市场工具、债券回购、同业存单、银行存款(含协 议存款、定期存款及其他银行存款)、股指期货以及法律法规或中国证监会允许基金 投资的其他金融工具。 如法律法规或监管机构以后允许基金投资其他品种，基金管理人在履行适当程序后，可以将其纳入投资范围。 基金的投资组合比例为：本基金投资于创业板 50 指数成份股（含存托凭证）及其备选成份股（含存托凭证）的比例不低于基金资产净值的90%；每个交易日日终在扣除股指期货合约需缴纳的交易保证金后，本基金保留的现金或者投资于到期日在一年以内的政府债券的比例合计不低于基金资产净值的5%，其中现金不包括结算备付金、存出保证金、应收申购款等。 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本基金标的指数为创业板50指数。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1、组合复制策略；2、替代性策略；3、股指期货投资策略；4、资产支持证券投资策略。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创业板50指数收益率×95%＋人民币银行活期存款利率（税后）×5%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高于混合型基金、债券型基金和货币市场基金。本基金为指数型基金，主要采用组合复制策略及适当的替代性策略跟踪创业板50指数，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详见《交银施罗德创业板50指数型证券投资基金招募说明书》第十部分“基金的投资”。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2、本基金自2024年12月13日起，开始销售Y类份额，基金份额类别首次确认当年净值增长率按实际存续期计算。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0.08%</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Y类基金份额可对基金管理费和基金托管费实施一定的费率优惠，具体优惠请参看招募说明书或相关公告。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（1）本基金为股票型基金，投资于创业板50指数成份股及其备选成份股的比例不低于基金资产净值的90%，因投资权益类资产而面临权益类资产市场的系统性风险和个股风险；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5）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●《交银施罗德创业板50指数型证券投资基金基金合同》、</w:t>
      </w:r>
    </w:p>
    <w:p>
      <w:pPr>
        <w:ind w:firstLine="420"/>
        <w:jc w:val="left"/>
        <w:rPr>
          <w:rFonts w:ascii="仿宋_GB2312" w:eastAsia="仿宋_GB2312"/>
          <w:szCs w:val="21"/>
        </w:rPr>
      </w:pPr>
      <w:r>
        <w:rPr>
          <w:rFonts w:hint="eastAsia" w:ascii="仿宋_GB2312" w:eastAsia="仿宋_GB2312"/>
          <w:szCs w:val="21"/>
        </w:rPr>
        <w:t>《交银施罗德创业板50指数型证券投资基金托管协议》、</w:t>
      </w:r>
    </w:p>
    <w:p>
      <w:pPr>
        <w:ind w:firstLine="420"/>
        <w:jc w:val="left"/>
        <w:rPr>
          <w:rFonts w:ascii="仿宋_GB2312" w:eastAsia="仿宋_GB2312"/>
          <w:szCs w:val="21"/>
        </w:rPr>
      </w:pPr>
      <w:r>
        <w:rPr>
          <w:rFonts w:hint="eastAsia" w:ascii="仿宋_GB2312" w:eastAsia="仿宋_GB2312"/>
          <w:szCs w:val="21"/>
        </w:rPr>
        <w:t>《交银施罗德创业板50指数型证券投资基金招募说明书》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1E79B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F7A73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749</Words>
  <Characters>4274</Characters>
  <Lines>35</Lines>
  <Paragraphs>10</Paragraphs>
  <TotalTime>1</TotalTime>
  <ScaleCrop>false</ScaleCrop>
  <LinksUpToDate>false</LinksUpToDate>
  <CharactersWithSpaces>5013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2025-09-24T09:21:04Z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222594ABEF694A8BAC097E7DC1630DEA</vt:lpwstr>
  </property>
</Properties>
</file>