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交银施罗德双利债券证券投资基金（C类份额）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交银双利债券C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2011-09-26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w:t>
            </w:r>
          </w:p>
          <w:p>
            <w:pPr>
              <w:ind w:firstLine="420"/>
              <w:jc w:val="left"/>
              <w:rPr>
                <w:rFonts w:ascii="仿宋_GB2312" w:eastAsia="仿宋_GB2312"/>
                <w:szCs w:val="21"/>
              </w:rPr>
            </w:pPr>
            <w:r>
              <w:rPr>
                <w:rFonts w:hint="eastAsia" w:ascii="仿宋_GB2312" w:eastAsia="仿宋_GB2312"/>
                <w:szCs w:val="21"/>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pPr>
              <w:ind w:firstLine="420"/>
              <w:jc w:val="left"/>
              <w:rPr>
                <w:rFonts w:ascii="仿宋_GB2312" w:eastAsia="仿宋_GB2312"/>
                <w:szCs w:val="21"/>
              </w:rPr>
            </w:pPr>
            <w:r>
              <w:rPr>
                <w:rFonts w:hint="eastAsia" w:ascii="仿宋_GB2312" w:eastAsia="仿宋_GB2312"/>
                <w:szCs w:val="21"/>
              </w:rPr>
              <w:t>1、大类资产配置；2、债券投资策略；3、股票投资策略；4、权证投资策略。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中债综合全价指数收益率×90%+沪深300指数收益率×10%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详见《交银施罗德双利债券证券投资基金招募说明书》第十部分“基金的投资”。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2、本基金合同于2011年9月26日生效，合同生效当年净值增长率按实际存续期计算。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4、本基金特有的风险</w:t>
      </w:r>
    </w:p>
    <w:p>
      <w:pPr>
        <w:ind w:firstLine="420"/>
        <w:jc w:val="left"/>
        <w:rPr>
          <w:rFonts w:ascii="仿宋_GB2312" w:eastAsia="仿宋_GB2312"/>
          <w:szCs w:val="21"/>
        </w:rPr>
      </w:pPr>
      <w:r>
        <w:rPr>
          <w:rFonts w:hint="eastAsia" w:ascii="仿宋_GB2312" w:eastAsia="仿宋_GB2312"/>
          <w:szCs w:val="21"/>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pPr>
        <w:ind w:firstLine="420"/>
        <w:jc w:val="left"/>
        <w:rPr>
          <w:rFonts w:ascii="仿宋_GB2312" w:eastAsia="仿宋_GB2312"/>
          <w:szCs w:val="21"/>
        </w:rPr>
      </w:pPr>
      <w:r>
        <w:rPr>
          <w:rFonts w:hint="eastAsia" w:ascii="仿宋_GB2312" w:eastAsia="仿宋_GB2312"/>
          <w:szCs w:val="21"/>
        </w:rPr>
        <w:t>（1）因投资固定收益类资产而面临的固定收益类资产市场的系统性风险和个券风险；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（2）因参与新股申购而面临的新股发行放缓甚至停滞，或者新股申购收益率下降甚至出现亏损，或者新股申购制度变更所带来的风险；</w:t>
      </w:r>
    </w:p>
    <w:p>
      <w:pPr>
        <w:ind w:firstLine="420"/>
        <w:jc w:val="left"/>
        <w:rPr>
          <w:rFonts w:ascii="仿宋_GB2312" w:eastAsia="仿宋_GB2312"/>
          <w:szCs w:val="21"/>
        </w:rPr>
      </w:pPr>
      <w:r>
        <w:rPr>
          <w:rFonts w:hint="eastAsia" w:ascii="仿宋_GB2312" w:eastAsia="仿宋_GB2312"/>
          <w:szCs w:val="21"/>
        </w:rPr>
        <w:t>（3）因少量投资可转债，投资股票、权证二级市场而承担一定程度权益类资产的系统性风险以及个别证券的价格波动。</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●《交银施罗德双利债券证券投资基金基金合同》、</w:t>
      </w:r>
    </w:p>
    <w:p>
      <w:pPr>
        <w:ind w:firstLine="420"/>
        <w:jc w:val="left"/>
        <w:rPr>
          <w:rFonts w:ascii="仿宋_GB2312" w:eastAsia="仿宋_GB2312"/>
          <w:szCs w:val="21"/>
        </w:rPr>
      </w:pPr>
      <w:r>
        <w:rPr>
          <w:rFonts w:hint="eastAsia" w:ascii="仿宋_GB2312" w:eastAsia="仿宋_GB2312"/>
          <w:szCs w:val="21"/>
        </w:rPr>
        <w:t>《交银施罗德双利债券证券投资基金托管协议》、</w:t>
      </w:r>
    </w:p>
    <w:p>
      <w:pPr>
        <w:ind w:firstLine="420"/>
        <w:jc w:val="left"/>
        <w:rPr>
          <w:rFonts w:ascii="仿宋_GB2312" w:eastAsia="仿宋_GB2312"/>
          <w:szCs w:val="21"/>
        </w:rPr>
      </w:pPr>
      <w:r>
        <w:rPr>
          <w:rFonts w:hint="eastAsia" w:ascii="仿宋_GB2312" w:eastAsia="仿宋_GB2312"/>
          <w:szCs w:val="21"/>
        </w:rPr>
        <w:t>《交银施罗德双利债券证券投资基金招募说明书》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55C20"/>
    <w:rsid w:val="00C0525C"/>
    <w:rsid w:val="00CD7637"/>
    <w:rsid w:val="00D04A15"/>
    <w:rsid w:val="00D373CC"/>
    <w:rsid w:val="00DB319C"/>
    <w:rsid w:val="00E51B6D"/>
    <w:rsid w:val="00F75715"/>
    <w:rsid w:val="00F811C4"/>
    <w:rsid w:val="00FC2918"/>
    <w:rsid w:val="26391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616</Words>
  <Characters>3515</Characters>
  <Lines>29</Lines>
  <Paragraphs>8</Paragraphs>
  <TotalTime>0</TotalTime>
  <ScaleCrop>false</ScaleCrop>
  <LinksUpToDate>false</LinksUpToDate>
  <CharactersWithSpaces>4123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2025-09-30T05:47:50Z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E4FE00F898724AB3817683533FB732C6</vt:lpwstr>
  </property>
</Properties>
</file>