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交银施罗德恒益灵活配置混合型证券投资基金（A类份额）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交银恒益灵活配置混合A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004975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2017-09-15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本基金在有效控制投资风险的前提下，通过积极主动的投资管理，力争获取超越业绩比较基准的投资收益，追求基金资产的长期稳定增值。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沪深300指数收益率×40%+中证综合债券指数收益率×60%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详见《交银施罗德恒益灵活配置混合型证券投资基金招募说明书》第十部分“基金的投资”。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2、本基金合同于2017年9月15日生效，合同生效当年净值增长率按实际存续期计算。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M＜200万元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●《交银施罗德恒益灵活配置混合型证券投资基金基金合同》、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《交银施罗德恒益灵活配置混合型证券投资基金托管协议》、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《交银施罗德恒益灵活配置混合型证券投资基金招募说明书》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6A5E92"/>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3C47B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755</Words>
  <Characters>4308</Characters>
  <Lines>35</Lines>
  <Paragraphs>10</Paragraphs>
  <TotalTime>27</TotalTime>
  <ScaleCrop>false</ScaleCrop>
  <LinksUpToDate>false</LinksUpToDate>
  <CharactersWithSpaces>5053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2025-09-26T07:25:51Z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1E98929223294E08ACBFCDC0118C9C4A</vt:lpwstr>
  </property>
</Properties>
</file>