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交银施罗德恒益灵活配置混合型证券投资基金（C类份额）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交银恒益灵活配置混合C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014949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2017-09-15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本基金在有效控制投资风险的前提下，通过积极主动的投资管理，力争获取超越业绩比较基准的投资收益，追求基金资产的长期稳定增值。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和股票行业配置策略，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1、大类资产配置；2、股票投资策略；3、债券投资策略；4、权证投资策略；5、资产支持证券投资策略；6、股指期货投资策略。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沪深300指数收益率×40%+中证综合债券指数收益率×60%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详见《交银施罗德恒益灵活配置混合型证券投资基金招募说明书》第十部分“基金的投资”。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2、本基金自2022年1月25日起，开始销售C类份额，基金份额类别首次确认当年净值增长率按实际存续期计算。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●《交银施罗德恒益灵活配置混合型证券投资基金基金合同》、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《交银施罗德恒益灵活配置混合型证券投资基金托管协议》、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《交银施罗德恒益灵活配置混合型证券投资基金招募说明书》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271B7"/>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F3D0C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737</Words>
  <Characters>4202</Characters>
  <Lines>35</Lines>
  <Paragraphs>9</Paragraphs>
  <TotalTime>1</TotalTime>
  <ScaleCrop>false</ScaleCrop>
  <LinksUpToDate>false</LinksUpToDate>
  <CharactersWithSpaces>4930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2025-09-30T01:24:36Z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56F02809BD2443F68C7C547B07D89A4F</vt:lpwstr>
  </property>
</Properties>
</file>