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05D82">
      <w:pPr>
        <w:rPr>
          <w:sz w:val="32"/>
        </w:rPr>
      </w:pPr>
    </w:p>
    <w:p w:rsidR="00C92FC0" w:rsidRPr="00EB07BC" w:rsidRDefault="00F05D82">
      <w:pPr>
        <w:rPr>
          <w:sz w:val="32"/>
        </w:rPr>
      </w:pPr>
    </w:p>
    <w:p w:rsidR="00C92FC0" w:rsidRPr="00EB07BC" w:rsidRDefault="00F05D82">
      <w:pPr>
        <w:rPr>
          <w:sz w:val="32"/>
        </w:rPr>
      </w:pPr>
    </w:p>
    <w:p w:rsidR="00C92FC0" w:rsidRPr="00EB07BC" w:rsidRDefault="004301FF">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7B07F8" w:rsidRDefault="007B07F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07F8" w:rsidRDefault="007B07F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07F8" w:rsidRDefault="004301F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交银施罗德创业板</w:t>
      </w:r>
      <w:r>
        <w:rPr>
          <w:rFonts w:ascii="Times New Roman" w:hAnsi="Times New Roman"/>
          <w:b/>
          <w:spacing w:val="2"/>
          <w:w w:val="99"/>
          <w:kern w:val="0"/>
          <w:position w:val="-4"/>
          <w:sz w:val="44"/>
          <w:szCs w:val="44"/>
        </w:rPr>
        <w:t>50</w:t>
      </w:r>
      <w:r>
        <w:rPr>
          <w:rFonts w:ascii="Times New Roman" w:hAnsi="Times New Roman"/>
          <w:b/>
          <w:spacing w:val="2"/>
          <w:w w:val="99"/>
          <w:kern w:val="0"/>
          <w:position w:val="-4"/>
          <w:sz w:val="44"/>
          <w:szCs w:val="44"/>
        </w:rPr>
        <w:t>指数型证券投资基金</w:t>
      </w:r>
    </w:p>
    <w:p w:rsidR="007B07F8" w:rsidRDefault="004301F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B07F8" w:rsidRDefault="007B07F8">
      <w:pPr>
        <w:snapToGrid w:val="0"/>
        <w:spacing w:line="360" w:lineRule="auto"/>
        <w:jc w:val="center"/>
        <w:rPr>
          <w:rFonts w:ascii="宋体" w:hAnsi="宋体"/>
          <w:b/>
          <w:sz w:val="30"/>
          <w:szCs w:val="30"/>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4301F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B07F8" w:rsidRDefault="004301F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7B07F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07F8" w:rsidRDefault="004301F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7B07F8" w:rsidRDefault="007B07F8">
      <w:pPr>
        <w:autoSpaceDE w:val="0"/>
        <w:autoSpaceDN w:val="0"/>
        <w:adjustRightInd w:val="0"/>
        <w:snapToGrid w:val="0"/>
        <w:spacing w:line="360" w:lineRule="auto"/>
        <w:ind w:left="1347" w:rightChars="6" w:right="13"/>
        <w:rPr>
          <w:rFonts w:ascii="宋体" w:hAnsi="宋体"/>
          <w:kern w:val="0"/>
          <w:sz w:val="32"/>
          <w:szCs w:val="32"/>
        </w:rPr>
        <w:sectPr w:rsidR="007B07F8">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7B07F8" w:rsidRDefault="004301FF">
      <w:pPr>
        <w:pStyle w:val="1"/>
        <w:snapToGrid w:val="0"/>
        <w:spacing w:beforeLines="0" w:before="240" w:after="240"/>
        <w:rPr>
          <w:rFonts w:ascii="宋体" w:hAnsi="宋体"/>
          <w:kern w:val="0"/>
        </w:rPr>
      </w:pPr>
      <w:bookmarkStart w:id="0" w:name="_Toc324920538"/>
      <w:bookmarkStart w:id="1" w:name="_Toc496884613"/>
      <w:bookmarkStart w:id="2" w:name="_Toc210896105"/>
      <w:r>
        <w:rPr>
          <w:rFonts w:ascii="Times New Roman" w:hAnsi="Times New Roman"/>
          <w:kern w:val="0"/>
        </w:rPr>
        <w:lastRenderedPageBreak/>
        <w:t>重要提示</w:t>
      </w:r>
      <w:bookmarkEnd w:id="0"/>
      <w:bookmarkEnd w:id="1"/>
      <w:bookmarkEnd w:id="2"/>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交银施罗德创业板</w:t>
      </w:r>
      <w:r>
        <w:rPr>
          <w:rFonts w:ascii="Times New Roman" w:hAnsi="Times New Roman"/>
          <w:kern w:val="0"/>
          <w:sz w:val="24"/>
        </w:rPr>
        <w:t>50</w:t>
      </w:r>
      <w:r>
        <w:rPr>
          <w:rFonts w:ascii="Times New Roman" w:hAnsi="Times New Roman"/>
          <w:kern w:val="0"/>
          <w:sz w:val="24"/>
        </w:rPr>
        <w:t>指数型证券投资基金（以下简称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845</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日正式生效。</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信用风险；本基金投资策略所特有的指数化投资风险；投资资产支持证券的特定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特有的其他风险等等。其中指数化投资风险主要包括：标的指数回报与股票市场平均回报偏离的风险、标的指数波动的风险、基金投资组合回报与标的指数回报偏离的风险、标的指数变更的风险、跟踪误差控制未达约定目标的风险、指数编制机构停止服务的风险、成份股停牌的风险等。</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w:t>
      </w:r>
      <w:r>
        <w:rPr>
          <w:rFonts w:ascii="Times New Roman" w:hAnsi="Times New Roman"/>
          <w:kern w:val="0"/>
          <w:sz w:val="24"/>
        </w:rPr>
        <w:lastRenderedPageBreak/>
        <w:t>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本基金是一只股票型基金，其预期风险和预期收益高于混合型基金、债券型基金和货币市场基金。本基金为指数型基金，主要采用组合复制策略及适当的替代性策略跟踪创业板</w:t>
      </w:r>
      <w:r>
        <w:rPr>
          <w:rFonts w:ascii="Times New Roman" w:hAnsi="Times New Roman"/>
          <w:kern w:val="0"/>
          <w:sz w:val="24"/>
        </w:rPr>
        <w:t>50</w:t>
      </w:r>
      <w:r>
        <w:rPr>
          <w:rFonts w:ascii="Times New Roman" w:hAnsi="Times New Roman"/>
          <w:kern w:val="0"/>
          <w:sz w:val="24"/>
        </w:rPr>
        <w:t>指数，具有与标的指数以及标的指数所代表的股票市场相似的风险收益特征。</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本基金为指数基金，投资者投资于本基金面临跟踪误差控制未达约定目标、指数编制机构停止服务、成份券停牌等潜在风险。</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本基金标的指数为创业板</w:t>
      </w:r>
      <w:r>
        <w:rPr>
          <w:rFonts w:ascii="Times New Roman" w:hAnsi="Times New Roman"/>
          <w:kern w:val="0"/>
          <w:sz w:val="24"/>
        </w:rPr>
        <w:t>50</w:t>
      </w:r>
      <w:r>
        <w:rPr>
          <w:rFonts w:ascii="Times New Roman" w:hAnsi="Times New Roman"/>
          <w:kern w:val="0"/>
          <w:sz w:val="24"/>
        </w:rPr>
        <w:t>指数。</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创业板指数样本股。</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考察选样空间股票最近</w:t>
      </w:r>
      <w:r>
        <w:rPr>
          <w:rFonts w:ascii="Times New Roman" w:hAnsi="Times New Roman"/>
          <w:kern w:val="0"/>
          <w:sz w:val="24"/>
        </w:rPr>
        <w:t>6</w:t>
      </w:r>
      <w:r>
        <w:rPr>
          <w:rFonts w:ascii="Times New Roman" w:hAnsi="Times New Roman"/>
          <w:kern w:val="0"/>
          <w:sz w:val="24"/>
        </w:rPr>
        <w:t>个月的日均成交金额，结合行业覆盖情况选取排名靠前的</w:t>
      </w:r>
      <w:r>
        <w:rPr>
          <w:rFonts w:ascii="Times New Roman" w:hAnsi="Times New Roman"/>
          <w:kern w:val="0"/>
          <w:sz w:val="24"/>
        </w:rPr>
        <w:t>50</w:t>
      </w:r>
      <w:r>
        <w:rPr>
          <w:rFonts w:ascii="Times New Roman" w:hAnsi="Times New Roman"/>
          <w:kern w:val="0"/>
          <w:sz w:val="24"/>
        </w:rPr>
        <w:t>只股票组成指数样本股。</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、指数计算</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指数采用派式加权法，依据下列公示逐日连锁实时计算：</w:t>
      </w:r>
    </w:p>
    <w:p w:rsidR="007B07F8" w:rsidRDefault="00F05D82">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60pt">
            <v:imagedata r:id="rId15" o:title="1521256610242020828"/>
          </v:shape>
        </w:pic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有关标的指数具体编制方案及成份股信息详见深圳证券信息有限公司国证指数网网站，网址：</w:t>
      </w:r>
      <w:r>
        <w:rPr>
          <w:rFonts w:ascii="Times New Roman" w:hAnsi="Times New Roman"/>
          <w:kern w:val="0"/>
          <w:sz w:val="24"/>
        </w:rPr>
        <w:t>www.cnindex.com.cn</w:t>
      </w:r>
      <w:r>
        <w:rPr>
          <w:rFonts w:ascii="Times New Roman" w:hAnsi="Times New Roman"/>
          <w:kern w:val="0"/>
          <w:sz w:val="24"/>
        </w:rPr>
        <w:t>。</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B07F8" w:rsidRDefault="004301F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7B07F8" w:rsidRDefault="007B07F8">
      <w:pPr>
        <w:autoSpaceDE w:val="0"/>
        <w:autoSpaceDN w:val="0"/>
        <w:adjustRightInd w:val="0"/>
        <w:snapToGrid w:val="0"/>
        <w:spacing w:before="51" w:line="360" w:lineRule="auto"/>
        <w:ind w:left="120" w:rightChars="6" w:right="13" w:firstLine="480"/>
        <w:rPr>
          <w:rFonts w:ascii="宋体" w:hAnsi="宋体"/>
          <w:kern w:val="0"/>
          <w:szCs w:val="24"/>
        </w:rPr>
        <w:sectPr w:rsidR="007B07F8">
          <w:headerReference w:type="default" r:id="rId16"/>
          <w:pgSz w:w="11920" w:h="16840"/>
          <w:pgMar w:top="1440" w:right="1680" w:bottom="280" w:left="1680" w:header="0" w:footer="1073" w:gutter="0"/>
          <w:pgNumType w:start="1"/>
          <w:cols w:space="720"/>
        </w:sectPr>
      </w:pPr>
    </w:p>
    <w:p w:rsidR="00F05D82" w:rsidRPr="00F05D82" w:rsidRDefault="004301FF" w:rsidP="00F05D82">
      <w:pPr>
        <w:pStyle w:val="ad"/>
        <w:snapToGrid w:val="0"/>
        <w:spacing w:after="240" w:line="360" w:lineRule="auto"/>
        <w:jc w:val="center"/>
        <w:rPr>
          <w:rFonts w:ascii="宋体" w:hAnsi="宋体"/>
          <w:noProof/>
          <w:sz w:val="24"/>
        </w:rPr>
      </w:pPr>
      <w:r w:rsidRPr="00F05D82">
        <w:rPr>
          <w:rFonts w:ascii="宋体" w:hAnsi="宋体"/>
          <w:color w:val="000000"/>
          <w:position w:val="-4"/>
          <w:sz w:val="24"/>
          <w:szCs w:val="30"/>
        </w:rPr>
        <w:lastRenderedPageBreak/>
        <w:t>目</w:t>
      </w:r>
      <w:r w:rsidRPr="00F05D82">
        <w:rPr>
          <w:rFonts w:ascii="宋体" w:hAnsi="宋体"/>
          <w:color w:val="000000"/>
          <w:position w:val="-4"/>
          <w:sz w:val="24"/>
          <w:szCs w:val="30"/>
        </w:rPr>
        <w:tab/>
        <w:t>录</w:t>
      </w:r>
      <w:r w:rsidR="00F05D82" w:rsidRPr="00F05D82">
        <w:rPr>
          <w:rFonts w:ascii="宋体" w:hAnsi="宋体"/>
          <w:color w:val="000000"/>
          <w:position w:val="-4"/>
          <w:sz w:val="24"/>
          <w:szCs w:val="30"/>
        </w:rPr>
        <w:fldChar w:fldCharType="begin"/>
      </w:r>
      <w:r w:rsidR="00F05D82" w:rsidRPr="00F05D82">
        <w:rPr>
          <w:rFonts w:ascii="宋体" w:hAnsi="宋体"/>
          <w:color w:val="000000"/>
          <w:position w:val="-4"/>
          <w:sz w:val="24"/>
          <w:szCs w:val="30"/>
        </w:rPr>
        <w:instrText xml:space="preserve"> TOC \o "1-3" \f - \h \t "-1" </w:instrText>
      </w:r>
      <w:r w:rsidR="00F05D82" w:rsidRPr="00F05D82">
        <w:rPr>
          <w:rFonts w:ascii="宋体" w:hAnsi="宋体"/>
          <w:color w:val="000000"/>
          <w:position w:val="-4"/>
          <w:sz w:val="24"/>
          <w:szCs w:val="30"/>
        </w:rPr>
        <w:fldChar w:fldCharType="separate"/>
      </w:r>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05" w:history="1">
        <w:r w:rsidRPr="00F05D82">
          <w:rPr>
            <w:rStyle w:val="aa"/>
            <w:rFonts w:ascii="宋体" w:hAnsi="宋体" w:hint="eastAsia"/>
            <w:noProof/>
            <w:kern w:val="0"/>
            <w:sz w:val="24"/>
          </w:rPr>
          <w:t>重要提示</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_Toc210896105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06" w:history="1">
        <w:r w:rsidRPr="00F05D82">
          <w:rPr>
            <w:rStyle w:val="aa"/>
            <w:rFonts w:ascii="宋体" w:hAnsi="宋体" w:hint="eastAsia"/>
            <w:noProof/>
            <w:sz w:val="24"/>
          </w:rPr>
          <w:t>一、绪言</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_Toc210896106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5</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07" w:history="1">
        <w:r w:rsidRPr="00F05D82">
          <w:rPr>
            <w:rStyle w:val="aa"/>
            <w:rFonts w:ascii="宋体" w:hAnsi="宋体" w:hint="eastAsia"/>
            <w:noProof/>
            <w:sz w:val="24"/>
          </w:rPr>
          <w:t>二、释义</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_Toc210896107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6</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08" w:history="1">
        <w:r w:rsidRPr="00F05D82">
          <w:rPr>
            <w:rStyle w:val="aa"/>
            <w:rFonts w:ascii="宋体" w:hAnsi="宋体" w:hint="eastAsia"/>
            <w:noProof/>
            <w:sz w:val="24"/>
          </w:rPr>
          <w:t>三、基金管理人</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_Toc210896108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11</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09" w:history="1">
        <w:r w:rsidRPr="00F05D82">
          <w:rPr>
            <w:rStyle w:val="aa"/>
            <w:rFonts w:ascii="宋体" w:hAnsi="宋体" w:hint="eastAsia"/>
            <w:noProof/>
            <w:sz w:val="24"/>
          </w:rPr>
          <w:t>四、基金托管人</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_Toc210896109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20</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0" w:history="1">
        <w:r w:rsidRPr="00F05D82">
          <w:rPr>
            <w:rStyle w:val="aa"/>
            <w:rFonts w:ascii="宋体" w:hAnsi="宋体" w:hint="eastAsia"/>
            <w:noProof/>
            <w:sz w:val="24"/>
          </w:rPr>
          <w:t>五、相关服务机构</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_Toc210896110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27</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1" w:history="1">
        <w:r w:rsidRPr="00F05D82">
          <w:rPr>
            <w:rStyle w:val="aa"/>
            <w:rFonts w:ascii="宋体" w:hAnsi="宋体" w:hint="eastAsia"/>
            <w:noProof/>
            <w:sz w:val="24"/>
          </w:rPr>
          <w:t>六、基金的募集</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_Toc210896111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55</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2" w:history="1">
        <w:r w:rsidRPr="00F05D82">
          <w:rPr>
            <w:rStyle w:val="aa"/>
            <w:rFonts w:ascii="宋体" w:hAnsi="宋体" w:hint="eastAsia"/>
            <w:noProof/>
            <w:sz w:val="24"/>
          </w:rPr>
          <w:t>七、基金合同的生效</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_Toc210896112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56</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3" w:history="1">
        <w:r w:rsidRPr="00F05D82">
          <w:rPr>
            <w:rStyle w:val="aa"/>
            <w:rFonts w:ascii="宋体" w:hAnsi="宋体" w:hint="eastAsia"/>
            <w:noProof/>
            <w:sz w:val="24"/>
          </w:rPr>
          <w:t>八、基金份额的申购与赎回</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_Toc210896113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57</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4" w:history="1">
        <w:r w:rsidRPr="00F05D82">
          <w:rPr>
            <w:rStyle w:val="aa"/>
            <w:rFonts w:ascii="宋体" w:hAnsi="宋体" w:hint="eastAsia"/>
            <w:noProof/>
            <w:sz w:val="24"/>
          </w:rPr>
          <w:t>九、基金的转换</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_Toc210896114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71</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5" w:history="1">
        <w:r w:rsidRPr="00F05D82">
          <w:rPr>
            <w:rStyle w:val="aa"/>
            <w:rFonts w:ascii="宋体" w:hAnsi="宋体" w:hint="eastAsia"/>
            <w:noProof/>
            <w:sz w:val="24"/>
          </w:rPr>
          <w:t>十、基金的投资</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_Toc210896115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78</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6" w:history="1">
        <w:r w:rsidRPr="00F05D82">
          <w:rPr>
            <w:rStyle w:val="aa"/>
            <w:rFonts w:ascii="宋体" w:hAnsi="宋体" w:hint="eastAsia"/>
            <w:noProof/>
            <w:sz w:val="24"/>
          </w:rPr>
          <w:t>十一、基金的业绩</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_Toc210896116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89</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7" w:history="1">
        <w:r w:rsidRPr="00F05D82">
          <w:rPr>
            <w:rStyle w:val="aa"/>
            <w:rFonts w:ascii="宋体" w:hAnsi="宋体" w:hint="eastAsia"/>
            <w:noProof/>
            <w:sz w:val="24"/>
          </w:rPr>
          <w:t>十二、基金的财产</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_Toc210896117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94</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8" w:history="1">
        <w:r w:rsidRPr="00F05D82">
          <w:rPr>
            <w:rStyle w:val="aa"/>
            <w:rFonts w:ascii="宋体" w:hAnsi="宋体" w:hint="eastAsia"/>
            <w:noProof/>
            <w:sz w:val="24"/>
          </w:rPr>
          <w:t>十三、基金资产的估值</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_Toc210896118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95</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19" w:history="1">
        <w:r w:rsidRPr="00F05D82">
          <w:rPr>
            <w:rStyle w:val="aa"/>
            <w:rFonts w:ascii="宋体" w:hAnsi="宋体" w:hint="eastAsia"/>
            <w:noProof/>
            <w:sz w:val="24"/>
          </w:rPr>
          <w:t>十四、基金收益与分配</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_Toc210896119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102</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0" w:history="1">
        <w:r w:rsidRPr="00F05D82">
          <w:rPr>
            <w:rStyle w:val="aa"/>
            <w:rFonts w:ascii="宋体" w:hAnsi="宋体" w:hint="eastAsia"/>
            <w:noProof/>
            <w:sz w:val="24"/>
          </w:rPr>
          <w:t>十五、基金的费用与税收</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_Toc210896120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104</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1" w:history="1">
        <w:r w:rsidRPr="00F05D82">
          <w:rPr>
            <w:rStyle w:val="aa"/>
            <w:rFonts w:ascii="宋体" w:hAnsi="宋体" w:hint="eastAsia"/>
            <w:noProof/>
            <w:sz w:val="24"/>
          </w:rPr>
          <w:t>十六、基金的会计与审计</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_Toc210896121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107</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2" w:history="1">
        <w:r w:rsidRPr="00F05D82">
          <w:rPr>
            <w:rStyle w:val="aa"/>
            <w:rFonts w:ascii="宋体" w:hAnsi="宋体" w:hint="eastAsia"/>
            <w:noProof/>
            <w:sz w:val="24"/>
          </w:rPr>
          <w:t>十七、基金的信息披露</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_Toc210896122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108</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3" w:history="1">
        <w:r w:rsidRPr="00F05D82">
          <w:rPr>
            <w:rStyle w:val="aa"/>
            <w:rFonts w:ascii="宋体" w:hAnsi="宋体" w:hint="eastAsia"/>
            <w:noProof/>
            <w:sz w:val="24"/>
          </w:rPr>
          <w:t>十八、风险揭示</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_Toc210896123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115</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4" w:history="1">
        <w:r w:rsidRPr="00F05D82">
          <w:rPr>
            <w:rStyle w:val="aa"/>
            <w:rFonts w:ascii="宋体" w:hAnsi="宋体" w:hint="eastAsia"/>
            <w:noProof/>
            <w:sz w:val="24"/>
          </w:rPr>
          <w:t>十九、基金合同的变更、终止与基金财产的清算</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_Toc210896124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124</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5" w:history="1">
        <w:r w:rsidRPr="00F05D82">
          <w:rPr>
            <w:rStyle w:val="aa"/>
            <w:rFonts w:ascii="宋体" w:hAnsi="宋体" w:hint="eastAsia"/>
            <w:noProof/>
            <w:sz w:val="24"/>
          </w:rPr>
          <w:t>二十、基金合同内容摘要</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_Toc210896125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126</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6" w:history="1">
        <w:r w:rsidRPr="00F05D82">
          <w:rPr>
            <w:rStyle w:val="aa"/>
            <w:rFonts w:ascii="宋体" w:hAnsi="宋体" w:hint="eastAsia"/>
            <w:noProof/>
            <w:sz w:val="24"/>
          </w:rPr>
          <w:t>二十一、托管协议的内容摘要</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_Toc210896126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142</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7" w:history="1">
        <w:r w:rsidRPr="00F05D82">
          <w:rPr>
            <w:rStyle w:val="aa"/>
            <w:rFonts w:ascii="宋体" w:hAnsi="宋体" w:hint="eastAsia"/>
            <w:noProof/>
            <w:sz w:val="24"/>
          </w:rPr>
          <w:t>二十二、对基金份额持有人的服务</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_Toc210896127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160</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8" w:history="1">
        <w:r w:rsidRPr="00F05D82">
          <w:rPr>
            <w:rStyle w:val="aa"/>
            <w:rFonts w:ascii="宋体" w:hAnsi="宋体" w:hint="eastAsia"/>
            <w:noProof/>
            <w:sz w:val="24"/>
          </w:rPr>
          <w:t>二十三、其他应披露事项</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_Toc210896128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162</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29" w:history="1">
        <w:r w:rsidRPr="00F05D82">
          <w:rPr>
            <w:rStyle w:val="aa"/>
            <w:rFonts w:ascii="宋体" w:hAnsi="宋体" w:hint="eastAsia"/>
            <w:noProof/>
            <w:sz w:val="24"/>
          </w:rPr>
          <w:t>二十四、招募说明书的存放及查阅方式</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_Toc210896129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168</w:t>
        </w:r>
        <w:r w:rsidRPr="00F05D82">
          <w:rPr>
            <w:rFonts w:ascii="宋体" w:hAnsi="宋体"/>
            <w:noProof/>
            <w:sz w:val="24"/>
          </w:rPr>
          <w:fldChar w:fldCharType="end"/>
        </w:r>
      </w:hyperlink>
    </w:p>
    <w:p w:rsidR="00F05D82" w:rsidRPr="00F05D82" w:rsidRDefault="00F05D82" w:rsidP="00F05D82">
      <w:pPr>
        <w:pStyle w:val="10"/>
        <w:tabs>
          <w:tab w:val="right" w:leader="dot" w:pos="8550"/>
        </w:tabs>
        <w:spacing w:line="360" w:lineRule="auto"/>
        <w:rPr>
          <w:rFonts w:ascii="宋体" w:hAnsi="宋体" w:cstheme="minorBidi"/>
          <w:noProof/>
          <w:sz w:val="24"/>
        </w:rPr>
      </w:pPr>
      <w:hyperlink w:anchor="_Toc210896130" w:history="1">
        <w:r w:rsidRPr="00F05D82">
          <w:rPr>
            <w:rStyle w:val="aa"/>
            <w:rFonts w:ascii="宋体" w:hAnsi="宋体" w:hint="eastAsia"/>
            <w:noProof/>
            <w:sz w:val="24"/>
          </w:rPr>
          <w:t>二十五、备查文件</w:t>
        </w:r>
        <w:r w:rsidRPr="00F05D82">
          <w:rPr>
            <w:rFonts w:ascii="宋体" w:hAnsi="宋体"/>
            <w:noProof/>
            <w:sz w:val="24"/>
          </w:rPr>
          <w:tab/>
        </w:r>
        <w:r w:rsidRPr="00F05D82">
          <w:rPr>
            <w:rFonts w:ascii="宋体" w:hAnsi="宋体"/>
            <w:noProof/>
            <w:sz w:val="24"/>
          </w:rPr>
          <w:fldChar w:fldCharType="begin"/>
        </w:r>
        <w:r w:rsidRPr="00F05D82">
          <w:rPr>
            <w:rFonts w:ascii="宋体" w:hAnsi="宋体"/>
            <w:noProof/>
            <w:sz w:val="24"/>
          </w:rPr>
          <w:instrText xml:space="preserve"> PAGEREF _Toc210896130 \h </w:instrText>
        </w:r>
        <w:r w:rsidRPr="00F05D82">
          <w:rPr>
            <w:rFonts w:ascii="宋体" w:hAnsi="宋体"/>
            <w:noProof/>
            <w:sz w:val="24"/>
          </w:rPr>
        </w:r>
        <w:r w:rsidRPr="00F05D82">
          <w:rPr>
            <w:rFonts w:ascii="宋体" w:hAnsi="宋体"/>
            <w:noProof/>
            <w:sz w:val="24"/>
          </w:rPr>
          <w:fldChar w:fldCharType="separate"/>
        </w:r>
        <w:r w:rsidRPr="00F05D82">
          <w:rPr>
            <w:rFonts w:ascii="宋体" w:hAnsi="宋体"/>
            <w:noProof/>
            <w:sz w:val="24"/>
          </w:rPr>
          <w:t>169</w:t>
        </w:r>
        <w:r w:rsidRPr="00F05D82">
          <w:rPr>
            <w:rFonts w:ascii="宋体" w:hAnsi="宋体"/>
            <w:noProof/>
            <w:sz w:val="24"/>
          </w:rPr>
          <w:fldChar w:fldCharType="end"/>
        </w:r>
      </w:hyperlink>
    </w:p>
    <w:p w:rsidR="007B07F8" w:rsidRPr="00F05D82" w:rsidRDefault="00F05D82" w:rsidP="00F05D82">
      <w:pPr>
        <w:pStyle w:val="ad"/>
        <w:snapToGrid w:val="0"/>
        <w:spacing w:after="240" w:line="360" w:lineRule="auto"/>
        <w:jc w:val="center"/>
        <w:rPr>
          <w:rFonts w:ascii="宋体" w:hAnsi="宋体"/>
          <w:color w:val="000000"/>
          <w:sz w:val="24"/>
        </w:rPr>
      </w:pPr>
      <w:r w:rsidRPr="00F05D82">
        <w:rPr>
          <w:rFonts w:ascii="宋体" w:hAnsi="宋体"/>
          <w:color w:val="000000"/>
          <w:position w:val="-4"/>
          <w:sz w:val="24"/>
          <w:szCs w:val="30"/>
        </w:rPr>
        <w:fldChar w:fldCharType="end"/>
      </w:r>
      <w:bookmarkStart w:id="3" w:name="_GoBack"/>
      <w:bookmarkEnd w:id="3"/>
    </w:p>
    <w:p w:rsidR="007B07F8" w:rsidRDefault="007B07F8">
      <w:pPr>
        <w:autoSpaceDE w:val="0"/>
        <w:autoSpaceDN w:val="0"/>
        <w:adjustRightInd w:val="0"/>
        <w:snapToGrid w:val="0"/>
        <w:spacing w:line="360" w:lineRule="auto"/>
        <w:ind w:left="120" w:rightChars="6" w:right="13"/>
        <w:rPr>
          <w:rFonts w:ascii="宋体" w:hAnsi="宋体"/>
          <w:kern w:val="0"/>
          <w:szCs w:val="24"/>
        </w:rPr>
        <w:sectPr w:rsidR="007B07F8">
          <w:pgSz w:w="11920" w:h="16840"/>
          <w:pgMar w:top="1480" w:right="1680" w:bottom="280" w:left="1680" w:header="0" w:footer="1073" w:gutter="0"/>
          <w:cols w:space="720"/>
        </w:sectPr>
      </w:pPr>
    </w:p>
    <w:p w:rsidR="007B07F8" w:rsidRDefault="004301FF">
      <w:pPr>
        <w:pStyle w:val="1"/>
        <w:snapToGrid w:val="0"/>
        <w:spacing w:beforeLines="0" w:before="240" w:after="240"/>
        <w:rPr>
          <w:rFonts w:ascii="宋体" w:hAnsi="宋体"/>
          <w:szCs w:val="30"/>
        </w:rPr>
      </w:pPr>
      <w:bookmarkStart w:id="4" w:name="_Toc210896106"/>
      <w:r>
        <w:rPr>
          <w:rFonts w:ascii="Times New Roman" w:hAnsi="Times New Roman"/>
          <w:sz w:val="30"/>
        </w:rPr>
        <w:lastRenderedPageBreak/>
        <w:t>一、绪言</w:t>
      </w:r>
      <w:bookmarkEnd w:id="4"/>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创业板50指数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相关法律法规的规定以及《交银施罗德创业板50指数型证券投资基金基金合同》（以下简称“基金合同”）编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5" w:name="_Toc210896107"/>
      <w:r>
        <w:rPr>
          <w:rFonts w:ascii="Times New Roman" w:hAnsi="Times New Roman"/>
          <w:sz w:val="30"/>
        </w:rPr>
        <w:lastRenderedPageBreak/>
        <w:t>二、释义</w:t>
      </w:r>
      <w:bookmarkEnd w:id="5"/>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1、基金或本基金：指交银施罗德创业板50指数型证券投资基金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4、基金合同或《基金合同》：指《交银施罗德创业板50指数型证券投资基金基金合同》及对基金合同的任何有效修订和补充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5、托管协议：指基金管理人与基金托管人就本基金签订之《交银施罗德创业板50指数型证券投资基金托管协议》及对该托管协议的任何有效修订和补充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6、招募说明书、本招募说明书或《招募说明书》：指《交银施罗德创业板50指数型证券投资基金招募说明书》及其更新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7、基金份额发售公告：指《交银施罗德创业板50指数型证券投资基金基金份额发售公告》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8、基金产品资料概要：指《交银施罗德创业板50指数型证券投资基金基金产品资料概要》及其更新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14、《流动性风险管理规定》：指中国证监会2017年8月31日颁布、同年10月1日实施的《公开募集开放式证券投资基金流动性风险管理规定》及颁布机关对其不时做出的修订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15、《指数基金指引》：指中国证监会2021年1月22日颁布、同年2月1日实施的《公开募集证券投资基金运作指引第3号——指数基金指引》及颁布机关对其不时做出的修订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26、销售机构：指交银施罗德基金管理有限公司以及符合《销售办法》和中国证监会规定的其他条件，取得基金销售业务资格并与基金管理人签订了基金销售服务协议，办理基金销售业务的机构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28、登记机构：指办理登记业务的机构。基金的登记机构为交银施罗德基金管理有限公司或接受交银施罗德基金管理有限公司委托代为办理登记业务的机构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30、基金交易账户：指销售机构为投资人开立的、记录投资人通过该销售机构办理认购、申购、赎回、转换及转托管等业务而引起的基金份额变动及结余情况的账户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31、基金合同生效日：指基金募集达到法律法规规定及基金合同规定的条件，基金管理人向中国证监会办理基金备案手续完毕，并获得中国证监会书面确认的日期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33、基金募集期：指自基金份额发售之日起至发售结束之日止的期间，最长不得超过3个月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34、存续期：指基金合同生效至终止之间的不定期期限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43、赎回：指基金合同生效后，基金份额持有人按基金合同和招募说明书规定的条件要求将基金份额兑换为现金的行为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50、基金资产总值：指基金拥有的各类有价证券、银行存款本息、基金应收申购款及其他资产的价值总和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56、基金份额类别：指本基金将基金份额分为不同的类别。非针对个人养老金投资基金业务设立的基金份额，分为A类基金份额和C类基金份额；针对个人养老金投资基金业务设立的基金份额，为Y类基金份额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57、A类基金份额：指在投资人认购/申购时收取认购/申购费用、赎回时收取赎回费用且不从本类别基金资产中计提销售服务费的基金份额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58、C类基金份额：指在投资人认购/申购时不收取认购/申购费用、赎回时收取赎回费用，并从本类别基金资产中计提销售服务费的基金份额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59、标的指数：指创业板50指数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6" w:name="_Toc210896108"/>
      <w:r>
        <w:rPr>
          <w:rFonts w:ascii="Times New Roman" w:hAnsi="Times New Roman"/>
          <w:sz w:val="30"/>
        </w:rPr>
        <w:lastRenderedPageBreak/>
        <w:t>三、基金管理人</w:t>
      </w:r>
      <w:bookmarkEnd w:id="6"/>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16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上证180公司治理交易型开放式指数证券投资基金(2012年12月27日至2021年04月30日)、深证300价值交易型开放式指数证券投资基金(2012年12月27日至2021年04月30日)、交银施罗德深证300价值交易型开放式指数证券投资基金联接基金(2012年12月27日至2021年04月30日)、交银施罗德沪深300行业分层等权重指数证券投资基金(2012年12月27日至2015年06月30日)、交银施罗德消费新驱动股票型证券投资基金(2012年12月27日至2015年06月30日)、交银施罗德上证180公司治理交易型开放式指数证券投资基金联接基金(2012年12月27日至2021年04月30日)、交银施罗德国证新能源指数证券投资基金（LOF）(2015年03月26日至2021年04月30日)、交银施罗德全球自然资源证券投资基金(2015年04月22日至2017年03月24日)、交银施罗德环球精选价值证券投资基金(2015年04月22日至2017年03月24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w:t>
      </w:r>
      <w:r>
        <w:rPr>
          <w:rFonts w:ascii="宋体" w:hAnsi="宋体"/>
          <w:sz w:val="24"/>
        </w:rPr>
        <w:lastRenderedPageBreak/>
        <w:t>(2018年05月18日至2020年07月17日)、交银施罗德创业板50指数型证券投资基金(2019年11月20日至2021年04月30日)、交银施罗德养老目标日期2035三年持有期混合型基金中基金（FOF）(2021年04月30日至2025年01月22日)、交银施罗德安享稳健养老目标一年持有期混合型基金中基金（FOF）(2021年04月30日至2025年01月22日)的基金经理。现任交银施罗德上证180公司治理交易型开放式指数证券投资基金联接基金(2025年02月27日至今)、交银施罗德创业板50指数型证券投资基金(2025年02月27日至今)、交银施罗德中证海外中国互联网指数型证券投资基金(LOF)(2025年02月27日至今)、上证180公司治理交易型开放式指数证券投资基金(2025年02月27日至今)、交银施罗德中证红利低波动100指数型证券投资基金(2025年02月27日至今)的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深证300价值交易型开放式指数证券投资基金(2021年04月30日至今)、上证180公司治理交易型开放式指数证券投资基金(2021年04月30日至今)、交银施罗德上证180公司治理交易型开放式指数证券投资基金联接基金(2021年04月30日至今)、交银施罗德深证300价值交易型开放式指数证券投资基金联接基金(2021年04月30日至今)、交银施罗德国证新能源指数证券投资基金（LOF）(2021年04月30日至今)、交银施罗德中证环境治理指数型证券投资基金(LOF)(2021年04月30日至今)、交银施罗德中证海外中国互联网指数型证券投资基金(LOF)(2021年04月30日至今)、交银施罗德创业板50指数型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蔡铮先生(2019年11月20日至2021年04月30日)。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委员：袁庆伟（总经理）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（3）利用基金财产为基金份额持有人以外的第三人牟取利益；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（5）成本效益原则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w:t>
      </w:r>
      <w:r>
        <w:rPr>
          <w:rFonts w:ascii="宋体" w:hAnsi="宋体"/>
          <w:sz w:val="24"/>
        </w:rPr>
        <w:lastRenderedPageBreak/>
        <w:t>及管理目标，对公司内部控制体系的适当性及运行的效果和效率进行独立评价，协助促进公司风险管理、控制和治理过程的完善，实现合规经营目标。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w:t>
      </w:r>
      <w:r>
        <w:rPr>
          <w:rFonts w:ascii="宋体" w:hAnsi="宋体"/>
          <w:sz w:val="24"/>
        </w:rPr>
        <w:lastRenderedPageBreak/>
        <w:t>指数趋势、行业及个券的风险，以便公司及时采取有效的措施，对风险进行分散、控制和规避，尽可能地减少损失。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7" w:name="_Toc210896109"/>
      <w:r>
        <w:rPr>
          <w:rFonts w:ascii="Times New Roman" w:hAnsi="Times New Roman"/>
          <w:sz w:val="30"/>
        </w:rPr>
        <w:lastRenderedPageBreak/>
        <w:t>四、基金托管人</w:t>
      </w:r>
      <w:bookmarkEnd w:id="7"/>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8" w:name="_Toc210896110"/>
      <w:r>
        <w:rPr>
          <w:rFonts w:ascii="Times New Roman" w:hAnsi="Times New Roman"/>
          <w:sz w:val="30"/>
        </w:rPr>
        <w:lastRenderedPageBreak/>
        <w:t>五、相关服务机构</w:t>
      </w:r>
      <w:bookmarkEnd w:id="8"/>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个人投资者可以通过基金管理人网上直销交易平台办理开户、本基金A类基金份额和C类基金份额的申购、赎回、定期定额投资、转换等业务，具体交易细则请参阅本公司网站。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本基金A类基金份额和C类基金份额除直销机构外的其他销售机构：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（3）名称：中国光大银行股份有限公司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办公地址：深圳市深南东路5047号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联系人：贺倩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（9）名称：中国邮政储蓄银行股份有限公司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（10）名称：国信证券股份有限公司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（11）名称：德邦证券股份有限公司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（12）名称：国投证券股份有限公司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办公地址：深圳市福田区福田街道福华一路119号安信金融大厦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（13）名称：中信建投证券股份有限公司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（14）名称：中原证券股份有限公司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（15）名称：西部证券股份有限公司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网址：www.west95582.com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（16）名称：国金证券股份有限公司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（17）名称：方正证券股份有限公司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（18）名称：方正中期期货有限公司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住所：北京市石景山区金府路32号院3号楼5层512室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办公地址：北京市朝阳区东三环北路38号院1号泰康金融大厦22层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法定代表人：姜志军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联系电话：010-85881211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传真：010-85881394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联系人：罗雯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客户服务电话：4008802277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网址：www.founderfu.com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（19）名称：广发证券股份有限公司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办公地址：广州市天河区马场路26号广发证券大厦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（20）名称：华宝证券股份有限公司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（21）名称：中邮证券有限责任公司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（22）名称：开源证券股份有限公司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联系人：赵东会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（24）名称：华西证券股份有限公司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（25）名称：中国中金财富证券有限公司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（26）名称：南京证券股份有限公司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（27）名称：财通证券股份有限公司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（28）名称：东莞证券股份有限公司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法定代表人：杨玉成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（31）名称：中信证券（山东）有限责任公司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（33）名称：中信证券华南股份有限公司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（34）名称：中国银河证券股份有限公司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（35）名称：中泰证券股份有限公司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（36）名称：长城证券有限责任公司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传真：（0755）83516199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（37）名称：国泰海通证券股份有限公司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（38）名称：招商证券股份有限公司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（39）名称：华龙证券股份有限公司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网址：www.hlzqgs.com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（40）名称：海通证券股份有限公司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（41）名称：兴业证券股份有限公司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（42）名称：华泰证券股份有限公司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（43）名称：东方证券股份有限公司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电话：（021）63325888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（44）名称：深圳市新兰德证券投资咨询有限公司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（45）名称：大连网金基金销售有限公司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（46）名称：阳光人寿保险股份有限公司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（47）名称：玄元保险代理有限公司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（48）名称：京东肯特瑞基金销售有限公司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（49）名称：上海大智慧基金销售有限公司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（50）名称：珠海盈米基金销售有限公司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住所：珠海市横琴新区宝华路6号105室-3491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（51）名称：上海华夏财富投资管理有限公司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（52）名称：北京度小满基金销售有限公司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（53）名称：南京苏宁基金销售有限公司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电话：025-66996699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（54）名称：嘉实财富管理有限公司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（55）名称：北京汇成基金销售有限公司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（56）名称：上海利得基金销售有限公司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客服电话：400-032-5885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（57）名称：北京虹点基金销售有限公司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（58）名称：上海陆金所基金销售有限公司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（59）名称：上海挖财基金销售有限公司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（60）名称：上海万得基金销售有限公司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（61）名称：格上富信投资顾问有限公司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（62）名称：北京雪球基金销售有限公司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（63）名称：北京新浪仓石基金销售有限公司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办公地址：北京市海淀区东北旺西路中关村软件园二期（西扩）N-1、N-2地块新浪总部科研楼5层518室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（64）名称：中证金牛（北京）基金销售有限公司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（65）名称：奕丰基金销售有限公司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（66）名称：上海天天基金销售有限公司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电话：（021）54509998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（67）名称：和讯信息科技有限公司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（68）名称：诺亚正行基金销售有限公司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（69）名称：上海好买基金销售有限公司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网址：www.howbuy.com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（70）名称：上海长量基金销售有限公司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（71）名称：深圳众禄基金销售股份有限公司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（72）名称：蚂蚁（杭州）基金销售有限公司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（73）名称：上海基煜基金销售有限公司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（74）名称：浙江同花顺基金销售有限公司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（76）名称：上海联泰基金销售有限公司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电话：021-52822063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（77）名称：泛华普益基金销售有限公司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（78）名称：北京展恒基金销售股份有限公司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（79）名称：和耕传承基金销售有限公司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联系人：胡静华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（80）名称：腾安基金销售（深圳）有限公司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（81）名称：北京创金启富基金销售有限公司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（82）名称：济安财富（北京）基金销售有限公司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（83）名称：博时财富基金销售有限公司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（84）名称：深圳前海微众银行股份有限公司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（85）名称：上海中欧财富基金销售有限公司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（86）名称：中信期货有限公司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w:t>
      </w:r>
      <w:r>
        <w:rPr>
          <w:rFonts w:ascii="宋体" w:hAnsi="宋体"/>
          <w:sz w:val="24"/>
        </w:rPr>
        <w:lastRenderedPageBreak/>
        <w:t>室、14层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（87）名称：中国人寿保险股份有限公司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（88）名称：上海攀赢基金销售有限公司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本基金Y类基金份额的销售机构详见基金管理人网站公示或相关公告。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住所：上海市银城中路68号时代金融中心19楼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9" w:name="_Toc210896111"/>
      <w:r>
        <w:rPr>
          <w:rFonts w:ascii="Times New Roman" w:hAnsi="Times New Roman"/>
          <w:sz w:val="30"/>
        </w:rPr>
        <w:lastRenderedPageBreak/>
        <w:t>六、基金的募集</w:t>
      </w:r>
      <w:bookmarkEnd w:id="9"/>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本基金由基金管理人依照《基金法》、《运作办法》、《销售办法》、基金合同及其他有关规定，并经中国证监会2019年4月28日证监许可【2019】 845号文准予募集注册。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本基金为契约型开放式股票型证券投资基金。基金的存续期间为不定期。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本基金自2019年10月25日 至2019年11月15日进行发售，本基金设立募集期共募集1,369,589,735.40份基金份额，有效认购户数为12,185户。</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0" w:name="_Toc210896112"/>
      <w:r>
        <w:rPr>
          <w:rFonts w:ascii="Times New Roman" w:hAnsi="Times New Roman"/>
          <w:sz w:val="30"/>
        </w:rPr>
        <w:lastRenderedPageBreak/>
        <w:t>七、基金合同的生效</w:t>
      </w:r>
      <w:bookmarkEnd w:id="10"/>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根据有关规定，本基金满足基金合同生效条件，基金合同已于2019年11月20日正式生效。自基金合同生效之日起，本基金管理人正式开始管理本基金。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1" w:name="_Toc210896113"/>
      <w:r>
        <w:rPr>
          <w:rFonts w:ascii="Times New Roman" w:hAnsi="Times New Roman"/>
          <w:sz w:val="30"/>
        </w:rPr>
        <w:lastRenderedPageBreak/>
        <w:t>八、基金份额的申购与赎回</w:t>
      </w:r>
      <w:bookmarkEnd w:id="11"/>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住所：上海市浦东新区银城中路188号交通银行大楼二层（裙）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本基金A类基金份额和C类基金份额已于2020年1月6日起开放申购、赎回业务。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本基金Y类基金份额已于2024年12月13日起开放申购、赎回业务。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本基金基金份额分为A类基金份额、C类基金份额和Y类基金份额，投资人申购A类基金份额和Y类基金份额在申购时支付申购费用，申购C类基金份额不支付申购费</w:t>
      </w:r>
      <w:r>
        <w:rPr>
          <w:rFonts w:ascii="宋体" w:hAnsi="宋体"/>
          <w:sz w:val="24"/>
        </w:rPr>
        <w:lastRenderedPageBreak/>
        <w:t>用，而是从该类别基金资产中计提销售服务费。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A类基金份额和Y类基金份额的申购费用由该类基金份额申购人承担，不列入基金财产，主要用于本基金的市场推广、销售、登记结算等各项费用。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07F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A/Y</w:t>
            </w:r>
            <w:r>
              <w:rPr>
                <w:rFonts w:ascii="Times New Roman" w:hAnsi="Times New Roman"/>
                <w:color w:val="000000"/>
                <w:kern w:val="0"/>
                <w:sz w:val="25"/>
                <w:szCs w:val="24"/>
              </w:rPr>
              <w:t>类基金份额申购费率</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因红利自动再投资而产生的该类基金份额，不收取相应的申购费用。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本基金对通过基金管理人直销柜台申购A类基金份额的非个人养老金客户实施特定申购费率。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如将来出现经养老基金监管部门认可的新的养老基金类型，基金管理人可在招募说明书更新或发布临时公告将其纳入非个人养老金客户范围，并按规定向中国证监会备案。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7B07F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或Y类基金份额收取赎回费用，该费用随基金份额的持有时间递减。本基金各类基金份额的赎回费用由赎回该类基金份额的基金份额持有人承担，在基金份额持有人赎回基金份额时收取。对于持续持有期间少于7日的投资者收取的赎回费全额计入基金财产，对于持续持有期间大于等于7日的投资人收取的赎回费总额的25%应归基金财产，其余用于支付登记费和其他必要的手续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07F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日（含）</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w:t>
            </w:r>
            <w:r>
              <w:rPr>
                <w:rFonts w:ascii="Times New Roman" w:hAnsi="Times New Roman"/>
                <w:color w:val="000000"/>
                <w:kern w:val="0"/>
                <w:sz w:val="25"/>
                <w:szCs w:val="24"/>
              </w:rPr>
              <w:t>-180</w:t>
            </w:r>
            <w:r>
              <w:rPr>
                <w:rFonts w:ascii="Times New Roman" w:hAnsi="Times New Roman"/>
                <w:color w:val="000000"/>
                <w:kern w:val="0"/>
                <w:sz w:val="25"/>
                <w:szCs w:val="24"/>
              </w:rPr>
              <w:t>日（含）</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r>
              <w:rPr>
                <w:rFonts w:ascii="Times New Roman" w:hAnsi="Times New Roman"/>
                <w:color w:val="000000"/>
                <w:kern w:val="0"/>
                <w:sz w:val="25"/>
                <w:szCs w:val="24"/>
              </w:rPr>
              <w:t>日以上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07F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日（含）</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07F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Y</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07F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（1）申购的各类基金份额的有效份额为净申购金额除以当日该类基金份额的基金份额净值，有效份额单位为份，申购份额计算结果按四舍五入方法，保留到小数点后2位，由此产生的收益或损失由基金财产承担。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各类基金份额的赎回金额为按实际确认的有效赎回份额乘以当日该类基金份额的基金份额净值并扣除相应的费用，赎回金额单位为元。赎回金额计算结果按四舍五入方法，保留到小数点后2位，由此产生的收益或损失由基金财产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（1）A类基金份额和Y类基金份额的申购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T日A类或Y类基金份额净值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例四：某投资者投资100,000元申购本基金的A类基金份额，假设申购当日A类基金份额净值为1.0400元，申购费率为1.2%，则其可得到的申购份额为：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净申购金额=100,000/（1+1.2%）=98,814.23元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申购费用=100,000-98,814.23=1185.77元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即：某投资者投资100,000元申购本基金A类基金份额，假设申购当日A类基金份额净值为1.0400元，则其可得到95,013.68份A类基金份额。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例五：某非个人养老金客户投资100,000元通过基金管理人的直销柜台申购本</w:t>
      </w:r>
      <w:r>
        <w:rPr>
          <w:rFonts w:ascii="宋体" w:hAnsi="宋体"/>
          <w:sz w:val="24"/>
        </w:rPr>
        <w:lastRenderedPageBreak/>
        <w:t>基金的A类基金份额，假设申购当日A类基金份额净值为1.0400元，申购费率为0.24%，则其可得到的申购份额为：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净申购金额=100,000/（1+0.24%）=99,760.57元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申购费用=100,000-99,760.57=239.43元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申购份额=（100,000-239.43）/1.0400=95,923.63份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即：该非个人养老金客户投资100,000元通过基金管理人的直销柜台申购本基金的A类基金份额，假设申购当日A类基金份额净值为1.0400元，则其可得到95,923.63份A类基金份额。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例七：某投资者赎回100,000份A类基金份额，持有20日，对应的赎回费率为0.3%，假设赎回当日A类基金份额净值是1.0160元，则其可得到的赎回金额为：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赎回费用=100,000×1.0160×0.3%＝304.80元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赎回金额=100,000×1.0160-304.80＝101,295.20元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即：投资者赎回100,000份A类基金份额，对应的赎回费率为0.3%，假设赎回当日A类基金份额净值是1.0160元，则其可得到的赎回金额为101,295.20元。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投资者赎回C类基金份额，赎回金额的计算方法如下：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例八：某投资者赎回100,000份C类基金份额，持有20日，对应的赎回费率为0.1%，假设赎回当日C类基金份额净值是1.0160元，则其可得到的赎回金额为：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即：投资者赎回100,000份C类基金份额，对应的赎回费率为0.1%，假设赎回当日C类基金份额净值是1.0160元，则其可得到的赎回金额为101,498.40元。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（3）Y类基金份额的赎回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如果投资者赎回Y类基金份额，则赎回金额的计算方法如下：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赎回费用=赎回份额×T日Y类基金份额净值×赎回费率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赎回金额=赎回份额×T日Y类基金份额净值-赎回费用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例九：某投资者赎回100,000份Y类基金份额，持有20日，对应的赎回费率为0，假设赎回当日Y类基金份额净值是1.0160元，则其可得到的赎回金额为：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赎回金额=100,000×1.0160-0＝101,600.00元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即：投资者赎回100,000份Y类基金份额，对应的赎回费率为0，假设赎回当日Y类基金份额净值是1.0160元，则其可得到的赎回金额为101,600.00元。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Y类基金份额净值＝Y类基金份额的基金资产净值总额/发行在外的Y类基金份额总数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（八）拒绝或暂停申购的情形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3、证券/期货交易所交易时间非正常停市，导致基金管理人无法计算当日基金资产净值。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6、指数编制单位或指数发布机构因异常情况使指数数据无法正常计算、计算错误或发布异常时。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w:t>
      </w:r>
      <w:r>
        <w:rPr>
          <w:rFonts w:ascii="宋体" w:hAnsi="宋体"/>
          <w:sz w:val="24"/>
        </w:rPr>
        <w:lastRenderedPageBreak/>
        <w:t>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1、发生上述暂停申购或赎回情况的，基金管理人应在规定期限内在规定媒介上刊登暂停公告。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法律法规对Y类基金份额的继承等事项另有规定的，按法律法规的规定执行。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1月3日刊登公告自2020年1月6日起开通A类基金份额和C类基金份额定期定额投资计划业务，2024年12月13日刊登公告自2024年12月13日起开通Y类基金份额定期定额投资计划业务，具体开通销售机构名单和业务规则参见相关公</w:t>
      </w:r>
      <w:r>
        <w:rPr>
          <w:rFonts w:ascii="宋体" w:hAnsi="宋体"/>
          <w:sz w:val="24"/>
        </w:rPr>
        <w:lastRenderedPageBreak/>
        <w:t>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（十七）其他业务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2" w:name="_Toc210896114"/>
      <w:r>
        <w:rPr>
          <w:rFonts w:ascii="Times New Roman" w:hAnsi="Times New Roman"/>
          <w:sz w:val="30"/>
        </w:rPr>
        <w:lastRenderedPageBreak/>
        <w:t>九、基金的转换</w:t>
      </w:r>
      <w:bookmarkEnd w:id="12"/>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1月10日刊登公告自2020年1月13日起开放A类基金份额、C类基金份额的日常转换业务。办理基金间转换的时间为上海证券交易所、深圳证券交易所交易日。若出现新的证券交易市场或交易所交易时间更改或其它原因，基金管理人将视情况进行相应的调整并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3" w:name="_Toc210896115"/>
      <w:r>
        <w:rPr>
          <w:rFonts w:ascii="Times New Roman" w:hAnsi="Times New Roman"/>
          <w:sz w:val="30"/>
        </w:rPr>
        <w:lastRenderedPageBreak/>
        <w:t>十、基金的投资</w:t>
      </w:r>
      <w:bookmarkEnd w:id="13"/>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本基金采用指数化投资策略，紧密跟踪创业板50指数，追求跟踪偏离度与跟踪误差最小化。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创业板50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1、组合复制策略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本基金主要采取复制法，即按照标的指数成份股及其权重构建基金的股票投资</w:t>
      </w:r>
      <w:r>
        <w:rPr>
          <w:rFonts w:ascii="宋体" w:hAnsi="宋体"/>
          <w:sz w:val="24"/>
        </w:rPr>
        <w:lastRenderedPageBreak/>
        <w:t>组合，并根据标的指数成份股及其权重的变动对股票投资组合进行相应地调整。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2、替代性策略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对于出现市场流动性不足、因法律法规原因个别成份股被限制投资等情况，导致本基金无法获得足够数量的股票时，基金管理人将通过投资成份股、非成份股、成份股个股衍生品等进行替代。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3、股指期货投资策略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力争控制本基金日均跟踪偏离度的绝对值不超过0.35%，年跟踪误差不超过4%。在条件允许的情况下，本基金也可以适当参与创业板50指数所包含指数成份股以外的其他个股（非标的指数成份股及其备选成份股），以更好地跟踪指数。如因指数编制规则调整或其他因素导致跟踪偏离度和跟踪误差超过上述范围，基金管理人应采取合理措施避免跟踪偏离度、跟踪误差进一步扩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5、存托凭证投资策略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（1）本基金投资于创业板50指数成份股（含存托凭证）及其备选成份股（含</w:t>
      </w:r>
      <w:r>
        <w:rPr>
          <w:rFonts w:ascii="宋体" w:hAnsi="宋体"/>
          <w:sz w:val="24"/>
        </w:rPr>
        <w:lastRenderedPageBreak/>
        <w:t>存托凭证）的比例不低于基金资产净值的90%；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（9）本基金进入全国银行间同业市场进行债券回购的资金余额不得超过基金资产净值的40%，进入全国银行间同业市场进行债券回购的最长期限为1年，债券回购到期后不得展期；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（11）本基金与私募类证券资管产品及中国证监会认定的其他主体为交易对手开展逆回购交易的，可接受质押品的资质要求应当与基金合同约定的投资范围保持一致；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（12）本基金资产总值不超过基金资产净值的140%；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（13）本基金参与股指期货交易，则：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w:t>
      </w:r>
      <w:r>
        <w:rPr>
          <w:rFonts w:ascii="宋体" w:hAnsi="宋体"/>
          <w:sz w:val="24"/>
        </w:rPr>
        <w:lastRenderedPageBreak/>
        <w:t>资产净值的10%；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（14）本基金投资存托凭证的比例限制依照境内上市交易的股票执行；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10）、（11）情形之外，因证券、期货市场波动、证券发行人合并、基金规模变动、标的指数成份股及/或权重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本基金业绩比较基准：创业板50指数收益率×95%＋人民币银行活期存款利率（税后）×5%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本基金是一只股票型基金，其预期风险和预期收益高于混合型基金、债券型基金和货币市场基金。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本基金为指数型基金，主要采用组合复制策略及适当的替代性策略跟踪创业板50指数，具有与标的指数以及标的指数所代表的股票市场相似的风险收益特征。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本基金托管人招商银行股份有限公司根据本基金合同规定，于2025年07月17日复核了本报告中的财务指标、净值表现和投资组合报告等内容，保证复核内容不存在虚假记载、误导性陈述或者重大遗漏。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本报告期自2025年04月01日起至06月30日。本报告财务资料未经审计师审计。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2,400,127,676.53</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92.85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2,400,127,676.53</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92.85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2,839,394.32</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2,839,394.32</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169,855,922.70</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12,236,940.27</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2,585,059,933.82</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1,738,928,125.23</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68.11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181,759,868.09</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7.12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337,609,781.46</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13.22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20,927,056.00</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46,305,089.16</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1.81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48,936,675.84</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1.92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25,499,660.00</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2,399,966,255.78</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93.99</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149,844.05</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I</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11,576.70</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7B07F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161,420.75</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2,317,683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584,566,006.26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22.89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300059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东方财富</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11,278,354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260,868,328.02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10.22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300124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汇川技术</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1,784,919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115,252,219.83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4.51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779,019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113,627,711.34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4.45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迈瑞医疗</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494,743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111,193,489.25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4.35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791,750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100,568,085.00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3.94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300274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阳光电源</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1,318,180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89,333,058.60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3.50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300476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胜宏科技</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551,100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74,056,818.00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2.90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300014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亿纬锂能</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1,137,373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52,103,057.13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300033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同花顺</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184,174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50,281,343.74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1.97</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301275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汉朔科技</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22,307.43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17,014.28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301602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超研股份</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658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16,318.40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15,385.54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301535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浙江华远</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13,938.66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2,839,394.32</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2,839,394.32</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22,931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2,839,394.32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 本基金投资股指期货的投资政策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537,438.50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8,473,058.81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3,226,442.96</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12,236,940.27</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报告期末指数投资前十名股票中存在流通受限情况的说明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流通受限部分的公允价值（元）</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流通受限情况说明</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301275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汉朔科技</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22,307.43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17,014.28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301602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超研股份</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16,318.40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13,842.06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新股未上市</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1,543.48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301535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浙江华远</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13,938.66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4" w:name="_Toc210896116"/>
      <w:r>
        <w:rPr>
          <w:rFonts w:ascii="Times New Roman" w:hAnsi="Times New Roman"/>
          <w:sz w:val="30"/>
        </w:rPr>
        <w:lastRenderedPageBreak/>
        <w:t>十一、基金的业绩</w:t>
      </w:r>
      <w:bookmarkEnd w:id="14"/>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（1）交银创业板50指数A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20.72%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20.37%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2.47%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-21.87%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-22.86%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-28.15%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-28.41%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16.17%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16.25%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85.71%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83.34%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6.14%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（2）交银创业板50指数C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20.37%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2.47%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-22.23%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-22.86%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-28.44%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-28.41%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16.25%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85.00%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83.34%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6.14%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-3.43%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（3）交银创业板50指数Y：</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4.05%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B07F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-2.36%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注：本基金的业绩比较基准为创业板50指数收益率×95%＋人民币银行活期存款利率（税后）×5%，每日进行再平衡过程。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B07F8" w:rsidRDefault="004301F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交银施罗德创业板50指数型证券投资基金</w:t>
      </w:r>
    </w:p>
    <w:p w:rsidR="007B07F8" w:rsidRDefault="004301F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份额累计份额净值增长率与业绩比较基准收益率的历史走势对比图</w:t>
      </w:r>
    </w:p>
    <w:p w:rsidR="007B07F8" w:rsidRDefault="004301F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（2019年11月20日至2025年06月30日）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（1）交银创业板50指数A</w:t>
      </w:r>
    </w:p>
    <w:p w:rsidR="007B07F8" w:rsidRDefault="00F05D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348pt">
            <v:imagedata r:id="rId17" o:title="1521256610242020828"/>
          </v:shape>
        </w:pic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（2）交银创业板50指数C</w:t>
      </w:r>
    </w:p>
    <w:p w:rsidR="007B07F8" w:rsidRDefault="00F05D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348pt">
            <v:imagedata r:id="rId18" o:title="1521256610242020828"/>
          </v:shape>
        </w:pic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（3）交银创业板50指数Y</w:t>
      </w:r>
    </w:p>
    <w:p w:rsidR="007B07F8" w:rsidRDefault="00F05D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348pt">
            <v:imagedata r:id="rId19" o:title="1521256610242020828"/>
          </v:shape>
        </w:pic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5" w:name="_Toc210896117"/>
      <w:r>
        <w:rPr>
          <w:rFonts w:ascii="Times New Roman" w:hAnsi="Times New Roman"/>
          <w:sz w:val="30"/>
        </w:rPr>
        <w:lastRenderedPageBreak/>
        <w:t>十二、基金的财产</w:t>
      </w:r>
      <w:bookmarkEnd w:id="15"/>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6" w:name="_Toc210896118"/>
      <w:r>
        <w:rPr>
          <w:rFonts w:ascii="Times New Roman" w:hAnsi="Times New Roman"/>
          <w:sz w:val="30"/>
        </w:rPr>
        <w:lastRenderedPageBreak/>
        <w:t>十三、基金资产的估值</w:t>
      </w:r>
      <w:bookmarkEnd w:id="16"/>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基金所拥有的股票、债券、股指期货合约和其他投资等持续以公允价值计量的金融资产及负债。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（2）交易所上市交易或挂牌转让的不含权固定收益品种（另有规定的除外），选取估值日第三方估值机构提供的相应品种当日的估值净价进行估值；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（3）交易所上市交易或挂牌转让的含权固定收益品种（另有规定的除外），选取估值日第三方估值机构提供的相应品种当日的唯一估值净价或推荐估值净价进行估值；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交易的可转换债券以每日收盘价作为估值全价；交易所上市实行全价交易的债券（可转债除外），选取第三方估值机构提供的估值全价减去估值全价中所含的债券（税后）应收利息得到的净价进行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基金份额的余额数量计算，精确到0.0001元，小数点后第5位四舍五入。基金管理人可以设立大额赎回情形下的净值精度应急调整机制，具体可参见相关公告。国家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w:t>
      </w:r>
      <w:r>
        <w:rPr>
          <w:rFonts w:ascii="宋体" w:hAnsi="宋体"/>
          <w:sz w:val="24"/>
        </w:rPr>
        <w:lastRenderedPageBreak/>
        <w:t>并按规定公告。如遇特殊情况，经中国证监会同意，可以适当延迟计算或公告。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w:t>
      </w:r>
      <w:r>
        <w:rPr>
          <w:rFonts w:ascii="宋体" w:hAnsi="宋体"/>
          <w:sz w:val="24"/>
        </w:rPr>
        <w:lastRenderedPageBreak/>
        <w:t>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w:t>
      </w:r>
      <w:r>
        <w:rPr>
          <w:rFonts w:ascii="宋体" w:hAnsi="宋体"/>
          <w:sz w:val="24"/>
        </w:rPr>
        <w:lastRenderedPageBreak/>
        <w:t>自承担相应的责任。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 50%以上的资产出现无可参考的活跃市场价格且采用估值技术仍导致公允价值存在重大不确定性时，经与基金托管人协商确认后，基金管理人应当暂停估值；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3、由于不可抗力原因，或由于证券/期货交易所、证券/期货经纪机构、登记</w:t>
      </w:r>
      <w:r>
        <w:rPr>
          <w:rFonts w:ascii="宋体" w:hAnsi="宋体"/>
          <w:sz w:val="24"/>
        </w:rPr>
        <w:lastRenderedPageBreak/>
        <w:t>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7" w:name="_Toc210896119"/>
      <w:r>
        <w:rPr>
          <w:rFonts w:ascii="Times New Roman" w:hAnsi="Times New Roman"/>
          <w:sz w:val="30"/>
        </w:rPr>
        <w:lastRenderedPageBreak/>
        <w:t>十四、基金收益与分配</w:t>
      </w:r>
      <w:bookmarkEnd w:id="17"/>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1、由于本基金A类基金份额、Y类基金份额不收取销售服务费，C类基金份额收取销售服务费，各基金份额类别对应的可供分配利润将有所不同；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A类基金份额和C类基金份额默认的收益分配方式是现金分红，Y类基金份额默认的收益分配方式为红利再投资；基金份额持有人可对其持有的各类基金份额分别选择不同的收益分配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4、本基金同一基金份额类别的每一基金份额享有同等分配权；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w:t>
      </w:r>
      <w:r>
        <w:rPr>
          <w:rFonts w:ascii="宋体" w:hAnsi="宋体"/>
          <w:sz w:val="24"/>
        </w:rPr>
        <w:lastRenderedPageBreak/>
        <w:t>者的现金红利小于一定金额，不足以支付银行转账或其他手续费用时，基金登记机构可将基金份额持有人的现金红利自动转为相应类别的基金份额。红利再投资的计算方法，依照《业务规则》执行。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8" w:name="_Toc210896120"/>
      <w:r>
        <w:rPr>
          <w:rFonts w:ascii="Times New Roman" w:hAnsi="Times New Roman"/>
          <w:sz w:val="30"/>
        </w:rPr>
        <w:lastRenderedPageBreak/>
        <w:t>十五、基金的费用与税收</w:t>
      </w:r>
      <w:bookmarkEnd w:id="18"/>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本基金各类基金份额按照不同的年费率计提管理费，各类基金份额的管理费按前一日该类基金份额基金资产净值的年管理费率计提。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本基金A类基金份额和C类基金份额的年管理费率为0.5%；本基金Y类基金份额的年管理费率为0.25%。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H为各类基金份额每日应计提的基金管理费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本基金各类基金份额按照不同的年费率计提托管费，各类基金份额的托管费按前一日该类基金份额基金资产净值的年托管费率计提。</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本基金A类基金份额和C类基金份额的年托管费率为0.15%；本基金Y类基金份额的年托管费率为0.075%。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本基金A类基金份额、Y类基金份额不收取销售服务费，C类基金份额的销售服务费按前一日C类基金资产净值的0.4%年费率计提。计算方法如下：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于次月首日起5个工作日内从基金财产中一次性支付给基金管理人，由基金管理人代付给销售机构，若遇法定节假日、休息日或不可抗力致使无法按时支付的，支付日期顺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（4）本基金Y类基金份额可对基金管理费和基金托管费实施一定的费率优惠，具体优惠请参看招募说明书或相关公告。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（5）上述“（一）基金费用的种类”中第3－8项、第10项费用，根据有关法规及相应协议规定，按费用实际支出金额列入当期费用，由基金托管人从基金财产中支付。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2、与基金销售有关的费用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（四）基金税收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19" w:name="_Toc210896121"/>
      <w:r>
        <w:rPr>
          <w:rFonts w:ascii="Times New Roman" w:hAnsi="Times New Roman"/>
          <w:sz w:val="30"/>
        </w:rPr>
        <w:lastRenderedPageBreak/>
        <w:t>十六、基金的会计与审计</w:t>
      </w:r>
      <w:bookmarkEnd w:id="19"/>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3、基金管理人认为有充足理由更换会计师事务所，须通报基金托管人。更换会计师事务所需按照《信息披露办法》的有关规定在规定媒介公告。</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0" w:name="_Toc210896122"/>
      <w:r>
        <w:rPr>
          <w:rFonts w:ascii="Times New Roman" w:hAnsi="Times New Roman"/>
          <w:sz w:val="30"/>
        </w:rPr>
        <w:lastRenderedPageBreak/>
        <w:t>十七、基金的信息披露</w:t>
      </w:r>
      <w:bookmarkEnd w:id="20"/>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基金募集申请经中国证监会注册后，基金管理人在基金份额发售的3日前，将基金招募说明书、《基金合同》摘要登载在规定媒介上；基金管理人、基金托管人应当将《基金合同》、基金托管协议登载在网站上。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《基金合同》生效后，在开始办理基金份额申购或者赎回前，基金管理人应当至少每周分别公告一次各类基金份额所对应的基金资产净值和基金份额净值。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次日，通过规定网站、基金销售机构网站或者营业网点分别披露开放日的各类基金份额所对应的基金份额净值和基金份额累计净值。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基金管理人应当在不晚于半年度和年度最后一日的次日，在规定网站披露半年度和年度最后一日的各类基金份额所对应的基金份额净值和基金份额累计净值。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符合《中华人民共和国证券法》规定的会计师事务所审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（24）本基金变更标的指数；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（25）《基金合同》生效后，连续40个工作日、50个工作日、55个工作日出现基金份额持有人数量不满200人或者基金资产净值低于5000万元情形的，基金管理人应当发布提示性公告；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10、基金投资资产支持证券情况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11、基金投资股指期货情况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w:t>
      </w:r>
      <w:r>
        <w:rPr>
          <w:rFonts w:ascii="宋体" w:hAnsi="宋体"/>
          <w:sz w:val="24"/>
        </w:rPr>
        <w:lastRenderedPageBreak/>
        <w:t>资政策、持仓情况、损益情况、风险指标等，并充分揭示股指期货交易对基金总体风险的影响以及是否符合既定的投资政策和投资目标等。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符合《中华人民共和国证券法》规定的会计师事务所审计，并由律师事务所出具法律意见书。清算组应当将清算报告登载在规定网站上，并将清算报告提示性公告登载在规定报刊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（七）信息披露文件的存放与查阅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1" w:name="_Toc210896123"/>
      <w:r>
        <w:rPr>
          <w:rFonts w:ascii="Times New Roman" w:hAnsi="Times New Roman"/>
          <w:sz w:val="30"/>
        </w:rPr>
        <w:lastRenderedPageBreak/>
        <w:t>十八、风险揭示</w:t>
      </w:r>
      <w:bookmarkEnd w:id="21"/>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（1）延期办理巨额赎回申请。基金份额持有人的赎回申请可能被延期办理，部分或全部赎回申请可能被拒绝，同时投资人完成基金赎回时的基金份额净值可能与其提交赎回申请时的基金份额净值不同。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（2）暂停接受赎回申请。基金份额持有人可能存在当日无法赎回其持有的基</w:t>
      </w:r>
      <w:r>
        <w:rPr>
          <w:rFonts w:ascii="宋体" w:hAnsi="宋体"/>
          <w:sz w:val="24"/>
        </w:rPr>
        <w:lastRenderedPageBreak/>
        <w:t>金份额的风险。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（3）延缓支付赎回款项。赎回款支付时间将后延，基金份额持有人可能存在不能及时取得赎回款项的风险，可能对投资者的资金安排带来不利影响。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（4）收取短期赎回费。本基金对持续持有期少于7日的投资人，收取1.5%的赎回费，并将上述赎回费全额计入基金财产。短期赎回费的收取将使得投资者在持续持有期限少于 7 日时会承担较高的赎回费。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摆动定价。在巨额赎回情形下，如果管理人采用摆动定价工具，基金份额持有人当日赎回的基金份额净值可能会被调减。当日参与申购和赎回交易的投资者存在承担申购或者赎回产生的交易及其他成本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基金估值。在此情形下，投资人没有可供参考的基金份额净值，一方面投资者将无法知晓本基金的基金份额净值，另一方面基金将延缓支付赎回款项或暂停接受投资者的申购赎回申请，延缓支付赎回款项可能影响投资者的资金安排，暂停接受基金申购赎回申请将导致投资者无法申购或赎回本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（五）本基金投资策略所特有的指数化投资风险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1、标的指数回报与股票市场平均回报偏离的风险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标的指数并不能完全代表整个股票市场。标的指数成份股的平均回报率与整个股票市场的平均回报率可能存在偏离。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2、标的指数波动的风险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3、基金投资组合回报与标的指数回报偏离的风险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（3）标的指数成份股派发现金红利、新股市值配售收益将导致基金收益率超过标的指数收益率，产生正的跟踪偏离度。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（5）因法律法规的限制或其他限制，本基金可能不能投资于部分标的指数成分股。在使用替代方法，如投资同行业中相关性较高的股票以替代上述投资受限股票时，会产生一定的跟踪偏离度和跟踪误差。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4、标的指数变更的风险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本基金力争控制本基金日均跟踪偏离度的绝对值不超过0.35%，年跟踪误差不超过4%。但因标的指数编制规则调整或其他因素可能导致跟踪误差超过上述范围，本基金净值表现与指数价格走势可能发生较大偏离。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w:t>
      </w:r>
      <w:r>
        <w:rPr>
          <w:rFonts w:ascii="宋体" w:hAnsi="宋体"/>
          <w:sz w:val="24"/>
        </w:rPr>
        <w:lastRenderedPageBreak/>
        <w:t>持有人大会进行表决，基金份额持有人大会未成功召开或就上述事项表决未通过的，基金合同终止。投资人将面临更换基金标的指数、转换运作方式，与其他基金合并或者终止基金合同等风险。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（六）本基金的特有风险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1、本基金为股票型基金，投资于创业板50指数成份股及其备选成份股的比例不低于基金资产净值的90%，因投资权益类资产而面临权益类资产市场的系统性风险和个股风险；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3、基金合同提前终止风险。连续六十个工作日出现基金份额持有人数量不满200人或者基金资产净值低于5000万元情形的，基金管理人提前终止基金合同，不</w:t>
      </w:r>
      <w:r>
        <w:rPr>
          <w:rFonts w:ascii="宋体" w:hAnsi="宋体"/>
          <w:sz w:val="24"/>
        </w:rPr>
        <w:lastRenderedPageBreak/>
        <w:t>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（七）投资股指期货的特定风险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2" w:name="_Toc210896124"/>
      <w:r>
        <w:rPr>
          <w:rFonts w:ascii="Times New Roman" w:hAnsi="Times New Roman"/>
          <w:sz w:val="30"/>
        </w:rPr>
        <w:lastRenderedPageBreak/>
        <w:t>十九、基金合同的变更、终止与基金财产的清算</w:t>
      </w:r>
      <w:bookmarkEnd w:id="22"/>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2、关于《基金合同》变更的基金份额持有人大会决议自生效后方可执行，并自决议生效后依照《信息披露办法》的规定在规定媒介公告。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4、连续60个工作日出现基金份额持有人数量不满200人或者基金资产净值低于5000万元情形的，基金管理人提前终止基金合同，不需召开基金份额持有人大会；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3" w:name="_Toc210896125"/>
      <w:r>
        <w:rPr>
          <w:rFonts w:ascii="Times New Roman" w:hAnsi="Times New Roman"/>
          <w:sz w:val="30"/>
        </w:rPr>
        <w:lastRenderedPageBreak/>
        <w:t>二十、基金合同内容摘要</w:t>
      </w:r>
      <w:bookmarkEnd w:id="23"/>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3）在法律法规和《基金合同》规定的范围内调整本基金的申购费率、调低赎回费率、在对现有基金份额持有人利益无实质性不利影响的前提下变更收费方式；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4）在符合法律法规及本基金合同规定、并且对基金份额持有人利益无实质不利影响的前提下，对基金份额分类办法及规则进行调整或者停止现有基金份额类别的销售；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5）根据基金管理人与标的指数供应商签订的相应指数使用许可协议变更标的指数许可使用费费率和计费方式；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6）因相应的法律法规、登记机构的相关业务规则发生变动而应当对《基金合同》进行修改；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7）对《基金合同》的修改对基金份额持有人利益无实质性不利影响或修改不涉及《基金合同》当事人权利义务关系发生重大变化；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8）在法律法规允许的情况下，且在对现有基金份额持有人利益无实质性不利影响的前提下，基金推出新业务或服务；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9）在符合法律法规及本基金合同规定、并且对基金份额持有人利益无实质不利影响的前提下，调整本基金份额类别的设置；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10）在不违反法律法规及对基金份额持有人利益无实质性不利影响的前提下，变更标的指数对基金投资范围和投资策略无实质性影响（包括但不限于指数编制单位变更、指数更名等事项）；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11）在不违反法律法规及对基金份额持有人利益无实质性不利影响的前提下，基金管理人、登记机构、销售机构调整有关基金认购、申购、赎回、转换、收益分配、非交易过户、转托管等业务的规则；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12）按照法律法规和《基金合同》规定不需召开基金份额持有人大会的其他情形。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（2）基金管理人未按规定召集或不能召开时，由基金托管人召集；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基金份额持有人大会可通过现场开会方式、通讯开会方式或法律法规和监管机构允许的其他方式召开，会议的召开方式由会议召集人确定。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w:t>
      </w:r>
      <w:r>
        <w:rPr>
          <w:rFonts w:ascii="宋体" w:hAnsi="宋体"/>
          <w:sz w:val="24"/>
        </w:rPr>
        <w:lastRenderedPageBreak/>
        <w:t>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w:t>
      </w:r>
      <w:r>
        <w:rPr>
          <w:rFonts w:ascii="宋体" w:hAnsi="宋体"/>
          <w:sz w:val="24"/>
        </w:rPr>
        <w:lastRenderedPageBreak/>
        <w:t>规、基金合同和中国证监会另有规定的除外）以特别决议通过方为有效。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基金份额持有人大会的决议，召集人应当自通过之日起5日内报中国证监会备案。基金份额持有人大会的决议自表决通过之日起生效。法律法规另有规定的，从其规定。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（2）关于《基金合同》变更的基金份额持有人大会决议自生效后方可执行，并自决议生效后依照《信息披露办法》的规定在规定媒介公告。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（4）连续60个工作日出现基金份额持有人数量不满200人或者基金资产净值低于5000万元情形的，基金管理人提前终止基金合同，不需召开基金份额持有人大会；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w:t>
      </w:r>
      <w:r>
        <w:rPr>
          <w:rFonts w:ascii="宋体" w:hAnsi="宋体"/>
          <w:sz w:val="24"/>
        </w:rPr>
        <w:lastRenderedPageBreak/>
        <w:t>产清算费用、交纳所欠税款并清偿基金债务后，按基金份额持有人持有的基金份额比例进行分配。</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《基金合同》受中国法律（不含港澳台立法）管辖。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4" w:name="_Toc210896126"/>
      <w:r>
        <w:rPr>
          <w:rFonts w:ascii="Times New Roman" w:hAnsi="Times New Roman"/>
          <w:sz w:val="30"/>
        </w:rPr>
        <w:lastRenderedPageBreak/>
        <w:t>二十一、托管协议的内容摘要</w:t>
      </w:r>
      <w:bookmarkEnd w:id="24"/>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 2005年8月4日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法定代表人：李建红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创业板50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1）本基金投资于创业板50指数成份股（含存托凭证）及其备选成份股（含存托凭证）的比例不低于基金资产净值的90%；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4）本基金持有的全部资产支持证券，其市值不得超过基金资产净值的20％；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9）本基金进入全国银行间同业市场进行债券回购的资金余额不得超过基金资产净值的40%，进入全国银行间同业市场进行债券回购的最长期限为1年，债券回购到期后不得展期；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11）本基金与私募类证券资管产品及中国证监会认定的其他主体为交易对手开展逆回购交易的，可接受质押品的资质要求应当与本基金合同约定的投资范围保持一致；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12）本基金资产总值不超过基金资产净值的140%；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13）本基金参与股指期货交易，则：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①本基金在任何交易日日终，持有的买入股指期货合约价值，不得超过基金资产净值的10%；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③本基金在任何交易日日终，持有的卖出股指期货合约价值不得超过基金持有的股票总市值的20%；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④本基金所持有的股票市值和买入、卖出股指期货合约价值，合计（轧差计算）应当符合基金合同关于股票投资比例的有关约定；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14）本基金投资存托凭证的比例限制依照境内上市交易的股票执行；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（5）基金管理人应当自基金合同生效日起6个月内使基金的投资组合比例符合基金合同的有关约定。在上述期间内，本基金的投资范围、投资策略应当符合基金合同的约定。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基金托管人对基金的投资的监督与检查自本基金合同生效之日起开始。除上述2）、7）、10）、11）情形之外，因证券、期货市场波动、证券发行人合并或基金规</w:t>
      </w:r>
      <w:r>
        <w:rPr>
          <w:rFonts w:ascii="宋体" w:hAnsi="宋体"/>
          <w:sz w:val="24"/>
        </w:rPr>
        <w:lastRenderedPageBreak/>
        <w:t>模变动、标的指数成份股及/或权重调整、标的指数股流动性限制等基金管理人之外的原因导致投资比例不符合上述规定的，基金管理人应在10个交易日内进行调整，但中国证监会规定的特殊情形除外。法律法规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法律法规及监管政策等对基金合同约定的投资禁止行为和投资组合比例限制进行变更的，本基金可相应调整禁止行为和投资比例限制规定。《基金法》及其他有关法律法规或监管部门取消上述限制的，履行适当程序后，基金不受上述限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w:t>
      </w:r>
      <w:r>
        <w:rPr>
          <w:rFonts w:ascii="宋体" w:hAnsi="宋体"/>
          <w:sz w:val="24"/>
        </w:rPr>
        <w:lastRenderedPageBreak/>
        <w:t>行未能及时兑付的风险、基金投资银行存款不能满足基金正常结算业务的风险、因全部提前支取或部分提前支取而涉及的利息损失影响估值等涉及到基金流动性方面的风险。</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上门交付或双方约定方式送达存款证实书或其他有效存款凭证的，基金托管人可向存款分支机构的上级行发出存款余额询证函，存款分支机构及其上级行应予配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w:t>
      </w:r>
      <w:r>
        <w:rPr>
          <w:rFonts w:ascii="宋体" w:hAnsi="宋体"/>
          <w:sz w:val="24"/>
        </w:rPr>
        <w:lastRenderedPageBreak/>
        <w:t>确认书。变更通知的送达方式同开户手续。在存期内，存款分支机构和基金托管人的指定联系人变更，应及时加盖公章书面通知对方。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4）到期兑付</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或双方约定方式将存款凭证原件寄给存款银行分支机构指定的会计主管。存款银行未收到存款凭证原件的，应向基金托管人电话询问。存款到期前基金管理人与存款银行确认存款凭证收到并于到期日兑付存款本息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w:t>
      </w:r>
      <w:r>
        <w:rPr>
          <w:rFonts w:ascii="宋体" w:hAnsi="宋体"/>
          <w:sz w:val="24"/>
        </w:rPr>
        <w:lastRenderedPageBreak/>
        <w:t>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风险防范，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w:t>
      </w:r>
      <w:r>
        <w:rPr>
          <w:rFonts w:ascii="宋体" w:hAnsi="宋体"/>
          <w:sz w:val="24"/>
        </w:rPr>
        <w:lastRenderedPageBreak/>
        <w:t>资比例控制情况。</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基金管理人应在基金投资非公开发行股票后两个交易日内,在中国证监会规定媒介披露所投资非公开发行股票的名称、数量、总成本、账面价值,以及总成本和账面价值占基金资产净值的比例、锁定期等信息。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w:t>
      </w:r>
      <w:r>
        <w:rPr>
          <w:rFonts w:ascii="宋体" w:hAnsi="宋体"/>
          <w:sz w:val="24"/>
        </w:rPr>
        <w:lastRenderedPageBreak/>
        <w:t>构或该机构会员单位等本协议当事人外第三方的欺诈、疏忽、过失或破产等原因给基金资产造成的损失等不承担责任。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创业板50指数型证券投资基金”，预留印鉴为基金托管人印章。</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w:t>
      </w:r>
      <w:r>
        <w:rPr>
          <w:rFonts w:ascii="宋体" w:hAnsi="宋体"/>
          <w:sz w:val="24"/>
        </w:rPr>
        <w:lastRenderedPageBreak/>
        <w:t>得使用基金的任何账户进行本基金业务以外的活动。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w:t>
      </w:r>
      <w:r>
        <w:rPr>
          <w:rFonts w:ascii="宋体" w:hAnsi="宋体"/>
          <w:sz w:val="24"/>
        </w:rPr>
        <w:lastRenderedPageBreak/>
        <w:t>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（五）基金资产净值计算、估值和会计核算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估值日该类基金份额的基金资产净值除以估值日该类基金份额总数，基金份额净值的计算，精确到0.0001元，小数点后第五位四舍五入。基金管理人可以设立大额赎回情形下的净值精度应急调整机制，具体可参见相关公告。国家另有规定的，从其规定。</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基金管理人每个工作日计算各类基金份额的基金资产净值、基金份额净值，经基金托管人复核，按规定公告，但基金管理人根据法律法规或基金合同的规定暂停估值时除外。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基金管理人每个工作日对基金资产进行估值后，将各类基金份额的基金资产净值、基金份额净值发送基金托管人，经基金托管人复核无误后，由基金管理人对外</w:t>
      </w:r>
      <w:r>
        <w:rPr>
          <w:rFonts w:ascii="宋体" w:hAnsi="宋体"/>
          <w:sz w:val="24"/>
        </w:rPr>
        <w:lastRenderedPageBreak/>
        <w:t>公布。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每个季度结束之日起15个工作日内完成基金季度报告的编制及复核；在上半年结束之日起60日内完成基金半年度报告的编制及复核；在每年结束之日起90日内完成基金年度报告的编制及复核。基金托管人在复核过程中，发现双方的报表存在不符时，基金管理人和基金托管人应共同查明原因，进行调整，调整以国家有关规定为准。基金年度报告的财务会计报告应当经过审计。基金合同生效不足两个月的，基金管理人可以不编制当期季度报告、半年度报告或者年度报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7、在有需要时，基金管理人应每季度向基金托管人提供基金业绩比较基准的基础数据和编制结果。</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本协议受中华人民共和国法律（不含港澳台立法）管辖。</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（4）发生法律法规或《基金合同》规定的其他终止事项。</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5" w:name="_Toc210896127"/>
      <w:r>
        <w:rPr>
          <w:rFonts w:ascii="Times New Roman" w:hAnsi="Times New Roman"/>
          <w:sz w:val="30"/>
        </w:rPr>
        <w:lastRenderedPageBreak/>
        <w:t>二十二、对基金份额持有人的服务</w:t>
      </w:r>
      <w:bookmarkEnd w:id="25"/>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A类基金份额和C类基金份额默认的收益分配方式是现金分红，Y类基金份额默认的收益分配方式为红利再投资；基金份额持有人可对其持有的各类基金份额分别选择不同的收益分配方式。再投资红利按红利再投日（即除息日）除息后的基金份额净值自动转为基金份额，并免收申购费用。</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6" w:name="_Toc210896128"/>
      <w:r>
        <w:rPr>
          <w:rFonts w:ascii="Times New Roman" w:hAnsi="Times New Roman"/>
          <w:sz w:val="30"/>
        </w:rPr>
        <w:lastRenderedPageBreak/>
        <w:t>二十三、其他应披露事项</w:t>
      </w:r>
      <w:bookmarkEnd w:id="26"/>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2024-09-23</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交银施罗德基金管理有限公司关于旗下部分基金在交通银行股份有限公司恢复原前端申购（含定期定额投资）费率的公告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2024-10-09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交银施罗德基金管理有限公司关于增加华龙证券股份有限公司为旗下基金的销售机构的公告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交银施罗德基金管理有限公司关于增加兴业证券股份有限公司为旗下基金的销售机构的公告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2024-10-31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指数型证券投资基金增加</w:t>
            </w:r>
            <w:r>
              <w:rPr>
                <w:rFonts w:ascii="Times New Roman" w:hAnsi="Times New Roman"/>
                <w:color w:val="000000"/>
                <w:kern w:val="0"/>
                <w:sz w:val="25"/>
                <w:szCs w:val="24"/>
              </w:rPr>
              <w:t>Y</w:t>
            </w:r>
            <w:r>
              <w:rPr>
                <w:rFonts w:ascii="Times New Roman" w:hAnsi="Times New Roman"/>
                <w:color w:val="000000"/>
                <w:kern w:val="0"/>
                <w:sz w:val="25"/>
                <w:szCs w:val="24"/>
              </w:rPr>
              <w:t>类基金份额并修改基金合同和托管协议的公告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2024-12-12</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Y</w:t>
            </w:r>
            <w:r>
              <w:rPr>
                <w:rFonts w:ascii="Times New Roman" w:hAnsi="Times New Roman"/>
                <w:color w:val="000000"/>
                <w:kern w:val="0"/>
                <w:sz w:val="25"/>
                <w:szCs w:val="24"/>
              </w:rPr>
              <w:t>类基金份额开放日常申购、赎回、定期定额投资业务的公告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2024-12-13</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2024-12-16</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交银施罗德基金管理有限公司关于增加中国中金财富证券有限公司为旗下基金的销售机构的公告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交银施罗德基金管理有限公司关于增加中国农业银行股份有限公司为旗下基金的销售机构的公告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交银施罗德基金管理有限公司关于增加海通证券股份有限公司为旗下基金的销售机构的公告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交银施罗德基金管理有限公司关于增加东方证券股份有限公司为旗下基金的销售机构的公告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交银施罗德基金管理有限公司关于增加中国光大银行股份有限公司为旗下基金的销售机构的公告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交银施罗德基金管理有限公司关于增加海通证券股份有限公司为旗下基金的销售机构的公告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43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2025-02-27</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2025-03-04</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2025-03-05</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关于交银施罗德基金管理有限公司旗下部分指数基金指数使用费调整为基金管理人承担并修订基金合同的公告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56</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2025-04-29</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交银施罗德基金管理有限公司关于增加长城证券股份有限公司为旗下基金的销售机构的公告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2025-07-30</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7B07F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交银施罗德创业板</w:t>
            </w:r>
            <w:r>
              <w:rPr>
                <w:rFonts w:ascii="Times New Roman" w:hAnsi="Times New Roman"/>
                <w:color w:val="000000"/>
                <w:kern w:val="0"/>
                <w:sz w:val="25"/>
                <w:szCs w:val="24"/>
              </w:rPr>
              <w:t>50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07F8" w:rsidRDefault="004301F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7" w:name="_Toc210896129"/>
      <w:r>
        <w:rPr>
          <w:rFonts w:ascii="Times New Roman" w:hAnsi="Times New Roman"/>
          <w:sz w:val="30"/>
        </w:rPr>
        <w:lastRenderedPageBreak/>
        <w:t>二十四、招募说明书的存放及查阅方式</w:t>
      </w:r>
      <w:bookmarkEnd w:id="27"/>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301F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07F8" w:rsidRDefault="004301FF">
      <w:pPr>
        <w:pStyle w:val="1"/>
        <w:snapToGrid w:val="0"/>
        <w:spacing w:beforeLines="0" w:before="240" w:after="240"/>
        <w:rPr>
          <w:rFonts w:ascii="宋体" w:hAnsi="宋体"/>
          <w:szCs w:val="30"/>
        </w:rPr>
      </w:pPr>
      <w:bookmarkStart w:id="28" w:name="_Toc210896130"/>
      <w:r>
        <w:rPr>
          <w:rFonts w:ascii="Times New Roman" w:hAnsi="Times New Roman"/>
          <w:sz w:val="30"/>
        </w:rPr>
        <w:lastRenderedPageBreak/>
        <w:t>二十五、备查文件</w:t>
      </w:r>
      <w:bookmarkEnd w:id="28"/>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（一）中国证监会准予交银施罗德创业板50指数型证券投资基金募集注册的文件</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（二）《交银施罗德创业板50指数型证券投资基金基金合同》</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（三）《交银施罗德创业板50指数型证券投资基金托管协议》</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B07F8" w:rsidRDefault="004301F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（六）关于申请募集注册交银施罗德创业板50指数型证券投资基金的法律意见书</w:t>
      </w:r>
    </w:p>
    <w:sectPr w:rsidR="007B07F8">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36B" w:rsidRDefault="004301FF">
      <w:r>
        <w:separator/>
      </w:r>
    </w:p>
  </w:endnote>
  <w:endnote w:type="continuationSeparator" w:id="0">
    <w:p w:rsidR="0080536B" w:rsidRDefault="00430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7B07F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F05D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7B07F8" w:rsidRDefault="004301F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05D82">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7B07F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F05D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7B07F8" w:rsidRDefault="004301F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05D82">
                  <w:rPr>
                    <w:rFonts w:ascii="Times New Roman" w:hAnsi="Times New Roman"/>
                    <w:noProof/>
                    <w:kern w:val="0"/>
                    <w:sz w:val="18"/>
                    <w:szCs w:val="18"/>
                  </w:rPr>
                  <w:t>169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36B" w:rsidRDefault="004301FF">
      <w:r>
        <w:separator/>
      </w:r>
    </w:p>
  </w:footnote>
  <w:footnote w:type="continuationSeparator" w:id="0">
    <w:p w:rsidR="0080536B" w:rsidRDefault="00430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7B07F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4301FF">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B07F8" w:rsidRDefault="004301FF">
    <w:pPr>
      <w:pStyle w:val="a3"/>
      <w:jc w:val="right"/>
      <w:rPr>
        <w:rFonts w:ascii="宋体" w:hAnsi="宋体"/>
      </w:rPr>
    </w:pPr>
    <w:r>
      <w:rPr>
        <w:rFonts w:ascii="宋体" w:hAnsi="宋体" w:hint="eastAsia"/>
      </w:rPr>
      <w:t>交银施罗德创业板50指数型证券投资基金招募说明书更新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7B07F8">
    <w:pPr>
      <w:pStyle w:val="10"/>
      <w:jc w:val="right"/>
    </w:pPr>
  </w:p>
  <w:p w:rsidR="007B07F8" w:rsidRDefault="007B07F8">
    <w:pPr>
      <w:pStyle w:val="10"/>
      <w:jc w:val="right"/>
    </w:pPr>
  </w:p>
  <w:p w:rsidR="007B07F8" w:rsidRDefault="007B07F8">
    <w:pPr>
      <w:pStyle w:val="a3"/>
      <w:jc w:val="right"/>
    </w:pPr>
  </w:p>
  <w:p w:rsidR="009E65D0" w:rsidRDefault="004301FF">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B07F8" w:rsidRDefault="004301FF">
    <w:pPr>
      <w:pStyle w:val="a3"/>
      <w:jc w:val="right"/>
      <w:rPr>
        <w:rFonts w:ascii="宋体" w:hAnsi="宋体"/>
      </w:rPr>
    </w:pPr>
    <w:r>
      <w:rPr>
        <w:rFonts w:ascii="宋体" w:hAnsi="宋体" w:hint="eastAsia"/>
      </w:rPr>
      <w:t>交银施罗德创业板50指数型证券投资基金招募说明书更新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7F8" w:rsidRDefault="007B07F8">
    <w:pPr>
      <w:pStyle w:val="a3"/>
      <w:jc w:val="right"/>
    </w:pPr>
  </w:p>
  <w:p w:rsidR="007B07F8" w:rsidRDefault="007B07F8">
    <w:pPr>
      <w:pStyle w:val="a3"/>
      <w:jc w:val="right"/>
    </w:pPr>
  </w:p>
  <w:p w:rsidR="007B07F8" w:rsidRDefault="007B07F8">
    <w:pPr>
      <w:pStyle w:val="a3"/>
      <w:jc w:val="right"/>
    </w:pPr>
  </w:p>
  <w:p w:rsidR="009E65D0" w:rsidRDefault="004301FF">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B07F8" w:rsidRDefault="004301FF">
    <w:pPr>
      <w:pStyle w:val="a3"/>
      <w:jc w:val="right"/>
      <w:rPr>
        <w:rFonts w:ascii="宋体" w:hAnsi="宋体"/>
      </w:rPr>
    </w:pPr>
    <w:r>
      <w:rPr>
        <w:rFonts w:ascii="宋体" w:hAnsi="宋体" w:hint="eastAsia"/>
      </w:rPr>
      <w:t>交银施罗德创业板50指数型证券投资基金招募说明书更新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01FF"/>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07F8"/>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36B"/>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D82"/>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72E68819-FB94-4F3E-92B2-1B48B6F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17863</Words>
  <Characters>101820</Characters>
  <Application>Microsoft Office Word</Application>
  <DocSecurity>0</DocSecurity>
  <Lines>848</Lines>
  <Paragraphs>238</Paragraphs>
  <ScaleCrop>false</ScaleCrop>
  <Company>Microsoft</Company>
  <LinksUpToDate>false</LinksUpToDate>
  <CharactersWithSpaces>119445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2025-10-09T01:54:00Z</dcterms:created>
  <dcterms:modified xsi:type="dcterms:W3CDTF">2025-10-09T01:54:00Z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