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交银施罗德国证新能源指数证券投资基金（LOF）（A类份额）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交银国证新能源指数（LOF）A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164905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2020-11-30</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暂未上市</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交银新能，交易代码：164905；交银施罗德国证新能源指数证券投资基金（LOF）由交银施罗德国证新能源指数分级证券投资基金转型而来。上述转型于2020年11月30日正式实施，自基金转型实施日起，《交银施罗德国证新能源指数分级证券投资基金基金合同》失效，且《交银施罗德国证新能源指数证券投资基金（LOF）基金合同》同时生效，交银施罗德国证新能源指数分级证券投资基金正式变更为交银施罗德国证新能源指数证券投资基金（LOF）。</w:t>
            </w:r>
          </w:p>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本基金采用指数化投资，紧密跟踪标的指数，追求跟踪偏离度与跟踪误差最小化。本基金力争控制本基金日均跟踪偏离度的绝对值不超过0.35%，年跟踪误差不超过4%。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具有良好流动性的金融工具，以国证新能源指数的成份股（含存托凭证）及其备选成份股(含中小板、创业板及其他经中国证监会核准或注册上市的股票、存托凭证)为主要投资对象。为更好地实现投资目标，本基金也可少量投资于其他股票(非标的指数成份股（含存托凭证）及其备选成份股（含存托凭证）)、债券、中期票据、货币市场工具、债券回购、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基金的投资组合比例为：本基金的股票资产（含存托凭证）投资比例不低于基金资产的 90%，本基金投资于国证新能源指数的成份股（含存托凭证）及其备选成份股（含存托凭证）的比例不低于非现金基金资产的90%，每个交易日日终在扣除股指期货合约需缴纳的交易保证金以后，持有现金或到期日在一年以内的政府债券的比例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型基金，绝大部分资产采用完全复制标的指数的方法跟踪标的指数，即按照国证新能源指数中的成份股组成及其权重构建股票投资组合，并根据标的指数成份股及其权重的变动进行相应调整。当预期成份股发生调整和成份股发生配股、增发、分红等行为时，或因基金的申购和赎回等对本基金跟踪标的指数的效果可能带来影响时，或因某些特殊情况导致成份股流动性不足时，或其他原因导致无法有效复制和跟踪标的指数时，基金管理人可以对投资组合管理进行适当变通和调整，从而使得投资组合紧密地跟踪标的指数。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本基金投资存托凭证的策略依照境内上市交易的股票投资策略执行。</w:t>
            </w:r>
          </w:p>
          <w:p>
            <w:pPr>
              <w:ind w:firstLine="420"/>
              <w:jc w:val="left"/>
              <w:rPr>
                <w:rFonts w:ascii="仿宋_GB2312" w:eastAsia="仿宋_GB2312"/>
                <w:szCs w:val="21"/>
              </w:rPr>
            </w:pPr>
            <w:r>
              <w:rPr>
                <w:rFonts w:hint="eastAsia" w:ascii="仿宋_GB2312" w:eastAsia="仿宋_GB2312"/>
                <w:szCs w:val="21"/>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国证新能源指数收益率×95%＋银行活期存款利率（税后）×5%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与预期收益高于混合型基金、债券型基金和货币市场基金。本基金为指数型基金，主要采用组合复制策略跟踪标的指数，具有与标的指数以及标的指数所代表的股票市场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详见《交银施罗德国证新能源指数证券投资基金（LOF）招募说明书》第十部分“基金的投资”。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2、本基金于2020年11月30日转型，转型当年净值增长率按实际存续期计算。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3、本基金的场内申购费率由场内销售机构参照上表场外前端申购费率设定。4、场内交易费用以证券公司实际收取为准。</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1.30%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6、本基金的特有风险</w:t>
      </w:r>
    </w:p>
    <w:p>
      <w:pPr>
        <w:ind w:firstLine="420"/>
        <w:jc w:val="left"/>
        <w:rPr>
          <w:rFonts w:ascii="仿宋_GB2312" w:eastAsia="仿宋_GB2312"/>
          <w:szCs w:val="21"/>
        </w:rPr>
      </w:pPr>
      <w:r>
        <w:rPr>
          <w:rFonts w:hint="eastAsia" w:ascii="仿宋_GB2312" w:eastAsia="仿宋_GB2312"/>
          <w:szCs w:val="21"/>
        </w:rPr>
        <w:t>（1）基金上市交易的风险</w:t>
      </w:r>
    </w:p>
    <w:p>
      <w:pPr>
        <w:ind w:firstLine="420"/>
        <w:jc w:val="left"/>
        <w:rPr>
          <w:rFonts w:ascii="仿宋_GB2312" w:eastAsia="仿宋_GB2312"/>
          <w:szCs w:val="21"/>
        </w:rPr>
      </w:pPr>
      <w:r>
        <w:rPr>
          <w:rFonts w:hint="eastAsia" w:ascii="仿宋_GB2312" w:eastAsia="仿宋_GB2312"/>
          <w:szCs w:val="21"/>
        </w:rPr>
        <w:t>本基金A类基金份额在符合相关法律法规要求的前提下将申请在深圳证券交易所挂牌上市，由于上市期间可能因信息披露导致基金停牌，投资者在停牌期间不能买卖本基金上市交易份额，产生风险；同时，可能因上市后交易对手不足而产生流动性风险。</w:t>
      </w:r>
    </w:p>
    <w:p>
      <w:pPr>
        <w:ind w:firstLine="420"/>
        <w:jc w:val="left"/>
        <w:rPr>
          <w:rFonts w:ascii="仿宋_GB2312" w:eastAsia="仿宋_GB2312"/>
          <w:szCs w:val="21"/>
        </w:rPr>
      </w:pPr>
      <w:r>
        <w:rPr>
          <w:rFonts w:hint="eastAsia" w:ascii="仿宋_GB2312" w:eastAsia="仿宋_GB2312"/>
          <w:szCs w:val="21"/>
        </w:rPr>
        <w:t>（2）基金份额二级市场交易价格折溢价的风险</w:t>
      </w:r>
    </w:p>
    <w:p>
      <w:pPr>
        <w:ind w:firstLine="420"/>
        <w:jc w:val="left"/>
        <w:rPr>
          <w:rFonts w:ascii="仿宋_GB2312" w:eastAsia="仿宋_GB2312"/>
          <w:szCs w:val="21"/>
        </w:rPr>
      </w:pPr>
      <w:r>
        <w:rPr>
          <w:rFonts w:hint="eastAsia" w:ascii="仿宋_GB2312" w:eastAsia="仿宋_GB2312"/>
          <w:szCs w:val="21"/>
        </w:rPr>
        <w:t>尽管本基金将通过有效的套利机制使A类基金份额二级市场交易价格的折溢价控制在一定范围内，但A类基金份额在证券交易所的交易价格受诸多因素影响，存在不同于A类基金份额的基金份额净值的情形，即存在价格折溢价的风险。</w:t>
      </w:r>
    </w:p>
    <w:p>
      <w:pPr>
        <w:ind w:firstLine="420"/>
        <w:jc w:val="left"/>
        <w:rPr>
          <w:rFonts w:ascii="仿宋_GB2312" w:eastAsia="仿宋_GB2312"/>
          <w:szCs w:val="21"/>
        </w:rPr>
      </w:pPr>
      <w:r>
        <w:rPr>
          <w:rFonts w:hint="eastAsia" w:ascii="仿宋_GB2312" w:eastAsia="仿宋_GB2312"/>
          <w:szCs w:val="21"/>
        </w:rPr>
        <w:t>（3）退市风险</w:t>
      </w:r>
    </w:p>
    <w:p>
      <w:pPr>
        <w:ind w:firstLine="420"/>
        <w:jc w:val="left"/>
        <w:rPr>
          <w:rFonts w:ascii="仿宋_GB2312" w:eastAsia="仿宋_GB2312"/>
          <w:szCs w:val="21"/>
        </w:rPr>
      </w:pPr>
      <w:r>
        <w:rPr>
          <w:rFonts w:hint="eastAsia" w:ascii="仿宋_GB2312" w:eastAsia="仿宋_GB2312"/>
          <w:szCs w:val="21"/>
        </w:rPr>
        <w:t>因本基金A类基金份额不再符合证券交易所上市条件被终止上市，或被基金份额持有人大会决议提前终止上市，导致A类基金份额不能继续进行二级市场交易的风险。</w:t>
      </w:r>
    </w:p>
    <w:p>
      <w:pPr>
        <w:ind w:firstLine="420"/>
        <w:jc w:val="left"/>
        <w:rPr>
          <w:rFonts w:ascii="仿宋_GB2312" w:eastAsia="仿宋_GB2312"/>
          <w:szCs w:val="21"/>
        </w:rPr>
      </w:pPr>
      <w:r>
        <w:rPr>
          <w:rFonts w:hint="eastAsia" w:ascii="仿宋_GB2312" w:eastAsia="仿宋_GB2312"/>
          <w:szCs w:val="21"/>
        </w:rPr>
        <w:t>（4）本基金为股票型基金，投资于国证新能源指数成份股（含存托凭证）及其备选成份股（含存托凭证）的比例不低于非现金基金资产的90%，因投资权益类资产而面临权益类资产市场的系统性风险和个股风险；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7、投资股指期货的特定风险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8、投资资产支持证券的特定风险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9、投资流通受限证券的特定风险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●《交银施罗德国证新能源指数证券投资基金（LOF）基金合同》、</w:t>
      </w:r>
    </w:p>
    <w:p>
      <w:pPr>
        <w:ind w:firstLine="420"/>
        <w:jc w:val="left"/>
        <w:rPr>
          <w:rFonts w:ascii="仿宋_GB2312" w:eastAsia="仿宋_GB2312"/>
          <w:szCs w:val="21"/>
        </w:rPr>
      </w:pPr>
      <w:r>
        <w:rPr>
          <w:rFonts w:hint="eastAsia" w:ascii="仿宋_GB2312" w:eastAsia="仿宋_GB2312"/>
          <w:szCs w:val="21"/>
        </w:rPr>
        <w:t>《交银施罗德国证新能源指数证券投资基金（LOF）托管协议》、</w:t>
      </w:r>
    </w:p>
    <w:p>
      <w:pPr>
        <w:ind w:firstLine="420"/>
        <w:jc w:val="left"/>
        <w:rPr>
          <w:rFonts w:ascii="仿宋_GB2312" w:eastAsia="仿宋_GB2312"/>
          <w:szCs w:val="21"/>
        </w:rPr>
      </w:pPr>
      <w:r>
        <w:rPr>
          <w:rFonts w:hint="eastAsia" w:ascii="仿宋_GB2312" w:eastAsia="仿宋_GB2312"/>
          <w:szCs w:val="21"/>
        </w:rPr>
        <w:t>《交银施罗德国证新能源指数证券投资基金（LOF）招募说明书》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66B48"/>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9CD29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918</Words>
  <Characters>5233</Characters>
  <Lines>43</Lines>
  <Paragraphs>12</Paragraphs>
  <TotalTime>0</TotalTime>
  <ScaleCrop>false</ScaleCrop>
  <LinksUpToDate>false</LinksUpToDate>
  <CharactersWithSpaces>6139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2025-09-24T05:30:00Z</dcterms:created>
  <dc:creator>Cc</dc:creator>
  <cp:lastModifiedBy>haotingting</cp:lastModifiedBy>
  <dcterms:modified xsi:type="dcterms:W3CDTF">2025-09-24T05:39:46Z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E8C02CA416744E1497B0502ED14DB5E8</vt:lpwstr>
  </property>
</Properties>
</file>