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港股通优质精选</w:t>
      </w:r>
      <w:r>
        <w:rPr>
          <w:rFonts w:hAnsi="宋体"/>
          <w:b/>
          <w:sz w:val="44"/>
        </w:rPr>
        <w:t>混合型</w:t>
      </w:r>
    </w:p>
    <w:p>
      <w:pPr>
        <w:adjustRightInd w:val="0"/>
        <w:snapToGrid w:val="0"/>
        <w:spacing w:line="360" w:lineRule="auto"/>
        <w:jc w:val="center"/>
        <w:rPr>
          <w:rFonts w:hAnsi="宋体"/>
          <w:b/>
          <w:sz w:val="44"/>
        </w:rPr>
      </w:pPr>
      <w:r>
        <w:rPr>
          <w:rFonts w:hAnsi="宋体"/>
          <w:b/>
          <w:sz w:val="44"/>
        </w:rPr>
        <w:t>证券投资基金</w:t>
      </w:r>
    </w:p>
    <w:p>
      <w:pPr>
        <w:adjustRightInd w:val="0"/>
        <w:snapToGrid w:val="0"/>
        <w:spacing w:line="360" w:lineRule="auto"/>
        <w:jc w:val="center"/>
        <w:rPr>
          <w:sz w:val="24"/>
        </w:rPr>
      </w:pPr>
      <w:r>
        <w:rPr>
          <w:rFonts w:hAnsi="宋体"/>
          <w:b/>
          <w:sz w:val="44"/>
        </w:rPr>
        <w:t>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中信证券</w:t>
      </w:r>
      <w:r>
        <w:rPr>
          <w:rFonts w:hAnsi="宋体"/>
          <w:b/>
          <w:sz w:val="28"/>
        </w:rPr>
        <w:t>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五</w:t>
      </w:r>
      <w:r>
        <w:rPr>
          <w:rFonts w:hAnsi="宋体"/>
          <w:b/>
          <w:sz w:val="28"/>
        </w:rPr>
        <w:t>年</w:t>
      </w:r>
      <w:r>
        <w:rPr>
          <w:rFonts w:hint="eastAsia" w:hAnsi="宋体"/>
          <w:b/>
          <w:sz w:val="28"/>
          <w:lang w:val="en-US" w:eastAsia="zh-CN"/>
        </w:rPr>
        <w:t>八</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kern w:val="0"/>
          <w:sz w:val="24"/>
        </w:rPr>
        <w:t>港股通优质精选</w:t>
      </w:r>
      <w:r>
        <w:rPr>
          <w:kern w:val="0"/>
          <w:sz w:val="24"/>
        </w:rPr>
        <w:t>混合型证券投资基金（以下简称</w:t>
      </w:r>
      <w:r>
        <w:rPr>
          <w:rFonts w:ascii="宋体" w:hAnsi="宋体"/>
          <w:kern w:val="0"/>
          <w:sz w:val="24"/>
        </w:rPr>
        <w:t>“本基金”</w:t>
      </w:r>
      <w:r>
        <w:rPr>
          <w:rFonts w:hAnsi="宋体"/>
          <w:kern w:val="0"/>
          <w:sz w:val="24"/>
        </w:rPr>
        <w:t>）经</w:t>
      </w:r>
      <w:r>
        <w:rPr>
          <w:rFonts w:hint="eastAsia"/>
          <w:kern w:val="0"/>
          <w:sz w:val="24"/>
          <w:lang w:val="en-US" w:eastAsia="zh-CN"/>
        </w:rPr>
        <w:t>2025年7月29日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Pr>
          <w:rFonts w:hint="eastAsia"/>
          <w:kern w:val="0"/>
          <w:sz w:val="24"/>
          <w:lang w:val="en-US" w:eastAsia="zh-CN"/>
        </w:rPr>
        <w:t>2025</w:t>
      </w:r>
      <w:r>
        <w:rPr>
          <w:rFonts w:hAnsi="宋体"/>
          <w:kern w:val="0"/>
          <w:sz w:val="24"/>
        </w:rPr>
        <w:t>】</w:t>
      </w:r>
      <w:r>
        <w:rPr>
          <w:rFonts w:hint="eastAsia" w:hAnsi="宋体"/>
          <w:kern w:val="0"/>
          <w:sz w:val="24"/>
          <w:lang w:val="en-US" w:eastAsia="zh-CN"/>
        </w:rPr>
        <w:t>1608</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Pr>
          <w:rFonts w:hint="eastAsia"/>
          <w:kern w:val="0"/>
          <w:sz w:val="24"/>
        </w:rPr>
        <w:t>基金</w:t>
      </w:r>
      <w:r>
        <w:rPr>
          <w:kern w:val="0"/>
          <w:sz w:val="24"/>
        </w:rPr>
        <w:t>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；信用风险；本基金的特有风险；本基金法律文件风险收益特征表述与销售机构基金风险评价可能不一致的风险；投资本基金的其他风险等等</w:t>
      </w:r>
      <w:r>
        <w:rPr>
          <w:kern w:val="0"/>
          <w:sz w:val="24"/>
        </w:rPr>
        <w:t>。</w:t>
      </w:r>
      <w:r>
        <w:rPr>
          <w:rFonts w:hint="eastAsia"/>
          <w:kern w:val="0"/>
          <w:sz w:val="24"/>
        </w:rPr>
        <w:t>本基金是一只混合型基金，其预期风险和预期收益理论上高于债券型基金和货币市场基金，低于股票型基金。</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本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但不限于汇率风险（汇率波动可能对基金的投资收益造成损失）、港股市场股价波动较大的风险（港股市场实行T+0回转交易，且对个股不设涨跌幅限制，港股股价可能表现出比A股更为剧烈的股价波动）、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bCs/>
          <w:sz w:val="24"/>
        </w:rPr>
        <w:t>本基金可投资</w:t>
      </w:r>
      <w:r>
        <w:rPr>
          <w:rFonts w:hint="eastAsia" w:hAnsi="宋体"/>
          <w:kern w:val="0"/>
          <w:sz w:val="24"/>
          <w:szCs w:val="24"/>
        </w:rPr>
        <w:t>科创板股票，会面临科创板机制下因投资标的、市场制度以及交易规则等差异带来的特有风险，包括但不限于市场风险、流动性风险、退市风险、系统性风险、政策风险等。</w:t>
      </w:r>
      <w:r>
        <w:rPr>
          <w:rFonts w:hint="eastAsia" w:hAnsi="宋体"/>
          <w:sz w:val="24"/>
        </w:rPr>
        <w:t>具体</w:t>
      </w:r>
      <w:r>
        <w:rPr>
          <w:rFonts w:hAnsi="宋体"/>
          <w:sz w:val="24"/>
        </w:rPr>
        <w:t>风险请</w:t>
      </w:r>
      <w:r>
        <w:rPr>
          <w:rFonts w:hint="eastAsia" w:hAnsi="宋体"/>
          <w:sz w:val="24"/>
        </w:rPr>
        <w:t>查阅</w:t>
      </w:r>
      <w:r>
        <w:rPr>
          <w:rFonts w:hAnsi="宋体"/>
          <w:sz w:val="24"/>
        </w:rPr>
        <w:t>本基金招募说明书“风险揭示”章节的具体内容。</w:t>
      </w:r>
    </w:p>
    <w:p>
      <w:pPr>
        <w:widowControl/>
        <w:adjustRightInd w:val="0"/>
        <w:snapToGrid w:val="0"/>
        <w:spacing w:line="360" w:lineRule="auto"/>
        <w:ind w:firstLine="480" w:firstLineChars="200"/>
        <w:rPr>
          <w:rFonts w:hAnsi="宋体"/>
          <w:bCs/>
          <w:sz w:val="24"/>
        </w:rPr>
      </w:pPr>
      <w:r>
        <w:rPr>
          <w:rFonts w:hint="eastAsia" w:hAnsi="宋体"/>
          <w:kern w:val="0"/>
          <w:sz w:val="24"/>
          <w:szCs w:val="24"/>
        </w:rPr>
        <w:t>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rFonts w:hint="eastAsia"/>
          <w:kern w:val="0"/>
          <w:sz w:val="24"/>
        </w:rPr>
        <w:t>基金合同提前终止风险。基金合同生效后，连续50个工作日出现基金份额持有人数量不满200人或者基金资产净值低于5000万元情形的，基金合同终止，不需召开基金份额持有人大会。因此，投资者可能面临基金合同提前终止的风险。</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kern w:val="0"/>
          <w:sz w:val="24"/>
        </w:rPr>
      </w:pPr>
      <w:r>
        <w:rPr>
          <w:rFonts w:hint="eastAsia"/>
          <w:kern w:val="0"/>
          <w:sz w:val="24"/>
        </w:rPr>
        <w:t>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t>一、绪言</w:t>
      </w:r>
      <w:r>
        <w:tab/>
      </w:r>
      <w:r>
        <w:fldChar w:fldCharType="begin"/>
      </w:r>
      <w:r>
        <w:instrText xml:space="preserve"> PAGEREF _Toc48122002 \h </w:instrText>
      </w:r>
      <w:r>
        <w:fldChar w:fldCharType="separate"/>
      </w:r>
      <w:r>
        <w:t>6</w:t>
      </w:r>
      <w:r>
        <w:fldChar w:fldCharType="end"/>
      </w:r>
      <w:r>
        <w:fldChar w:fldCharType="end"/>
      </w:r>
    </w:p>
    <w:p>
      <w:pPr>
        <w:pStyle w:val="22"/>
        <w:adjustRightInd w:val="0"/>
        <w:snapToGrid w:val="0"/>
      </w:pPr>
      <w:r>
        <w:fldChar w:fldCharType="begin"/>
      </w:r>
      <w:r>
        <w:instrText xml:space="preserve"> HYPERLINK \l "_Toc48122003" </w:instrText>
      </w:r>
      <w:r>
        <w:fldChar w:fldCharType="separate"/>
      </w:r>
      <w:r>
        <w:t>二、释义</w:t>
      </w:r>
      <w:r>
        <w:tab/>
      </w:r>
      <w:r>
        <w:fldChar w:fldCharType="begin"/>
      </w:r>
      <w:r>
        <w:instrText xml:space="preserve"> PAGEREF _Toc48122003 \h </w:instrText>
      </w:r>
      <w:r>
        <w:fldChar w:fldCharType="separate"/>
      </w:r>
      <w:r>
        <w:t>7</w:t>
      </w:r>
      <w:r>
        <w:fldChar w:fldCharType="end"/>
      </w:r>
      <w:r>
        <w:fldChar w:fldCharType="end"/>
      </w:r>
    </w:p>
    <w:p>
      <w:pPr>
        <w:pStyle w:val="22"/>
        <w:adjustRightInd w:val="0"/>
        <w:snapToGrid w:val="0"/>
      </w:pPr>
      <w:r>
        <w:fldChar w:fldCharType="begin"/>
      </w:r>
      <w:r>
        <w:instrText xml:space="preserve"> HYPERLINK \l "_Toc48122004" </w:instrText>
      </w:r>
      <w:r>
        <w:fldChar w:fldCharType="separate"/>
      </w:r>
      <w:r>
        <w:t>三、基金管理人</w:t>
      </w:r>
      <w:r>
        <w:tab/>
      </w:r>
      <w:r>
        <w:fldChar w:fldCharType="begin"/>
      </w:r>
      <w:r>
        <w:instrText xml:space="preserve"> PAGEREF _Toc48122004 \h </w:instrText>
      </w:r>
      <w:r>
        <w:fldChar w:fldCharType="separate"/>
      </w:r>
      <w:r>
        <w:t>12</w:t>
      </w:r>
      <w:r>
        <w:fldChar w:fldCharType="end"/>
      </w:r>
      <w:r>
        <w:fldChar w:fldCharType="end"/>
      </w:r>
    </w:p>
    <w:p>
      <w:pPr>
        <w:pStyle w:val="22"/>
        <w:adjustRightInd w:val="0"/>
        <w:snapToGrid w:val="0"/>
      </w:pPr>
      <w:r>
        <w:fldChar w:fldCharType="begin"/>
      </w:r>
      <w:r>
        <w:instrText xml:space="preserve"> HYPERLINK \l "_Toc48122005" </w:instrText>
      </w:r>
      <w:r>
        <w:fldChar w:fldCharType="separate"/>
      </w:r>
      <w:r>
        <w:t>四、基金托管人</w:t>
      </w:r>
      <w:r>
        <w:tab/>
      </w:r>
      <w:r>
        <w:fldChar w:fldCharType="begin"/>
      </w:r>
      <w:r>
        <w:instrText xml:space="preserve"> PAGEREF _Toc48122005 \h </w:instrText>
      </w:r>
      <w:r>
        <w:fldChar w:fldCharType="separate"/>
      </w:r>
      <w:r>
        <w:t>20</w:t>
      </w:r>
      <w:r>
        <w:fldChar w:fldCharType="end"/>
      </w:r>
      <w:r>
        <w:fldChar w:fldCharType="end"/>
      </w:r>
    </w:p>
    <w:p>
      <w:pPr>
        <w:pStyle w:val="22"/>
        <w:adjustRightInd w:val="0"/>
        <w:snapToGrid w:val="0"/>
      </w:pPr>
      <w:r>
        <w:fldChar w:fldCharType="begin"/>
      </w:r>
      <w:r>
        <w:instrText xml:space="preserve"> HYPERLINK \l "_Toc48122006" </w:instrText>
      </w:r>
      <w:r>
        <w:fldChar w:fldCharType="separate"/>
      </w:r>
      <w:r>
        <w:t>五、相关服务机构</w:t>
      </w:r>
      <w:r>
        <w:tab/>
      </w:r>
      <w:r>
        <w:fldChar w:fldCharType="begin"/>
      </w:r>
      <w:r>
        <w:instrText xml:space="preserve"> PAGEREF _Toc48122006 \h </w:instrText>
      </w:r>
      <w:r>
        <w:fldChar w:fldCharType="separate"/>
      </w:r>
      <w:r>
        <w:t>24</w:t>
      </w:r>
      <w:r>
        <w:fldChar w:fldCharType="end"/>
      </w:r>
      <w:r>
        <w:fldChar w:fldCharType="end"/>
      </w:r>
    </w:p>
    <w:p>
      <w:pPr>
        <w:pStyle w:val="22"/>
        <w:adjustRightInd w:val="0"/>
        <w:snapToGrid w:val="0"/>
      </w:pPr>
      <w:r>
        <w:fldChar w:fldCharType="begin"/>
      </w:r>
      <w:r>
        <w:instrText xml:space="preserve"> HYPERLINK \l "_Toc48122007" </w:instrText>
      </w:r>
      <w:r>
        <w:fldChar w:fldCharType="separate"/>
      </w:r>
      <w:r>
        <w:t>六、基金的募集</w:t>
      </w:r>
      <w:r>
        <w:tab/>
      </w:r>
      <w:r>
        <w:fldChar w:fldCharType="begin"/>
      </w:r>
      <w:r>
        <w:instrText xml:space="preserve"> PAGEREF _Toc48122007 \h </w:instrText>
      </w:r>
      <w:r>
        <w:fldChar w:fldCharType="separate"/>
      </w:r>
      <w:r>
        <w:t>27</w:t>
      </w:r>
      <w:r>
        <w:fldChar w:fldCharType="end"/>
      </w:r>
      <w:r>
        <w:fldChar w:fldCharType="end"/>
      </w:r>
    </w:p>
    <w:p>
      <w:pPr>
        <w:pStyle w:val="22"/>
        <w:adjustRightInd w:val="0"/>
        <w:snapToGrid w:val="0"/>
      </w:pPr>
      <w:r>
        <w:fldChar w:fldCharType="begin"/>
      </w:r>
      <w:r>
        <w:instrText xml:space="preserve"> HYPERLINK \l "_Toc48122008" </w:instrText>
      </w:r>
      <w:r>
        <w:fldChar w:fldCharType="separate"/>
      </w:r>
      <w:r>
        <w:t>七、基金合同的生效</w:t>
      </w:r>
      <w:r>
        <w:tab/>
      </w:r>
      <w:r>
        <w:fldChar w:fldCharType="begin"/>
      </w:r>
      <w:r>
        <w:instrText xml:space="preserve"> PAGEREF _Toc48122008 \h </w:instrText>
      </w:r>
      <w:r>
        <w:fldChar w:fldCharType="separate"/>
      </w:r>
      <w:r>
        <w:t>33</w:t>
      </w:r>
      <w:r>
        <w:fldChar w:fldCharType="end"/>
      </w:r>
      <w:r>
        <w:fldChar w:fldCharType="end"/>
      </w:r>
    </w:p>
    <w:p>
      <w:pPr>
        <w:pStyle w:val="22"/>
        <w:adjustRightInd w:val="0"/>
        <w:snapToGrid w:val="0"/>
      </w:pPr>
      <w:r>
        <w:fldChar w:fldCharType="begin"/>
      </w:r>
      <w:r>
        <w:instrText xml:space="preserve"> HYPERLINK \l "_Toc48122009" </w:instrText>
      </w:r>
      <w:r>
        <w:fldChar w:fldCharType="separate"/>
      </w:r>
      <w:r>
        <w:t>八、基金份额的申购与赎回</w:t>
      </w:r>
      <w:r>
        <w:tab/>
      </w:r>
      <w:r>
        <w:fldChar w:fldCharType="begin"/>
      </w:r>
      <w:r>
        <w:instrText xml:space="preserve"> PAGEREF _Toc48122009 \h </w:instrText>
      </w:r>
      <w:r>
        <w:fldChar w:fldCharType="separate"/>
      </w:r>
      <w:r>
        <w:t>34</w:t>
      </w:r>
      <w:r>
        <w:fldChar w:fldCharType="end"/>
      </w:r>
      <w:r>
        <w:fldChar w:fldCharType="end"/>
      </w:r>
    </w:p>
    <w:p>
      <w:pPr>
        <w:pStyle w:val="22"/>
        <w:adjustRightInd w:val="0"/>
        <w:snapToGrid w:val="0"/>
      </w:pPr>
      <w:r>
        <w:fldChar w:fldCharType="begin"/>
      </w:r>
      <w:r>
        <w:instrText xml:space="preserve"> HYPERLINK \l "_Toc48122010" </w:instrText>
      </w:r>
      <w:r>
        <w:fldChar w:fldCharType="separate"/>
      </w:r>
      <w:r>
        <w:t>九、基金的投资</w:t>
      </w:r>
      <w:r>
        <w:tab/>
      </w:r>
      <w:r>
        <w:fldChar w:fldCharType="begin"/>
      </w:r>
      <w:r>
        <w:instrText xml:space="preserve"> PAGEREF _Toc48122010 \h </w:instrText>
      </w:r>
      <w:r>
        <w:fldChar w:fldCharType="separate"/>
      </w:r>
      <w:r>
        <w:t>49</w:t>
      </w:r>
      <w:r>
        <w:fldChar w:fldCharType="end"/>
      </w:r>
      <w:r>
        <w:fldChar w:fldCharType="end"/>
      </w:r>
    </w:p>
    <w:p>
      <w:pPr>
        <w:pStyle w:val="22"/>
        <w:adjustRightInd w:val="0"/>
        <w:snapToGrid w:val="0"/>
      </w:pPr>
      <w:r>
        <w:fldChar w:fldCharType="begin"/>
      </w:r>
      <w:r>
        <w:instrText xml:space="preserve"> HYPERLINK \l "_Toc48122011" </w:instrText>
      </w:r>
      <w:r>
        <w:fldChar w:fldCharType="separate"/>
      </w:r>
      <w:r>
        <w:t>十、基金的财产</w:t>
      </w:r>
      <w:r>
        <w:tab/>
      </w:r>
      <w:r>
        <w:fldChar w:fldCharType="begin"/>
      </w:r>
      <w:r>
        <w:instrText xml:space="preserve"> PAGEREF _Toc48122011 \h </w:instrText>
      </w:r>
      <w:r>
        <w:fldChar w:fldCharType="separate"/>
      </w:r>
      <w:r>
        <w:t>57</w:t>
      </w:r>
      <w:r>
        <w:fldChar w:fldCharType="end"/>
      </w:r>
      <w:r>
        <w:fldChar w:fldCharType="end"/>
      </w:r>
    </w:p>
    <w:p>
      <w:pPr>
        <w:pStyle w:val="22"/>
        <w:adjustRightInd w:val="0"/>
        <w:snapToGrid w:val="0"/>
      </w:pPr>
      <w:r>
        <w:fldChar w:fldCharType="begin"/>
      </w:r>
      <w:r>
        <w:instrText xml:space="preserve"> HYPERLINK \l "_Toc48122012" </w:instrText>
      </w:r>
      <w:r>
        <w:fldChar w:fldCharType="separate"/>
      </w:r>
      <w:r>
        <w:t>十一、基金资产的估值</w:t>
      </w:r>
      <w:r>
        <w:tab/>
      </w:r>
      <w:r>
        <w:fldChar w:fldCharType="begin"/>
      </w:r>
      <w:r>
        <w:instrText xml:space="preserve"> PAGEREF _Toc48122012 \h </w:instrText>
      </w:r>
      <w:r>
        <w:fldChar w:fldCharType="separate"/>
      </w:r>
      <w:r>
        <w:t>58</w:t>
      </w:r>
      <w:r>
        <w:fldChar w:fldCharType="end"/>
      </w:r>
      <w:r>
        <w:fldChar w:fldCharType="end"/>
      </w:r>
    </w:p>
    <w:p>
      <w:pPr>
        <w:pStyle w:val="22"/>
        <w:adjustRightInd w:val="0"/>
        <w:snapToGrid w:val="0"/>
      </w:pPr>
      <w:r>
        <w:fldChar w:fldCharType="begin"/>
      </w:r>
      <w:r>
        <w:instrText xml:space="preserve"> HYPERLINK \l "_Toc48122013" </w:instrText>
      </w:r>
      <w:r>
        <w:fldChar w:fldCharType="separate"/>
      </w:r>
      <w:r>
        <w:t>十二、基金收益与分配</w:t>
      </w:r>
      <w:r>
        <w:tab/>
      </w:r>
      <w:r>
        <w:fldChar w:fldCharType="begin"/>
      </w:r>
      <w:r>
        <w:instrText xml:space="preserve"> PAGEREF _Toc48122013 \h </w:instrText>
      </w:r>
      <w:r>
        <w:fldChar w:fldCharType="separate"/>
      </w:r>
      <w:r>
        <w:t>64</w:t>
      </w:r>
      <w:r>
        <w:fldChar w:fldCharType="end"/>
      </w:r>
      <w:r>
        <w:fldChar w:fldCharType="end"/>
      </w:r>
    </w:p>
    <w:p>
      <w:pPr>
        <w:pStyle w:val="22"/>
        <w:adjustRightInd w:val="0"/>
        <w:snapToGrid w:val="0"/>
      </w:pPr>
      <w:r>
        <w:fldChar w:fldCharType="begin"/>
      </w:r>
      <w:r>
        <w:instrText xml:space="preserve"> HYPERLINK \l "_Toc48122014" </w:instrText>
      </w:r>
      <w:r>
        <w:fldChar w:fldCharType="separate"/>
      </w:r>
      <w:r>
        <w:t>十三、基金的费用与税收</w:t>
      </w:r>
      <w:r>
        <w:tab/>
      </w:r>
      <w:r>
        <w:fldChar w:fldCharType="begin"/>
      </w:r>
      <w:r>
        <w:instrText xml:space="preserve"> PAGEREF _Toc48122014 \h </w:instrText>
      </w:r>
      <w:r>
        <w:fldChar w:fldCharType="separate"/>
      </w:r>
      <w:r>
        <w:t>66</w:t>
      </w:r>
      <w:r>
        <w:fldChar w:fldCharType="end"/>
      </w:r>
      <w:r>
        <w:fldChar w:fldCharType="end"/>
      </w:r>
    </w:p>
    <w:p>
      <w:pPr>
        <w:pStyle w:val="22"/>
        <w:adjustRightInd w:val="0"/>
        <w:snapToGrid w:val="0"/>
      </w:pPr>
      <w:r>
        <w:fldChar w:fldCharType="begin"/>
      </w:r>
      <w:r>
        <w:instrText xml:space="preserve"> HYPERLINK \l "_Toc48122015" </w:instrText>
      </w:r>
      <w:r>
        <w:fldChar w:fldCharType="separate"/>
      </w:r>
      <w:r>
        <w:t>十四、基金的会计与审计</w:t>
      </w:r>
      <w:r>
        <w:tab/>
      </w:r>
      <w:r>
        <w:fldChar w:fldCharType="begin"/>
      </w:r>
      <w:r>
        <w:instrText xml:space="preserve"> PAGEREF _Toc48122015 \h </w:instrText>
      </w:r>
      <w:r>
        <w:fldChar w:fldCharType="separate"/>
      </w:r>
      <w:r>
        <w:t>69</w:t>
      </w:r>
      <w:r>
        <w:fldChar w:fldCharType="end"/>
      </w:r>
      <w:r>
        <w:fldChar w:fldCharType="end"/>
      </w:r>
    </w:p>
    <w:p>
      <w:pPr>
        <w:pStyle w:val="22"/>
        <w:adjustRightInd w:val="0"/>
        <w:snapToGrid w:val="0"/>
      </w:pPr>
      <w:r>
        <w:fldChar w:fldCharType="begin"/>
      </w:r>
      <w:r>
        <w:instrText xml:space="preserve"> HYPERLINK \l "_Toc48122016" </w:instrText>
      </w:r>
      <w:r>
        <w:fldChar w:fldCharType="separate"/>
      </w:r>
      <w:r>
        <w:t>十五、基金的信息披露</w:t>
      </w:r>
      <w:r>
        <w:tab/>
      </w:r>
      <w:r>
        <w:fldChar w:fldCharType="begin"/>
      </w:r>
      <w:r>
        <w:instrText xml:space="preserve"> PAGEREF _Toc48122016 \h </w:instrText>
      </w:r>
      <w:r>
        <w:fldChar w:fldCharType="separate"/>
      </w:r>
      <w:r>
        <w:t>70</w:t>
      </w:r>
      <w:r>
        <w:fldChar w:fldCharType="end"/>
      </w:r>
      <w:r>
        <w:fldChar w:fldCharType="end"/>
      </w:r>
    </w:p>
    <w:p>
      <w:pPr>
        <w:pStyle w:val="22"/>
        <w:adjustRightInd w:val="0"/>
        <w:snapToGrid w:val="0"/>
      </w:pPr>
      <w:r>
        <w:fldChar w:fldCharType="begin"/>
      </w:r>
      <w:r>
        <w:instrText xml:space="preserve"> HYPERLINK \l "_Toc48122017" </w:instrText>
      </w:r>
      <w:r>
        <w:fldChar w:fldCharType="separate"/>
      </w:r>
      <w:r>
        <w:t>十六、侧袋机制</w:t>
      </w:r>
      <w:r>
        <w:tab/>
      </w:r>
      <w:r>
        <w:fldChar w:fldCharType="begin"/>
      </w:r>
      <w:r>
        <w:instrText xml:space="preserve"> PAGEREF _Toc48122017 \h </w:instrText>
      </w:r>
      <w:r>
        <w:fldChar w:fldCharType="separate"/>
      </w:r>
      <w:r>
        <w:t>77</w:t>
      </w:r>
      <w:r>
        <w:fldChar w:fldCharType="end"/>
      </w:r>
      <w:r>
        <w:fldChar w:fldCharType="end"/>
      </w:r>
    </w:p>
    <w:p>
      <w:pPr>
        <w:pStyle w:val="22"/>
        <w:adjustRightInd w:val="0"/>
        <w:snapToGrid w:val="0"/>
      </w:pPr>
      <w:r>
        <w:fldChar w:fldCharType="begin"/>
      </w:r>
      <w:r>
        <w:instrText xml:space="preserve"> HYPERLINK \l "_Toc48122018" </w:instrText>
      </w:r>
      <w:r>
        <w:fldChar w:fldCharType="separate"/>
      </w:r>
      <w:r>
        <w:t>十七、风险揭示</w:t>
      </w:r>
      <w:r>
        <w:tab/>
      </w:r>
      <w:r>
        <w:fldChar w:fldCharType="begin"/>
      </w:r>
      <w:r>
        <w:instrText xml:space="preserve"> PAGEREF _Toc48122018 \h </w:instrText>
      </w:r>
      <w:r>
        <w:fldChar w:fldCharType="separate"/>
      </w:r>
      <w:r>
        <w:t>80</w:t>
      </w:r>
      <w:r>
        <w:fldChar w:fldCharType="end"/>
      </w:r>
      <w:r>
        <w:fldChar w:fldCharType="end"/>
      </w:r>
    </w:p>
    <w:p>
      <w:pPr>
        <w:pStyle w:val="22"/>
        <w:adjustRightInd w:val="0"/>
        <w:snapToGrid w:val="0"/>
      </w:pPr>
      <w:r>
        <w:fldChar w:fldCharType="begin"/>
      </w:r>
      <w:r>
        <w:instrText xml:space="preserve"> HYPERLINK \l "_Toc48122019" </w:instrText>
      </w:r>
      <w:r>
        <w:fldChar w:fldCharType="separate"/>
      </w:r>
      <w:r>
        <w:t>十八、基金合同的变更、终止与基金财产的清算</w:t>
      </w:r>
      <w:r>
        <w:tab/>
      </w:r>
      <w:r>
        <w:fldChar w:fldCharType="begin"/>
      </w:r>
      <w:r>
        <w:instrText xml:space="preserve"> PAGEREF _Toc48122019 \h </w:instrText>
      </w:r>
      <w:r>
        <w:fldChar w:fldCharType="separate"/>
      </w:r>
      <w:r>
        <w:t>91</w:t>
      </w:r>
      <w:r>
        <w:fldChar w:fldCharType="end"/>
      </w:r>
      <w:r>
        <w:fldChar w:fldCharType="end"/>
      </w:r>
    </w:p>
    <w:p>
      <w:pPr>
        <w:pStyle w:val="22"/>
        <w:adjustRightInd w:val="0"/>
        <w:snapToGrid w:val="0"/>
      </w:pPr>
      <w:r>
        <w:fldChar w:fldCharType="begin"/>
      </w:r>
      <w:r>
        <w:instrText xml:space="preserve"> HYPERLINK \l "_Toc48122020" </w:instrText>
      </w:r>
      <w:r>
        <w:fldChar w:fldCharType="separate"/>
      </w:r>
      <w:r>
        <w:t>十九、基金合同内容摘要</w:t>
      </w:r>
      <w:r>
        <w:tab/>
      </w:r>
      <w:r>
        <w:fldChar w:fldCharType="begin"/>
      </w:r>
      <w:r>
        <w:instrText xml:space="preserve"> PAGEREF _Toc48122020 \h </w:instrText>
      </w:r>
      <w:r>
        <w:fldChar w:fldCharType="separate"/>
      </w:r>
      <w:r>
        <w:t>93</w:t>
      </w:r>
      <w:r>
        <w:fldChar w:fldCharType="end"/>
      </w:r>
      <w:r>
        <w:fldChar w:fldCharType="end"/>
      </w:r>
    </w:p>
    <w:p>
      <w:pPr>
        <w:pStyle w:val="22"/>
        <w:adjustRightInd w:val="0"/>
        <w:snapToGrid w:val="0"/>
      </w:pPr>
      <w:r>
        <w:fldChar w:fldCharType="begin"/>
      </w:r>
      <w:r>
        <w:instrText xml:space="preserve"> HYPERLINK \l "_Toc48122021" </w:instrText>
      </w:r>
      <w:r>
        <w:fldChar w:fldCharType="separate"/>
      </w:r>
      <w:r>
        <w:t>二十、托管协议的内容摘要</w:t>
      </w:r>
      <w:r>
        <w:tab/>
      </w:r>
      <w:r>
        <w:fldChar w:fldCharType="begin"/>
      </w:r>
      <w:r>
        <w:instrText xml:space="preserve"> PAGEREF _Toc48122021 \h </w:instrText>
      </w:r>
      <w:r>
        <w:fldChar w:fldCharType="separate"/>
      </w:r>
      <w:r>
        <w:t>111</w:t>
      </w:r>
      <w:r>
        <w:fldChar w:fldCharType="end"/>
      </w:r>
      <w:r>
        <w:fldChar w:fldCharType="end"/>
      </w:r>
    </w:p>
    <w:p>
      <w:pPr>
        <w:pStyle w:val="22"/>
        <w:adjustRightInd w:val="0"/>
        <w:snapToGrid w:val="0"/>
      </w:pPr>
      <w:r>
        <w:fldChar w:fldCharType="begin"/>
      </w:r>
      <w:r>
        <w:instrText xml:space="preserve"> HYPERLINK \l "_Toc48122022" </w:instrText>
      </w:r>
      <w:r>
        <w:fldChar w:fldCharType="separate"/>
      </w:r>
      <w:r>
        <w:t>二十一、对基金份额持有人的服务</w:t>
      </w:r>
      <w:r>
        <w:tab/>
      </w:r>
      <w:r>
        <w:fldChar w:fldCharType="begin"/>
      </w:r>
      <w:r>
        <w:instrText xml:space="preserve"> PAGEREF _Toc48122022 \h </w:instrText>
      </w:r>
      <w:r>
        <w:fldChar w:fldCharType="separate"/>
      </w:r>
      <w:r>
        <w:t>133</w:t>
      </w:r>
      <w:r>
        <w:fldChar w:fldCharType="end"/>
      </w:r>
      <w:r>
        <w:fldChar w:fldCharType="end"/>
      </w:r>
    </w:p>
    <w:p>
      <w:pPr>
        <w:pStyle w:val="22"/>
        <w:adjustRightInd w:val="0"/>
        <w:snapToGrid w:val="0"/>
      </w:pPr>
      <w:r>
        <w:fldChar w:fldCharType="begin"/>
      </w:r>
      <w:r>
        <w:instrText xml:space="preserve"> HYPERLINK \l "_Toc48122023" </w:instrText>
      </w:r>
      <w:r>
        <w:fldChar w:fldCharType="separate"/>
      </w:r>
      <w:r>
        <w:t>二十二、其他应披露事项</w:t>
      </w:r>
      <w:r>
        <w:tab/>
      </w:r>
      <w:r>
        <w:fldChar w:fldCharType="begin"/>
      </w:r>
      <w:r>
        <w:instrText xml:space="preserve"> PAGEREF _Toc48122023 \h </w:instrText>
      </w:r>
      <w:r>
        <w:fldChar w:fldCharType="separate"/>
      </w:r>
      <w:r>
        <w:t>135</w:t>
      </w:r>
      <w:r>
        <w:fldChar w:fldCharType="end"/>
      </w:r>
      <w:r>
        <w:fldChar w:fldCharType="end"/>
      </w:r>
    </w:p>
    <w:p>
      <w:pPr>
        <w:pStyle w:val="22"/>
        <w:adjustRightInd w:val="0"/>
        <w:snapToGrid w:val="0"/>
      </w:pPr>
      <w:r>
        <w:fldChar w:fldCharType="begin"/>
      </w:r>
      <w:r>
        <w:instrText xml:space="preserve"> HYPERLINK \l "_Toc48122024" </w:instrText>
      </w:r>
      <w:r>
        <w:fldChar w:fldCharType="separate"/>
      </w:r>
      <w:r>
        <w:t>二十三、招募说明书的存放及查阅方式</w:t>
      </w:r>
      <w:r>
        <w:tab/>
      </w:r>
      <w:r>
        <w:fldChar w:fldCharType="begin"/>
      </w:r>
      <w:r>
        <w:instrText xml:space="preserve"> PAGEREF _Toc48122024 \h </w:instrText>
      </w:r>
      <w:r>
        <w:fldChar w:fldCharType="separate"/>
      </w:r>
      <w:r>
        <w:t>136</w:t>
      </w:r>
      <w:r>
        <w:fldChar w:fldCharType="end"/>
      </w:r>
      <w:r>
        <w:fldChar w:fldCharType="end"/>
      </w:r>
    </w:p>
    <w:p>
      <w:pPr>
        <w:pStyle w:val="22"/>
        <w:adjustRightInd w:val="0"/>
        <w:snapToGrid w:val="0"/>
      </w:pPr>
      <w:r>
        <w:fldChar w:fldCharType="begin"/>
      </w:r>
      <w:r>
        <w:instrText xml:space="preserve"> HYPERLINK \l "_Toc48122025" </w:instrText>
      </w:r>
      <w:r>
        <w:fldChar w:fldCharType="separate"/>
      </w:r>
      <w:r>
        <w:t>二十四、备查文件</w:t>
      </w:r>
      <w:r>
        <w:tab/>
      </w:r>
      <w:r>
        <w:fldChar w:fldCharType="begin"/>
      </w:r>
      <w:r>
        <w:instrText xml:space="preserve"> PAGEREF _Toc48122025 \h </w:instrText>
      </w:r>
      <w:r>
        <w:fldChar w:fldCharType="separate"/>
      </w:r>
      <w:r>
        <w:t>137</w:t>
      </w:r>
      <w:r>
        <w:fldChar w:fldCharType="end"/>
      </w:r>
      <w: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kern w:val="0"/>
          <w:sz w:val="24"/>
        </w:rPr>
        <w:t>港股通优质精选</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港股通优质精选</w:t>
      </w:r>
      <w:r>
        <w:rPr>
          <w:rFonts w:ascii="宋体" w:hAnsi="宋体"/>
          <w:kern w:val="0"/>
          <w:sz w:val="24"/>
        </w:rPr>
        <w:t>混合型证券投资基金基金合同》（以下简称“基金合同”</w:t>
      </w:r>
      <w:r>
        <w:rPr>
          <w:rFonts w:hint="eastAsia" w:ascii="宋体" w:hAnsi="宋体"/>
          <w:kern w:val="0"/>
          <w:sz w:val="24"/>
        </w:rPr>
        <w:t>或“《基金合同》”</w:t>
      </w:r>
      <w:r>
        <w:rPr>
          <w:rFonts w:ascii="宋体" w:hAnsi="宋体"/>
          <w:kern w:val="0"/>
          <w:sz w:val="24"/>
        </w:rPr>
        <w:t>）</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1、基金或本基金：指交银施罗德港股通优质精选混合型证券投资基金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3、基金托管人：指中信证券股份有限公司</w:t>
      </w:r>
    </w:p>
    <w:p>
      <w:pPr>
        <w:adjustRightInd w:val="0"/>
        <w:snapToGrid w:val="0"/>
        <w:spacing w:line="360" w:lineRule="auto"/>
        <w:ind w:firstLine="480" w:firstLineChars="200"/>
        <w:rPr>
          <w:bCs/>
          <w:sz w:val="24"/>
        </w:rPr>
      </w:pPr>
      <w:r>
        <w:rPr>
          <w:rFonts w:hint="eastAsia"/>
          <w:bCs/>
          <w:sz w:val="24"/>
        </w:rPr>
        <w:t>4、基金合同、《基金合同》：指《交银施罗德港股通优质精选混合型证券投资基金基金合同》及对基金合同的任何有效修订和补充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5、托管协议：指基金管理人与基金托管人就本基金签订之《交银施罗德港股通优质精选混合型证券投资基金托管协议》及对该托管协议的任何有效修订和补充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6、招募说明书或本招募说明书：指《交银施罗德港股通优质精选混合型证券投资基金招募说明书》及其更新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7、基金产品资料概要：指《交银施罗德港股通优质精选混合型证券投资基金基金产品资料概要》及其更新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8、基金份额发售公告：指《交银施罗德港股通优质精选混合型证券投资基金基金份额发售公告》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16、基金合同当事人：指受基金合同约束，根据基金合同享有权利并承担义务的法律主体，包括基金管理人、基金托管人和基金份额持有人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17、个人投资者：指依据有关法律法规规定可投资于证券投资基金的自然人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18、机构投资者：指依法可以投资证券投资基金的、在中华人民共和国境内合法登记并存续或经有关政府部门批准设立并存续的企业法人、事业法人、社会团体或其他组织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rFonts w:hint="eastAsia"/>
          <w:bCs/>
          <w:sz w:val="24"/>
        </w:rPr>
        <w:t>19、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20、投资人、投资者：指个人投资者、机构投资者、合格境外投资者以及法律法规或中国证监会允许购买证券投资基金的其他投资人的合称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rFonts w:hint="eastAsia"/>
          <w:bCs/>
          <w:sz w:val="24"/>
        </w:rPr>
        <w:t>21、基金份额持有人：指依基金合同和招募说明书合法取得基金份额的投资人</w:t>
      </w:r>
    </w:p>
    <w:p>
      <w:pPr>
        <w:adjustRightInd w:val="0"/>
        <w:snapToGrid w:val="0"/>
        <w:spacing w:line="360" w:lineRule="auto"/>
        <w:ind w:firstLine="480" w:firstLineChars="200"/>
        <w:rPr>
          <w:bCs/>
          <w:sz w:val="24"/>
        </w:rPr>
      </w:pPr>
      <w:r>
        <w:rPr>
          <w:rFonts w:hint="eastAsia"/>
          <w:bCs/>
          <w:sz w:val="24"/>
        </w:rPr>
        <w:t>22、基金销售业务：指基金管理人或销售机构宣传推介基金，发售基金份额，办理基金份额的申购、赎回、转换、转托管及定期定额投资等业务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rFonts w:hint="eastAsia"/>
          <w:bCs/>
          <w:sz w:val="24"/>
        </w:rPr>
        <w:t>23、销售机构：指交银施罗德基金管理有限公司以及符合《销售办法》和中国证监会规定的其他条件，取得基金销售业务资格并与基金管理人签订了基金销售服务协议，办理基金销售业务的机构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rFonts w:hint="eastAsia"/>
          <w:bCs/>
          <w:sz w:val="24"/>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rFonts w:hint="eastAsia"/>
          <w:bCs/>
          <w:sz w:val="24"/>
        </w:rPr>
        <w:t>25、登记机构：指办理登记业务的机构。基金的登记机构为交银施罗德基金管理有限公司或接受交银施罗德基金管理有限公司委托代为办理登记业务的机构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rFonts w:hint="eastAsia"/>
          <w:bCs/>
          <w:sz w:val="24"/>
        </w:rPr>
        <w:t>26、基金账户：指登记机构为投资人开立的、记录其持有的、基金管理人所管理的基金份额余额及其变动情况的账户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rFonts w:hint="eastAsia"/>
          <w:bCs/>
          <w:sz w:val="24"/>
        </w:rPr>
        <w:t>27、基金交易账户：指销售机构为投资人开立的、记录投资人通过该销售机构办理认购、申购、赎回、转换及转托管等业务而引起的基金份额变动及结余情况的账户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w:t>
      </w:r>
      <w:r>
        <w:rPr>
          <w:rFonts w:hint="eastAsia"/>
          <w:bCs/>
          <w:sz w:val="24"/>
        </w:rPr>
        <w:t>8、基金合同生效日：指基金募集达到法律法规规定及基金合同规定的条件，基金管理人向中国证监会办理基金备案手续完毕，并获得中国证监会书面确认的日期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rFonts w:hint="eastAsia"/>
          <w:bCs/>
          <w:sz w:val="24"/>
        </w:rPr>
        <w:t>29、基金合同终止日：指基金合同规定的基金合同终止事由出现后，基金财产清算完毕，清算结果报中国证监会备案并予以公告的日期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rFonts w:hint="eastAsia"/>
          <w:bCs/>
          <w:sz w:val="24"/>
        </w:rPr>
        <w:t>30、基金募集期：指自基金份额发售之日起至发售结束之日止的期间，最长不得超过3个月</w:t>
      </w:r>
    </w:p>
    <w:p>
      <w:pPr>
        <w:adjustRightInd w:val="0"/>
        <w:snapToGrid w:val="0"/>
        <w:spacing w:line="360" w:lineRule="auto"/>
        <w:ind w:firstLine="480" w:firstLineChars="200"/>
        <w:rPr>
          <w:bCs/>
          <w:sz w:val="24"/>
        </w:rPr>
      </w:pPr>
      <w:r>
        <w:rPr>
          <w:rFonts w:hint="eastAsia"/>
          <w:bCs/>
          <w:sz w:val="24"/>
        </w:rPr>
        <w:t>31、存续期：指基金合同生效至终止之间的不定期期限</w:t>
      </w:r>
    </w:p>
    <w:p>
      <w:pPr>
        <w:adjustRightInd w:val="0"/>
        <w:snapToGrid w:val="0"/>
        <w:spacing w:line="360" w:lineRule="auto"/>
        <w:ind w:firstLine="480" w:firstLineChars="200"/>
        <w:rPr>
          <w:bCs/>
          <w:sz w:val="24"/>
        </w:rPr>
      </w:pPr>
      <w:r>
        <w:rPr>
          <w:rFonts w:hint="eastAsia"/>
          <w:bCs/>
          <w:sz w:val="24"/>
        </w:rPr>
        <w:t>32、工作日：指上海证券交易所、深圳证券交易所的正常交易日</w:t>
      </w:r>
    </w:p>
    <w:p>
      <w:pPr>
        <w:adjustRightInd w:val="0"/>
        <w:snapToGrid w:val="0"/>
        <w:spacing w:line="360" w:lineRule="auto"/>
        <w:ind w:firstLine="480" w:firstLineChars="200"/>
        <w:rPr>
          <w:bCs/>
          <w:sz w:val="24"/>
        </w:rPr>
      </w:pPr>
      <w:r>
        <w:rPr>
          <w:rFonts w:hint="eastAsia"/>
          <w:bCs/>
          <w:sz w:val="24"/>
        </w:rPr>
        <w:t>33、T日：指销售机构在规定时间受理投资人申购、赎回或其他业务申请的开放日</w:t>
      </w:r>
    </w:p>
    <w:p>
      <w:pPr>
        <w:adjustRightInd w:val="0"/>
        <w:snapToGrid w:val="0"/>
        <w:spacing w:line="360" w:lineRule="auto"/>
        <w:ind w:firstLine="480" w:firstLineChars="200"/>
        <w:rPr>
          <w:bCs/>
          <w:sz w:val="24"/>
        </w:rPr>
      </w:pPr>
      <w:r>
        <w:rPr>
          <w:rFonts w:hint="eastAsia"/>
          <w:bCs/>
          <w:sz w:val="24"/>
        </w:rPr>
        <w:t>34、T+n日：指自T日起第n个工作日（不包含T日）</w:t>
      </w:r>
    </w:p>
    <w:p>
      <w:pPr>
        <w:adjustRightInd w:val="0"/>
        <w:snapToGrid w:val="0"/>
        <w:spacing w:line="360" w:lineRule="auto"/>
        <w:ind w:firstLine="480" w:firstLineChars="200"/>
        <w:rPr>
          <w:bCs/>
          <w:sz w:val="24"/>
        </w:rPr>
      </w:pPr>
      <w:r>
        <w:rPr>
          <w:rFonts w:hint="eastAsia"/>
          <w:bCs/>
          <w:sz w:val="24"/>
        </w:rPr>
        <w:t>35、开放日：指为投资人办理基金份额申购、赎回或其他业务的工作日（若该工作日为非港股通交易日，则本基金不开放）</w:t>
      </w:r>
    </w:p>
    <w:p>
      <w:pPr>
        <w:adjustRightInd w:val="0"/>
        <w:snapToGrid w:val="0"/>
        <w:spacing w:line="360" w:lineRule="auto"/>
        <w:ind w:firstLine="480" w:firstLineChars="200"/>
        <w:rPr>
          <w:bCs/>
          <w:sz w:val="24"/>
        </w:rPr>
      </w:pPr>
      <w:r>
        <w:rPr>
          <w:bCs/>
          <w:sz w:val="24"/>
        </w:rPr>
        <w:t>3</w:t>
      </w:r>
      <w:r>
        <w:rPr>
          <w:rFonts w:hint="eastAsia"/>
          <w:bCs/>
          <w:sz w:val="24"/>
        </w:rPr>
        <w:t>6、开放时间：指开放日基金接受申购、赎回或其他交易的时间段</w:t>
      </w:r>
    </w:p>
    <w:p>
      <w:pPr>
        <w:adjustRightInd w:val="0"/>
        <w:snapToGrid w:val="0"/>
        <w:spacing w:line="360" w:lineRule="auto"/>
        <w:ind w:firstLine="480" w:firstLineChars="200"/>
        <w:rPr>
          <w:bCs/>
          <w:sz w:val="24"/>
        </w:rPr>
      </w:pPr>
      <w:r>
        <w:rPr>
          <w:bCs/>
          <w:sz w:val="24"/>
        </w:rPr>
        <w:t>3</w:t>
      </w:r>
      <w:r>
        <w:rPr>
          <w:rFonts w:hint="eastAsia"/>
          <w:bCs/>
          <w:sz w:val="24"/>
        </w:rPr>
        <w:t>7、《业务规则》：指《交银施罗德基金管理有限公司开放式基金业务规则》，是规范基金管理人所管理的开放式证券投资基金登记方面的业务规则，由基金管理人和投资人共同遵守</w:t>
      </w:r>
    </w:p>
    <w:p>
      <w:pPr>
        <w:adjustRightInd w:val="0"/>
        <w:snapToGrid w:val="0"/>
        <w:spacing w:line="360" w:lineRule="auto"/>
        <w:ind w:firstLine="480" w:firstLineChars="200"/>
        <w:rPr>
          <w:bCs/>
          <w:sz w:val="24"/>
        </w:rPr>
      </w:pPr>
      <w:r>
        <w:rPr>
          <w:bCs/>
          <w:sz w:val="24"/>
        </w:rPr>
        <w:t>3</w:t>
      </w:r>
      <w:r>
        <w:rPr>
          <w:rFonts w:hint="eastAsia"/>
          <w:bCs/>
          <w:sz w:val="24"/>
        </w:rPr>
        <w:t>8、认购：指在基金募集期内，投资人根据基金合同和招募说明书的规定申请购买基金份额的行为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rFonts w:hint="eastAsia"/>
          <w:bCs/>
          <w:sz w:val="24"/>
        </w:rPr>
        <w:t>39、申购：指基金合同生效后，投资人根据基金合同和招募说明书的规定申请购买基金份额的行为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w:t>
      </w:r>
      <w:r>
        <w:rPr>
          <w:rFonts w:hint="eastAsia"/>
          <w:bCs/>
          <w:sz w:val="24"/>
        </w:rPr>
        <w:t>0、赎回：指基金合同生效后，基金份额持有人按基金合同和招募说明书规定的条件要求将基金份额兑换为现金的行为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w:t>
      </w:r>
      <w:r>
        <w:rPr>
          <w:rFonts w:hint="eastAsia"/>
          <w:bCs/>
          <w:sz w:val="24"/>
        </w:rPr>
        <w:t>1、基金转换：指基金份额持有人按照基金合同和基金管理人届时有效公告规定的条件，申请将其持有基金管理人管理的、某一基金的基金份额转换为基金管理人管理的其他基金基金份额的行为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w:t>
      </w:r>
      <w:r>
        <w:rPr>
          <w:rFonts w:hint="eastAsia"/>
          <w:bCs/>
          <w:sz w:val="24"/>
        </w:rPr>
        <w:t>2、转托管：指基金份额持有人在本基金的不同销售机构之间实施的变更所持基金份额销售机构的操作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w:t>
      </w:r>
      <w:r>
        <w:rPr>
          <w:rFonts w:hint="eastAsia"/>
          <w:bCs/>
          <w:sz w:val="24"/>
        </w:rPr>
        <w:t>3、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w:t>
      </w:r>
      <w:r>
        <w:rPr>
          <w:rFonts w:hint="eastAsia"/>
          <w:bCs/>
          <w:sz w:val="24"/>
        </w:rPr>
        <w:t>4、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w:t>
      </w:r>
      <w:r>
        <w:rPr>
          <w:rFonts w:hint="eastAsia"/>
          <w:bCs/>
          <w:sz w:val="24"/>
        </w:rPr>
        <w:t>5、元：指人民币元</w:t>
      </w:r>
    </w:p>
    <w:p>
      <w:pPr>
        <w:adjustRightInd w:val="0"/>
        <w:snapToGrid w:val="0"/>
        <w:spacing w:line="360" w:lineRule="auto"/>
        <w:ind w:firstLine="480" w:firstLineChars="200"/>
        <w:rPr>
          <w:bCs/>
          <w:sz w:val="24"/>
        </w:rPr>
      </w:pPr>
      <w:r>
        <w:rPr>
          <w:bCs/>
          <w:sz w:val="24"/>
        </w:rPr>
        <w:t>4</w:t>
      </w:r>
      <w:r>
        <w:rPr>
          <w:rFonts w:hint="eastAsia"/>
          <w:bCs/>
          <w:sz w:val="24"/>
        </w:rPr>
        <w:t>6、基金收益：指基金投资所得红利、股息、债券利息、买卖证券价差、银行存款利息、已实现的其他合法收入及因运用基金财产带来的成本和费用的节约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4</w:t>
      </w:r>
      <w:r>
        <w:rPr>
          <w:rFonts w:hint="eastAsia"/>
          <w:bCs/>
          <w:sz w:val="24"/>
        </w:rPr>
        <w:t>7、基金资产总值：指基金拥有的各类有价证券、股指期货合约、银行存款本息、基金应收款项及其他资产的价值总和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bCs/>
          <w:sz w:val="24"/>
        </w:rPr>
        <w:t>4</w:t>
      </w:r>
      <w:r>
        <w:rPr>
          <w:rFonts w:hint="eastAsia"/>
          <w:bCs/>
          <w:sz w:val="24"/>
        </w:rPr>
        <w:t>8、基金资产净值：指基金资产总值减去基金负债后的价值</w:t>
      </w:r>
    </w:p>
    <w:p>
      <w:pPr>
        <w:adjustRightInd w:val="0"/>
        <w:snapToGrid w:val="0"/>
        <w:spacing w:line="360" w:lineRule="auto"/>
        <w:ind w:firstLine="480" w:firstLineChars="200"/>
        <w:rPr>
          <w:bCs/>
          <w:sz w:val="24"/>
        </w:rPr>
      </w:pPr>
      <w:r>
        <w:rPr>
          <w:rFonts w:hint="eastAsia"/>
          <w:bCs/>
          <w:sz w:val="24"/>
        </w:rPr>
        <w:t>49、基金份额净值：指计算日基金资产净值除以计算日基金份额总数</w:t>
      </w:r>
    </w:p>
    <w:p>
      <w:pPr>
        <w:adjustRightInd w:val="0"/>
        <w:snapToGrid w:val="0"/>
        <w:spacing w:line="360" w:lineRule="auto"/>
        <w:ind w:firstLine="480" w:firstLineChars="200"/>
        <w:rPr>
          <w:bCs/>
          <w:sz w:val="24"/>
        </w:rPr>
      </w:pPr>
      <w:r>
        <w:rPr>
          <w:bCs/>
          <w:sz w:val="24"/>
        </w:rPr>
        <w:t>5</w:t>
      </w:r>
      <w:r>
        <w:rPr>
          <w:rFonts w:hint="eastAsia"/>
          <w:bCs/>
          <w:sz w:val="24"/>
        </w:rPr>
        <w:t>0、基金资产估值：指计算评估基金资产和负债的价值，以确定基金资产净值和基金份额净值的过程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w:t>
      </w:r>
      <w:r>
        <w:rPr>
          <w:rFonts w:hint="eastAsia"/>
          <w:bCs/>
          <w:sz w:val="24"/>
        </w:rPr>
        <w:t>1、港股通标的股票：指内地投资者委托内地证券公司，经由内地证券交易所在香港设立的证券交易服务公司，向香港联合交易所进行申报，买卖规定范围内的香港联合交易所上市的股票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rFonts w:hint="eastAsia"/>
          <w:bCs/>
          <w:sz w:val="24"/>
        </w:rPr>
        <w:t>52、销售服务费：指从基金财产中计提的，用于本基金市场推广、销售以及基金份额持有人服务的费用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rFonts w:hint="eastAsia"/>
          <w:bCs/>
          <w:sz w:val="24"/>
        </w:rPr>
        <w:t>53、A类基金份额：指在投资人认购/申购时收取认购/申购费用、不从本类别基金资产中计提销售服务费的基金份额</w:t>
      </w:r>
    </w:p>
    <w:p>
      <w:pPr>
        <w:adjustRightInd w:val="0"/>
        <w:snapToGrid w:val="0"/>
        <w:spacing w:line="360" w:lineRule="auto"/>
        <w:ind w:firstLine="480" w:firstLineChars="200"/>
        <w:rPr>
          <w:bCs/>
          <w:sz w:val="24"/>
        </w:rPr>
      </w:pPr>
      <w:r>
        <w:rPr>
          <w:rFonts w:hint="eastAsia"/>
          <w:bCs/>
          <w:sz w:val="24"/>
        </w:rPr>
        <w:t>54、C类基金份额：指在投资人认购/申购时不收取认购/申购费用、从本类别基金资产中计提销售服务费的基金份额</w:t>
      </w:r>
    </w:p>
    <w:p>
      <w:pPr>
        <w:adjustRightInd w:val="0"/>
        <w:snapToGrid w:val="0"/>
        <w:spacing w:line="360" w:lineRule="auto"/>
        <w:ind w:firstLine="480" w:firstLineChars="200"/>
        <w:rPr>
          <w:bCs/>
          <w:sz w:val="24"/>
        </w:rPr>
      </w:pPr>
      <w:r>
        <w:rPr>
          <w:bCs/>
          <w:sz w:val="24"/>
        </w:rPr>
        <w:t>5</w:t>
      </w:r>
      <w:r>
        <w:rPr>
          <w:rFonts w:hint="eastAsia"/>
          <w:bCs/>
          <w:sz w:val="24"/>
        </w:rPr>
        <w:t>5、规定媒介：指符合中国证监会规定条件的用以进行信息披露的全国性报刊及《信息披露办法》规定的互联网网站（包括基金管理人网站、基金托管人网站、中国证监会基金电子披露网站）等媒介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w:t>
      </w:r>
      <w:r>
        <w:rPr>
          <w:rFonts w:hint="eastAsia"/>
          <w:bCs/>
          <w:sz w:val="24"/>
        </w:rPr>
        <w:t>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5</w:t>
      </w:r>
      <w:r>
        <w:rPr>
          <w:rFonts w:hint="eastAsia"/>
          <w:bCs/>
          <w:sz w:val="24"/>
        </w:rPr>
        <w:t>7、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5</w:t>
      </w:r>
      <w:r>
        <w:rPr>
          <w:rFonts w:hint="eastAsia"/>
          <w:bCs/>
          <w:sz w:val="24"/>
        </w:rPr>
        <w:t>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rFonts w:ascii="宋体" w:hAnsi="宋体"/>
          <w:sz w:val="24"/>
        </w:rPr>
      </w:pPr>
      <w:r>
        <w:rPr>
          <w:bCs/>
          <w:sz w:val="24"/>
        </w:rPr>
        <w:t>6</w:t>
      </w:r>
      <w:r>
        <w:rPr>
          <w:rFonts w:hint="eastAsia"/>
          <w:bCs/>
          <w:sz w:val="24"/>
        </w:rPr>
        <w:t>0、不可抗力：指基金合同当事人不能预见、不能避免且不能克服的客观事件</w:t>
      </w:r>
      <w:bookmarkEnd w:id="4"/>
    </w:p>
    <w:p>
      <w:pPr>
        <w:spacing w:line="360" w:lineRule="auto"/>
        <w:jc w:val="center"/>
        <w:outlineLvl w:val="0"/>
        <w:rPr>
          <w:rFonts w:ascii="宋体" w:hAnsi="宋体"/>
          <w:b/>
          <w:kern w:val="0"/>
          <w:sz w:val="30"/>
        </w:rPr>
      </w:pPr>
      <w:bookmarkStart w:id="5" w:name="_Hlt80961854"/>
      <w:bookmarkEnd w:id="5"/>
      <w:bookmarkStart w:id="6" w:name="_Hlt81034163"/>
      <w:bookmarkEnd w:id="6"/>
      <w:bookmarkStart w:id="7" w:name="_Toc109537381"/>
      <w:r>
        <w:rPr>
          <w:rFonts w:ascii="宋体" w:hAnsi="宋体"/>
          <w:b/>
          <w:kern w:val="0"/>
          <w:sz w:val="30"/>
        </w:rPr>
        <w:br w:type="page"/>
      </w:r>
      <w:bookmarkStart w:id="8" w:name="_Toc48122004"/>
      <w:r>
        <w:rPr>
          <w:rFonts w:hint="eastAsia" w:ascii="宋体" w:hAnsi="宋体"/>
          <w:b/>
          <w:kern w:val="0"/>
          <w:sz w:val="30"/>
        </w:rPr>
        <w:t>三、基金管理人</w:t>
      </w:r>
      <w:bookmarkEnd w:id="7"/>
      <w:bookmarkEnd w:id="8"/>
    </w:p>
    <w:p>
      <w:pPr>
        <w:adjustRightInd w:val="0"/>
        <w:snapToGrid w:val="0"/>
        <w:spacing w:line="360" w:lineRule="auto"/>
        <w:ind w:firstLine="482" w:firstLineChars="200"/>
        <w:rPr>
          <w:b/>
          <w:sz w:val="24"/>
          <w:szCs w:val="24"/>
        </w:rPr>
      </w:pPr>
      <w:r>
        <w:rPr>
          <w:b/>
          <w:sz w:val="24"/>
          <w:szCs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w:t>
      </w:r>
      <w:bookmarkStart w:id="9" w:name="OLE_LINK3"/>
      <w:bookmarkStart w:id="10" w:name="OLE_LINK4"/>
      <w:r>
        <w:rPr>
          <w:rFonts w:hAnsi="宋体"/>
          <w:kern w:val="0"/>
          <w:sz w:val="24"/>
        </w:rPr>
        <w:t>交银施罗德基金管理有限公司</w:t>
      </w:r>
    </w:p>
    <w:bookmarkEnd w:id="9"/>
    <w:bookmarkEnd w:id="10"/>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张宏良</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何佳妮</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adjustRightInd w:val="0"/>
        <w:snapToGrid w:val="0"/>
        <w:spacing w:line="360" w:lineRule="auto"/>
        <w:ind w:firstLine="482" w:firstLineChars="200"/>
        <w:rPr>
          <w:b/>
          <w:sz w:val="24"/>
          <w:szCs w:val="24"/>
        </w:rPr>
      </w:pPr>
      <w:r>
        <w:rPr>
          <w:b/>
          <w:sz w:val="24"/>
          <w:szCs w:val="24"/>
        </w:rPr>
        <w:t>（二）主要成员情况</w:t>
      </w:r>
    </w:p>
    <w:p>
      <w:pPr>
        <w:adjustRightInd w:val="0"/>
        <w:snapToGrid w:val="0"/>
        <w:spacing w:line="360" w:lineRule="auto"/>
        <w:ind w:firstLine="480" w:firstLineChars="200"/>
        <w:rPr>
          <w:rFonts w:hAnsi="宋体"/>
          <w:kern w:val="0"/>
          <w:sz w:val="24"/>
        </w:rPr>
      </w:pPr>
      <w:r>
        <w:rPr>
          <w:rFonts w:hint="eastAsia" w:hAnsi="宋体"/>
          <w:kern w:val="0"/>
          <w:sz w:val="24"/>
        </w:rPr>
        <w:t>1、基金管理人董事会成员</w:t>
      </w:r>
    </w:p>
    <w:p>
      <w:pPr>
        <w:adjustRightInd w:val="0"/>
        <w:snapToGrid w:val="0"/>
        <w:spacing w:line="360" w:lineRule="auto"/>
        <w:ind w:firstLine="480" w:firstLineChars="200"/>
        <w:rPr>
          <w:rFonts w:hint="eastAsia" w:hAnsi="宋体"/>
          <w:kern w:val="0"/>
          <w:sz w:val="24"/>
        </w:rPr>
      </w:pPr>
      <w:r>
        <w:rPr>
          <w:rFonts w:hint="eastAsia" w:hAnsi="宋体"/>
          <w:kern w:val="0"/>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djustRightInd w:val="0"/>
        <w:snapToGrid w:val="0"/>
        <w:spacing w:line="360" w:lineRule="auto"/>
        <w:ind w:firstLine="480" w:firstLineChars="200"/>
        <w:rPr>
          <w:rFonts w:hint="eastAsia" w:hAnsi="宋体"/>
          <w:kern w:val="0"/>
          <w:sz w:val="24"/>
        </w:rPr>
      </w:pPr>
      <w:r>
        <w:rPr>
          <w:rFonts w:hint="eastAsia" w:hAnsi="宋体"/>
          <w:kern w:val="0"/>
          <w:sz w:val="24"/>
        </w:rPr>
        <w:t>袁庆伟女士，董事，总经理，硕士。历任交通银行乌鲁木齐分行财务会计处副处长、会计结算部高级经理，交通银行总行资产托管业务中心（资产托管部）副总裁、总裁，交通银行总行金融机构部总经理、资产管理业务中心总裁等职务。</w:t>
      </w:r>
    </w:p>
    <w:p>
      <w:pPr>
        <w:adjustRightInd w:val="0"/>
        <w:snapToGrid w:val="0"/>
        <w:spacing w:line="360" w:lineRule="auto"/>
        <w:ind w:firstLine="480" w:firstLineChars="200"/>
        <w:rPr>
          <w:rFonts w:hint="eastAsia" w:hAnsi="宋体"/>
          <w:kern w:val="0"/>
          <w:sz w:val="24"/>
        </w:rPr>
      </w:pPr>
      <w:r>
        <w:rPr>
          <w:rFonts w:hint="eastAsia" w:hAnsi="宋体"/>
          <w:kern w:val="0"/>
          <w:sz w:val="24"/>
        </w:rPr>
        <w:t>夏华龙先生，董事，博士，现任交通银行选派子公司股权董事，历任交通银行总行托管部基金业务部内控综合处副处长、资产委托高级经理、保险及养老金高级经理、资产托管部副总经理，交银施罗德基金管理有限公司党委委员、副总经理、首席信息官，交通银行总行养老金融部总经理。</w:t>
      </w:r>
    </w:p>
    <w:p>
      <w:pPr>
        <w:adjustRightInd w:val="0"/>
        <w:snapToGrid w:val="0"/>
        <w:spacing w:line="360" w:lineRule="auto"/>
        <w:ind w:firstLine="480" w:firstLineChars="200"/>
        <w:rPr>
          <w:rFonts w:hint="eastAsia" w:hAnsi="宋体"/>
          <w:kern w:val="0"/>
          <w:sz w:val="24"/>
        </w:rPr>
      </w:pPr>
      <w:r>
        <w:rPr>
          <w:rFonts w:hint="eastAsia" w:hAnsi="宋体"/>
          <w:kern w:val="0"/>
          <w:sz w:val="24"/>
        </w:rPr>
        <w:t>胡晓晖女士，董事，学士，现任交通银行总行董事会办公室资深专家，历任交通银行总行授信管理部副处长、处长，苏州分行副行长、高级信贷执行官，总行授信管理部副总经理，监事会办公室副主任、资深专家。</w:t>
      </w:r>
    </w:p>
    <w:p>
      <w:pPr>
        <w:adjustRightInd w:val="0"/>
        <w:snapToGrid w:val="0"/>
        <w:spacing w:line="360" w:lineRule="auto"/>
        <w:ind w:firstLine="480" w:firstLineChars="200"/>
        <w:rPr>
          <w:rFonts w:hint="eastAsia" w:hAnsi="宋体"/>
          <w:kern w:val="0"/>
          <w:sz w:val="24"/>
        </w:rPr>
      </w:pPr>
      <w:r>
        <w:rPr>
          <w:rFonts w:hint="eastAsia" w:hAnsi="宋体"/>
          <w:kern w:val="0"/>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djustRightInd w:val="0"/>
        <w:snapToGrid w:val="0"/>
        <w:spacing w:line="360" w:lineRule="auto"/>
        <w:ind w:firstLine="480" w:firstLineChars="200"/>
        <w:rPr>
          <w:rFonts w:hint="eastAsia" w:hAnsi="宋体"/>
          <w:kern w:val="0"/>
          <w:sz w:val="24"/>
        </w:rPr>
      </w:pPr>
      <w:r>
        <w:rPr>
          <w:rFonts w:hint="eastAsia" w:hAnsi="宋体"/>
          <w:kern w:val="0"/>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djustRightInd w:val="0"/>
        <w:snapToGrid w:val="0"/>
        <w:spacing w:line="360" w:lineRule="auto"/>
        <w:ind w:firstLine="480" w:firstLineChars="200"/>
        <w:rPr>
          <w:rFonts w:hint="eastAsia" w:hAnsi="宋体"/>
          <w:kern w:val="0"/>
          <w:sz w:val="24"/>
        </w:rPr>
      </w:pPr>
      <w:r>
        <w:rPr>
          <w:rFonts w:hint="eastAsia" w:hAnsi="宋体"/>
          <w:kern w:val="0"/>
          <w:sz w:val="24"/>
        </w:rPr>
        <w:t>郝爱群女士，独立董事，学士。历任人民银行稽核司副处长、处长，合作司调研员，非银司副巡视员、副司长，银监会非银部副主任，银行监管一部副主任、巡视员，汇金公司派出董事。</w:t>
      </w:r>
    </w:p>
    <w:p>
      <w:pPr>
        <w:adjustRightInd w:val="0"/>
        <w:snapToGrid w:val="0"/>
        <w:spacing w:line="360" w:lineRule="auto"/>
        <w:ind w:firstLine="480" w:firstLineChars="200"/>
        <w:rPr>
          <w:rFonts w:hint="eastAsia" w:hAnsi="宋体"/>
          <w:kern w:val="0"/>
          <w:sz w:val="24"/>
        </w:rPr>
      </w:pPr>
      <w:r>
        <w:rPr>
          <w:rFonts w:hint="eastAsia" w:hAnsi="宋体"/>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djustRightInd w:val="0"/>
        <w:snapToGrid w:val="0"/>
        <w:spacing w:line="360" w:lineRule="auto"/>
        <w:ind w:firstLine="480" w:firstLineChars="200"/>
        <w:rPr>
          <w:rFonts w:hAnsi="宋体"/>
          <w:kern w:val="0"/>
          <w:sz w:val="24"/>
        </w:rPr>
      </w:pPr>
      <w:r>
        <w:rPr>
          <w:rFonts w:hint="eastAsia" w:hAnsi="宋体"/>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djustRightInd w:val="0"/>
        <w:snapToGrid w:val="0"/>
        <w:spacing w:line="360" w:lineRule="auto"/>
        <w:ind w:firstLine="480" w:firstLineChars="200"/>
        <w:rPr>
          <w:rFonts w:hAnsi="宋体"/>
          <w:kern w:val="0"/>
          <w:sz w:val="24"/>
        </w:rPr>
      </w:pPr>
      <w:r>
        <w:rPr>
          <w:rFonts w:hint="eastAsia" w:hAnsi="宋体"/>
          <w:kern w:val="0"/>
          <w:sz w:val="24"/>
          <w:lang w:val="en-US" w:eastAsia="zh-CN"/>
        </w:rPr>
        <w:t>2</w:t>
      </w:r>
      <w:r>
        <w:rPr>
          <w:rFonts w:hint="eastAsia" w:hAnsi="宋体"/>
          <w:kern w:val="0"/>
          <w:sz w:val="24"/>
        </w:rPr>
        <w:t>、基金管理人高级管理人员</w:t>
      </w:r>
    </w:p>
    <w:p>
      <w:pPr>
        <w:adjustRightInd w:val="0"/>
        <w:snapToGrid w:val="0"/>
        <w:spacing w:line="360" w:lineRule="auto"/>
        <w:ind w:firstLine="480" w:firstLineChars="200"/>
        <w:rPr>
          <w:rFonts w:hint="eastAsia" w:hAnsi="宋体"/>
          <w:kern w:val="0"/>
          <w:sz w:val="24"/>
        </w:rPr>
      </w:pPr>
      <w:r>
        <w:rPr>
          <w:rFonts w:hint="eastAsia" w:hAnsi="宋体"/>
          <w:kern w:val="0"/>
          <w:sz w:val="24"/>
        </w:rPr>
        <w:t>袁庆伟女士，总经理。简历同上。</w:t>
      </w:r>
    </w:p>
    <w:p>
      <w:pPr>
        <w:adjustRightInd w:val="0"/>
        <w:snapToGrid w:val="0"/>
        <w:spacing w:line="360" w:lineRule="auto"/>
        <w:ind w:firstLine="480" w:firstLineChars="200"/>
        <w:rPr>
          <w:rFonts w:hint="eastAsia" w:hAnsi="宋体"/>
          <w:kern w:val="0"/>
          <w:sz w:val="24"/>
        </w:rPr>
      </w:pPr>
      <w:r>
        <w:rPr>
          <w:rFonts w:hint="eastAsia" w:hAnsi="宋体"/>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djustRightInd w:val="0"/>
        <w:snapToGrid w:val="0"/>
        <w:spacing w:line="360" w:lineRule="auto"/>
        <w:ind w:firstLine="480" w:firstLineChars="200"/>
        <w:rPr>
          <w:rFonts w:hint="eastAsia" w:hAnsi="宋体"/>
          <w:kern w:val="0"/>
          <w:sz w:val="24"/>
        </w:rPr>
      </w:pPr>
      <w:r>
        <w:rPr>
          <w:rFonts w:hint="eastAsia" w:hAnsi="宋体"/>
          <w:kern w:val="0"/>
          <w:sz w:val="24"/>
        </w:rPr>
        <w:t>马俊先生，副总经理，硕士。历任交通银行总行投资管理部高级投资分析、副高级经理，交银施罗德基金管理有限公司总裁办公室总经理、研究部副总经理、研究总监、综合管理部总经理。</w:t>
      </w:r>
    </w:p>
    <w:p>
      <w:pPr>
        <w:adjustRightInd w:val="0"/>
        <w:snapToGrid w:val="0"/>
        <w:spacing w:line="360" w:lineRule="auto"/>
        <w:ind w:firstLine="480" w:firstLineChars="200"/>
        <w:rPr>
          <w:rFonts w:hAnsi="宋体"/>
          <w:kern w:val="0"/>
          <w:sz w:val="24"/>
        </w:rPr>
      </w:pPr>
      <w:r>
        <w:rPr>
          <w:rFonts w:hint="eastAsia" w:hAnsi="宋体"/>
          <w:kern w:val="0"/>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djustRightInd w:val="0"/>
        <w:snapToGrid w:val="0"/>
        <w:spacing w:line="360" w:lineRule="auto"/>
        <w:ind w:firstLine="480" w:firstLineChars="200"/>
        <w:rPr>
          <w:rFonts w:hAnsi="宋体"/>
          <w:kern w:val="0"/>
          <w:sz w:val="24"/>
        </w:rPr>
      </w:pPr>
      <w:r>
        <w:rPr>
          <w:rFonts w:hint="eastAsia" w:hAnsi="宋体"/>
          <w:kern w:val="0"/>
          <w:sz w:val="24"/>
        </w:rPr>
        <w:t>4、本基金基金经理</w:t>
      </w:r>
    </w:p>
    <w:p>
      <w:pPr>
        <w:adjustRightInd w:val="0"/>
        <w:snapToGrid w:val="0"/>
        <w:spacing w:line="360" w:lineRule="auto"/>
        <w:ind w:firstLine="480" w:firstLineChars="200"/>
        <w:rPr>
          <w:rFonts w:hAnsi="宋体"/>
          <w:kern w:val="0"/>
          <w:sz w:val="24"/>
        </w:rPr>
      </w:pPr>
      <w:r>
        <w:rPr>
          <w:rFonts w:hint="eastAsia" w:hAnsi="宋体"/>
          <w:kern w:val="0"/>
          <w:sz w:val="24"/>
        </w:rPr>
        <w:t>陈舒薇女士:基金经理。宾夕法尼亚大学MBA、上海交通大学金融硕士、上海交通大学学士，16年证券投资行业从业经验。历任东方证券分析师、中金公司分析师、光大证券分析师、香港瑞士信贷分析师。2019年加入交银施罗德基金管理有限公司，现任跨境投资部基金经理。现任交银施罗德环球精选价值证券投资基金（2020年01月08日至今）、交银施罗德鸿泰一年持有期混合型证券投资基金（2024年01月18日至今）的基金经理。</w:t>
      </w:r>
    </w:p>
    <w:p>
      <w:pPr>
        <w:adjustRightInd w:val="0"/>
        <w:snapToGrid w:val="0"/>
        <w:spacing w:line="360" w:lineRule="auto"/>
        <w:ind w:firstLine="480" w:firstLineChars="200"/>
        <w:rPr>
          <w:rFonts w:hAnsi="宋体"/>
          <w:kern w:val="0"/>
          <w:sz w:val="24"/>
        </w:rPr>
      </w:pPr>
      <w:r>
        <w:rPr>
          <w:rFonts w:hint="eastAsia" w:hAnsi="宋体"/>
          <w:kern w:val="0"/>
          <w:sz w:val="24"/>
        </w:rPr>
        <w:t>5、投资决策委员会成员</w:t>
      </w:r>
    </w:p>
    <w:p>
      <w:pPr>
        <w:adjustRightInd w:val="0"/>
        <w:snapToGrid w:val="0"/>
        <w:spacing w:line="360" w:lineRule="auto"/>
        <w:ind w:firstLine="480" w:firstLineChars="200"/>
        <w:rPr>
          <w:rFonts w:hint="eastAsia" w:hAnsi="宋体"/>
          <w:kern w:val="0"/>
          <w:sz w:val="24"/>
        </w:rPr>
      </w:pPr>
      <w:r>
        <w:rPr>
          <w:rFonts w:hint="eastAsia" w:hAnsi="宋体"/>
          <w:kern w:val="0"/>
          <w:sz w:val="24"/>
        </w:rPr>
        <w:t>委员：袁庆伟（总经理）</w:t>
      </w:r>
    </w:p>
    <w:p>
      <w:pPr>
        <w:adjustRightInd w:val="0"/>
        <w:snapToGrid w:val="0"/>
        <w:spacing w:line="360" w:lineRule="auto"/>
        <w:ind w:firstLine="1200" w:firstLineChars="500"/>
        <w:rPr>
          <w:rFonts w:hint="eastAsia" w:hAnsi="宋体"/>
          <w:kern w:val="0"/>
          <w:sz w:val="24"/>
        </w:rPr>
      </w:pPr>
      <w:r>
        <w:rPr>
          <w:rFonts w:hint="eastAsia" w:hAnsi="宋体"/>
          <w:kern w:val="0"/>
          <w:sz w:val="24"/>
        </w:rPr>
        <w:t>马俊（副总经理）</w:t>
      </w:r>
    </w:p>
    <w:p>
      <w:pPr>
        <w:adjustRightInd w:val="0"/>
        <w:snapToGrid w:val="0"/>
        <w:spacing w:line="360" w:lineRule="auto"/>
        <w:ind w:firstLine="1200" w:firstLineChars="500"/>
        <w:rPr>
          <w:rFonts w:hint="eastAsia" w:hAnsi="宋体"/>
          <w:kern w:val="0"/>
          <w:sz w:val="24"/>
        </w:rPr>
      </w:pPr>
      <w:r>
        <w:rPr>
          <w:rFonts w:hint="eastAsia" w:hAnsi="宋体"/>
          <w:kern w:val="0"/>
          <w:sz w:val="24"/>
        </w:rPr>
        <w:t>于海颖（混合资产投资总监兼多元资产管理总监、基金经理）</w:t>
      </w:r>
    </w:p>
    <w:p>
      <w:pPr>
        <w:adjustRightInd w:val="0"/>
        <w:snapToGrid w:val="0"/>
        <w:spacing w:line="360" w:lineRule="auto"/>
        <w:ind w:firstLine="1200" w:firstLineChars="500"/>
        <w:rPr>
          <w:rFonts w:hint="eastAsia" w:hAnsi="宋体"/>
          <w:kern w:val="0"/>
          <w:sz w:val="24"/>
        </w:rPr>
      </w:pPr>
      <w:r>
        <w:rPr>
          <w:rFonts w:hint="eastAsia" w:hAnsi="宋体"/>
          <w:kern w:val="0"/>
          <w:sz w:val="24"/>
        </w:rPr>
        <w:t>王崇（权益投资副总监、权益部一级专家、基金经理）</w:t>
      </w:r>
    </w:p>
    <w:p>
      <w:pPr>
        <w:adjustRightInd w:val="0"/>
        <w:snapToGrid w:val="0"/>
        <w:spacing w:line="360" w:lineRule="auto"/>
        <w:ind w:firstLine="1200" w:firstLineChars="500"/>
        <w:rPr>
          <w:rFonts w:hint="eastAsia" w:hAnsi="宋体"/>
          <w:kern w:val="0"/>
          <w:sz w:val="24"/>
        </w:rPr>
      </w:pPr>
      <w:r>
        <w:rPr>
          <w:rFonts w:hint="eastAsia" w:hAnsi="宋体"/>
          <w:kern w:val="0"/>
          <w:sz w:val="24"/>
        </w:rPr>
        <w:t>马韬（研究总监）</w:t>
      </w:r>
    </w:p>
    <w:p>
      <w:pPr>
        <w:adjustRightInd w:val="0"/>
        <w:snapToGrid w:val="0"/>
        <w:spacing w:line="360" w:lineRule="auto"/>
        <w:ind w:firstLine="480" w:firstLineChars="200"/>
        <w:rPr>
          <w:rFonts w:ascii="宋体" w:hAnsi="宋体"/>
          <w:kern w:val="0"/>
          <w:sz w:val="24"/>
        </w:rPr>
      </w:pPr>
      <w:r>
        <w:rPr>
          <w:rFonts w:hint="eastAsia" w:hAnsi="宋体"/>
          <w:kern w:val="0"/>
          <w:sz w:val="24"/>
        </w:rPr>
        <w:t>6、上述人员之间不存在近亲属关系。</w:t>
      </w:r>
    </w:p>
    <w:p>
      <w:pPr>
        <w:adjustRightInd w:val="0"/>
        <w:snapToGrid w:val="0"/>
        <w:spacing w:line="360" w:lineRule="auto"/>
        <w:ind w:firstLine="482" w:firstLineChars="200"/>
        <w:rPr>
          <w:b/>
          <w:sz w:val="24"/>
          <w:szCs w:val="24"/>
        </w:rPr>
      </w:pPr>
      <w:r>
        <w:rPr>
          <w:b/>
          <w:sz w:val="24"/>
          <w:szCs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adjustRightInd w:val="0"/>
        <w:snapToGrid w:val="0"/>
        <w:spacing w:line="360" w:lineRule="auto"/>
        <w:ind w:firstLine="482" w:firstLineChars="200"/>
        <w:rPr>
          <w:b/>
          <w:sz w:val="24"/>
          <w:szCs w:val="24"/>
        </w:rPr>
      </w:pPr>
      <w:r>
        <w:rPr>
          <w:b/>
          <w:sz w:val="24"/>
          <w:szCs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adjustRightInd w:val="0"/>
        <w:snapToGrid w:val="0"/>
        <w:spacing w:line="360" w:lineRule="auto"/>
        <w:ind w:firstLine="482" w:firstLineChars="200"/>
        <w:rPr>
          <w:b/>
          <w:sz w:val="24"/>
          <w:szCs w:val="24"/>
        </w:rPr>
      </w:pPr>
      <w:r>
        <w:rPr>
          <w:b/>
          <w:sz w:val="24"/>
          <w:szCs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adjustRightInd w:val="0"/>
        <w:snapToGrid w:val="0"/>
        <w:spacing w:line="360" w:lineRule="auto"/>
        <w:ind w:firstLine="482" w:firstLineChars="200"/>
        <w:rPr>
          <w:b/>
          <w:sz w:val="24"/>
          <w:szCs w:val="24"/>
        </w:rPr>
      </w:pPr>
      <w:r>
        <w:rPr>
          <w:b/>
          <w:sz w:val="24"/>
          <w:szCs w:val="24"/>
        </w:rPr>
        <w:t>（六）基金管理人的内部控制制度</w:t>
      </w:r>
    </w:p>
    <w:p>
      <w:pPr>
        <w:adjustRightInd w:val="0"/>
        <w:snapToGrid w:val="0"/>
        <w:spacing w:line="360" w:lineRule="auto"/>
        <w:ind w:firstLine="480" w:firstLineChars="200"/>
        <w:rPr>
          <w:rFonts w:hint="eastAsia" w:hAnsi="宋体"/>
          <w:kern w:val="0"/>
          <w:sz w:val="24"/>
        </w:rPr>
      </w:pPr>
      <w:r>
        <w:rPr>
          <w:rFonts w:hint="eastAsia" w:hAnsi="宋体"/>
          <w:kern w:val="0"/>
          <w:sz w:val="24"/>
        </w:rPr>
        <w:t>1、内部控制的原则</w:t>
      </w:r>
    </w:p>
    <w:p>
      <w:pPr>
        <w:adjustRightInd w:val="0"/>
        <w:snapToGrid w:val="0"/>
        <w:spacing w:line="360" w:lineRule="auto"/>
        <w:ind w:firstLine="480" w:firstLineChars="200"/>
        <w:rPr>
          <w:rFonts w:hint="eastAsia" w:hAnsi="宋体"/>
          <w:kern w:val="0"/>
          <w:sz w:val="24"/>
        </w:rPr>
      </w:pPr>
      <w:r>
        <w:rPr>
          <w:rFonts w:hint="eastAsia" w:hAnsi="宋体"/>
          <w:kern w:val="0"/>
          <w:sz w:val="24"/>
        </w:rPr>
        <w:t>（1）健全性原则</w:t>
      </w:r>
    </w:p>
    <w:p>
      <w:pPr>
        <w:adjustRightInd w:val="0"/>
        <w:snapToGrid w:val="0"/>
        <w:spacing w:line="360" w:lineRule="auto"/>
        <w:ind w:firstLine="480" w:firstLineChars="200"/>
        <w:rPr>
          <w:rFonts w:hint="eastAsia" w:hAnsi="宋体"/>
          <w:kern w:val="0"/>
          <w:sz w:val="24"/>
        </w:rPr>
      </w:pPr>
      <w:r>
        <w:rPr>
          <w:rFonts w:hint="eastAsia" w:hAnsi="宋体"/>
          <w:kern w:val="0"/>
          <w:sz w:val="24"/>
        </w:rPr>
        <w:t>内部控制应当包括公司的各项业务、各个部门或机构和各级人员, 并涵盖到决策、执行、监督、反馈等各个环节。</w:t>
      </w:r>
    </w:p>
    <w:p>
      <w:pPr>
        <w:adjustRightInd w:val="0"/>
        <w:snapToGrid w:val="0"/>
        <w:spacing w:line="360" w:lineRule="auto"/>
        <w:ind w:firstLine="480" w:firstLineChars="200"/>
        <w:rPr>
          <w:rFonts w:hint="eastAsia" w:hAnsi="宋体"/>
          <w:kern w:val="0"/>
          <w:sz w:val="24"/>
        </w:rPr>
      </w:pPr>
      <w:r>
        <w:rPr>
          <w:rFonts w:hint="eastAsia" w:hAnsi="宋体"/>
          <w:kern w:val="0"/>
          <w:sz w:val="24"/>
        </w:rPr>
        <w:t>（2）有效性原则</w:t>
      </w:r>
    </w:p>
    <w:p>
      <w:pPr>
        <w:adjustRightInd w:val="0"/>
        <w:snapToGrid w:val="0"/>
        <w:spacing w:line="360" w:lineRule="auto"/>
        <w:ind w:firstLine="480" w:firstLineChars="200"/>
        <w:rPr>
          <w:rFonts w:hint="eastAsia" w:hAnsi="宋体"/>
          <w:kern w:val="0"/>
          <w:sz w:val="24"/>
        </w:rPr>
      </w:pPr>
      <w:r>
        <w:rPr>
          <w:rFonts w:hint="eastAsia" w:hAnsi="宋体"/>
          <w:kern w:val="0"/>
          <w:sz w:val="24"/>
        </w:rPr>
        <w:t>通过科学的内控手段和方法，建立合理的内控程序，维护内控制度的有效执行。</w:t>
      </w:r>
    </w:p>
    <w:p>
      <w:pPr>
        <w:adjustRightInd w:val="0"/>
        <w:snapToGrid w:val="0"/>
        <w:spacing w:line="360" w:lineRule="auto"/>
        <w:ind w:firstLine="480" w:firstLineChars="200"/>
        <w:rPr>
          <w:rFonts w:hint="eastAsia" w:hAnsi="宋体"/>
          <w:kern w:val="0"/>
          <w:sz w:val="24"/>
        </w:rPr>
      </w:pPr>
      <w:r>
        <w:rPr>
          <w:rFonts w:hint="eastAsia" w:hAnsi="宋体"/>
          <w:kern w:val="0"/>
          <w:sz w:val="24"/>
        </w:rPr>
        <w:t>（3）独立性原则</w:t>
      </w:r>
    </w:p>
    <w:p>
      <w:pPr>
        <w:adjustRightInd w:val="0"/>
        <w:snapToGrid w:val="0"/>
        <w:spacing w:line="360" w:lineRule="auto"/>
        <w:ind w:firstLine="480" w:firstLineChars="200"/>
        <w:rPr>
          <w:rFonts w:hint="eastAsia" w:hAnsi="宋体"/>
          <w:kern w:val="0"/>
          <w:sz w:val="24"/>
        </w:rPr>
      </w:pPr>
      <w:r>
        <w:rPr>
          <w:rFonts w:hint="eastAsia" w:hAnsi="宋体"/>
          <w:kern w:val="0"/>
          <w:sz w:val="24"/>
        </w:rPr>
        <w:t>公司各机构、部门和岗位职责应当保持相对独立，除非法律法规另有规定，公司基金资产、自有资产、其他资产的运作应当分离。</w:t>
      </w:r>
    </w:p>
    <w:p>
      <w:pPr>
        <w:adjustRightInd w:val="0"/>
        <w:snapToGrid w:val="0"/>
        <w:spacing w:line="360" w:lineRule="auto"/>
        <w:ind w:firstLine="480" w:firstLineChars="200"/>
        <w:rPr>
          <w:rFonts w:hint="eastAsia" w:hAnsi="宋体"/>
          <w:kern w:val="0"/>
          <w:sz w:val="24"/>
        </w:rPr>
      </w:pPr>
      <w:r>
        <w:rPr>
          <w:rFonts w:hint="eastAsia" w:hAnsi="宋体"/>
          <w:kern w:val="0"/>
          <w:sz w:val="24"/>
        </w:rPr>
        <w:t>（4）相互制约原则</w:t>
      </w:r>
    </w:p>
    <w:p>
      <w:pPr>
        <w:adjustRightInd w:val="0"/>
        <w:snapToGrid w:val="0"/>
        <w:spacing w:line="360" w:lineRule="auto"/>
        <w:ind w:firstLine="480" w:firstLineChars="200"/>
        <w:rPr>
          <w:rFonts w:hint="eastAsia" w:hAnsi="宋体"/>
          <w:kern w:val="0"/>
          <w:sz w:val="24"/>
        </w:rPr>
      </w:pPr>
      <w:r>
        <w:rPr>
          <w:rFonts w:hint="eastAsia" w:hAnsi="宋体"/>
          <w:kern w:val="0"/>
          <w:sz w:val="24"/>
        </w:rPr>
        <w:t>公司内部部门和岗位的设置应当体现权责分明、相互制衡。</w:t>
      </w:r>
    </w:p>
    <w:p>
      <w:pPr>
        <w:adjustRightInd w:val="0"/>
        <w:snapToGrid w:val="0"/>
        <w:spacing w:line="360" w:lineRule="auto"/>
        <w:ind w:firstLine="480" w:firstLineChars="200"/>
        <w:rPr>
          <w:rFonts w:hint="eastAsia" w:hAnsi="宋体"/>
          <w:kern w:val="0"/>
          <w:sz w:val="24"/>
        </w:rPr>
      </w:pPr>
      <w:r>
        <w:rPr>
          <w:rFonts w:hint="eastAsia" w:hAnsi="宋体"/>
          <w:kern w:val="0"/>
          <w:sz w:val="24"/>
        </w:rPr>
        <w:t>（5）成本效益原则</w:t>
      </w:r>
    </w:p>
    <w:p>
      <w:pPr>
        <w:adjustRightInd w:val="0"/>
        <w:snapToGrid w:val="0"/>
        <w:spacing w:line="360" w:lineRule="auto"/>
        <w:ind w:firstLine="480" w:firstLineChars="200"/>
        <w:rPr>
          <w:rFonts w:hint="eastAsia" w:hAnsi="宋体"/>
          <w:kern w:val="0"/>
          <w:sz w:val="24"/>
        </w:rPr>
      </w:pPr>
      <w:r>
        <w:rPr>
          <w:rFonts w:hint="eastAsia" w:hAnsi="宋体"/>
          <w:kern w:val="0"/>
          <w:sz w:val="24"/>
        </w:rPr>
        <w:t>公司运用科学化的经营管理方法降低运作成本，提高经济效益，力争以合理的控制成本达到最佳的内部控制效果。</w:t>
      </w:r>
    </w:p>
    <w:p>
      <w:pPr>
        <w:adjustRightInd w:val="0"/>
        <w:snapToGrid w:val="0"/>
        <w:spacing w:line="360" w:lineRule="auto"/>
        <w:ind w:firstLine="480" w:firstLineChars="200"/>
        <w:rPr>
          <w:rFonts w:hint="eastAsia" w:hAnsi="宋体"/>
          <w:kern w:val="0"/>
          <w:sz w:val="24"/>
        </w:rPr>
      </w:pPr>
      <w:r>
        <w:rPr>
          <w:rFonts w:hint="eastAsia" w:hAnsi="宋体"/>
          <w:kern w:val="0"/>
          <w:sz w:val="24"/>
        </w:rPr>
        <w:t>2、风险管理和内部风险控制体系结构</w:t>
      </w:r>
    </w:p>
    <w:p>
      <w:pPr>
        <w:adjustRightInd w:val="0"/>
        <w:snapToGrid w:val="0"/>
        <w:spacing w:line="360" w:lineRule="auto"/>
        <w:ind w:firstLine="480" w:firstLineChars="200"/>
        <w:rPr>
          <w:rFonts w:hint="eastAsia" w:hAnsi="宋体"/>
          <w:kern w:val="0"/>
          <w:sz w:val="24"/>
        </w:rPr>
      </w:pPr>
      <w:r>
        <w:rPr>
          <w:rFonts w:hint="eastAsia" w:hAnsi="宋体"/>
          <w:kern w:val="0"/>
          <w:sz w:val="24"/>
        </w:rPr>
        <w:t>公司的风险管理体系结构是一个分工明确、相互牵制的组织结构，由董事会对风险管理负最终责任，各个业务部门负责本部门的风险评估和监控，风险管理部负责监察公司的风险管理措施的执行。具体而言，包括如下组成部分：</w:t>
      </w:r>
    </w:p>
    <w:p>
      <w:pPr>
        <w:adjustRightInd w:val="0"/>
        <w:snapToGrid w:val="0"/>
        <w:spacing w:line="360" w:lineRule="auto"/>
        <w:ind w:firstLine="480" w:firstLineChars="200"/>
        <w:rPr>
          <w:rFonts w:hint="eastAsia" w:hAnsi="宋体"/>
          <w:kern w:val="0"/>
          <w:sz w:val="24"/>
        </w:rPr>
      </w:pPr>
      <w:r>
        <w:rPr>
          <w:rFonts w:hint="eastAsia" w:hAnsi="宋体"/>
          <w:kern w:val="0"/>
          <w:sz w:val="24"/>
        </w:rPr>
        <w:t>（1）董事会</w:t>
      </w:r>
    </w:p>
    <w:p>
      <w:pPr>
        <w:adjustRightInd w:val="0"/>
        <w:snapToGrid w:val="0"/>
        <w:spacing w:line="360" w:lineRule="auto"/>
        <w:ind w:firstLine="480" w:firstLineChars="200"/>
        <w:rPr>
          <w:rFonts w:hint="eastAsia" w:hAnsi="宋体"/>
          <w:kern w:val="0"/>
          <w:sz w:val="24"/>
        </w:rPr>
      </w:pPr>
      <w:r>
        <w:rPr>
          <w:rFonts w:hint="eastAsia" w:hAnsi="宋体"/>
          <w:kern w:val="0"/>
          <w:sz w:val="24"/>
        </w:rPr>
        <w:t>负责制定公司风险偏好（含风险容忍度）、风险管理和内部控制政策，审议并通过与公司内部风险管理和合规有关的重大事项。</w:t>
      </w:r>
    </w:p>
    <w:p>
      <w:pPr>
        <w:adjustRightInd w:val="0"/>
        <w:snapToGrid w:val="0"/>
        <w:spacing w:line="360" w:lineRule="auto"/>
        <w:ind w:firstLine="480" w:firstLineChars="200"/>
        <w:rPr>
          <w:rFonts w:hint="eastAsia" w:hAnsi="宋体"/>
          <w:kern w:val="0"/>
          <w:sz w:val="24"/>
        </w:rPr>
      </w:pPr>
      <w:r>
        <w:rPr>
          <w:rFonts w:hint="eastAsia" w:hAnsi="宋体"/>
          <w:kern w:val="0"/>
          <w:sz w:val="24"/>
        </w:rPr>
        <w:t>（2）合规风险及审计委员会</w:t>
      </w:r>
    </w:p>
    <w:p>
      <w:pPr>
        <w:adjustRightInd w:val="0"/>
        <w:snapToGrid w:val="0"/>
        <w:spacing w:line="360" w:lineRule="auto"/>
        <w:ind w:firstLine="480" w:firstLineChars="200"/>
        <w:rPr>
          <w:rFonts w:hint="eastAsia" w:hAnsi="宋体"/>
          <w:kern w:val="0"/>
          <w:sz w:val="24"/>
        </w:rPr>
      </w:pPr>
      <w:r>
        <w:rPr>
          <w:rFonts w:hint="eastAsia" w:hAnsi="宋体"/>
          <w:kern w:val="0"/>
          <w:sz w:val="24"/>
        </w:rPr>
        <w:t>作为董事会下的专业委员会之一，负责对公司在经营管理和基金业务运作的合法性、合规性和风险状况进行检查和评估，对公司监察稽核制度的有效性进行评价，监督检查公司财务状况，审计公司的财务报表，评估公司的财务表现，保证公司的财务运作符合法律的要求和通行的会计标准。</w:t>
      </w:r>
    </w:p>
    <w:p>
      <w:pPr>
        <w:adjustRightInd w:val="0"/>
        <w:snapToGrid w:val="0"/>
        <w:spacing w:line="360" w:lineRule="auto"/>
        <w:ind w:firstLine="480" w:firstLineChars="200"/>
        <w:rPr>
          <w:rFonts w:hint="eastAsia" w:hAnsi="宋体"/>
          <w:kern w:val="0"/>
          <w:sz w:val="24"/>
        </w:rPr>
      </w:pPr>
      <w:r>
        <w:rPr>
          <w:rFonts w:hint="eastAsia" w:hAnsi="宋体"/>
          <w:kern w:val="0"/>
          <w:sz w:val="24"/>
        </w:rPr>
        <w:t>（3）风险控制委员会</w:t>
      </w:r>
    </w:p>
    <w:p>
      <w:pPr>
        <w:adjustRightInd w:val="0"/>
        <w:snapToGrid w:val="0"/>
        <w:spacing w:line="360" w:lineRule="auto"/>
        <w:ind w:firstLine="480" w:firstLineChars="200"/>
        <w:rPr>
          <w:rFonts w:hint="eastAsia" w:hAnsi="宋体"/>
          <w:kern w:val="0"/>
          <w:sz w:val="24"/>
        </w:rPr>
      </w:pPr>
      <w:r>
        <w:rPr>
          <w:rFonts w:hint="eastAsia" w:hAnsi="宋体"/>
          <w:kern w:val="0"/>
          <w:sz w:val="24"/>
        </w:rPr>
        <w:t>作为总经理下设的专业委员会之一，风险控制委员会负责评估与公司战略发展和经营运作相关的主要风险；评估公司各方面运行状况是否合规有序，审查有无存在与公司业务有关的重大风险；审议或听取由公司制度规定的需要向风险控制委员会报告的其他情形等。</w:t>
      </w:r>
    </w:p>
    <w:p>
      <w:pPr>
        <w:adjustRightInd w:val="0"/>
        <w:snapToGrid w:val="0"/>
        <w:spacing w:line="360" w:lineRule="auto"/>
        <w:ind w:firstLine="480" w:firstLineChars="200"/>
        <w:rPr>
          <w:rFonts w:hint="eastAsia" w:hAnsi="宋体"/>
          <w:kern w:val="0"/>
          <w:sz w:val="24"/>
        </w:rPr>
      </w:pPr>
      <w:r>
        <w:rPr>
          <w:rFonts w:hint="eastAsia" w:hAnsi="宋体"/>
          <w:kern w:val="0"/>
          <w:sz w:val="24"/>
        </w:rPr>
        <w:t>（4）督察长</w:t>
      </w:r>
    </w:p>
    <w:p>
      <w:pPr>
        <w:adjustRightInd w:val="0"/>
        <w:snapToGrid w:val="0"/>
        <w:spacing w:line="360" w:lineRule="auto"/>
        <w:ind w:firstLine="480" w:firstLineChars="200"/>
        <w:rPr>
          <w:rFonts w:hint="eastAsia" w:hAnsi="宋体"/>
          <w:kern w:val="0"/>
          <w:sz w:val="24"/>
        </w:rPr>
      </w:pPr>
      <w:r>
        <w:rPr>
          <w:rFonts w:hint="eastAsia" w:hAnsi="宋体"/>
          <w:kern w:val="0"/>
          <w:sz w:val="24"/>
        </w:rPr>
        <w:t>独立行使督察权利；直接对董事会负责；就内部控制制度和执行情况独立地履行检查、评价、报告、建议职能；定期和不定期地向董事会报告公司内部控制执行情况。</w:t>
      </w:r>
    </w:p>
    <w:p>
      <w:pPr>
        <w:adjustRightInd w:val="0"/>
        <w:snapToGrid w:val="0"/>
        <w:spacing w:line="360" w:lineRule="auto"/>
        <w:ind w:firstLine="480" w:firstLineChars="200"/>
        <w:rPr>
          <w:rFonts w:hint="eastAsia" w:hAnsi="宋体"/>
          <w:kern w:val="0"/>
          <w:sz w:val="24"/>
        </w:rPr>
      </w:pPr>
      <w:r>
        <w:rPr>
          <w:rFonts w:hint="eastAsia" w:hAnsi="宋体"/>
          <w:kern w:val="0"/>
          <w:sz w:val="24"/>
        </w:rPr>
        <w:t>（5）风险管理部</w:t>
      </w:r>
    </w:p>
    <w:p>
      <w:pPr>
        <w:adjustRightInd w:val="0"/>
        <w:snapToGrid w:val="0"/>
        <w:spacing w:line="360" w:lineRule="auto"/>
        <w:ind w:firstLine="480" w:firstLineChars="200"/>
        <w:rPr>
          <w:rFonts w:hint="eastAsia" w:hAnsi="宋体"/>
          <w:kern w:val="0"/>
          <w:sz w:val="24"/>
        </w:rPr>
      </w:pPr>
      <w:r>
        <w:rPr>
          <w:rFonts w:hint="eastAsia" w:hAnsi="宋体"/>
          <w:kern w:val="0"/>
          <w:sz w:val="24"/>
        </w:rPr>
        <w:t>风险管理部负责制定公司风险管理政策和防范及控制措施，汇总公司业务所有的风险信息，独立识别、评估各类风险，提出风险控制建议，使公司在一种风险管理和控制的环境中实现业务目标。</w:t>
      </w:r>
    </w:p>
    <w:p>
      <w:pPr>
        <w:adjustRightInd w:val="0"/>
        <w:snapToGrid w:val="0"/>
        <w:spacing w:line="360" w:lineRule="auto"/>
        <w:ind w:firstLine="480" w:firstLineChars="200"/>
        <w:rPr>
          <w:rFonts w:hint="eastAsia" w:hAnsi="宋体"/>
          <w:kern w:val="0"/>
          <w:sz w:val="24"/>
        </w:rPr>
      </w:pPr>
      <w:r>
        <w:rPr>
          <w:rFonts w:hint="eastAsia" w:hAnsi="宋体"/>
          <w:kern w:val="0"/>
          <w:sz w:val="24"/>
        </w:rPr>
        <w:t>（6）审计部</w:t>
      </w:r>
    </w:p>
    <w:p>
      <w:pPr>
        <w:adjustRightInd w:val="0"/>
        <w:snapToGrid w:val="0"/>
        <w:spacing w:line="360" w:lineRule="auto"/>
        <w:ind w:firstLine="480" w:firstLineChars="200"/>
        <w:rPr>
          <w:rFonts w:hint="eastAsia" w:hAnsi="宋体"/>
          <w:kern w:val="0"/>
          <w:sz w:val="24"/>
        </w:rPr>
      </w:pPr>
      <w:r>
        <w:rPr>
          <w:rFonts w:hint="eastAsia" w:hAnsi="宋体"/>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djustRightInd w:val="0"/>
        <w:snapToGrid w:val="0"/>
        <w:spacing w:line="360" w:lineRule="auto"/>
        <w:ind w:firstLine="480" w:firstLineChars="200"/>
        <w:rPr>
          <w:rFonts w:hint="eastAsia" w:hAnsi="宋体"/>
          <w:kern w:val="0"/>
          <w:sz w:val="24"/>
        </w:rPr>
      </w:pPr>
      <w:r>
        <w:rPr>
          <w:rFonts w:hint="eastAsia" w:hAnsi="宋体"/>
          <w:kern w:val="0"/>
          <w:sz w:val="24"/>
        </w:rPr>
        <w:t>（7）内控合规及法律事务部</w:t>
      </w:r>
    </w:p>
    <w:p>
      <w:pPr>
        <w:adjustRightInd w:val="0"/>
        <w:snapToGrid w:val="0"/>
        <w:spacing w:line="360" w:lineRule="auto"/>
        <w:ind w:firstLine="480" w:firstLineChars="200"/>
        <w:rPr>
          <w:rFonts w:hint="eastAsia" w:hAnsi="宋体"/>
          <w:kern w:val="0"/>
          <w:sz w:val="24"/>
        </w:rPr>
      </w:pPr>
      <w:r>
        <w:rPr>
          <w:rFonts w:hint="eastAsia" w:hAnsi="宋体"/>
          <w:kern w:val="0"/>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djustRightInd w:val="0"/>
        <w:snapToGrid w:val="0"/>
        <w:spacing w:line="360" w:lineRule="auto"/>
        <w:ind w:firstLine="480" w:firstLineChars="200"/>
        <w:rPr>
          <w:rFonts w:hint="eastAsia" w:hAnsi="宋体"/>
          <w:kern w:val="0"/>
          <w:sz w:val="24"/>
        </w:rPr>
      </w:pPr>
      <w:r>
        <w:rPr>
          <w:rFonts w:hint="eastAsia" w:hAnsi="宋体"/>
          <w:kern w:val="0"/>
          <w:sz w:val="24"/>
        </w:rPr>
        <w:t>（8）业务部门</w:t>
      </w:r>
    </w:p>
    <w:p>
      <w:pPr>
        <w:adjustRightInd w:val="0"/>
        <w:snapToGrid w:val="0"/>
        <w:spacing w:line="360" w:lineRule="auto"/>
        <w:ind w:firstLine="480" w:firstLineChars="200"/>
        <w:rPr>
          <w:rFonts w:hint="eastAsia" w:hAnsi="宋体"/>
          <w:kern w:val="0"/>
          <w:sz w:val="24"/>
        </w:rPr>
      </w:pPr>
      <w:r>
        <w:rPr>
          <w:rFonts w:hint="eastAsia" w:hAnsi="宋体"/>
          <w:kern w:val="0"/>
          <w:sz w:val="24"/>
        </w:rPr>
        <w:t>风险管理是每一个业务部门首要的责任。部门负责人对本部门的风险负全部责任，负责履行公司的风险管理程序，负责本部门的风险管理系统的开发、执行和维护，用于识别、监控和降低风险。</w:t>
      </w:r>
    </w:p>
    <w:p>
      <w:pPr>
        <w:adjustRightInd w:val="0"/>
        <w:snapToGrid w:val="0"/>
        <w:spacing w:line="360" w:lineRule="auto"/>
        <w:ind w:firstLine="480" w:firstLineChars="200"/>
        <w:rPr>
          <w:rFonts w:hint="eastAsia" w:hAnsi="宋体"/>
          <w:kern w:val="0"/>
          <w:sz w:val="24"/>
        </w:rPr>
      </w:pPr>
      <w:r>
        <w:rPr>
          <w:rFonts w:hint="eastAsia" w:hAnsi="宋体"/>
          <w:kern w:val="0"/>
          <w:sz w:val="24"/>
        </w:rPr>
        <w:t>3、风险管理和内部风险控制的措施</w:t>
      </w:r>
    </w:p>
    <w:p>
      <w:pPr>
        <w:adjustRightInd w:val="0"/>
        <w:snapToGrid w:val="0"/>
        <w:spacing w:line="360" w:lineRule="auto"/>
        <w:ind w:firstLine="480" w:firstLineChars="200"/>
        <w:rPr>
          <w:rFonts w:hint="eastAsia" w:hAnsi="宋体"/>
          <w:kern w:val="0"/>
          <w:sz w:val="24"/>
        </w:rPr>
      </w:pPr>
      <w:r>
        <w:rPr>
          <w:rFonts w:hint="eastAsia" w:hAnsi="宋体"/>
          <w:kern w:val="0"/>
          <w:sz w:val="24"/>
        </w:rPr>
        <w:t>（1）建立内控体系，完善内控制度</w:t>
      </w:r>
    </w:p>
    <w:p>
      <w:pPr>
        <w:adjustRightInd w:val="0"/>
        <w:snapToGrid w:val="0"/>
        <w:spacing w:line="360" w:lineRule="auto"/>
        <w:ind w:firstLine="480" w:firstLineChars="200"/>
        <w:rPr>
          <w:rFonts w:hint="eastAsia" w:hAnsi="宋体"/>
          <w:kern w:val="0"/>
          <w:sz w:val="24"/>
        </w:rPr>
      </w:pPr>
      <w:r>
        <w:rPr>
          <w:rFonts w:hint="eastAsia" w:hAnsi="宋体"/>
          <w:kern w:val="0"/>
          <w:sz w:val="24"/>
        </w:rPr>
        <w:t>公司建立、健全了内控体系，通过高管人员关于内控的明确分工，确保各项业务活动有恰当的组织和授权，确保监察活动独立，并得到高管人员的支持，同时置备操作手册，并定期更新。</w:t>
      </w:r>
    </w:p>
    <w:p>
      <w:pPr>
        <w:adjustRightInd w:val="0"/>
        <w:snapToGrid w:val="0"/>
        <w:spacing w:line="360" w:lineRule="auto"/>
        <w:ind w:firstLine="480" w:firstLineChars="200"/>
        <w:rPr>
          <w:rFonts w:hint="eastAsia" w:hAnsi="宋体"/>
          <w:kern w:val="0"/>
          <w:sz w:val="24"/>
        </w:rPr>
      </w:pPr>
      <w:r>
        <w:rPr>
          <w:rFonts w:hint="eastAsia" w:hAnsi="宋体"/>
          <w:kern w:val="0"/>
          <w:sz w:val="24"/>
        </w:rPr>
        <w:t>（2）建立相互分离、相互制衡的内控机制</w:t>
      </w:r>
    </w:p>
    <w:p>
      <w:pPr>
        <w:adjustRightInd w:val="0"/>
        <w:snapToGrid w:val="0"/>
        <w:spacing w:line="360" w:lineRule="auto"/>
        <w:ind w:firstLine="480" w:firstLineChars="200"/>
        <w:rPr>
          <w:rFonts w:hint="eastAsia" w:hAnsi="宋体"/>
          <w:kern w:val="0"/>
          <w:sz w:val="24"/>
        </w:rPr>
      </w:pPr>
      <w:r>
        <w:rPr>
          <w:rFonts w:hint="eastAsia" w:hAnsi="宋体"/>
          <w:kern w:val="0"/>
          <w:sz w:val="24"/>
        </w:rPr>
        <w:t>建立、健全了各项制度，做到基金经理分开，投资决策分开，基金交易集中，形成不同部门、不同岗位之间的制衡机制，从制度上减少和防范风险。</w:t>
      </w:r>
    </w:p>
    <w:p>
      <w:pPr>
        <w:adjustRightInd w:val="0"/>
        <w:snapToGrid w:val="0"/>
        <w:spacing w:line="360" w:lineRule="auto"/>
        <w:ind w:firstLine="480" w:firstLineChars="200"/>
        <w:rPr>
          <w:rFonts w:hint="eastAsia" w:hAnsi="宋体"/>
          <w:kern w:val="0"/>
          <w:sz w:val="24"/>
        </w:rPr>
      </w:pPr>
      <w:r>
        <w:rPr>
          <w:rFonts w:hint="eastAsia" w:hAnsi="宋体"/>
          <w:kern w:val="0"/>
          <w:sz w:val="24"/>
        </w:rPr>
        <w:t>（3）建立、健全岗位责任制</w:t>
      </w:r>
    </w:p>
    <w:p>
      <w:pPr>
        <w:adjustRightInd w:val="0"/>
        <w:snapToGrid w:val="0"/>
        <w:spacing w:line="360" w:lineRule="auto"/>
        <w:ind w:firstLine="480" w:firstLineChars="200"/>
        <w:rPr>
          <w:rFonts w:hint="eastAsia" w:hAnsi="宋体"/>
          <w:kern w:val="0"/>
          <w:sz w:val="24"/>
        </w:rPr>
      </w:pPr>
      <w:r>
        <w:rPr>
          <w:rFonts w:hint="eastAsia" w:hAnsi="宋体"/>
          <w:kern w:val="0"/>
          <w:sz w:val="24"/>
        </w:rPr>
        <w:t>建立、健全了岗位责任制，使每个员工都明确自己的任务、职责，并及时将各自工作领域中的风险隐患上报，以防范和减少风险。</w:t>
      </w:r>
    </w:p>
    <w:p>
      <w:pPr>
        <w:adjustRightInd w:val="0"/>
        <w:snapToGrid w:val="0"/>
        <w:spacing w:line="360" w:lineRule="auto"/>
        <w:ind w:firstLine="480" w:firstLineChars="200"/>
        <w:rPr>
          <w:rFonts w:hint="eastAsia" w:hAnsi="宋体"/>
          <w:kern w:val="0"/>
          <w:sz w:val="24"/>
        </w:rPr>
      </w:pPr>
      <w:r>
        <w:rPr>
          <w:rFonts w:hint="eastAsia" w:hAnsi="宋体"/>
          <w:kern w:val="0"/>
          <w:sz w:val="24"/>
        </w:rPr>
        <w:t>（4）建立风险分类、识别、评估、报告、提示程序</w:t>
      </w:r>
    </w:p>
    <w:p>
      <w:pPr>
        <w:adjustRightInd w:val="0"/>
        <w:snapToGrid w:val="0"/>
        <w:spacing w:line="360" w:lineRule="auto"/>
        <w:ind w:firstLine="480" w:firstLineChars="200"/>
        <w:rPr>
          <w:rFonts w:hint="eastAsia" w:hAnsi="宋体"/>
          <w:kern w:val="0"/>
          <w:sz w:val="24"/>
        </w:rPr>
      </w:pPr>
      <w:r>
        <w:rPr>
          <w:rFonts w:hint="eastAsia"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djustRightInd w:val="0"/>
        <w:snapToGrid w:val="0"/>
        <w:spacing w:line="360" w:lineRule="auto"/>
        <w:ind w:firstLine="480" w:firstLineChars="200"/>
        <w:rPr>
          <w:rFonts w:hint="eastAsia" w:hAnsi="宋体"/>
          <w:kern w:val="0"/>
          <w:sz w:val="24"/>
        </w:rPr>
      </w:pPr>
      <w:r>
        <w:rPr>
          <w:rFonts w:hint="eastAsia" w:hAnsi="宋体"/>
          <w:kern w:val="0"/>
          <w:sz w:val="24"/>
        </w:rPr>
        <w:t>（5）建立有效的内部监控系统</w:t>
      </w:r>
    </w:p>
    <w:p>
      <w:pPr>
        <w:adjustRightInd w:val="0"/>
        <w:snapToGrid w:val="0"/>
        <w:spacing w:line="360" w:lineRule="auto"/>
        <w:ind w:firstLine="480" w:firstLineChars="200"/>
        <w:rPr>
          <w:rFonts w:hint="eastAsia" w:hAnsi="宋体"/>
          <w:kern w:val="0"/>
          <w:sz w:val="24"/>
        </w:rPr>
      </w:pPr>
      <w:r>
        <w:rPr>
          <w:rFonts w:hint="eastAsia" w:hAnsi="宋体"/>
          <w:kern w:val="0"/>
          <w:sz w:val="24"/>
        </w:rPr>
        <w:t>建立了足够、有效的内部监控系统，对可能出现的各种风险进行全面和实时的监控。</w:t>
      </w:r>
    </w:p>
    <w:p>
      <w:pPr>
        <w:adjustRightInd w:val="0"/>
        <w:snapToGrid w:val="0"/>
        <w:spacing w:line="360" w:lineRule="auto"/>
        <w:ind w:firstLine="480" w:firstLineChars="200"/>
        <w:rPr>
          <w:rFonts w:hint="eastAsia" w:hAnsi="宋体"/>
          <w:kern w:val="0"/>
          <w:sz w:val="24"/>
        </w:rPr>
      </w:pPr>
      <w:r>
        <w:rPr>
          <w:rFonts w:hint="eastAsia" w:hAnsi="宋体"/>
          <w:kern w:val="0"/>
          <w:sz w:val="24"/>
        </w:rPr>
        <w:t>（6）使用数量化的风险管理手段</w:t>
      </w:r>
    </w:p>
    <w:p>
      <w:pPr>
        <w:adjustRightInd w:val="0"/>
        <w:snapToGrid w:val="0"/>
        <w:spacing w:line="360" w:lineRule="auto"/>
        <w:ind w:firstLine="480" w:firstLineChars="200"/>
        <w:rPr>
          <w:rFonts w:hint="eastAsia" w:hAnsi="宋体"/>
          <w:kern w:val="0"/>
          <w:sz w:val="24"/>
        </w:rPr>
      </w:pPr>
      <w:r>
        <w:rPr>
          <w:rFonts w:hint="eastAsia" w:hAnsi="宋体"/>
          <w:kern w:val="0"/>
          <w:sz w:val="24"/>
        </w:rPr>
        <w:t>采取数量化、技术化的风险控制手段，建立数量化的风险管理模型，用以提示指数趋势、行业及个券的风险，以便公司及时采取有效的措施，对风险进行分散、控制和规避，尽可能地减少损失。</w:t>
      </w:r>
    </w:p>
    <w:p>
      <w:pPr>
        <w:adjustRightInd w:val="0"/>
        <w:snapToGrid w:val="0"/>
        <w:spacing w:line="360" w:lineRule="auto"/>
        <w:ind w:firstLine="480" w:firstLineChars="200"/>
        <w:rPr>
          <w:rFonts w:hint="eastAsia" w:hAnsi="宋体"/>
          <w:kern w:val="0"/>
          <w:sz w:val="24"/>
        </w:rPr>
      </w:pPr>
      <w:r>
        <w:rPr>
          <w:rFonts w:hint="eastAsia" w:hAnsi="宋体"/>
          <w:kern w:val="0"/>
          <w:sz w:val="24"/>
        </w:rPr>
        <w:t>（7）提供足够的培训</w:t>
      </w:r>
    </w:p>
    <w:p>
      <w:pPr>
        <w:widowControl/>
        <w:adjustRightInd w:val="0"/>
        <w:snapToGrid w:val="0"/>
        <w:spacing w:line="360" w:lineRule="auto"/>
        <w:ind w:firstLine="480" w:firstLineChars="200"/>
        <w:rPr>
          <w:kern w:val="0"/>
          <w:sz w:val="24"/>
          <w:szCs w:val="24"/>
        </w:rPr>
      </w:pPr>
      <w:r>
        <w:rPr>
          <w:rFonts w:hint="eastAsia" w:hAnsi="宋体"/>
          <w:kern w:val="0"/>
          <w:sz w:val="24"/>
        </w:rPr>
        <w:t>制定了完整的培训计划，为所有员工提供足够和适当的培训，使员工明确其职责所在，控制风险。</w:t>
      </w:r>
      <w:bookmarkStart w:id="11" w:name="_Toc109537382"/>
    </w:p>
    <w:p>
      <w:pPr>
        <w:spacing w:line="360" w:lineRule="auto"/>
        <w:jc w:val="center"/>
        <w:outlineLvl w:val="0"/>
        <w:rPr>
          <w:rFonts w:ascii="宋体" w:hAnsi="宋体"/>
          <w:b/>
          <w:kern w:val="0"/>
          <w:sz w:val="30"/>
        </w:rPr>
      </w:pPr>
      <w:r>
        <w:rPr>
          <w:rFonts w:ascii="宋体" w:hAnsi="宋体"/>
          <w:sz w:val="30"/>
        </w:rPr>
        <w:br w:type="page"/>
      </w:r>
      <w:bookmarkStart w:id="12" w:name="_Toc48122005"/>
      <w:r>
        <w:rPr>
          <w:rFonts w:hint="eastAsia" w:ascii="宋体" w:hAnsi="宋体"/>
          <w:b/>
          <w:kern w:val="0"/>
          <w:sz w:val="30"/>
        </w:rPr>
        <w:t>四、基金托管人</w:t>
      </w:r>
      <w:bookmarkEnd w:id="11"/>
      <w:bookmarkEnd w:id="12"/>
    </w:p>
    <w:p>
      <w:pPr>
        <w:adjustRightInd w:val="0"/>
        <w:snapToGrid w:val="0"/>
        <w:spacing w:line="360" w:lineRule="auto"/>
        <w:ind w:firstLine="482" w:firstLineChars="200"/>
        <w:rPr>
          <w:b/>
          <w:sz w:val="24"/>
          <w:szCs w:val="24"/>
        </w:rPr>
      </w:pPr>
      <w:r>
        <w:rPr>
          <w:rFonts w:hint="eastAsia"/>
          <w:b/>
          <w:sz w:val="24"/>
          <w:szCs w:val="24"/>
        </w:rPr>
        <w:t>（</w:t>
      </w:r>
      <w:r>
        <w:rPr>
          <w:b/>
          <w:sz w:val="24"/>
          <w:szCs w:val="24"/>
        </w:rPr>
        <w:t>一</w:t>
      </w:r>
      <w:r>
        <w:rPr>
          <w:rFonts w:hint="eastAsia"/>
          <w:b/>
          <w:sz w:val="24"/>
          <w:szCs w:val="24"/>
        </w:rPr>
        <w:t>）</w:t>
      </w:r>
      <w:r>
        <w:rPr>
          <w:b/>
          <w:sz w:val="24"/>
          <w:szCs w:val="24"/>
        </w:rPr>
        <w:t>基金托管人情况</w:t>
      </w:r>
    </w:p>
    <w:p>
      <w:pPr>
        <w:adjustRightInd w:val="0"/>
        <w:snapToGrid w:val="0"/>
        <w:spacing w:line="360" w:lineRule="auto"/>
        <w:ind w:firstLine="480" w:firstLineChars="200"/>
        <w:rPr>
          <w:rFonts w:hAnsi="宋体"/>
          <w:kern w:val="0"/>
          <w:sz w:val="24"/>
        </w:rPr>
      </w:pPr>
      <w:r>
        <w:rPr>
          <w:rFonts w:hint="eastAsia" w:hAnsi="宋体"/>
          <w:kern w:val="0"/>
          <w:sz w:val="24"/>
        </w:rPr>
        <w:t>1、基本情况</w:t>
      </w:r>
    </w:p>
    <w:p>
      <w:pPr>
        <w:adjustRightInd w:val="0"/>
        <w:snapToGrid w:val="0"/>
        <w:spacing w:line="360" w:lineRule="auto"/>
        <w:ind w:firstLine="480" w:firstLineChars="200"/>
        <w:rPr>
          <w:rFonts w:hAnsi="宋体"/>
          <w:kern w:val="0"/>
          <w:sz w:val="24"/>
        </w:rPr>
      </w:pPr>
      <w:r>
        <w:rPr>
          <w:rFonts w:hint="eastAsia" w:hAnsi="宋体"/>
          <w:kern w:val="0"/>
          <w:sz w:val="24"/>
        </w:rPr>
        <w:t>名称：中信证券股份有限公司（简称：中信证券）</w:t>
      </w:r>
    </w:p>
    <w:p>
      <w:pPr>
        <w:adjustRightInd w:val="0"/>
        <w:snapToGrid w:val="0"/>
        <w:spacing w:line="360" w:lineRule="auto"/>
        <w:ind w:firstLine="480" w:firstLineChars="200"/>
        <w:rPr>
          <w:rFonts w:hAnsi="宋体"/>
          <w:kern w:val="0"/>
          <w:sz w:val="24"/>
        </w:rPr>
      </w:pPr>
      <w:r>
        <w:rPr>
          <w:rFonts w:hint="eastAsia" w:hAnsi="宋体"/>
          <w:kern w:val="0"/>
          <w:sz w:val="24"/>
        </w:rPr>
        <w:t>注册地址：广东省深圳市福田区中心三路8号卓越时代广场（二期）北座</w:t>
      </w:r>
    </w:p>
    <w:p>
      <w:pPr>
        <w:adjustRightInd w:val="0"/>
        <w:snapToGrid w:val="0"/>
        <w:spacing w:line="360" w:lineRule="auto"/>
        <w:ind w:firstLine="480" w:firstLineChars="200"/>
        <w:rPr>
          <w:rFonts w:hAnsi="宋体"/>
          <w:kern w:val="0"/>
          <w:sz w:val="24"/>
        </w:rPr>
      </w:pPr>
      <w:r>
        <w:rPr>
          <w:rFonts w:hint="eastAsia" w:hAnsi="宋体"/>
          <w:kern w:val="0"/>
          <w:sz w:val="24"/>
        </w:rPr>
        <w:t>办公地址：北京市朝阳区亮马桥路48号中信证券大厦</w:t>
      </w:r>
    </w:p>
    <w:p>
      <w:pPr>
        <w:adjustRightInd w:val="0"/>
        <w:snapToGrid w:val="0"/>
        <w:spacing w:line="360" w:lineRule="auto"/>
        <w:ind w:firstLine="1680" w:firstLineChars="700"/>
        <w:rPr>
          <w:rFonts w:hAnsi="宋体"/>
          <w:kern w:val="0"/>
          <w:sz w:val="24"/>
        </w:rPr>
      </w:pPr>
      <w:r>
        <w:rPr>
          <w:rFonts w:hint="eastAsia" w:hAnsi="宋体"/>
          <w:kern w:val="0"/>
          <w:sz w:val="24"/>
        </w:rPr>
        <w:t>广东省深圳市福田区中心三路8号中信证券大厦</w:t>
      </w:r>
    </w:p>
    <w:p>
      <w:pPr>
        <w:adjustRightInd w:val="0"/>
        <w:snapToGrid w:val="0"/>
        <w:spacing w:line="360" w:lineRule="auto"/>
        <w:ind w:firstLine="480" w:firstLineChars="200"/>
        <w:rPr>
          <w:rFonts w:hAnsi="宋体"/>
          <w:kern w:val="0"/>
          <w:sz w:val="24"/>
        </w:rPr>
      </w:pPr>
      <w:r>
        <w:rPr>
          <w:rFonts w:hint="eastAsia" w:hAnsi="宋体"/>
          <w:kern w:val="0"/>
          <w:sz w:val="24"/>
        </w:rPr>
        <w:t>法定代表人：张佑君</w:t>
      </w:r>
    </w:p>
    <w:p>
      <w:pPr>
        <w:adjustRightInd w:val="0"/>
        <w:snapToGrid w:val="0"/>
        <w:spacing w:line="360" w:lineRule="auto"/>
        <w:ind w:firstLine="480" w:firstLineChars="200"/>
        <w:rPr>
          <w:rFonts w:hAnsi="宋体"/>
          <w:kern w:val="0"/>
          <w:sz w:val="24"/>
        </w:rPr>
      </w:pPr>
      <w:r>
        <w:rPr>
          <w:rFonts w:hint="eastAsia" w:hAnsi="宋体"/>
          <w:kern w:val="0"/>
          <w:sz w:val="24"/>
        </w:rPr>
        <w:t>成立日期：1995年10月25日</w:t>
      </w:r>
    </w:p>
    <w:p>
      <w:pPr>
        <w:adjustRightInd w:val="0"/>
        <w:snapToGrid w:val="0"/>
        <w:spacing w:line="360" w:lineRule="auto"/>
        <w:ind w:firstLine="480" w:firstLineChars="200"/>
        <w:rPr>
          <w:rFonts w:hAnsi="宋体"/>
          <w:kern w:val="0"/>
          <w:sz w:val="24"/>
        </w:rPr>
      </w:pPr>
      <w:r>
        <w:rPr>
          <w:rFonts w:hint="eastAsia" w:hAnsi="宋体"/>
          <w:kern w:val="0"/>
          <w:sz w:val="24"/>
        </w:rPr>
        <w:t>组织形式：股份有限公司（上市）</w:t>
      </w:r>
    </w:p>
    <w:p>
      <w:pPr>
        <w:adjustRightInd w:val="0"/>
        <w:snapToGrid w:val="0"/>
        <w:spacing w:line="360" w:lineRule="auto"/>
        <w:ind w:firstLine="480" w:firstLineChars="200"/>
        <w:rPr>
          <w:rFonts w:hAnsi="宋体"/>
          <w:kern w:val="0"/>
          <w:sz w:val="24"/>
        </w:rPr>
      </w:pPr>
      <w:r>
        <w:rPr>
          <w:rFonts w:hint="eastAsia" w:hAnsi="宋体"/>
          <w:kern w:val="0"/>
          <w:sz w:val="24"/>
        </w:rPr>
        <w:t>注册资本： 14,820,546,829元人民币</w:t>
      </w:r>
    </w:p>
    <w:p>
      <w:pPr>
        <w:adjustRightInd w:val="0"/>
        <w:snapToGrid w:val="0"/>
        <w:spacing w:line="360" w:lineRule="auto"/>
        <w:ind w:firstLine="480" w:firstLineChars="200"/>
        <w:rPr>
          <w:rFonts w:hAnsi="宋体"/>
          <w:kern w:val="0"/>
          <w:sz w:val="24"/>
        </w:rPr>
      </w:pPr>
      <w:r>
        <w:rPr>
          <w:rFonts w:hint="eastAsia" w:hAnsi="宋体"/>
          <w:kern w:val="0"/>
          <w:sz w:val="24"/>
        </w:rPr>
        <w:t>存续期间：无期限</w:t>
      </w:r>
    </w:p>
    <w:p>
      <w:pPr>
        <w:adjustRightInd w:val="0"/>
        <w:snapToGrid w:val="0"/>
        <w:spacing w:line="360" w:lineRule="auto"/>
        <w:ind w:firstLine="480" w:firstLineChars="200"/>
        <w:rPr>
          <w:rFonts w:hAnsi="宋体"/>
          <w:kern w:val="0"/>
          <w:sz w:val="24"/>
        </w:rPr>
      </w:pPr>
      <w:r>
        <w:rPr>
          <w:rFonts w:hint="eastAsia" w:hAnsi="宋体"/>
          <w:kern w:val="0"/>
          <w:sz w:val="24"/>
        </w:rPr>
        <w:t>联系电话：95548-3</w:t>
      </w:r>
    </w:p>
    <w:p>
      <w:pPr>
        <w:adjustRightInd w:val="0"/>
        <w:snapToGrid w:val="0"/>
        <w:spacing w:line="360" w:lineRule="auto"/>
        <w:ind w:firstLine="480" w:firstLineChars="200"/>
        <w:rPr>
          <w:rFonts w:hAnsi="宋体"/>
          <w:kern w:val="0"/>
          <w:sz w:val="24"/>
        </w:rPr>
      </w:pPr>
      <w:r>
        <w:rPr>
          <w:rFonts w:hint="eastAsia" w:hAnsi="宋体"/>
          <w:kern w:val="0"/>
          <w:sz w:val="24"/>
        </w:rPr>
        <w:t>中信证券股份有限公司（以下简称“中信证券”）成立于1995年10月25日，前身是中信证券有限责任公司。中信证券于2003年1月6日在上海证券交易所挂牌上市，并于2011年10月6日在香港联交所上市交易。</w:t>
      </w:r>
    </w:p>
    <w:p>
      <w:pPr>
        <w:adjustRightInd w:val="0"/>
        <w:snapToGrid w:val="0"/>
        <w:spacing w:line="360" w:lineRule="auto"/>
        <w:ind w:firstLine="480" w:firstLineChars="200"/>
        <w:rPr>
          <w:rFonts w:hAnsi="宋体"/>
          <w:kern w:val="0"/>
          <w:sz w:val="24"/>
        </w:rPr>
      </w:pPr>
      <w:r>
        <w:rPr>
          <w:rFonts w:hint="eastAsia" w:hAnsi="宋体"/>
          <w:kern w:val="0"/>
          <w:sz w:val="24"/>
        </w:rPr>
        <w:t>经营范围：证券经纪（限山东省、河南省、浙江省天台县、浙江省苍南县以外区域）；证券投资咨询；与证券交易、证券投资活动有关的财务顾问；证券承销与保荐；证券自营；证券资产管理（全国社会保障基金境内委托投资管理、基本养老保险基金证券投资管理、企业年金基金投资管理和职业年金基金投资管理）；融资融券；证券投资基金代销；为期货公司提供中间介绍业务；代销金融产品；股票期权做市。上市证券做市交易。(依法须经批准的项目,经相关部门批准后方可开展经营活动,具体经营项目以相关部门批准文件或许可证件为准)</w:t>
      </w:r>
    </w:p>
    <w:p>
      <w:pPr>
        <w:adjustRightInd w:val="0"/>
        <w:snapToGrid w:val="0"/>
        <w:spacing w:line="360" w:lineRule="auto"/>
        <w:ind w:firstLine="480" w:firstLineChars="200"/>
        <w:rPr>
          <w:rFonts w:hAnsi="宋体"/>
          <w:kern w:val="0"/>
          <w:sz w:val="24"/>
        </w:rPr>
      </w:pPr>
      <w:r>
        <w:rPr>
          <w:rFonts w:hint="eastAsia" w:hAnsi="宋体"/>
          <w:kern w:val="0"/>
          <w:sz w:val="24"/>
        </w:rPr>
        <w:t>2014年7月中信证券成立托管部，并于当年10月收到中国证监会《关于核准中信证券股份有限公司证券投资基金托管资格的批复》（证监许可[2014]1044号），获得证券投资基金托管资格。开展基金托管业务以来，中信证券严格切实履行基金托管人职责，维护基金投资人的合法权益。中信证券逐年加大托管业务信息技术系统建设投入，构建智能化客户服务体系，持续研发创新基金托管服务。</w:t>
      </w:r>
    </w:p>
    <w:p>
      <w:pPr>
        <w:adjustRightInd w:val="0"/>
        <w:snapToGrid w:val="0"/>
        <w:spacing w:line="360" w:lineRule="auto"/>
        <w:ind w:firstLine="480" w:firstLineChars="200"/>
        <w:rPr>
          <w:rFonts w:hAnsi="宋体"/>
          <w:kern w:val="0"/>
          <w:sz w:val="24"/>
        </w:rPr>
      </w:pPr>
      <w:r>
        <w:rPr>
          <w:rFonts w:hint="eastAsia" w:hAnsi="宋体"/>
          <w:kern w:val="0"/>
          <w:sz w:val="24"/>
        </w:rPr>
        <w:t>2、主要人员情况</w:t>
      </w:r>
    </w:p>
    <w:p>
      <w:pPr>
        <w:adjustRightInd w:val="0"/>
        <w:snapToGrid w:val="0"/>
        <w:spacing w:line="360" w:lineRule="auto"/>
        <w:ind w:firstLine="480" w:firstLineChars="200"/>
        <w:rPr>
          <w:rFonts w:hAnsi="宋体"/>
          <w:kern w:val="0"/>
          <w:sz w:val="24"/>
        </w:rPr>
      </w:pPr>
      <w:r>
        <w:rPr>
          <w:rFonts w:hint="eastAsia" w:hAnsi="宋体"/>
          <w:kern w:val="0"/>
          <w:sz w:val="24"/>
        </w:rPr>
        <w:t>中信证券设立托管部，管理并具体承办基金托管业务。托管部下设市场服务、产品设计、估值核算、托管结算、投资监督、跨境服务、客户服务、金融科技、风险管理、综合管理等团队。部门员工均具备证券投资基金从业资格，并具有多年金融从业经历，核心业务岗人员均已具备5年及以上相关业务经验。</w:t>
      </w:r>
    </w:p>
    <w:p>
      <w:pPr>
        <w:adjustRightInd w:val="0"/>
        <w:snapToGrid w:val="0"/>
        <w:spacing w:line="360" w:lineRule="auto"/>
        <w:ind w:firstLine="480" w:firstLineChars="200"/>
        <w:rPr>
          <w:rFonts w:hAnsi="宋体"/>
          <w:kern w:val="0"/>
          <w:sz w:val="24"/>
        </w:rPr>
      </w:pPr>
      <w:r>
        <w:rPr>
          <w:rFonts w:hint="eastAsia" w:hAnsi="宋体"/>
          <w:kern w:val="0"/>
          <w:sz w:val="24"/>
        </w:rPr>
        <w:t>3、基金托管业务经营情况</w:t>
      </w:r>
    </w:p>
    <w:p>
      <w:pPr>
        <w:adjustRightInd w:val="0"/>
        <w:snapToGrid w:val="0"/>
        <w:spacing w:line="360" w:lineRule="auto"/>
        <w:ind w:firstLine="480" w:firstLineChars="200"/>
        <w:rPr>
          <w:kern w:val="0"/>
          <w:sz w:val="24"/>
          <w:szCs w:val="24"/>
        </w:rPr>
      </w:pPr>
      <w:r>
        <w:rPr>
          <w:rFonts w:hint="eastAsia" w:hAnsi="宋体"/>
          <w:kern w:val="0"/>
          <w:sz w:val="24"/>
        </w:rPr>
        <w:t>中信证券于2014年10月经中国证监会核准获批证券投资基金托管资格。中信证券自取得证券投资基金托管资格以来，秉承“忠于所托，信于所管”的宗旨，严格遵守国家的有关法律法规和监管机构的有关规定，依靠科学的风险管理和内部控制体系、规范的管理模式、先进的运营系统和专业的服务团队，切实履行基金托管人职责，为基金管理人和投资者提供安全、高效、专业的托管服务。</w:t>
      </w:r>
    </w:p>
    <w:p>
      <w:pPr>
        <w:adjustRightInd w:val="0"/>
        <w:snapToGrid w:val="0"/>
        <w:spacing w:line="360" w:lineRule="auto"/>
        <w:ind w:firstLine="482" w:firstLineChars="200"/>
        <w:rPr>
          <w:b/>
          <w:sz w:val="24"/>
          <w:szCs w:val="24"/>
        </w:rPr>
      </w:pPr>
      <w:r>
        <w:rPr>
          <w:rFonts w:hint="eastAsia"/>
          <w:b/>
          <w:sz w:val="24"/>
          <w:szCs w:val="24"/>
        </w:rPr>
        <w:t>（二）基金托管人的内部风险控制制度说明</w:t>
      </w:r>
    </w:p>
    <w:p>
      <w:pPr>
        <w:adjustRightInd w:val="0"/>
        <w:snapToGrid w:val="0"/>
        <w:spacing w:line="360" w:lineRule="auto"/>
        <w:ind w:firstLine="480" w:firstLineChars="200"/>
        <w:rPr>
          <w:kern w:val="0"/>
          <w:sz w:val="24"/>
          <w:szCs w:val="24"/>
        </w:rPr>
      </w:pPr>
      <w:r>
        <w:rPr>
          <w:rFonts w:hint="eastAsia"/>
          <w:kern w:val="0"/>
          <w:sz w:val="24"/>
          <w:szCs w:val="24"/>
        </w:rPr>
        <w:t>1、内部控制目标</w:t>
      </w:r>
    </w:p>
    <w:p>
      <w:pPr>
        <w:adjustRightInd w:val="0"/>
        <w:snapToGrid w:val="0"/>
        <w:spacing w:line="360" w:lineRule="auto"/>
        <w:ind w:firstLine="480" w:firstLineChars="200"/>
        <w:rPr>
          <w:kern w:val="0"/>
          <w:sz w:val="24"/>
          <w:szCs w:val="24"/>
        </w:rPr>
      </w:pPr>
      <w:r>
        <w:rPr>
          <w:rFonts w:hint="eastAsia"/>
          <w:kern w:val="0"/>
          <w:sz w:val="24"/>
          <w:szCs w:val="24"/>
        </w:rPr>
        <w:t>中信证券托管业务运行严格遵守国家有关法律法规和行业监管规则，建立守法经营、规范运作的经营思想和经营风格，形成运作流程化、管理科学化、监控制度化的内控体系；防范和化解经营风险，确保基金资产的安全完整，维护基金份额持有人的合法权益，保障托管业务安全、有效、稳健运行。</w:t>
      </w:r>
    </w:p>
    <w:p>
      <w:pPr>
        <w:adjustRightInd w:val="0"/>
        <w:snapToGrid w:val="0"/>
        <w:spacing w:line="360" w:lineRule="auto"/>
        <w:ind w:firstLine="480" w:firstLineChars="200"/>
        <w:rPr>
          <w:kern w:val="0"/>
          <w:sz w:val="24"/>
          <w:szCs w:val="24"/>
        </w:rPr>
      </w:pPr>
      <w:r>
        <w:rPr>
          <w:rFonts w:hint="eastAsia"/>
          <w:kern w:val="0"/>
          <w:sz w:val="24"/>
          <w:szCs w:val="24"/>
        </w:rPr>
        <w:t>2、内部控制原则</w:t>
      </w:r>
    </w:p>
    <w:p>
      <w:pPr>
        <w:adjustRightInd w:val="0"/>
        <w:snapToGrid w:val="0"/>
        <w:spacing w:line="360" w:lineRule="auto"/>
        <w:ind w:firstLine="480" w:firstLineChars="200"/>
        <w:rPr>
          <w:kern w:val="0"/>
          <w:sz w:val="24"/>
          <w:szCs w:val="24"/>
        </w:rPr>
      </w:pPr>
      <w:r>
        <w:rPr>
          <w:rFonts w:hint="eastAsia"/>
          <w:kern w:val="0"/>
          <w:sz w:val="24"/>
          <w:szCs w:val="24"/>
        </w:rPr>
        <w:t>（1）合法合规原则：内控制度应当符合国家法律法规及监管机构的监管要求，并贯穿于托管业务经营管理活动的始终；</w:t>
      </w:r>
    </w:p>
    <w:p>
      <w:pPr>
        <w:adjustRightInd w:val="0"/>
        <w:snapToGrid w:val="0"/>
        <w:spacing w:line="360" w:lineRule="auto"/>
        <w:ind w:firstLine="480" w:firstLineChars="200"/>
        <w:rPr>
          <w:kern w:val="0"/>
          <w:sz w:val="24"/>
          <w:szCs w:val="24"/>
        </w:rPr>
      </w:pPr>
      <w:r>
        <w:rPr>
          <w:rFonts w:hint="eastAsia"/>
          <w:kern w:val="0"/>
          <w:sz w:val="24"/>
          <w:szCs w:val="24"/>
        </w:rPr>
        <w:t>（2）完整性原则：托管业务的各项经营管理活动都必须有相应的规范程序和监督制约；监督制约应渗透到托管业务的全过程和各个操作环节，覆盖所有的岗位和人员；</w:t>
      </w:r>
    </w:p>
    <w:p>
      <w:pPr>
        <w:adjustRightInd w:val="0"/>
        <w:snapToGrid w:val="0"/>
        <w:spacing w:line="360" w:lineRule="auto"/>
        <w:ind w:firstLine="480" w:firstLineChars="200"/>
        <w:rPr>
          <w:kern w:val="0"/>
          <w:sz w:val="24"/>
          <w:szCs w:val="24"/>
        </w:rPr>
      </w:pPr>
      <w:r>
        <w:rPr>
          <w:rFonts w:hint="eastAsia"/>
          <w:kern w:val="0"/>
          <w:sz w:val="24"/>
          <w:szCs w:val="24"/>
        </w:rPr>
        <w:t>（3）有效性原则：建立对内控制度及其执行的监督、评价、反馈和完善机制，保证内控制度有效执行；</w:t>
      </w:r>
    </w:p>
    <w:p>
      <w:pPr>
        <w:adjustRightInd w:val="0"/>
        <w:snapToGrid w:val="0"/>
        <w:spacing w:line="360" w:lineRule="auto"/>
        <w:ind w:firstLine="480" w:firstLineChars="200"/>
        <w:rPr>
          <w:kern w:val="0"/>
          <w:sz w:val="24"/>
          <w:szCs w:val="24"/>
        </w:rPr>
      </w:pPr>
      <w:r>
        <w:rPr>
          <w:rFonts w:hint="eastAsia"/>
          <w:kern w:val="0"/>
          <w:sz w:val="24"/>
          <w:szCs w:val="24"/>
        </w:rPr>
        <w:t>（4）审慎性原则：托管业务各项业务活动必须防范风险，审慎经营，保证基金资产的安全与完整；</w:t>
      </w:r>
    </w:p>
    <w:p>
      <w:pPr>
        <w:adjustRightInd w:val="0"/>
        <w:snapToGrid w:val="0"/>
        <w:spacing w:line="360" w:lineRule="auto"/>
        <w:ind w:firstLine="480" w:firstLineChars="200"/>
        <w:rPr>
          <w:kern w:val="0"/>
          <w:sz w:val="24"/>
          <w:szCs w:val="24"/>
        </w:rPr>
      </w:pPr>
      <w:r>
        <w:rPr>
          <w:rFonts w:hint="eastAsia"/>
          <w:kern w:val="0"/>
          <w:sz w:val="24"/>
          <w:szCs w:val="24"/>
        </w:rPr>
        <w:t>（5）预防性原则：必须树立“预防为主”的管理理念，控制风险发生的源头，防患于未然，尽量避免业务操作中各种问题的产生；</w:t>
      </w:r>
    </w:p>
    <w:p>
      <w:pPr>
        <w:adjustRightInd w:val="0"/>
        <w:snapToGrid w:val="0"/>
        <w:spacing w:line="360" w:lineRule="auto"/>
        <w:ind w:firstLine="480" w:firstLineChars="200"/>
        <w:rPr>
          <w:kern w:val="0"/>
          <w:sz w:val="24"/>
          <w:szCs w:val="24"/>
        </w:rPr>
      </w:pPr>
      <w:r>
        <w:rPr>
          <w:rFonts w:hint="eastAsia"/>
          <w:kern w:val="0"/>
          <w:sz w:val="24"/>
          <w:szCs w:val="24"/>
        </w:rPr>
        <w:t>（6）及时性原则：内部控制制度的制定应当具有前瞻性，并且随着托管部经营战略、经营方针、经营理念等内部环境的变化和国家法律法规、政策制度等外部环境的改变进行及时的修改或完善，发现问题，要及时处理，堵塞漏洞；</w:t>
      </w:r>
    </w:p>
    <w:p>
      <w:pPr>
        <w:adjustRightInd w:val="0"/>
        <w:snapToGrid w:val="0"/>
        <w:spacing w:line="360" w:lineRule="auto"/>
        <w:ind w:firstLine="480" w:firstLineChars="200"/>
        <w:rPr>
          <w:kern w:val="0"/>
          <w:sz w:val="24"/>
          <w:szCs w:val="24"/>
        </w:rPr>
      </w:pPr>
      <w:r>
        <w:rPr>
          <w:rFonts w:hint="eastAsia"/>
          <w:kern w:val="0"/>
          <w:sz w:val="24"/>
          <w:szCs w:val="24"/>
        </w:rPr>
        <w:t>（7）独立性原则：基金托管人托管的基金资产、基金托管人的自有资产、基金托管人托管的其他资产应当分离；直接操作人员和控制人员应相对独立，适当分离；内控制度的检查、评价小组必须独立于内控制度的制定和执行小组；</w:t>
      </w:r>
    </w:p>
    <w:p>
      <w:pPr>
        <w:adjustRightInd w:val="0"/>
        <w:snapToGrid w:val="0"/>
        <w:spacing w:line="360" w:lineRule="auto"/>
        <w:ind w:firstLine="480" w:firstLineChars="200"/>
        <w:rPr>
          <w:kern w:val="0"/>
          <w:sz w:val="24"/>
          <w:szCs w:val="24"/>
        </w:rPr>
      </w:pPr>
      <w:r>
        <w:rPr>
          <w:rFonts w:hint="eastAsia"/>
          <w:kern w:val="0"/>
          <w:sz w:val="24"/>
          <w:szCs w:val="24"/>
        </w:rPr>
        <w:t>（8）相互制约原则：托管部的内部机构和岗位设置应当权责分明、相互制衡。</w:t>
      </w:r>
    </w:p>
    <w:p>
      <w:pPr>
        <w:adjustRightInd w:val="0"/>
        <w:snapToGrid w:val="0"/>
        <w:spacing w:line="360" w:lineRule="auto"/>
        <w:ind w:firstLine="480" w:firstLineChars="200"/>
        <w:rPr>
          <w:kern w:val="0"/>
          <w:sz w:val="24"/>
          <w:szCs w:val="24"/>
        </w:rPr>
      </w:pPr>
      <w:r>
        <w:rPr>
          <w:rFonts w:hint="eastAsia"/>
          <w:kern w:val="0"/>
          <w:sz w:val="24"/>
          <w:szCs w:val="24"/>
        </w:rPr>
        <w:t>3、内部控制制度及措施</w:t>
      </w:r>
    </w:p>
    <w:p>
      <w:pPr>
        <w:adjustRightInd w:val="0"/>
        <w:snapToGrid w:val="0"/>
        <w:spacing w:line="360" w:lineRule="auto"/>
        <w:ind w:firstLine="480" w:firstLineChars="200"/>
        <w:rPr>
          <w:kern w:val="0"/>
          <w:sz w:val="24"/>
          <w:szCs w:val="24"/>
        </w:rPr>
      </w:pPr>
      <w:r>
        <w:rPr>
          <w:rFonts w:hint="eastAsia"/>
          <w:kern w:val="0"/>
          <w:sz w:val="24"/>
          <w:szCs w:val="24"/>
        </w:rPr>
        <w:t>根据《基金法》、《证券投资基金托管业务管理办法》等法律法规的规定，中信证券制定了一整套严密、高效的证券投资基金托管业务的规章制度，确保基金托管业务运行的规范、安全以及高效。</w:t>
      </w:r>
    </w:p>
    <w:p>
      <w:pPr>
        <w:adjustRightInd w:val="0"/>
        <w:snapToGrid w:val="0"/>
        <w:spacing w:line="360" w:lineRule="auto"/>
        <w:ind w:firstLine="480" w:firstLineChars="200"/>
        <w:rPr>
          <w:kern w:val="0"/>
          <w:sz w:val="24"/>
          <w:szCs w:val="24"/>
        </w:rPr>
      </w:pPr>
      <w:r>
        <w:rPr>
          <w:rFonts w:hint="eastAsia"/>
          <w:kern w:val="0"/>
          <w:sz w:val="24"/>
          <w:szCs w:val="24"/>
        </w:rPr>
        <w:t>主要制度包括《中信证券股份有限公司证券投资基金托管业务管理办法》《中信证券股份有限公司证券投资基金托管业务内部控制和风险管理办法》《中信证券股份有限公司托管业务投资监督管理办法》《中信证券股份有限公司证券投资基金托管业务会计核算业务管理办法》《中信证券股份有限公司托管业务资产保管管理办法》《中信证券股份有限公司托管业务清算管理办法》《中信证券股份有限公司公开募集证券投资基金托管业务信息披露实施细则》《中信证券股份有限公司托管部基金从业人员管理办法》《中信证券股份有限公司托管业务档案管理办法》 《中信证券股份有限公司托管部保密工作管理办法》等，并根据市场变化和基金业务的发展不断加以完善。通过这些规章制度的建立和实施，做到业务分工合理、业务运行和操作流程化、技术系统完整独立、核心业务相互隔离以及有关信息披露由专人负责，勤勉尽责的履行托管义务。</w:t>
      </w:r>
    </w:p>
    <w:p>
      <w:pPr>
        <w:adjustRightInd w:val="0"/>
        <w:snapToGrid w:val="0"/>
        <w:spacing w:line="360" w:lineRule="auto"/>
        <w:ind w:firstLine="480" w:firstLineChars="200"/>
        <w:rPr>
          <w:kern w:val="0"/>
          <w:sz w:val="24"/>
          <w:szCs w:val="24"/>
        </w:rPr>
      </w:pPr>
      <w:r>
        <w:rPr>
          <w:rFonts w:hint="eastAsia"/>
          <w:kern w:val="0"/>
          <w:sz w:val="24"/>
          <w:szCs w:val="24"/>
        </w:rPr>
        <w:t>托管业务内部控制的内容主要涉及托管项目、资产保管、资金清算、会计核算和资产估值、投资监督、信息技术系统等重要业务环节的内部控制。基金托管人通过对基金托管业务各环节风险的事前揭示、事中控制和事后稽核的动态管理过程来实施内部风险控制。同时为了保证和验证内部控制的有效性、完整性，中信证券定期聘请具有证券业务资格的专业会计师事务所，针对基金托管业务的内部控制制度建设与实施情况开展相关审查与评估，自2016年起每年均通过ISAE3402国际鉴证，中信证券托管业务质量、风险管理、内部控制方面的健全性和有效性得到第三方独立机构的全面认可。</w:t>
      </w:r>
    </w:p>
    <w:p>
      <w:pPr>
        <w:adjustRightInd w:val="0"/>
        <w:snapToGrid w:val="0"/>
        <w:spacing w:line="360" w:lineRule="auto"/>
        <w:ind w:firstLine="480" w:firstLineChars="200"/>
        <w:rPr>
          <w:kern w:val="0"/>
          <w:sz w:val="24"/>
          <w:szCs w:val="24"/>
        </w:rPr>
      </w:pPr>
      <w:r>
        <w:rPr>
          <w:rFonts w:hint="eastAsia"/>
          <w:kern w:val="0"/>
          <w:sz w:val="24"/>
          <w:szCs w:val="24"/>
        </w:rPr>
        <w:t>托管业务内部控制的主要措施包括：不相容职务分离控制、授权审批控制、财产保护控制、会计系统控制、预算控制、运营分析控制和绩效考评控制等。</w:t>
      </w:r>
    </w:p>
    <w:p>
      <w:pPr>
        <w:adjustRightInd w:val="0"/>
        <w:snapToGrid w:val="0"/>
        <w:spacing w:line="360" w:lineRule="auto"/>
        <w:ind w:firstLine="482" w:firstLineChars="200"/>
        <w:rPr>
          <w:b/>
          <w:sz w:val="24"/>
          <w:szCs w:val="24"/>
        </w:rPr>
      </w:pPr>
      <w:r>
        <w:rPr>
          <w:rFonts w:hint="eastAsia"/>
          <w:b/>
          <w:sz w:val="24"/>
          <w:szCs w:val="24"/>
        </w:rPr>
        <w:t>（三）基金托管人对基金管理人运作基金进行监督的方法和程序</w:t>
      </w:r>
    </w:p>
    <w:p>
      <w:pPr>
        <w:adjustRightInd w:val="0"/>
        <w:snapToGrid w:val="0"/>
        <w:spacing w:line="360" w:lineRule="auto"/>
        <w:ind w:firstLine="480" w:firstLineChars="200"/>
        <w:rPr>
          <w:kern w:val="0"/>
          <w:sz w:val="24"/>
          <w:szCs w:val="24"/>
        </w:rPr>
      </w:pPr>
      <w:r>
        <w:rPr>
          <w:rFonts w:hint="eastAsia"/>
          <w:kern w:val="0"/>
          <w:sz w:val="24"/>
          <w:szCs w:val="24"/>
        </w:rPr>
        <w:t>1、监督方法</w:t>
      </w:r>
    </w:p>
    <w:p>
      <w:pPr>
        <w:adjustRightInd w:val="0"/>
        <w:snapToGrid w:val="0"/>
        <w:spacing w:line="360" w:lineRule="auto"/>
        <w:ind w:firstLine="480" w:firstLineChars="200"/>
        <w:rPr>
          <w:kern w:val="0"/>
          <w:sz w:val="24"/>
          <w:szCs w:val="24"/>
        </w:rPr>
      </w:pPr>
      <w:r>
        <w:rPr>
          <w:rFonts w:hint="eastAsia"/>
          <w:kern w:val="0"/>
          <w:sz w:val="24"/>
          <w:szCs w:val="24"/>
        </w:rPr>
        <w:t>基金托管人依照《基金法》及其配套法规和基金合同、托管协议的约定，监督所托管基金的投资运作。严格按照现行法律法规以及基金合同、托管协议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pPr>
        <w:adjustRightInd w:val="0"/>
        <w:snapToGrid w:val="0"/>
        <w:spacing w:line="360" w:lineRule="auto"/>
        <w:ind w:firstLine="480" w:firstLineChars="200"/>
        <w:rPr>
          <w:kern w:val="0"/>
          <w:sz w:val="24"/>
          <w:szCs w:val="24"/>
        </w:rPr>
      </w:pPr>
      <w:r>
        <w:rPr>
          <w:rFonts w:hint="eastAsia"/>
          <w:kern w:val="0"/>
          <w:sz w:val="24"/>
          <w:szCs w:val="24"/>
        </w:rPr>
        <w:t>2、监督流程</w:t>
      </w:r>
    </w:p>
    <w:p>
      <w:pPr>
        <w:adjustRightInd w:val="0"/>
        <w:snapToGrid w:val="0"/>
        <w:spacing w:line="360" w:lineRule="auto"/>
        <w:ind w:firstLine="480" w:firstLineChars="200"/>
        <w:rPr>
          <w:kern w:val="0"/>
          <w:sz w:val="24"/>
          <w:szCs w:val="24"/>
        </w:rPr>
      </w:pPr>
      <w:r>
        <w:rPr>
          <w:rFonts w:hint="eastAsia"/>
          <w:kern w:val="0"/>
          <w:sz w:val="24"/>
          <w:szCs w:val="24"/>
        </w:rPr>
        <w:t>（1）每工作日按时通过监控系统，对各基金投资运作比例等控制指标进行例行监控，发现投资比例超标等异常情况，通知基金管理人，与基金管理人进行情况核实，督促其纠正，并根据具体情况及时报告中国证监会。</w:t>
      </w:r>
    </w:p>
    <w:p>
      <w:pPr>
        <w:adjustRightInd w:val="0"/>
        <w:snapToGrid w:val="0"/>
        <w:spacing w:line="360" w:lineRule="auto"/>
        <w:ind w:firstLine="480" w:firstLineChars="200"/>
        <w:rPr>
          <w:kern w:val="0"/>
          <w:sz w:val="24"/>
          <w:szCs w:val="24"/>
        </w:rPr>
      </w:pPr>
      <w:r>
        <w:rPr>
          <w:rFonts w:hint="eastAsia"/>
          <w:kern w:val="0"/>
          <w:sz w:val="24"/>
          <w:szCs w:val="24"/>
        </w:rPr>
        <w:t>（2）收到基金管理人的投资指令后，对涉及各基金的投资范围、投资对象等内容进行合法合规性监督。</w:t>
      </w:r>
    </w:p>
    <w:p>
      <w:pPr>
        <w:adjustRightInd w:val="0"/>
        <w:snapToGrid w:val="0"/>
        <w:spacing w:line="360" w:lineRule="auto"/>
        <w:ind w:firstLine="480" w:firstLineChars="200"/>
        <w:rPr>
          <w:kern w:val="0"/>
          <w:sz w:val="24"/>
          <w:szCs w:val="24"/>
        </w:rPr>
      </w:pPr>
      <w:r>
        <w:rPr>
          <w:rFonts w:hint="eastAsia"/>
          <w:kern w:val="0"/>
          <w:sz w:val="24"/>
          <w:szCs w:val="24"/>
        </w:rPr>
        <w:t>（3）根据基金投资运作情况，编写托管人年度报告，对各基金投资运作的合法合规性等方面进行评价。</w:t>
      </w:r>
    </w:p>
    <w:p>
      <w:pPr>
        <w:adjustRightInd w:val="0"/>
        <w:snapToGrid w:val="0"/>
        <w:spacing w:line="360" w:lineRule="auto"/>
        <w:ind w:firstLine="480" w:firstLineChars="200"/>
        <w:rPr>
          <w:color w:val="000000"/>
          <w:sz w:val="24"/>
          <w:szCs w:val="24"/>
        </w:rPr>
      </w:pPr>
      <w:r>
        <w:rPr>
          <w:rFonts w:hint="eastAsia"/>
          <w:kern w:val="0"/>
          <w:sz w:val="24"/>
          <w:szCs w:val="24"/>
        </w:rPr>
        <w:t>（4）通过技术或非技术手段发现基金涉嫌违规交易，电话或书面要求管理人进行解释或举证，并及时报告中国证监会。</w:t>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3" w:name="_Toc109537383"/>
      <w:r>
        <w:rPr>
          <w:rFonts w:ascii="宋体" w:hAnsi="宋体"/>
          <w:b/>
          <w:kern w:val="0"/>
          <w:sz w:val="30"/>
        </w:rPr>
        <w:br w:type="page"/>
      </w:r>
      <w:bookmarkStart w:id="14" w:name="_Toc48122006"/>
      <w:r>
        <w:rPr>
          <w:rFonts w:hint="eastAsia" w:ascii="宋体" w:hAnsi="宋体"/>
          <w:b/>
          <w:kern w:val="0"/>
          <w:sz w:val="30"/>
        </w:rPr>
        <w:t>五、相关服务机构</w:t>
      </w:r>
      <w:bookmarkEnd w:id="13"/>
      <w:bookmarkEnd w:id="14"/>
    </w:p>
    <w:p>
      <w:pPr>
        <w:adjustRightInd w:val="0"/>
        <w:snapToGrid w:val="0"/>
        <w:spacing w:line="360" w:lineRule="auto"/>
        <w:ind w:firstLine="482" w:firstLineChars="200"/>
        <w:rPr>
          <w:b/>
          <w:sz w:val="24"/>
          <w:szCs w:val="24"/>
        </w:rPr>
      </w:pPr>
      <w:r>
        <w:rPr>
          <w:b/>
          <w:sz w:val="24"/>
          <w:szCs w:val="24"/>
        </w:rPr>
        <w:t>（一）基金份额销售机构</w:t>
      </w:r>
    </w:p>
    <w:p>
      <w:pPr>
        <w:adjustRightInd w:val="0"/>
        <w:snapToGrid w:val="0"/>
        <w:spacing w:line="360" w:lineRule="auto"/>
        <w:ind w:firstLine="480" w:firstLineChars="200"/>
        <w:rPr>
          <w:rFonts w:hAnsi="宋体"/>
          <w:kern w:val="0"/>
          <w:sz w:val="24"/>
        </w:rPr>
      </w:pPr>
      <w:r>
        <w:rPr>
          <w:rFonts w:hAnsi="宋体"/>
          <w:kern w:val="0"/>
          <w:sz w:val="24"/>
        </w:rPr>
        <w:t>1、直销机构</w:t>
      </w:r>
    </w:p>
    <w:p>
      <w:pPr>
        <w:adjustRightInd w:val="0"/>
        <w:snapToGrid w:val="0"/>
        <w:spacing w:line="360" w:lineRule="auto"/>
        <w:ind w:firstLine="480" w:firstLineChars="200"/>
        <w:rPr>
          <w:rFonts w:hAnsi="宋体"/>
          <w:kern w:val="0"/>
          <w:sz w:val="24"/>
        </w:rPr>
      </w:pPr>
      <w:r>
        <w:rPr>
          <w:rFonts w:hAnsi="宋体"/>
          <w:kern w:val="0"/>
          <w:sz w:val="24"/>
        </w:rPr>
        <w:t>本基金直销机构为</w:t>
      </w:r>
      <w:r>
        <w:rPr>
          <w:rFonts w:hint="eastAsia" w:hAnsi="宋体"/>
          <w:kern w:val="0"/>
          <w:sz w:val="24"/>
        </w:rPr>
        <w:t>基金管理人直销柜台</w:t>
      </w:r>
      <w:r>
        <w:rPr>
          <w:rFonts w:hAnsi="宋体"/>
          <w:kern w:val="0"/>
          <w:sz w:val="24"/>
        </w:rPr>
        <w:t>以及</w:t>
      </w:r>
      <w:r>
        <w:rPr>
          <w:rFonts w:hint="eastAsia" w:hAnsi="宋体"/>
          <w:kern w:val="0"/>
          <w:sz w:val="24"/>
        </w:rPr>
        <w:t>基金管理人</w:t>
      </w:r>
      <w:r>
        <w:rPr>
          <w:rFonts w:hAnsi="宋体"/>
          <w:kern w:val="0"/>
          <w:sz w:val="24"/>
        </w:rPr>
        <w:t>的网上直销交易平台</w:t>
      </w:r>
      <w:r>
        <w:rPr>
          <w:rFonts w:hint="eastAsia" w:hAnsi="宋体"/>
          <w:kern w:val="0"/>
          <w:sz w:val="24"/>
        </w:rPr>
        <w:t>（网站</w:t>
      </w:r>
      <w:r>
        <w:rPr>
          <w:rFonts w:hAnsi="宋体"/>
          <w:kern w:val="0"/>
          <w:sz w:val="24"/>
        </w:rPr>
        <w:t>及手机APP，下同）。</w:t>
      </w:r>
    </w:p>
    <w:p>
      <w:pPr>
        <w:adjustRightInd w:val="0"/>
        <w:snapToGrid w:val="0"/>
        <w:spacing w:line="360" w:lineRule="auto"/>
        <w:ind w:firstLine="480" w:firstLineChars="200"/>
        <w:rPr>
          <w:rFonts w:hAnsi="宋体"/>
          <w:kern w:val="0"/>
          <w:sz w:val="24"/>
        </w:rPr>
      </w:pPr>
      <w:r>
        <w:rPr>
          <w:rFonts w:hAnsi="宋体"/>
          <w:kern w:val="0"/>
          <w:sz w:val="24"/>
        </w:rPr>
        <w:t>名称：</w:t>
      </w:r>
      <w:r>
        <w:rPr>
          <w:rFonts w:hint="eastAsia" w:hAnsi="宋体"/>
          <w:kern w:val="0"/>
          <w:sz w:val="24"/>
        </w:rPr>
        <w:t>交银施罗德基金管理有限公司</w:t>
      </w:r>
    </w:p>
    <w:p>
      <w:pPr>
        <w:adjustRightInd w:val="0"/>
        <w:snapToGrid w:val="0"/>
        <w:spacing w:line="360" w:lineRule="auto"/>
        <w:ind w:firstLine="480" w:firstLineChars="200"/>
        <w:rPr>
          <w:rFonts w:hAnsi="宋体"/>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kern w:val="0"/>
          <w:sz w:val="24"/>
        </w:rPr>
        <w:t>银城中路188号交通银行大楼二层（裙）</w:t>
      </w:r>
    </w:p>
    <w:p>
      <w:pPr>
        <w:adjustRightInd w:val="0"/>
        <w:snapToGrid w:val="0"/>
        <w:spacing w:line="360" w:lineRule="auto"/>
        <w:ind w:firstLine="480" w:firstLineChars="200"/>
        <w:rPr>
          <w:rFonts w:hAnsi="宋体"/>
          <w:kern w:val="0"/>
          <w:sz w:val="24"/>
        </w:rPr>
      </w:pPr>
      <w:r>
        <w:rPr>
          <w:rFonts w:hAnsi="宋体"/>
          <w:kern w:val="0"/>
          <w:sz w:val="24"/>
        </w:rPr>
        <w:t>办公地址：</w:t>
      </w:r>
      <w:r>
        <w:rPr>
          <w:rFonts w:hint="eastAsia" w:hAnsi="宋体"/>
          <w:kern w:val="0"/>
          <w:sz w:val="24"/>
        </w:rPr>
        <w:t>上海市浦东新区世纪大道8号国金中心二期21-22楼</w:t>
      </w:r>
    </w:p>
    <w:p>
      <w:pPr>
        <w:adjustRightInd w:val="0"/>
        <w:snapToGrid w:val="0"/>
        <w:spacing w:line="360" w:lineRule="auto"/>
        <w:ind w:firstLine="480" w:firstLineChars="200"/>
        <w:rPr>
          <w:rFonts w:hAnsi="宋体"/>
          <w:kern w:val="0"/>
          <w:sz w:val="24"/>
        </w:rPr>
      </w:pPr>
      <w:r>
        <w:rPr>
          <w:rFonts w:hAnsi="宋体"/>
          <w:kern w:val="0"/>
          <w:sz w:val="24"/>
        </w:rPr>
        <w:t>法定代表人：</w:t>
      </w:r>
      <w:r>
        <w:rPr>
          <w:rFonts w:hint="eastAsia" w:hAnsi="宋体"/>
          <w:kern w:val="0"/>
          <w:sz w:val="24"/>
        </w:rPr>
        <w:t>张宏良</w:t>
      </w:r>
    </w:p>
    <w:p>
      <w:pPr>
        <w:adjustRightInd w:val="0"/>
        <w:snapToGrid w:val="0"/>
        <w:spacing w:line="360" w:lineRule="auto"/>
        <w:ind w:firstLine="480" w:firstLineChars="200"/>
        <w:rPr>
          <w:rFonts w:hAnsi="宋体"/>
          <w:kern w:val="0"/>
          <w:sz w:val="24"/>
        </w:rPr>
      </w:pPr>
      <w:r>
        <w:rPr>
          <w:rFonts w:hAnsi="宋体"/>
          <w:kern w:val="0"/>
          <w:sz w:val="24"/>
        </w:rPr>
        <w:t>成立时间：</w:t>
      </w:r>
      <w:r>
        <w:rPr>
          <w:rFonts w:hint="eastAsia" w:hAnsi="宋体"/>
          <w:kern w:val="0"/>
          <w:sz w:val="24"/>
        </w:rPr>
        <w:t>2005年8月4日</w:t>
      </w:r>
    </w:p>
    <w:p>
      <w:pPr>
        <w:adjustRightInd w:val="0"/>
        <w:snapToGrid w:val="0"/>
        <w:spacing w:line="360" w:lineRule="auto"/>
        <w:ind w:firstLine="480" w:firstLineChars="200"/>
        <w:rPr>
          <w:rFonts w:hAnsi="宋体"/>
          <w:kern w:val="0"/>
          <w:sz w:val="24"/>
        </w:rPr>
      </w:pPr>
      <w:r>
        <w:rPr>
          <w:rFonts w:hAnsi="宋体"/>
          <w:kern w:val="0"/>
          <w:sz w:val="24"/>
        </w:rPr>
        <w:t>电话：</w:t>
      </w:r>
      <w:r>
        <w:rPr>
          <w:rFonts w:hint="eastAsia" w:hAnsi="宋体"/>
          <w:kern w:val="0"/>
          <w:sz w:val="24"/>
        </w:rPr>
        <w:t>（021）6105</w:t>
      </w:r>
      <w:r>
        <w:rPr>
          <w:rFonts w:hAnsi="宋体"/>
          <w:kern w:val="0"/>
          <w:sz w:val="24"/>
        </w:rPr>
        <w:t>5724</w:t>
      </w:r>
    </w:p>
    <w:p>
      <w:pPr>
        <w:adjustRightInd w:val="0"/>
        <w:snapToGrid w:val="0"/>
        <w:spacing w:line="360" w:lineRule="auto"/>
        <w:ind w:firstLine="480" w:firstLineChars="200"/>
        <w:rPr>
          <w:rFonts w:hAnsi="宋体"/>
          <w:kern w:val="0"/>
          <w:sz w:val="24"/>
        </w:rPr>
      </w:pPr>
      <w:r>
        <w:rPr>
          <w:rFonts w:hAnsi="宋体"/>
          <w:kern w:val="0"/>
          <w:sz w:val="24"/>
        </w:rPr>
        <w:t>传真：</w:t>
      </w:r>
      <w:r>
        <w:rPr>
          <w:rFonts w:hint="eastAsia" w:hAnsi="宋体"/>
          <w:kern w:val="0"/>
          <w:sz w:val="24"/>
        </w:rPr>
        <w:t>（021）61055054</w:t>
      </w:r>
    </w:p>
    <w:p>
      <w:pPr>
        <w:adjustRightInd w:val="0"/>
        <w:snapToGrid w:val="0"/>
        <w:spacing w:line="360" w:lineRule="auto"/>
        <w:ind w:firstLine="480" w:firstLineChars="200"/>
        <w:rPr>
          <w:rFonts w:hAnsi="宋体"/>
          <w:kern w:val="0"/>
          <w:sz w:val="24"/>
        </w:rPr>
      </w:pPr>
      <w:r>
        <w:rPr>
          <w:rFonts w:hAnsi="宋体"/>
          <w:kern w:val="0"/>
          <w:sz w:val="24"/>
        </w:rPr>
        <w:t>联系人：</w:t>
      </w:r>
      <w:r>
        <w:rPr>
          <w:rFonts w:hint="eastAsia" w:hAnsi="宋体"/>
          <w:kern w:val="0"/>
          <w:sz w:val="24"/>
        </w:rPr>
        <w:t>傅鲸</w:t>
      </w:r>
    </w:p>
    <w:p>
      <w:pPr>
        <w:adjustRightInd w:val="0"/>
        <w:snapToGrid w:val="0"/>
        <w:spacing w:line="360" w:lineRule="auto"/>
        <w:ind w:firstLine="480" w:firstLineChars="200"/>
        <w:rPr>
          <w:rFonts w:hAnsi="宋体"/>
          <w:kern w:val="0"/>
          <w:sz w:val="24"/>
        </w:rPr>
      </w:pPr>
      <w:r>
        <w:rPr>
          <w:rFonts w:hAnsi="宋体"/>
          <w:kern w:val="0"/>
          <w:sz w:val="24"/>
        </w:rPr>
        <w:t>客户服务电话：</w:t>
      </w:r>
      <w:r>
        <w:rPr>
          <w:rFonts w:hint="eastAsia" w:hAnsi="宋体"/>
          <w:kern w:val="0"/>
          <w:sz w:val="24"/>
        </w:rPr>
        <w:t>400-700-5000（免长途话费），（021）61055000</w:t>
      </w:r>
    </w:p>
    <w:p>
      <w:pPr>
        <w:adjustRightInd w:val="0"/>
        <w:snapToGrid w:val="0"/>
        <w:spacing w:line="360" w:lineRule="auto"/>
        <w:ind w:firstLine="480" w:firstLineChars="200"/>
        <w:rPr>
          <w:rFonts w:hAnsi="宋体"/>
          <w:kern w:val="0"/>
        </w:rPr>
      </w:pPr>
      <w:r>
        <w:rPr>
          <w:rFonts w:hAnsi="宋体"/>
          <w:kern w:val="0"/>
          <w:sz w:val="24"/>
        </w:rPr>
        <w:t>网址：</w:t>
      </w:r>
      <w:r>
        <w:rPr>
          <w:rFonts w:hint="eastAsia" w:hAnsi="宋体"/>
          <w:kern w:val="0"/>
          <w:sz w:val="24"/>
        </w:rPr>
        <w:t>www.fund001.com</w:t>
      </w:r>
    </w:p>
    <w:p>
      <w:pPr>
        <w:adjustRightInd w:val="0"/>
        <w:snapToGrid w:val="0"/>
        <w:spacing w:line="360" w:lineRule="auto"/>
        <w:ind w:firstLine="480" w:firstLineChars="200"/>
        <w:rPr>
          <w:rFonts w:hAnsi="宋体"/>
          <w:kern w:val="0"/>
          <w:sz w:val="24"/>
        </w:rPr>
      </w:pPr>
      <w:r>
        <w:rPr>
          <w:rFonts w:hAnsi="宋体"/>
          <w:kern w:val="0"/>
          <w:sz w:val="24"/>
        </w:rPr>
        <w:t>个人投资者可以通过</w:t>
      </w:r>
      <w:r>
        <w:rPr>
          <w:rFonts w:hint="eastAsia" w:hAnsi="宋体"/>
          <w:kern w:val="0"/>
          <w:sz w:val="24"/>
        </w:rPr>
        <w:t>基金管理人</w:t>
      </w:r>
      <w:r>
        <w:rPr>
          <w:rFonts w:hAnsi="宋体"/>
          <w:kern w:val="0"/>
          <w:sz w:val="24"/>
        </w:rPr>
        <w:t>网上直销交易平台办理开户、本基金的认购、申购、赎回等业务，具体交易细则请参阅</w:t>
      </w:r>
      <w:r>
        <w:rPr>
          <w:rFonts w:hint="eastAsia" w:hAnsi="宋体"/>
          <w:kern w:val="0"/>
          <w:sz w:val="24"/>
        </w:rPr>
        <w:t>基金管理人</w:t>
      </w:r>
      <w:r>
        <w:rPr>
          <w:rFonts w:hAnsi="宋体"/>
          <w:kern w:val="0"/>
          <w:sz w:val="24"/>
        </w:rPr>
        <w:t>网站。</w:t>
      </w:r>
    </w:p>
    <w:p>
      <w:pPr>
        <w:adjustRightInd w:val="0"/>
        <w:snapToGrid w:val="0"/>
        <w:spacing w:line="360" w:lineRule="auto"/>
        <w:ind w:firstLine="480" w:firstLineChars="200"/>
        <w:rPr>
          <w:rFonts w:hAnsi="宋体"/>
        </w:rPr>
      </w:pPr>
      <w:r>
        <w:rPr>
          <w:rFonts w:hAnsi="宋体"/>
          <w:kern w:val="0"/>
          <w:sz w:val="24"/>
        </w:rPr>
        <w:t>网上直销交易平台网址：</w:t>
      </w:r>
      <w:r>
        <w:fldChar w:fldCharType="begin"/>
      </w:r>
      <w:r>
        <w:instrText xml:space="preserve"> HYPERLINK "http://www.jysld.com" </w:instrText>
      </w:r>
      <w:r>
        <w:fldChar w:fldCharType="separate"/>
      </w:r>
      <w:r>
        <w:rPr>
          <w:rFonts w:hAnsi="宋体"/>
          <w:kern w:val="0"/>
        </w:rPr>
        <w:t>www.fund001.com</w:t>
      </w:r>
      <w:r>
        <w:rPr>
          <w:rFonts w:hAnsi="宋体"/>
          <w:kern w:val="0"/>
        </w:rPr>
        <w:fldChar w:fldCharType="end"/>
      </w:r>
      <w:r>
        <w:rPr>
          <w:rFonts w:hAnsi="宋体"/>
          <w:kern w:val="0"/>
        </w:rPr>
        <w:t>。</w:t>
      </w:r>
    </w:p>
    <w:p>
      <w:pPr>
        <w:adjustRightInd w:val="0"/>
        <w:snapToGrid w:val="0"/>
        <w:spacing w:line="360" w:lineRule="auto"/>
        <w:ind w:firstLine="480" w:firstLineChars="200"/>
        <w:rPr>
          <w:rFonts w:hAnsi="宋体"/>
          <w:kern w:val="0"/>
          <w:sz w:val="24"/>
        </w:rPr>
      </w:pPr>
      <w:r>
        <w:rPr>
          <w:rFonts w:hint="eastAsia" w:hAnsi="宋体"/>
          <w:kern w:val="0"/>
          <w:sz w:val="24"/>
        </w:rPr>
        <w:t>2、除基金管理人之外的其他销售机构</w:t>
      </w:r>
    </w:p>
    <w:p>
      <w:pPr>
        <w:adjustRightInd w:val="0"/>
        <w:snapToGrid w:val="0"/>
        <w:spacing w:line="360" w:lineRule="auto"/>
        <w:ind w:firstLine="480" w:firstLineChars="200"/>
        <w:rPr>
          <w:rFonts w:hAnsi="宋体"/>
          <w:kern w:val="0"/>
          <w:sz w:val="24"/>
        </w:rPr>
      </w:pPr>
      <w:r>
        <w:rPr>
          <w:rFonts w:hint="eastAsia" w:hAnsi="宋体"/>
          <w:kern w:val="0"/>
          <w:sz w:val="24"/>
          <w:lang w:eastAsia="zh-CN"/>
        </w:rPr>
        <w:t>（</w:t>
      </w:r>
      <w:r>
        <w:rPr>
          <w:rFonts w:hint="eastAsia" w:hAnsi="宋体"/>
          <w:kern w:val="0"/>
          <w:sz w:val="24"/>
          <w:lang w:val="en-US" w:eastAsia="zh-CN"/>
        </w:rPr>
        <w:t>1</w:t>
      </w:r>
      <w:r>
        <w:rPr>
          <w:rFonts w:hint="eastAsia" w:hAnsi="宋体"/>
          <w:kern w:val="0"/>
          <w:sz w:val="24"/>
          <w:lang w:eastAsia="zh-CN"/>
        </w:rPr>
        <w:t>）</w:t>
      </w:r>
      <w:r>
        <w:rPr>
          <w:rFonts w:hint="eastAsia" w:hAnsi="宋体"/>
          <w:kern w:val="0"/>
          <w:sz w:val="24"/>
        </w:rPr>
        <w:t>中信证券股份有限公司</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住所：广东省深圳市福田区中心三路8号卓越时代广场（二期）北座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办公地址：北京市朝阳区亮马桥路48号中信证券大厦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          广东省深圳市福田区中心三路8号中信证券大厦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法定代表人：张佑君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电话：010-60838888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传真：010-60836029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联系人：巩利娟 </w:t>
      </w:r>
    </w:p>
    <w:p>
      <w:pPr>
        <w:adjustRightInd w:val="0"/>
        <w:snapToGrid w:val="0"/>
        <w:spacing w:line="360" w:lineRule="auto"/>
        <w:ind w:firstLine="480" w:firstLineChars="200"/>
        <w:rPr>
          <w:rFonts w:hint="eastAsia" w:hAnsi="宋体"/>
          <w:kern w:val="0"/>
          <w:sz w:val="24"/>
        </w:rPr>
      </w:pPr>
      <w:r>
        <w:rPr>
          <w:rFonts w:hint="eastAsia" w:hAnsi="宋体"/>
          <w:kern w:val="0"/>
          <w:sz w:val="24"/>
        </w:rPr>
        <w:t xml:space="preserve">客户服务电话：95548 </w:t>
      </w:r>
    </w:p>
    <w:p>
      <w:pPr>
        <w:adjustRightInd w:val="0"/>
        <w:snapToGrid w:val="0"/>
        <w:spacing w:line="360" w:lineRule="auto"/>
        <w:ind w:firstLine="480" w:firstLineChars="200"/>
        <w:rPr>
          <w:rFonts w:hint="eastAsia" w:hAnsi="宋体"/>
          <w:kern w:val="0"/>
          <w:sz w:val="24"/>
        </w:rPr>
      </w:pPr>
      <w:r>
        <w:rPr>
          <w:rFonts w:hint="eastAsia" w:hAnsi="宋体"/>
          <w:kern w:val="0"/>
          <w:sz w:val="24"/>
        </w:rPr>
        <w:t>网址：</w:t>
      </w:r>
      <w:r>
        <w:rPr>
          <w:rFonts w:hint="eastAsia" w:hAnsi="宋体"/>
          <w:kern w:val="0"/>
          <w:sz w:val="24"/>
        </w:rPr>
        <w:fldChar w:fldCharType="begin"/>
      </w:r>
      <w:r>
        <w:rPr>
          <w:rFonts w:hint="eastAsia" w:hAnsi="宋体"/>
          <w:kern w:val="0"/>
          <w:sz w:val="24"/>
        </w:rPr>
        <w:instrText xml:space="preserve"> HYPERLINK "http://www.cs.ecitic.com" </w:instrText>
      </w:r>
      <w:r>
        <w:rPr>
          <w:rFonts w:hint="eastAsia" w:hAnsi="宋体"/>
          <w:kern w:val="0"/>
          <w:sz w:val="24"/>
        </w:rPr>
        <w:fldChar w:fldCharType="separate"/>
      </w:r>
      <w:r>
        <w:rPr>
          <w:rStyle w:val="31"/>
          <w:rFonts w:hint="eastAsia" w:hAnsi="宋体"/>
          <w:kern w:val="0"/>
          <w:sz w:val="24"/>
        </w:rPr>
        <w:t>www.cs.ecitic.com</w:t>
      </w:r>
      <w:r>
        <w:rPr>
          <w:rFonts w:hint="eastAsia" w:hAnsi="宋体"/>
          <w:kern w:val="0"/>
          <w:sz w:val="24"/>
        </w:rPr>
        <w:fldChar w:fldCharType="end"/>
      </w:r>
    </w:p>
    <w:p>
      <w:pPr>
        <w:adjustRightInd w:val="0"/>
        <w:snapToGrid w:val="0"/>
        <w:spacing w:line="360" w:lineRule="auto"/>
        <w:ind w:firstLine="480" w:firstLineChars="200"/>
        <w:rPr>
          <w:rFonts w:hint="eastAsia" w:hAnsi="宋体"/>
          <w:kern w:val="0"/>
          <w:sz w:val="24"/>
        </w:rPr>
      </w:pPr>
      <w:r>
        <w:rPr>
          <w:rFonts w:hint="eastAsia" w:hAnsi="宋体"/>
          <w:kern w:val="0"/>
          <w:sz w:val="24"/>
        </w:rPr>
        <w:t>（2）交通银行股份有限公司</w:t>
      </w:r>
    </w:p>
    <w:p>
      <w:pPr>
        <w:adjustRightInd w:val="0"/>
        <w:snapToGrid w:val="0"/>
        <w:spacing w:line="360" w:lineRule="auto"/>
        <w:ind w:firstLine="480" w:firstLineChars="200"/>
        <w:rPr>
          <w:rFonts w:hint="eastAsia" w:hAnsi="宋体"/>
          <w:kern w:val="0"/>
          <w:sz w:val="24"/>
        </w:rPr>
      </w:pPr>
      <w:r>
        <w:rPr>
          <w:rFonts w:hint="eastAsia" w:hAnsi="宋体"/>
          <w:kern w:val="0"/>
          <w:sz w:val="24"/>
        </w:rPr>
        <w:t>住所：上海市浦东新区银城中路188号</w:t>
      </w:r>
    </w:p>
    <w:p>
      <w:pPr>
        <w:adjustRightInd w:val="0"/>
        <w:snapToGrid w:val="0"/>
        <w:spacing w:line="360" w:lineRule="auto"/>
        <w:ind w:firstLine="480" w:firstLineChars="200"/>
        <w:rPr>
          <w:rFonts w:hint="eastAsia" w:hAnsi="宋体"/>
          <w:kern w:val="0"/>
          <w:sz w:val="24"/>
        </w:rPr>
      </w:pPr>
      <w:r>
        <w:rPr>
          <w:rFonts w:hint="eastAsia" w:hAnsi="宋体"/>
          <w:kern w:val="0"/>
          <w:sz w:val="24"/>
        </w:rPr>
        <w:t>办公地址：上海市浦东新区银城中路188号</w:t>
      </w:r>
    </w:p>
    <w:p>
      <w:pPr>
        <w:adjustRightInd w:val="0"/>
        <w:snapToGrid w:val="0"/>
        <w:spacing w:line="360" w:lineRule="auto"/>
        <w:ind w:firstLine="480" w:firstLineChars="200"/>
        <w:rPr>
          <w:rFonts w:hint="eastAsia" w:hAnsi="宋体"/>
          <w:kern w:val="0"/>
          <w:sz w:val="24"/>
        </w:rPr>
      </w:pPr>
      <w:r>
        <w:rPr>
          <w:rFonts w:hint="eastAsia" w:hAnsi="宋体"/>
          <w:kern w:val="0"/>
          <w:sz w:val="24"/>
        </w:rPr>
        <w:t>法定代表人：任德奇</w:t>
      </w:r>
    </w:p>
    <w:p>
      <w:pPr>
        <w:adjustRightInd w:val="0"/>
        <w:snapToGrid w:val="0"/>
        <w:spacing w:line="360" w:lineRule="auto"/>
        <w:ind w:firstLine="480" w:firstLineChars="200"/>
        <w:rPr>
          <w:rFonts w:hint="eastAsia" w:hAnsi="宋体"/>
          <w:kern w:val="0"/>
          <w:sz w:val="24"/>
        </w:rPr>
      </w:pPr>
      <w:r>
        <w:rPr>
          <w:rFonts w:hint="eastAsia" w:hAnsi="宋体"/>
          <w:kern w:val="0"/>
          <w:sz w:val="24"/>
        </w:rPr>
        <w:t>电话：（021）58781234</w:t>
      </w:r>
    </w:p>
    <w:p>
      <w:pPr>
        <w:adjustRightInd w:val="0"/>
        <w:snapToGrid w:val="0"/>
        <w:spacing w:line="360" w:lineRule="auto"/>
        <w:ind w:firstLine="480" w:firstLineChars="200"/>
        <w:rPr>
          <w:rFonts w:hint="eastAsia" w:hAnsi="宋体"/>
          <w:kern w:val="0"/>
          <w:sz w:val="24"/>
        </w:rPr>
      </w:pPr>
      <w:r>
        <w:rPr>
          <w:rFonts w:hint="eastAsia" w:hAnsi="宋体"/>
          <w:kern w:val="0"/>
          <w:sz w:val="24"/>
        </w:rPr>
        <w:t>传真：（021）58408483</w:t>
      </w:r>
    </w:p>
    <w:p>
      <w:pPr>
        <w:adjustRightInd w:val="0"/>
        <w:snapToGrid w:val="0"/>
        <w:spacing w:line="360" w:lineRule="auto"/>
        <w:ind w:firstLine="480" w:firstLineChars="200"/>
        <w:rPr>
          <w:rFonts w:hint="eastAsia" w:hAnsi="宋体"/>
          <w:kern w:val="0"/>
          <w:sz w:val="24"/>
        </w:rPr>
      </w:pPr>
      <w:r>
        <w:rPr>
          <w:rFonts w:hint="eastAsia" w:hAnsi="宋体"/>
          <w:kern w:val="0"/>
          <w:sz w:val="24"/>
        </w:rPr>
        <w:t>联系人：范瑞波</w:t>
      </w:r>
    </w:p>
    <w:p>
      <w:pPr>
        <w:adjustRightInd w:val="0"/>
        <w:snapToGrid w:val="0"/>
        <w:spacing w:line="360" w:lineRule="auto"/>
        <w:ind w:firstLine="480" w:firstLineChars="200"/>
        <w:rPr>
          <w:rFonts w:hint="eastAsia" w:hAnsi="宋体"/>
          <w:kern w:val="0"/>
          <w:sz w:val="24"/>
        </w:rPr>
      </w:pPr>
      <w:r>
        <w:rPr>
          <w:rFonts w:hint="eastAsia" w:hAnsi="宋体"/>
          <w:kern w:val="0"/>
          <w:sz w:val="24"/>
        </w:rPr>
        <w:t>客户服务电话：95559</w:t>
      </w:r>
    </w:p>
    <w:p>
      <w:pPr>
        <w:adjustRightInd w:val="0"/>
        <w:snapToGrid w:val="0"/>
        <w:spacing w:line="360" w:lineRule="auto"/>
        <w:ind w:firstLine="480" w:firstLineChars="200"/>
        <w:rPr>
          <w:rFonts w:hint="eastAsia" w:hAnsi="宋体"/>
          <w:kern w:val="0"/>
          <w:sz w:val="24"/>
        </w:rPr>
      </w:pPr>
      <w:r>
        <w:rPr>
          <w:rFonts w:hint="eastAsia" w:hAnsi="宋体"/>
          <w:kern w:val="0"/>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adjustRightInd w:val="0"/>
        <w:snapToGrid w:val="0"/>
        <w:spacing w:line="360" w:lineRule="auto"/>
        <w:ind w:firstLine="482" w:firstLineChars="200"/>
        <w:rPr>
          <w:b/>
          <w:sz w:val="24"/>
          <w:szCs w:val="24"/>
        </w:rPr>
      </w:pPr>
      <w:r>
        <w:rPr>
          <w:b/>
          <w:sz w:val="24"/>
          <w:szCs w:val="24"/>
        </w:rPr>
        <w:t>（二）登记机构</w:t>
      </w:r>
    </w:p>
    <w:p>
      <w:pPr>
        <w:adjustRightInd w:val="0"/>
        <w:snapToGrid w:val="0"/>
        <w:spacing w:line="360" w:lineRule="auto"/>
        <w:ind w:firstLine="480" w:firstLineChars="200"/>
        <w:rPr>
          <w:rFonts w:hAnsi="宋体"/>
          <w:kern w:val="0"/>
          <w:sz w:val="24"/>
        </w:rPr>
      </w:pPr>
      <w:r>
        <w:rPr>
          <w:rFonts w:hint="eastAsia" w:hAnsi="宋体"/>
          <w:kern w:val="0"/>
          <w:sz w:val="24"/>
        </w:rPr>
        <w:t xml:space="preserve">名称：交银施罗德基金管理有限公司 </w:t>
      </w:r>
    </w:p>
    <w:p>
      <w:pPr>
        <w:adjustRightInd w:val="0"/>
        <w:snapToGrid w:val="0"/>
        <w:spacing w:line="360" w:lineRule="auto"/>
        <w:ind w:firstLine="480" w:firstLineChars="200"/>
        <w:rPr>
          <w:rFonts w:hAnsi="宋体"/>
          <w:kern w:val="0"/>
          <w:sz w:val="24"/>
        </w:rPr>
      </w:pPr>
      <w:r>
        <w:rPr>
          <w:rFonts w:hint="eastAsia" w:hAnsi="宋体"/>
          <w:kern w:val="0"/>
          <w:sz w:val="24"/>
        </w:rPr>
        <w:t>住所：中国（上海）自由贸易试验区银城中路188号交通银行大楼二层（裙）</w:t>
      </w:r>
    </w:p>
    <w:p>
      <w:pPr>
        <w:adjustRightInd w:val="0"/>
        <w:snapToGrid w:val="0"/>
        <w:spacing w:line="360" w:lineRule="auto"/>
        <w:ind w:firstLine="480" w:firstLineChars="200"/>
        <w:rPr>
          <w:rFonts w:hAnsi="宋体"/>
          <w:kern w:val="0"/>
          <w:sz w:val="24"/>
        </w:rPr>
      </w:pPr>
      <w:r>
        <w:rPr>
          <w:rFonts w:hint="eastAsia" w:hAnsi="宋体"/>
          <w:kern w:val="0"/>
          <w:sz w:val="24"/>
        </w:rPr>
        <w:t>办公地址：上海市浦东新区世纪大道8号国金中心二期21-22楼</w:t>
      </w:r>
    </w:p>
    <w:p>
      <w:pPr>
        <w:adjustRightInd w:val="0"/>
        <w:snapToGrid w:val="0"/>
        <w:spacing w:line="360" w:lineRule="auto"/>
        <w:ind w:firstLine="480" w:firstLineChars="200"/>
        <w:rPr>
          <w:rFonts w:hAnsi="宋体"/>
          <w:kern w:val="0"/>
          <w:sz w:val="24"/>
        </w:rPr>
      </w:pPr>
      <w:r>
        <w:rPr>
          <w:rFonts w:hint="eastAsia" w:hAnsi="宋体"/>
          <w:kern w:val="0"/>
          <w:sz w:val="24"/>
        </w:rPr>
        <w:t>法定代表人：张宏良</w:t>
      </w:r>
    </w:p>
    <w:p>
      <w:pPr>
        <w:adjustRightInd w:val="0"/>
        <w:snapToGrid w:val="0"/>
        <w:spacing w:line="360" w:lineRule="auto"/>
        <w:ind w:firstLine="480" w:firstLineChars="200"/>
        <w:rPr>
          <w:rFonts w:hAnsi="宋体"/>
          <w:kern w:val="0"/>
          <w:sz w:val="24"/>
        </w:rPr>
      </w:pPr>
      <w:r>
        <w:rPr>
          <w:rFonts w:hint="eastAsia" w:hAnsi="宋体"/>
          <w:kern w:val="0"/>
          <w:sz w:val="24"/>
        </w:rPr>
        <w:t>电话：（021）61055461</w:t>
      </w:r>
    </w:p>
    <w:p>
      <w:pPr>
        <w:adjustRightInd w:val="0"/>
        <w:snapToGrid w:val="0"/>
        <w:spacing w:line="360" w:lineRule="auto"/>
        <w:ind w:firstLine="480" w:firstLineChars="200"/>
        <w:rPr>
          <w:rFonts w:hAnsi="宋体"/>
          <w:kern w:val="0"/>
          <w:sz w:val="24"/>
        </w:rPr>
      </w:pPr>
      <w:r>
        <w:rPr>
          <w:rFonts w:hint="eastAsia" w:hAnsi="宋体"/>
          <w:kern w:val="0"/>
          <w:sz w:val="24"/>
        </w:rPr>
        <w:t>传真：（021）61055064</w:t>
      </w:r>
    </w:p>
    <w:p>
      <w:pPr>
        <w:adjustRightInd w:val="0"/>
        <w:snapToGrid w:val="0"/>
        <w:spacing w:line="360" w:lineRule="auto"/>
        <w:ind w:firstLine="480" w:firstLineChars="200"/>
        <w:rPr>
          <w:b/>
          <w:sz w:val="24"/>
          <w:szCs w:val="24"/>
        </w:rPr>
      </w:pPr>
      <w:r>
        <w:rPr>
          <w:rFonts w:hint="eastAsia" w:hAnsi="宋体"/>
          <w:kern w:val="0"/>
          <w:sz w:val="24"/>
        </w:rPr>
        <w:t>联系人：陈方强</w:t>
      </w:r>
    </w:p>
    <w:p>
      <w:pPr>
        <w:adjustRightInd w:val="0"/>
        <w:snapToGrid w:val="0"/>
        <w:spacing w:line="360" w:lineRule="auto"/>
        <w:ind w:firstLine="482" w:firstLineChars="200"/>
        <w:rPr>
          <w:b/>
          <w:sz w:val="24"/>
          <w:szCs w:val="24"/>
        </w:rPr>
      </w:pPr>
      <w:r>
        <w:rPr>
          <w:b/>
          <w:sz w:val="24"/>
          <w:szCs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18-20</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int="default" w:hAnsi="宋体" w:eastAsia="宋体"/>
          <w:kern w:val="0"/>
          <w:sz w:val="24"/>
          <w:lang w:val="en-US" w:eastAsia="zh-CN"/>
        </w:rPr>
      </w:pPr>
      <w:r>
        <w:rPr>
          <w:rFonts w:hAnsi="宋体"/>
          <w:kern w:val="0"/>
          <w:sz w:val="24"/>
        </w:rPr>
        <w:t>经办律师：</w:t>
      </w:r>
      <w:r>
        <w:rPr>
          <w:rFonts w:hint="eastAsia" w:hAnsi="宋体"/>
          <w:kern w:val="0"/>
          <w:sz w:val="24"/>
        </w:rPr>
        <w:t>丁媛</w:t>
      </w:r>
      <w:r>
        <w:rPr>
          <w:rFonts w:hint="eastAsia" w:hAnsi="宋体"/>
          <w:kern w:val="0"/>
          <w:sz w:val="24"/>
          <w:lang w:eastAsia="zh-CN"/>
        </w:rPr>
        <w:t>、</w:t>
      </w:r>
      <w:r>
        <w:rPr>
          <w:rFonts w:hint="eastAsia" w:hAnsi="宋体"/>
          <w:kern w:val="0"/>
          <w:sz w:val="24"/>
          <w:lang w:val="en-US" w:eastAsia="zh-CN"/>
        </w:rPr>
        <w:t>李晓露</w:t>
      </w:r>
    </w:p>
    <w:p>
      <w:pPr>
        <w:adjustRightInd w:val="0"/>
        <w:snapToGrid w:val="0"/>
        <w:spacing w:line="360" w:lineRule="auto"/>
        <w:ind w:firstLine="482" w:firstLineChars="200"/>
        <w:rPr>
          <w:b/>
          <w:sz w:val="24"/>
          <w:szCs w:val="24"/>
        </w:rPr>
      </w:pPr>
      <w:r>
        <w:rPr>
          <w:b/>
          <w:sz w:val="24"/>
          <w:szCs w:val="24"/>
        </w:rPr>
        <w:t>（四）审计基金财产的会计师事务所</w:t>
      </w:r>
    </w:p>
    <w:p>
      <w:pPr>
        <w:widowControl/>
        <w:adjustRightInd w:val="0"/>
        <w:snapToGrid w:val="0"/>
        <w:spacing w:line="360" w:lineRule="auto"/>
        <w:ind w:firstLine="480" w:firstLineChars="200"/>
        <w:rPr>
          <w:rFonts w:hAnsi="宋体"/>
          <w:kern w:val="0"/>
          <w:sz w:val="24"/>
        </w:rPr>
      </w:pPr>
      <w:r>
        <w:rPr>
          <w:rFonts w:hint="eastAsia" w:hAnsi="宋体"/>
          <w:kern w:val="0"/>
          <w:sz w:val="24"/>
        </w:rPr>
        <w:t>名称：毕马威华振会计师事务所(特殊普通合伙)</w:t>
      </w:r>
    </w:p>
    <w:p>
      <w:pPr>
        <w:widowControl/>
        <w:adjustRightInd w:val="0"/>
        <w:snapToGrid w:val="0"/>
        <w:spacing w:line="360" w:lineRule="auto"/>
        <w:ind w:firstLine="480" w:firstLineChars="200"/>
        <w:rPr>
          <w:rFonts w:hAnsi="宋体"/>
          <w:kern w:val="0"/>
          <w:sz w:val="24"/>
        </w:rPr>
      </w:pPr>
      <w:r>
        <w:rPr>
          <w:rFonts w:hint="eastAsia" w:hAnsi="宋体"/>
          <w:kern w:val="0"/>
          <w:sz w:val="24"/>
        </w:rPr>
        <w:t>住所：北京市东城区东长安街1 号东方广场 2 座办公楼 8 层</w:t>
      </w:r>
    </w:p>
    <w:p>
      <w:pPr>
        <w:widowControl/>
        <w:adjustRightInd w:val="0"/>
        <w:snapToGrid w:val="0"/>
        <w:spacing w:line="360" w:lineRule="auto"/>
        <w:ind w:firstLine="480" w:firstLineChars="200"/>
        <w:rPr>
          <w:rFonts w:hAnsi="宋体"/>
          <w:kern w:val="0"/>
          <w:sz w:val="24"/>
        </w:rPr>
      </w:pPr>
      <w:r>
        <w:rPr>
          <w:rFonts w:hint="eastAsia" w:hAnsi="宋体"/>
          <w:kern w:val="0"/>
          <w:sz w:val="24"/>
        </w:rPr>
        <w:t>办公地址：中国上海南京西路1266号恒隆广场2期25楼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执行事务合伙人：邹俊</w:t>
      </w:r>
    </w:p>
    <w:p>
      <w:pPr>
        <w:widowControl/>
        <w:adjustRightInd w:val="0"/>
        <w:snapToGrid w:val="0"/>
        <w:spacing w:line="360" w:lineRule="auto"/>
        <w:ind w:firstLine="480" w:firstLineChars="200"/>
        <w:rPr>
          <w:rFonts w:hAnsi="宋体"/>
          <w:kern w:val="0"/>
          <w:sz w:val="24"/>
        </w:rPr>
      </w:pPr>
      <w:r>
        <w:rPr>
          <w:rFonts w:hint="eastAsia" w:hAnsi="宋体"/>
          <w:kern w:val="0"/>
          <w:sz w:val="24"/>
        </w:rPr>
        <w:t>电话：+86 (21) 2212 2888</w:t>
      </w:r>
    </w:p>
    <w:p>
      <w:pPr>
        <w:widowControl/>
        <w:adjustRightInd w:val="0"/>
        <w:snapToGrid w:val="0"/>
        <w:spacing w:line="360" w:lineRule="auto"/>
        <w:ind w:firstLine="480" w:firstLineChars="200"/>
        <w:rPr>
          <w:rFonts w:hAnsi="宋体"/>
          <w:kern w:val="0"/>
          <w:sz w:val="24"/>
        </w:rPr>
      </w:pPr>
      <w:r>
        <w:rPr>
          <w:rFonts w:hint="eastAsia" w:hAnsi="宋体"/>
          <w:kern w:val="0"/>
          <w:sz w:val="24"/>
        </w:rPr>
        <w:t>传真：+86 (21) 6288 1889</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联系人：侯雯</w:t>
      </w:r>
    </w:p>
    <w:p>
      <w:pPr>
        <w:widowControl/>
        <w:adjustRightInd w:val="0"/>
        <w:snapToGrid w:val="0"/>
        <w:spacing w:line="360" w:lineRule="auto"/>
        <w:ind w:firstLine="480" w:firstLineChars="200"/>
        <w:rPr>
          <w:rFonts w:hAnsi="宋体"/>
          <w:kern w:val="0"/>
          <w:sz w:val="24"/>
        </w:rPr>
      </w:pPr>
      <w:r>
        <w:rPr>
          <w:rFonts w:hint="eastAsia" w:hAnsi="宋体"/>
          <w:kern w:val="0"/>
          <w:sz w:val="24"/>
        </w:rPr>
        <w:t>经办注册会计师：王国蓓、侯雯</w:t>
      </w:r>
    </w:p>
    <w:p>
      <w:pPr>
        <w:widowControl/>
        <w:adjustRightInd w:val="0"/>
        <w:snapToGrid w:val="0"/>
        <w:spacing w:before="143" w:beforeLines="50" w:after="143" w:afterLines="50" w:line="360" w:lineRule="auto"/>
        <w:ind w:firstLine="0" w:firstLineChars="0"/>
        <w:jc w:val="center"/>
        <w:outlineLvl w:val="0"/>
        <w:rPr>
          <w:rFonts w:ascii="宋体" w:hAnsi="宋体"/>
          <w:b/>
          <w:kern w:val="0"/>
          <w:sz w:val="30"/>
        </w:rPr>
      </w:pPr>
      <w:r>
        <w:rPr>
          <w:rFonts w:hAnsi="宋体"/>
          <w:kern w:val="0"/>
          <w:sz w:val="24"/>
        </w:rPr>
        <w:br w:type="page"/>
      </w:r>
      <w:bookmarkStart w:id="15" w:name="_Toc48122007"/>
      <w:r>
        <w:rPr>
          <w:rFonts w:hint="eastAsia" w:ascii="宋体" w:hAnsi="宋体"/>
          <w:b/>
          <w:kern w:val="0"/>
          <w:sz w:val="30"/>
        </w:rPr>
        <w:t>六、基金的募集</w:t>
      </w:r>
      <w:bookmarkEnd w:id="15"/>
    </w:p>
    <w:p>
      <w:pPr>
        <w:adjustRightInd w:val="0"/>
        <w:snapToGrid w:val="0"/>
        <w:spacing w:line="360" w:lineRule="auto"/>
        <w:ind w:firstLine="482" w:firstLineChars="200"/>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Pr>
          <w:rFonts w:hint="eastAsia"/>
          <w:kern w:val="0"/>
          <w:sz w:val="24"/>
          <w:lang w:val="en-US" w:eastAsia="zh-CN"/>
        </w:rPr>
        <w:t>2025年7月29日</w:t>
      </w:r>
      <w:r>
        <w:rPr>
          <w:kern w:val="0"/>
          <w:sz w:val="24"/>
        </w:rPr>
        <w:t>证监许可</w:t>
      </w:r>
      <w:r>
        <w:rPr>
          <w:rFonts w:hint="eastAsia"/>
          <w:kern w:val="0"/>
          <w:sz w:val="24"/>
        </w:rPr>
        <w:t>【</w:t>
      </w:r>
      <w:r>
        <w:rPr>
          <w:rFonts w:hint="eastAsia"/>
          <w:kern w:val="0"/>
          <w:sz w:val="24"/>
          <w:lang w:val="en-US" w:eastAsia="zh-CN"/>
        </w:rPr>
        <w:t>2025</w:t>
      </w:r>
      <w:r>
        <w:rPr>
          <w:kern w:val="0"/>
          <w:sz w:val="24"/>
        </w:rPr>
        <w:t>】</w:t>
      </w:r>
      <w:r>
        <w:rPr>
          <w:rFonts w:hint="eastAsia"/>
          <w:kern w:val="0"/>
          <w:sz w:val="24"/>
          <w:lang w:val="en-US" w:eastAsia="zh-CN"/>
        </w:rPr>
        <w:t>1608</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adjustRightInd w:val="0"/>
        <w:snapToGrid w:val="0"/>
        <w:spacing w:line="360" w:lineRule="auto"/>
        <w:ind w:firstLine="482" w:firstLineChars="200"/>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2" w:firstLineChars="200"/>
        <w:rPr>
          <w:b/>
          <w:sz w:val="24"/>
          <w:szCs w:val="24"/>
        </w:rPr>
      </w:pPr>
      <w:bookmarkStart w:id="16"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rPr>
          <w:b/>
          <w:sz w:val="24"/>
          <w:szCs w:val="24"/>
        </w:rPr>
      </w:pPr>
      <w:r>
        <w:rPr>
          <w:rFonts w:hint="eastAsia"/>
          <w:b/>
          <w:sz w:val="24"/>
          <w:szCs w:val="24"/>
        </w:rPr>
        <w:t>（五）基金份额类别</w:t>
      </w:r>
    </w:p>
    <w:p>
      <w:pPr>
        <w:adjustRightInd w:val="0"/>
        <w:snapToGrid w:val="0"/>
        <w:spacing w:line="360" w:lineRule="auto"/>
        <w:ind w:firstLine="480" w:firstLineChars="200"/>
        <w:rPr>
          <w:sz w:val="24"/>
        </w:rPr>
      </w:pPr>
      <w:r>
        <w:rPr>
          <w:rFonts w:hint="eastAsia"/>
          <w:sz w:val="24"/>
        </w:rPr>
        <w:t>本基金根据认购/申购费用、销售服务费收取方式的不同，将基金份额分为不同的类别。在投资人认购/申购时收取认购/申购费用、不从本类别基金资产中计提销售服务费的，称为A类基金份额；在投资人认购/申购时不收取认购/申购费用、从本类别基金资产中计提销售服务费的，称为C类基金份额。</w:t>
      </w:r>
    </w:p>
    <w:p>
      <w:pPr>
        <w:adjustRightInd w:val="0"/>
        <w:snapToGrid w:val="0"/>
        <w:spacing w:line="360" w:lineRule="auto"/>
        <w:ind w:firstLine="480" w:firstLineChars="200"/>
        <w:rPr>
          <w:sz w:val="24"/>
        </w:rPr>
      </w:pPr>
      <w:r>
        <w:rPr>
          <w:rFonts w:hint="eastAsia"/>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w:t>
      </w:r>
      <w:r>
        <w:rPr>
          <w:rFonts w:hint="eastAsia"/>
          <w:sz w:val="24"/>
        </w:rPr>
        <w:t>，各销售机构的具体名单见基金份额发售公告以及基金管理人网站</w:t>
      </w:r>
      <w:r>
        <w:rPr>
          <w:sz w:val="24"/>
        </w:rPr>
        <w:t>。募集期间个人投资者可以通过</w:t>
      </w:r>
      <w:r>
        <w:rPr>
          <w:rFonts w:hint="eastAsia"/>
          <w:sz w:val="24"/>
        </w:rPr>
        <w:t>基金管理人</w:t>
      </w:r>
      <w:r>
        <w:rPr>
          <w:sz w:val="24"/>
        </w:rPr>
        <w:t>网上直销交易平台办理开户和本基金的认购业务</w:t>
      </w:r>
      <w:r>
        <w:rPr>
          <w:rFonts w:hint="eastAsia"/>
          <w:sz w:val="24"/>
        </w:rPr>
        <w:t>，具体请见基金份额发售公告以及基金管理人网站。</w:t>
      </w:r>
      <w:r>
        <w:rPr>
          <w:sz w:val="24"/>
        </w:rPr>
        <w:t>除法律法规或中国证监会另有规定外，任何与基金份额发售有关的当事人不得预留和提前发售基金份额。</w:t>
      </w:r>
    </w:p>
    <w:p>
      <w:pPr>
        <w:adjustRightInd w:val="0"/>
        <w:snapToGrid w:val="0"/>
        <w:spacing w:line="360" w:lineRule="auto"/>
        <w:ind w:firstLine="480" w:firstLineChars="200"/>
        <w:rPr>
          <w:rFonts w:hAnsi="宋体"/>
          <w:kern w:val="0"/>
          <w:sz w:val="24"/>
        </w:rPr>
      </w:pPr>
      <w:r>
        <w:rPr>
          <w:rFonts w:hAnsi="宋体"/>
          <w:kern w:val="0"/>
          <w:sz w:val="24"/>
        </w:rPr>
        <w:t>1、基金份额的发售时间、方式和对象</w:t>
      </w:r>
    </w:p>
    <w:p>
      <w:pPr>
        <w:adjustRightInd w:val="0"/>
        <w:snapToGrid w:val="0"/>
        <w:spacing w:line="360" w:lineRule="auto"/>
        <w:ind w:firstLine="480" w:firstLineChars="200"/>
        <w:rPr>
          <w:rFonts w:hAnsi="宋体"/>
          <w:kern w:val="0"/>
          <w:sz w:val="24"/>
        </w:rPr>
      </w:pPr>
      <w:r>
        <w:rPr>
          <w:rFonts w:hAnsi="宋体"/>
          <w:kern w:val="0"/>
          <w:sz w:val="24"/>
        </w:rPr>
        <w:t>（1）募集期限：自基金份额发售之日起不超过3个月。本基金自</w:t>
      </w:r>
      <w:r>
        <w:rPr>
          <w:rFonts w:hint="eastAsia" w:hAnsi="宋体"/>
          <w:kern w:val="0"/>
          <w:sz w:val="24"/>
          <w:lang w:val="en-US" w:eastAsia="zh-CN"/>
        </w:rPr>
        <w:t>2025年9月8日</w:t>
      </w:r>
      <w:r>
        <w:rPr>
          <w:rFonts w:hint="eastAsia" w:hAnsi="宋体"/>
          <w:kern w:val="0"/>
          <w:sz w:val="24"/>
        </w:rPr>
        <w:t>起至</w:t>
      </w:r>
      <w:r>
        <w:rPr>
          <w:rFonts w:hint="eastAsia" w:hAnsi="宋体"/>
          <w:kern w:val="0"/>
          <w:sz w:val="24"/>
          <w:lang w:val="en-US" w:eastAsia="zh-CN"/>
        </w:rPr>
        <w:t>2025年9月19日</w:t>
      </w:r>
      <w:r>
        <w:rPr>
          <w:rFonts w:hAnsi="宋体"/>
          <w:kern w:val="0"/>
          <w:sz w:val="24"/>
        </w:rPr>
        <w:t>止通过销售机构公开发售（详见基金份额发售公告及</w:t>
      </w:r>
      <w:r>
        <w:rPr>
          <w:rFonts w:hint="eastAsia" w:hAnsi="宋体"/>
          <w:kern w:val="0"/>
          <w:sz w:val="24"/>
        </w:rPr>
        <w:t>销售</w:t>
      </w:r>
      <w:r>
        <w:rPr>
          <w:rFonts w:hAnsi="宋体"/>
          <w:kern w:val="0"/>
          <w:sz w:val="24"/>
        </w:rPr>
        <w:t>机构相关公告）。</w:t>
      </w:r>
      <w:r>
        <w:rPr>
          <w:rFonts w:hint="eastAsia" w:hAnsi="宋体"/>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rPr>
          <w:rFonts w:hAnsi="宋体"/>
          <w:kern w:val="0"/>
          <w:sz w:val="24"/>
        </w:rPr>
      </w:pPr>
      <w:r>
        <w:rPr>
          <w:rFonts w:hAnsi="宋体"/>
          <w:kern w:val="0"/>
          <w:sz w:val="24"/>
        </w:rPr>
        <w:t>（2）销售渠道：</w:t>
      </w:r>
      <w:r>
        <w:rPr>
          <w:rFonts w:hint="eastAsia" w:hAnsi="宋体"/>
          <w:kern w:val="0"/>
          <w:sz w:val="24"/>
        </w:rPr>
        <w:t>销售机构</w:t>
      </w:r>
      <w:r>
        <w:rPr>
          <w:rFonts w:hAnsi="宋体"/>
          <w:kern w:val="0"/>
          <w:sz w:val="24"/>
        </w:rPr>
        <w:t>具体名单见基金份额发售公告</w:t>
      </w:r>
      <w:r>
        <w:rPr>
          <w:rFonts w:hint="eastAsia" w:hAnsi="宋体"/>
          <w:kern w:val="0"/>
          <w:sz w:val="24"/>
        </w:rPr>
        <w:t>以及基金管理人网站</w:t>
      </w:r>
      <w:r>
        <w:rPr>
          <w:rFonts w:hAnsi="宋体"/>
          <w:kern w:val="0"/>
          <w:sz w:val="24"/>
        </w:rPr>
        <w:t>。</w:t>
      </w:r>
    </w:p>
    <w:p>
      <w:pPr>
        <w:adjustRightInd w:val="0"/>
        <w:snapToGrid w:val="0"/>
        <w:spacing w:line="360" w:lineRule="auto"/>
        <w:ind w:firstLine="480" w:firstLineChars="200"/>
        <w:rPr>
          <w:rFonts w:hAnsi="宋体"/>
          <w:kern w:val="0"/>
          <w:sz w:val="24"/>
        </w:rPr>
      </w:pPr>
      <w:r>
        <w:rPr>
          <w:rFonts w:hAnsi="宋体"/>
          <w:kern w:val="0"/>
          <w:sz w:val="24"/>
        </w:rPr>
        <w:t>（3）销售对象：符合法律法规规定的可投资于证券投资基金的个人投资者、机构投资者</w:t>
      </w:r>
      <w:r>
        <w:rPr>
          <w:rFonts w:hint="eastAsia" w:hAnsi="宋体"/>
          <w:kern w:val="0"/>
          <w:sz w:val="24"/>
        </w:rPr>
        <w:t>、</w:t>
      </w:r>
      <w:r>
        <w:rPr>
          <w:rFonts w:hAnsi="宋体"/>
          <w:kern w:val="0"/>
          <w:sz w:val="24"/>
        </w:rPr>
        <w:t>合格境外投资者以及法律法规或中国证监会允许购买证券投资基金的其他投资人。</w:t>
      </w:r>
    </w:p>
    <w:p>
      <w:pPr>
        <w:adjustRightInd w:val="0"/>
        <w:snapToGrid w:val="0"/>
        <w:spacing w:line="360" w:lineRule="auto"/>
        <w:ind w:firstLine="480" w:firstLineChars="200"/>
        <w:rPr>
          <w:rFonts w:hAnsi="宋体"/>
          <w:kern w:val="0"/>
          <w:sz w:val="24"/>
        </w:rPr>
      </w:pPr>
      <w:r>
        <w:rPr>
          <w:rFonts w:hAnsi="宋体"/>
          <w:kern w:val="0"/>
          <w:sz w:val="24"/>
        </w:rPr>
        <w:t>2、基金份额的认购和持有限制</w:t>
      </w:r>
    </w:p>
    <w:p>
      <w:pPr>
        <w:adjustRightInd w:val="0"/>
        <w:snapToGrid w:val="0"/>
        <w:spacing w:line="360" w:lineRule="auto"/>
        <w:ind w:firstLine="480" w:firstLineChars="200"/>
        <w:rPr>
          <w:rFonts w:hAnsi="宋体"/>
          <w:kern w:val="0"/>
          <w:sz w:val="24"/>
        </w:rPr>
      </w:pPr>
      <w:r>
        <w:rPr>
          <w:rFonts w:hAnsi="宋体"/>
          <w:kern w:val="0"/>
          <w:sz w:val="24"/>
        </w:rPr>
        <w:t>（1）基金份额的认购采用金额认购方式。</w:t>
      </w:r>
    </w:p>
    <w:p>
      <w:pPr>
        <w:adjustRightInd w:val="0"/>
        <w:snapToGrid w:val="0"/>
        <w:spacing w:line="360" w:lineRule="auto"/>
        <w:ind w:firstLine="480" w:firstLineChars="200"/>
        <w:rPr>
          <w:rFonts w:hAnsi="宋体"/>
          <w:kern w:val="0"/>
          <w:sz w:val="24"/>
        </w:rPr>
      </w:pPr>
      <w:r>
        <w:rPr>
          <w:rFonts w:hAnsi="宋体"/>
          <w:kern w:val="0"/>
          <w:sz w:val="24"/>
        </w:rPr>
        <w:t>（2）投资人认购基金份额采用全额缴款的认购方式。投资人认购</w:t>
      </w:r>
      <w:r>
        <w:rPr>
          <w:rFonts w:hint="eastAsia" w:hAnsi="宋体"/>
          <w:kern w:val="0"/>
          <w:sz w:val="24"/>
        </w:rPr>
        <w:t>时</w:t>
      </w:r>
      <w:r>
        <w:rPr>
          <w:rFonts w:hAnsi="宋体"/>
          <w:kern w:val="0"/>
          <w:sz w:val="24"/>
        </w:rPr>
        <w:t>，需按销售机构规定的方式备足认购的金额。</w:t>
      </w:r>
    </w:p>
    <w:p>
      <w:pPr>
        <w:adjustRightInd w:val="0"/>
        <w:snapToGrid w:val="0"/>
        <w:spacing w:line="360" w:lineRule="auto"/>
        <w:ind w:firstLine="480" w:firstLineChars="200"/>
        <w:rPr>
          <w:rFonts w:hAnsi="宋体"/>
          <w:kern w:val="0"/>
          <w:sz w:val="24"/>
        </w:rPr>
      </w:pPr>
      <w:r>
        <w:rPr>
          <w:rFonts w:hAnsi="宋体"/>
          <w:kern w:val="0"/>
          <w:sz w:val="24"/>
        </w:rPr>
        <w:t>（3）投资人在募集期内可以多次认购基金份额，认购</w:t>
      </w:r>
      <w:r>
        <w:rPr>
          <w:rFonts w:hint="eastAsia" w:hAnsi="宋体"/>
          <w:kern w:val="0"/>
          <w:sz w:val="24"/>
        </w:rPr>
        <w:t>申请</w:t>
      </w:r>
      <w:r>
        <w:rPr>
          <w:rFonts w:hAnsi="宋体"/>
          <w:kern w:val="0"/>
          <w:sz w:val="24"/>
        </w:rPr>
        <w:t>一经登记机构受理不得撤销。</w:t>
      </w:r>
    </w:p>
    <w:p>
      <w:pPr>
        <w:adjustRightInd w:val="0"/>
        <w:snapToGrid w:val="0"/>
        <w:spacing w:line="360" w:lineRule="auto"/>
        <w:ind w:firstLine="480" w:firstLineChars="200"/>
        <w:rPr>
          <w:rFonts w:hAnsi="宋体"/>
          <w:kern w:val="0"/>
          <w:sz w:val="24"/>
        </w:rPr>
      </w:pPr>
      <w:r>
        <w:rPr>
          <w:rFonts w:hAnsi="宋体"/>
          <w:kern w:val="0"/>
          <w:sz w:val="24"/>
        </w:rPr>
        <w:t>（4）直销机构接受首次认购申请的最低金额为单笔100</w:t>
      </w:r>
      <w:r>
        <w:rPr>
          <w:rFonts w:hint="eastAsia" w:hAnsi="宋体"/>
          <w:kern w:val="0"/>
          <w:sz w:val="24"/>
        </w:rPr>
        <w:t>万</w:t>
      </w:r>
      <w:r>
        <w:rPr>
          <w:rFonts w:hAnsi="宋体"/>
          <w:kern w:val="0"/>
          <w:sz w:val="24"/>
        </w:rPr>
        <w:t>元，追加认购的最低金额为单笔10</w:t>
      </w:r>
      <w:r>
        <w:rPr>
          <w:rFonts w:hint="eastAsia" w:hAnsi="宋体"/>
          <w:kern w:val="0"/>
          <w:sz w:val="24"/>
        </w:rPr>
        <w:t>万</w:t>
      </w:r>
      <w:r>
        <w:rPr>
          <w:rFonts w:hAnsi="宋体"/>
          <w:kern w:val="0"/>
          <w:sz w:val="24"/>
        </w:rPr>
        <w:t>元；已在直销机构有认购或申购过本基金管理人管理的其他基金记录的投资人不受首次认购最低金额的限制。通过</w:t>
      </w:r>
      <w:r>
        <w:rPr>
          <w:rFonts w:hint="eastAsia" w:hAnsi="宋体"/>
          <w:kern w:val="0"/>
          <w:sz w:val="24"/>
        </w:rPr>
        <w:t>基金管理人</w:t>
      </w:r>
      <w:r>
        <w:rPr>
          <w:rFonts w:hAnsi="宋体"/>
          <w:kern w:val="0"/>
          <w:sz w:val="24"/>
        </w:rPr>
        <w:t>网上直销交易平台办理本基金认购业务的不受直销机构最低认购金额的限制，认购最低金额为单笔1元。本基金直销机构单笔认购最低金额可由基金管理人酌情调整。</w:t>
      </w:r>
      <w:r>
        <w:rPr>
          <w:rFonts w:hint="eastAsia" w:hAnsi="宋体"/>
          <w:kern w:val="0"/>
          <w:sz w:val="24"/>
        </w:rPr>
        <w:t>其他销售</w:t>
      </w:r>
      <w:r>
        <w:rPr>
          <w:rFonts w:hAnsi="宋体"/>
          <w:kern w:val="0"/>
          <w:sz w:val="24"/>
        </w:rPr>
        <w:t>机构接受认购申请的最低金额为单笔1元，如果</w:t>
      </w:r>
      <w:r>
        <w:rPr>
          <w:rFonts w:hint="eastAsia" w:hAnsi="宋体"/>
          <w:kern w:val="0"/>
          <w:sz w:val="24"/>
        </w:rPr>
        <w:t>销售</w:t>
      </w:r>
      <w:r>
        <w:rPr>
          <w:rFonts w:hAnsi="宋体"/>
          <w:kern w:val="0"/>
          <w:sz w:val="24"/>
        </w:rPr>
        <w:t>机构业务规则规定的最低单笔认购金额高于1元，以</w:t>
      </w:r>
      <w:r>
        <w:rPr>
          <w:rFonts w:hint="eastAsia" w:hAnsi="宋体"/>
          <w:kern w:val="0"/>
          <w:sz w:val="24"/>
        </w:rPr>
        <w:t>该销售</w:t>
      </w:r>
      <w:r>
        <w:rPr>
          <w:rFonts w:hAnsi="宋体"/>
          <w:kern w:val="0"/>
          <w:sz w:val="24"/>
        </w:rPr>
        <w:t>机构的规定为准。</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rFonts w:hAnsi="宋体"/>
          <w:kern w:val="0"/>
          <w:sz w:val="24"/>
        </w:rPr>
      </w:pPr>
      <w:r>
        <w:rPr>
          <w:rFonts w:hint="eastAsia" w:hAnsi="宋体"/>
          <w:kern w:val="0"/>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rPr>
          <w:rFonts w:hAnsi="宋体"/>
          <w:kern w:val="0"/>
          <w:sz w:val="24"/>
        </w:rPr>
      </w:pPr>
      <w:r>
        <w:rPr>
          <w:rFonts w:hint="eastAsia" w:hAnsi="宋体"/>
          <w:kern w:val="0"/>
          <w:sz w:val="24"/>
        </w:rPr>
        <w:t>（7）基金管理人可以对募集期间的本基金募集规模设置上限。募集期内超过募集规模上限时，基金管理人可以采用比例确认或其他方式进行确认，具体办法参见基金份额发售公告。</w:t>
      </w:r>
    </w:p>
    <w:p>
      <w:pPr>
        <w:adjustRightInd w:val="0"/>
        <w:snapToGrid w:val="0"/>
        <w:spacing w:line="360" w:lineRule="auto"/>
        <w:ind w:firstLine="480" w:firstLineChars="200"/>
        <w:rPr>
          <w:rFonts w:hAnsi="宋体"/>
          <w:kern w:val="0"/>
          <w:sz w:val="24"/>
        </w:rPr>
      </w:pPr>
      <w:r>
        <w:rPr>
          <w:rFonts w:hAnsi="宋体"/>
          <w:kern w:val="0"/>
          <w:sz w:val="24"/>
        </w:rPr>
        <w:t>3、基金份额的</w:t>
      </w:r>
      <w:r>
        <w:rPr>
          <w:rFonts w:hint="eastAsia" w:hAnsi="宋体"/>
          <w:kern w:val="0"/>
          <w:sz w:val="24"/>
        </w:rPr>
        <w:t>面值、</w:t>
      </w:r>
      <w:r>
        <w:rPr>
          <w:rFonts w:hAnsi="宋体"/>
          <w:kern w:val="0"/>
          <w:sz w:val="24"/>
        </w:rPr>
        <w:t>认购费用、认购价格及认购份额的计算公式</w:t>
      </w:r>
    </w:p>
    <w:p>
      <w:pPr>
        <w:adjustRightInd w:val="0"/>
        <w:snapToGrid w:val="0"/>
        <w:spacing w:line="360" w:lineRule="auto"/>
        <w:ind w:firstLine="480" w:firstLineChars="200"/>
        <w:rPr>
          <w:rFonts w:hAnsi="宋体"/>
          <w:kern w:val="0"/>
          <w:sz w:val="24"/>
        </w:rPr>
      </w:pPr>
      <w:r>
        <w:rPr>
          <w:rFonts w:hAnsi="宋体"/>
          <w:kern w:val="0"/>
          <w:sz w:val="24"/>
        </w:rPr>
        <w:t>（1）</w:t>
      </w:r>
      <w:r>
        <w:rPr>
          <w:rFonts w:hint="eastAsia" w:hAnsi="宋体"/>
          <w:kern w:val="0"/>
          <w:sz w:val="24"/>
        </w:rPr>
        <w:t>面值、</w:t>
      </w:r>
      <w:r>
        <w:rPr>
          <w:rFonts w:hAnsi="宋体"/>
          <w:kern w:val="0"/>
          <w:sz w:val="24"/>
        </w:rPr>
        <w:t>认购价格：本基金</w:t>
      </w:r>
      <w:r>
        <w:rPr>
          <w:rFonts w:hint="eastAsia" w:hAnsi="宋体"/>
          <w:kern w:val="0"/>
          <w:sz w:val="24"/>
        </w:rPr>
        <w:t>基金</w:t>
      </w:r>
      <w:r>
        <w:rPr>
          <w:rFonts w:hAnsi="宋体"/>
          <w:kern w:val="0"/>
          <w:sz w:val="24"/>
        </w:rPr>
        <w:t>份额的</w:t>
      </w:r>
      <w:r>
        <w:rPr>
          <w:rFonts w:hint="eastAsia" w:hAnsi="宋体"/>
          <w:kern w:val="0"/>
          <w:sz w:val="24"/>
        </w:rPr>
        <w:t>初始面值、</w:t>
      </w:r>
      <w:r>
        <w:rPr>
          <w:rFonts w:hAnsi="宋体"/>
          <w:kern w:val="0"/>
          <w:sz w:val="24"/>
        </w:rPr>
        <w:t>认购价格为1.00元/份。</w:t>
      </w:r>
    </w:p>
    <w:p>
      <w:pPr>
        <w:adjustRightInd w:val="0"/>
        <w:snapToGrid w:val="0"/>
        <w:spacing w:line="360" w:lineRule="auto"/>
        <w:ind w:firstLine="480" w:firstLineChars="200"/>
        <w:rPr>
          <w:rFonts w:hAnsi="宋体"/>
          <w:kern w:val="0"/>
          <w:sz w:val="24"/>
        </w:rPr>
      </w:pPr>
      <w:r>
        <w:rPr>
          <w:rFonts w:hAnsi="宋体"/>
          <w:kern w:val="0"/>
          <w:sz w:val="24"/>
        </w:rPr>
        <w:t>（2）认购费率</w:t>
      </w:r>
    </w:p>
    <w:p>
      <w:pPr>
        <w:adjustRightInd w:val="0"/>
        <w:snapToGrid w:val="0"/>
        <w:spacing w:line="360" w:lineRule="auto"/>
        <w:ind w:firstLine="480" w:firstLineChars="200"/>
        <w:rPr>
          <w:rFonts w:hAnsi="宋体"/>
          <w:kern w:val="0"/>
          <w:sz w:val="24"/>
        </w:rPr>
      </w:pPr>
      <w:r>
        <w:rPr>
          <w:rFonts w:hint="eastAsia" w:hAnsi="宋体"/>
          <w:kern w:val="0"/>
          <w:sz w:val="24"/>
        </w:rPr>
        <w:t>募集期内投资人可以多次认购本基金，A类基金份额认购费用按A类基金份额的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1000</w:t>
            </w:r>
            <w:r>
              <w:rPr>
                <w:sz w:val="24"/>
              </w:rPr>
              <w:t>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rFonts w:hint="eastAsia"/>
                <w:sz w:val="24"/>
              </w:rPr>
              <w:t>1000</w:t>
            </w:r>
            <w:r>
              <w:rPr>
                <w:sz w:val="24"/>
              </w:rPr>
              <w:t>万元以上（含</w:t>
            </w:r>
            <w:r>
              <w:rPr>
                <w:rFonts w:hint="eastAsia"/>
                <w:sz w:val="24"/>
              </w:rPr>
              <w:t>1000</w:t>
            </w:r>
            <w:r>
              <w:rPr>
                <w:sz w:val="24"/>
              </w:rPr>
              <w:t>万</w:t>
            </w:r>
            <w:r>
              <w:rPr>
                <w:rFonts w:hint="eastAsia"/>
                <w:sz w:val="24"/>
              </w:rPr>
              <w:t>元</w:t>
            </w:r>
            <w:r>
              <w:rPr>
                <w:sz w:val="24"/>
              </w:rPr>
              <w:t>）</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1000</w:t>
            </w:r>
            <w:r>
              <w:rPr>
                <w:sz w:val="24"/>
              </w:rPr>
              <w:t>万元以下</w:t>
            </w:r>
          </w:p>
        </w:tc>
        <w:tc>
          <w:tcPr>
            <w:tcW w:w="3767" w:type="dxa"/>
          </w:tcPr>
          <w:p>
            <w:pPr>
              <w:adjustRightInd w:val="0"/>
              <w:snapToGrid w:val="0"/>
              <w:jc w:val="center"/>
              <w:rPr>
                <w:sz w:val="24"/>
              </w:rPr>
            </w:pPr>
            <w:r>
              <w:rPr>
                <w:rFonts w:hint="eastAsia" w:hAnsi="宋体"/>
                <w:sz w:val="24"/>
              </w:rPr>
              <w:t>0.</w:t>
            </w:r>
            <w:r>
              <w:rPr>
                <w:rFonts w:hAnsi="宋体"/>
                <w:sz w:val="24"/>
              </w:rPr>
              <w:t>48</w:t>
            </w:r>
            <w:r>
              <w:rPr>
                <w:rFonts w:hint="eastAsia" w:hAnsi="宋体"/>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rFonts w:hint="eastAsia"/>
                <w:sz w:val="24"/>
              </w:rPr>
              <w:t>1000</w:t>
            </w:r>
            <w:r>
              <w:rPr>
                <w:sz w:val="24"/>
              </w:rPr>
              <w:t>万元以上（含</w:t>
            </w:r>
            <w:r>
              <w:rPr>
                <w:rFonts w:hint="eastAsia"/>
                <w:sz w:val="24"/>
              </w:rPr>
              <w:t>1000</w:t>
            </w:r>
            <w:r>
              <w:rPr>
                <w:sz w:val="24"/>
              </w:rPr>
              <w:t>万</w:t>
            </w:r>
            <w:r>
              <w:rPr>
                <w:rFonts w:hint="eastAsia"/>
                <w:sz w:val="24"/>
              </w:rPr>
              <w:t>元</w:t>
            </w:r>
            <w:r>
              <w:rPr>
                <w:sz w:val="24"/>
              </w:rPr>
              <w:t>）</w:t>
            </w:r>
          </w:p>
        </w:tc>
        <w:tc>
          <w:tcPr>
            <w:tcW w:w="3767" w:type="dxa"/>
          </w:tcPr>
          <w:p>
            <w:pPr>
              <w:adjustRightInd w:val="0"/>
              <w:snapToGrid w:val="0"/>
              <w:jc w:val="center"/>
              <w:rPr>
                <w:rFonts w:hAnsi="宋体"/>
                <w:sz w:val="24"/>
              </w:rPr>
            </w:pPr>
            <w:r>
              <w:rPr>
                <w:rFonts w:hAnsi="宋体"/>
                <w:sz w:val="24"/>
              </w:rPr>
              <w:t>每笔交易1000元</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基金认购采用金额认购的方式。</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w:t>
      </w:r>
      <w:r>
        <w:rPr>
          <w:rFonts w:hint="eastAsia"/>
          <w:sz w:val="24"/>
        </w:rPr>
        <w:t>结果</w:t>
      </w:r>
      <w:r>
        <w:rPr>
          <w:sz w:val="24"/>
        </w:rPr>
        <w:t>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某投资者（非养老金客户）认购本基金</w:t>
      </w:r>
      <w:r>
        <w:rPr>
          <w:rFonts w:hint="eastAsia"/>
          <w:color w:val="000000"/>
          <w:kern w:val="0"/>
          <w:sz w:val="24"/>
        </w:rPr>
        <w:t>A类基金份额</w:t>
      </w:r>
      <w:r>
        <w:rPr>
          <w:rFonts w:hint="eastAsia"/>
          <w:sz w:val="24"/>
        </w:rPr>
        <w:t>100,000.00元，且该认购申请被全额确认，所对应的认购费率为1</w:t>
      </w:r>
      <w:r>
        <w:rPr>
          <w:sz w:val="24"/>
        </w:rPr>
        <w:t>.2%</w:t>
      </w:r>
      <w:r>
        <w:rPr>
          <w:rFonts w:hint="eastAsia"/>
          <w:sz w:val="24"/>
        </w:rPr>
        <w:t>。假定募集期产生的利息为10.00元，则可认购基金份额为：</w:t>
      </w:r>
    </w:p>
    <w:p>
      <w:pPr>
        <w:adjustRightInd w:val="0"/>
        <w:snapToGrid w:val="0"/>
        <w:spacing w:line="360" w:lineRule="auto"/>
        <w:ind w:firstLine="480" w:firstLineChars="200"/>
        <w:rPr>
          <w:sz w:val="24"/>
        </w:rPr>
      </w:pPr>
      <w:r>
        <w:rPr>
          <w:rFonts w:hint="eastAsia"/>
          <w:sz w:val="24"/>
        </w:rPr>
        <w:t>认购总金额=100,000.00元</w:t>
      </w:r>
    </w:p>
    <w:p>
      <w:pPr>
        <w:adjustRightInd w:val="0"/>
        <w:snapToGrid w:val="0"/>
        <w:spacing w:line="360" w:lineRule="auto"/>
        <w:ind w:firstLine="480" w:firstLineChars="200"/>
        <w:rPr>
          <w:sz w:val="24"/>
        </w:rPr>
      </w:pPr>
      <w:r>
        <w:rPr>
          <w:rFonts w:hint="eastAsia"/>
          <w:sz w:val="24"/>
        </w:rPr>
        <w:t>净</w:t>
      </w:r>
      <w:r>
        <w:rPr>
          <w:sz w:val="24"/>
        </w:rPr>
        <w:t>认购金额＝100,000</w:t>
      </w:r>
      <w:r>
        <w:rPr>
          <w:rFonts w:hint="eastAsia"/>
          <w:sz w:val="24"/>
        </w:rPr>
        <w:t>.00</w:t>
      </w:r>
      <w:r>
        <w:rPr>
          <w:sz w:val="24"/>
        </w:rPr>
        <w:t>/（1＋1.2%）＝98,814.23元</w:t>
      </w:r>
    </w:p>
    <w:p>
      <w:pPr>
        <w:adjustRightInd w:val="0"/>
        <w:snapToGrid w:val="0"/>
        <w:spacing w:line="360" w:lineRule="auto"/>
        <w:ind w:firstLine="480" w:firstLineChars="200"/>
        <w:rPr>
          <w:sz w:val="24"/>
        </w:rPr>
      </w:pPr>
      <w:r>
        <w:rPr>
          <w:sz w:val="24"/>
        </w:rPr>
        <w:t>认购费用＝100,000</w:t>
      </w:r>
      <w:r>
        <w:rPr>
          <w:rFonts w:hint="eastAsia"/>
          <w:sz w:val="24"/>
        </w:rPr>
        <w:t>.00</w:t>
      </w:r>
      <w:r>
        <w:rPr>
          <w:sz w:val="24"/>
        </w:rPr>
        <w:t>-98,814.23＝1,185.77元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即：若该投资者（非养老金客户）投资100,000.00元认购本基金</w:t>
      </w:r>
      <w:r>
        <w:rPr>
          <w:rFonts w:hint="eastAsia"/>
          <w:color w:val="000000"/>
          <w:kern w:val="0"/>
          <w:sz w:val="24"/>
        </w:rPr>
        <w:t>A类基金份额</w:t>
      </w:r>
      <w:r>
        <w:rPr>
          <w:rFonts w:hint="eastAsia"/>
          <w:sz w:val="24"/>
        </w:rPr>
        <w:t>，假定募集期产生的利息为10.00元，则可得到</w:t>
      </w:r>
      <w:r>
        <w:rPr>
          <w:sz w:val="24"/>
        </w:rPr>
        <w:t>98,824.23</w:t>
      </w:r>
      <w:r>
        <w:rPr>
          <w:rFonts w:hint="eastAsia"/>
          <w:sz w:val="24"/>
        </w:rPr>
        <w:t>份A类基金份额。</w:t>
      </w:r>
    </w:p>
    <w:p>
      <w:pPr>
        <w:adjustRightInd w:val="0"/>
        <w:snapToGrid w:val="0"/>
        <w:spacing w:line="360" w:lineRule="auto"/>
        <w:ind w:firstLine="480" w:firstLineChars="200"/>
        <w:rPr>
          <w:sz w:val="24"/>
        </w:rPr>
      </w:pPr>
      <w:r>
        <w:rPr>
          <w:sz w:val="24"/>
        </w:rPr>
        <w:t>例</w:t>
      </w:r>
      <w:r>
        <w:rPr>
          <w:rFonts w:hint="eastAsia"/>
          <w:sz w:val="24"/>
        </w:rPr>
        <w:t>二</w:t>
      </w:r>
      <w:r>
        <w:rPr>
          <w:sz w:val="24"/>
        </w:rPr>
        <w:t>：</w:t>
      </w:r>
      <w:r>
        <w:rPr>
          <w:rFonts w:hint="eastAsia"/>
          <w:sz w:val="24"/>
        </w:rPr>
        <w:t>某养老金客户通过基金管理人的直销柜台认购本基金</w:t>
      </w:r>
      <w:r>
        <w:rPr>
          <w:rFonts w:hint="eastAsia"/>
          <w:color w:val="000000"/>
          <w:kern w:val="0"/>
          <w:sz w:val="24"/>
        </w:rPr>
        <w:t>A类基金份额</w:t>
      </w:r>
      <w:r>
        <w:rPr>
          <w:rFonts w:hint="eastAsia"/>
          <w:sz w:val="24"/>
        </w:rPr>
        <w:t>1</w:t>
      </w:r>
      <w:r>
        <w:rPr>
          <w:sz w:val="24"/>
        </w:rPr>
        <w:t>,0</w:t>
      </w:r>
      <w:r>
        <w:rPr>
          <w:rFonts w:hint="eastAsia"/>
          <w:sz w:val="24"/>
        </w:rPr>
        <w:t>00,000.00元，且该认购申请被全额确认，所对应的认购费率为</w:t>
      </w:r>
      <w:r>
        <w:rPr>
          <w:sz w:val="24"/>
        </w:rPr>
        <w:t>0.48%</w:t>
      </w:r>
      <w:r>
        <w:rPr>
          <w:rFonts w:hint="eastAsia"/>
          <w:sz w:val="24"/>
        </w:rPr>
        <w:t>。假定募集期产生的利息为50.00元，</w:t>
      </w:r>
      <w:r>
        <w:rPr>
          <w:sz w:val="24"/>
        </w:rPr>
        <w:t>则可认购基金份额为：</w:t>
      </w:r>
    </w:p>
    <w:p>
      <w:pPr>
        <w:adjustRightInd w:val="0"/>
        <w:snapToGrid w:val="0"/>
        <w:spacing w:line="360" w:lineRule="auto"/>
        <w:ind w:firstLine="480" w:firstLineChars="200"/>
        <w:rPr>
          <w:sz w:val="24"/>
        </w:rPr>
      </w:pPr>
      <w:r>
        <w:rPr>
          <w:sz w:val="24"/>
        </w:rPr>
        <w:t>认购总金额=1,000,000</w:t>
      </w:r>
      <w:r>
        <w:rPr>
          <w:rFonts w:hint="eastAsia"/>
          <w:sz w:val="24"/>
        </w:rPr>
        <w:t>.00</w:t>
      </w:r>
      <w:r>
        <w:rPr>
          <w:sz w:val="24"/>
        </w:rPr>
        <w:t>元</w:t>
      </w:r>
    </w:p>
    <w:p>
      <w:pPr>
        <w:adjustRightInd w:val="0"/>
        <w:snapToGrid w:val="0"/>
        <w:spacing w:line="360" w:lineRule="auto"/>
        <w:ind w:firstLine="480" w:firstLineChars="200"/>
        <w:rPr>
          <w:sz w:val="24"/>
        </w:rPr>
      </w:pPr>
      <w:r>
        <w:rPr>
          <w:rFonts w:hint="eastAsia"/>
          <w:sz w:val="24"/>
        </w:rPr>
        <w:t>净</w:t>
      </w:r>
      <w:r>
        <w:rPr>
          <w:sz w:val="24"/>
        </w:rPr>
        <w:t>认购金额＝1,000,000</w:t>
      </w:r>
      <w:r>
        <w:rPr>
          <w:rFonts w:hint="eastAsia"/>
          <w:sz w:val="24"/>
        </w:rPr>
        <w:t>.00</w:t>
      </w:r>
      <w:r>
        <w:rPr>
          <w:sz w:val="24"/>
        </w:rPr>
        <w:t>/（1＋</w:t>
      </w:r>
      <w:r>
        <w:rPr>
          <w:rFonts w:hint="eastAsia"/>
          <w:sz w:val="24"/>
        </w:rPr>
        <w:t>0.48</w:t>
      </w:r>
      <w:r>
        <w:rPr>
          <w:sz w:val="24"/>
        </w:rPr>
        <w:t>%）＝</w:t>
      </w:r>
      <w:r>
        <w:rPr>
          <w:rFonts w:hint="eastAsia"/>
          <w:sz w:val="24"/>
        </w:rPr>
        <w:t>995,222.93</w:t>
      </w:r>
      <w:r>
        <w:rPr>
          <w:sz w:val="24"/>
        </w:rPr>
        <w:t>元</w:t>
      </w:r>
    </w:p>
    <w:p>
      <w:pPr>
        <w:adjustRightInd w:val="0"/>
        <w:snapToGrid w:val="0"/>
        <w:spacing w:line="360" w:lineRule="auto"/>
        <w:ind w:firstLine="480" w:firstLineChars="200"/>
        <w:rPr>
          <w:sz w:val="24"/>
        </w:rPr>
      </w:pPr>
      <w:r>
        <w:rPr>
          <w:sz w:val="24"/>
        </w:rPr>
        <w:t>认购费用＝1,000,000</w:t>
      </w:r>
      <w:r>
        <w:rPr>
          <w:rFonts w:hint="eastAsia"/>
          <w:sz w:val="24"/>
        </w:rPr>
        <w:t>.00</w:t>
      </w:r>
      <w:r>
        <w:rPr>
          <w:sz w:val="24"/>
        </w:rPr>
        <w:t>-</w:t>
      </w:r>
      <w:r>
        <w:rPr>
          <w:rFonts w:hint="eastAsia"/>
          <w:sz w:val="24"/>
        </w:rPr>
        <w:t>995,222.93</w:t>
      </w:r>
      <w:r>
        <w:rPr>
          <w:sz w:val="24"/>
        </w:rPr>
        <w:t>＝</w:t>
      </w:r>
      <w:r>
        <w:rPr>
          <w:rFonts w:hint="eastAsia"/>
          <w:sz w:val="24"/>
        </w:rPr>
        <w:t>4,777.07</w:t>
      </w:r>
      <w:r>
        <w:rPr>
          <w:sz w:val="24"/>
        </w:rPr>
        <w:t>元</w:t>
      </w:r>
    </w:p>
    <w:p>
      <w:pPr>
        <w:adjustRightInd w:val="0"/>
        <w:snapToGrid w:val="0"/>
        <w:spacing w:line="360" w:lineRule="auto"/>
        <w:ind w:firstLine="480" w:firstLineChars="200"/>
        <w:rPr>
          <w:sz w:val="24"/>
        </w:rPr>
      </w:pPr>
      <w:r>
        <w:rPr>
          <w:sz w:val="24"/>
        </w:rPr>
        <w:t>认购份额＝</w:t>
      </w:r>
      <w:r>
        <w:rPr>
          <w:rFonts w:hint="eastAsia"/>
          <w:sz w:val="24"/>
        </w:rPr>
        <w:t>995,222.93</w:t>
      </w:r>
      <w:r>
        <w:rPr>
          <w:sz w:val="24"/>
        </w:rPr>
        <w:t>/1.00＋</w:t>
      </w:r>
      <w:r>
        <w:rPr>
          <w:rFonts w:hint="eastAsia"/>
          <w:sz w:val="24"/>
        </w:rPr>
        <w:t>5</w:t>
      </w:r>
      <w:r>
        <w:rPr>
          <w:sz w:val="24"/>
        </w:rPr>
        <w:t>0.00/1.00＝</w:t>
      </w:r>
      <w:r>
        <w:rPr>
          <w:rFonts w:hint="eastAsia"/>
          <w:sz w:val="24"/>
        </w:rPr>
        <w:t>995,272.93</w:t>
      </w:r>
      <w:r>
        <w:rPr>
          <w:sz w:val="24"/>
        </w:rPr>
        <w:t>份</w:t>
      </w:r>
    </w:p>
    <w:p>
      <w:pPr>
        <w:adjustRightInd w:val="0"/>
        <w:snapToGrid w:val="0"/>
        <w:spacing w:line="360" w:lineRule="auto"/>
        <w:ind w:firstLine="480" w:firstLineChars="200"/>
        <w:rPr>
          <w:sz w:val="24"/>
        </w:rPr>
      </w:pPr>
      <w:r>
        <w:rPr>
          <w:rFonts w:hint="eastAsia"/>
          <w:sz w:val="24"/>
        </w:rPr>
        <w:t>即：若该养老金客户通过基金管理人的直销柜台投资1</w:t>
      </w:r>
      <w:r>
        <w:rPr>
          <w:sz w:val="24"/>
        </w:rPr>
        <w:t>,0</w:t>
      </w:r>
      <w:r>
        <w:rPr>
          <w:rFonts w:hint="eastAsia"/>
          <w:sz w:val="24"/>
        </w:rPr>
        <w:t>00,000.00元认购本基金</w:t>
      </w:r>
      <w:r>
        <w:rPr>
          <w:rFonts w:hint="eastAsia"/>
          <w:color w:val="000000"/>
          <w:kern w:val="0"/>
          <w:sz w:val="24"/>
        </w:rPr>
        <w:t>A类基金份额</w:t>
      </w:r>
      <w:r>
        <w:rPr>
          <w:rFonts w:hint="eastAsia"/>
          <w:sz w:val="24"/>
        </w:rPr>
        <w:t>，且该认购申请被全额确认，假定募集期产生的利息为50.00元，则可得到995,272.93份A类基金份额。</w:t>
      </w:r>
    </w:p>
    <w:p>
      <w:pPr>
        <w:adjustRightInd w:val="0"/>
        <w:snapToGrid w:val="0"/>
        <w:spacing w:line="360" w:lineRule="auto"/>
        <w:ind w:firstLine="480" w:firstLineChars="200"/>
        <w:rPr>
          <w:sz w:val="24"/>
        </w:rPr>
      </w:pPr>
      <w:r>
        <w:rPr>
          <w:rFonts w:hint="eastAsia"/>
          <w:sz w:val="24"/>
        </w:rPr>
        <w:t>2）C类基金份额的认购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认购份额计算结果保留到小数点后2位，小数点2位以后的部分四舍五入，由此误差产生的收益或损失由基金财产承担。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例三：某投资者认购本基金C类基金份额100,000.00元，且该认购申请被全额确认。假定该笔认购金额产生利息50.00元。则认购份额为：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认购总金额=100,000.00元</w:t>
      </w:r>
    </w:p>
    <w:p>
      <w:pPr>
        <w:adjustRightInd w:val="0"/>
        <w:snapToGrid w:val="0"/>
        <w:spacing w:line="360" w:lineRule="auto"/>
        <w:ind w:firstLine="480" w:firstLineChars="200"/>
        <w:rPr>
          <w:sz w:val="24"/>
        </w:rPr>
      </w:pPr>
      <w:r>
        <w:rPr>
          <w:rFonts w:hint="eastAsia"/>
          <w:sz w:val="24"/>
        </w:rPr>
        <w:t>认购份额＝100,000.00/1.00＋50.00/1.00＝100,050.00份</w:t>
      </w:r>
    </w:p>
    <w:p>
      <w:pPr>
        <w:adjustRightInd w:val="0"/>
        <w:snapToGrid w:val="0"/>
        <w:spacing w:line="360" w:lineRule="auto"/>
        <w:ind w:firstLine="480" w:firstLineChars="200"/>
        <w:rPr>
          <w:sz w:val="24"/>
        </w:rPr>
      </w:pPr>
      <w:r>
        <w:rPr>
          <w:rFonts w:hint="eastAsia"/>
          <w:sz w:val="24"/>
        </w:rPr>
        <w:t>即：若该投资者选择投资100,000.00元认购本基金C类基金份额，且该认购申请被全额确认，假定该笔认购金额产生利息50.00元，可得到100,050.00份C类基金份额。</w:t>
      </w:r>
    </w:p>
    <w:p>
      <w:pPr>
        <w:adjustRightInd w:val="0"/>
        <w:snapToGrid w:val="0"/>
        <w:spacing w:line="360" w:lineRule="auto"/>
        <w:ind w:firstLine="480" w:firstLineChars="200"/>
        <w:rPr>
          <w:rFonts w:hAnsi="宋体"/>
          <w:kern w:val="0"/>
          <w:sz w:val="24"/>
        </w:rPr>
      </w:pPr>
      <w:r>
        <w:rPr>
          <w:rFonts w:hAnsi="宋体"/>
          <w:kern w:val="0"/>
          <w:sz w:val="24"/>
        </w:rPr>
        <w:t>4、认购的程序</w:t>
      </w:r>
    </w:p>
    <w:p>
      <w:pPr>
        <w:adjustRightInd w:val="0"/>
        <w:snapToGrid w:val="0"/>
        <w:spacing w:line="360" w:lineRule="auto"/>
        <w:ind w:firstLine="480" w:firstLineChars="200"/>
        <w:rPr>
          <w:rFonts w:hAnsi="宋体"/>
          <w:kern w:val="0"/>
          <w:sz w:val="24"/>
        </w:rPr>
      </w:pPr>
      <w:r>
        <w:rPr>
          <w:rFonts w:hAnsi="宋体"/>
          <w:kern w:val="0"/>
          <w:sz w:val="24"/>
        </w:rPr>
        <w:t>（1）申请方式：书面申请或基金管理人公告的其他方式。</w:t>
      </w:r>
    </w:p>
    <w:p>
      <w:pPr>
        <w:adjustRightInd w:val="0"/>
        <w:snapToGrid w:val="0"/>
        <w:spacing w:line="360" w:lineRule="auto"/>
        <w:ind w:firstLine="480" w:firstLineChars="200"/>
        <w:rPr>
          <w:rFonts w:hAnsi="宋体"/>
          <w:kern w:val="0"/>
          <w:sz w:val="24"/>
        </w:rPr>
      </w:pPr>
      <w:r>
        <w:rPr>
          <w:rFonts w:hAnsi="宋体"/>
          <w:kern w:val="0"/>
          <w:sz w:val="24"/>
        </w:rPr>
        <w:t>（2）认购款项支付：投资人认购时，采用全额缴款方式。</w:t>
      </w:r>
    </w:p>
    <w:p>
      <w:pPr>
        <w:adjustRightInd w:val="0"/>
        <w:snapToGrid w:val="0"/>
        <w:spacing w:line="360" w:lineRule="auto"/>
        <w:ind w:firstLine="480" w:firstLineChars="200"/>
        <w:rPr>
          <w:rFonts w:hAnsi="宋体"/>
          <w:kern w:val="0"/>
          <w:sz w:val="24"/>
        </w:rPr>
      </w:pPr>
      <w:r>
        <w:rPr>
          <w:rFonts w:hAnsi="宋体"/>
          <w:kern w:val="0"/>
          <w:sz w:val="24"/>
        </w:rPr>
        <w:t>5、认购的确认</w:t>
      </w:r>
    </w:p>
    <w:p>
      <w:pPr>
        <w:adjustRightInd w:val="0"/>
        <w:snapToGrid w:val="0"/>
        <w:spacing w:line="360" w:lineRule="auto"/>
        <w:ind w:firstLine="480" w:firstLineChars="200"/>
        <w:rPr>
          <w:rFonts w:hAnsi="宋体"/>
          <w:kern w:val="0"/>
          <w:sz w:val="24"/>
        </w:rPr>
      </w:pPr>
      <w:r>
        <w:rPr>
          <w:rFonts w:hAnsi="宋体"/>
          <w:kern w:val="0"/>
          <w:sz w:val="24"/>
        </w:rPr>
        <w:t>当日（T日）在规定时间内提交的申请，投资人通常可在T+2日后（包括该日）到</w:t>
      </w:r>
      <w:r>
        <w:rPr>
          <w:rFonts w:hint="eastAsia" w:hAnsi="宋体"/>
          <w:kern w:val="0"/>
          <w:sz w:val="24"/>
        </w:rPr>
        <w:t>销售</w:t>
      </w:r>
      <w:r>
        <w:rPr>
          <w:rFonts w:hAnsi="宋体"/>
          <w:kern w:val="0"/>
          <w:sz w:val="24"/>
        </w:rPr>
        <w:t>网点查询交易情况。</w:t>
      </w:r>
      <w:r>
        <w:rPr>
          <w:rFonts w:hint="eastAsia" w:hAnsi="宋体"/>
          <w:kern w:val="0"/>
          <w:sz w:val="24"/>
        </w:rPr>
        <w:t>销售机构对认购申请的受理并不代表该申请一定成功，而仅代表销售机构确实接收到认购申请。</w:t>
      </w:r>
      <w:r>
        <w:rPr>
          <w:rFonts w:hAnsi="宋体"/>
          <w:kern w:val="0"/>
          <w:sz w:val="24"/>
        </w:rPr>
        <w:t>申请的成功确认应以基金合同生效后、登记机构的确认登记为准。对于认购申请及认购份额的确认情况，投资人应及时查询。投资人可以在基金合同生效后到原认购网点打印认购成交确认凭证。</w:t>
      </w:r>
    </w:p>
    <w:p>
      <w:pPr>
        <w:adjustRightInd w:val="0"/>
        <w:snapToGrid w:val="0"/>
        <w:spacing w:line="360" w:lineRule="auto"/>
        <w:ind w:firstLine="480" w:firstLineChars="200"/>
        <w:rPr>
          <w:rFonts w:hAnsi="宋体"/>
          <w:kern w:val="0"/>
          <w:sz w:val="24"/>
        </w:rPr>
      </w:pPr>
      <w:r>
        <w:rPr>
          <w:rFonts w:hAnsi="宋体"/>
          <w:kern w:val="0"/>
          <w:sz w:val="24"/>
        </w:rPr>
        <w:t>投资人开户和认购所需提交的文件和办理的具体程序，请参阅基金份额发售公告。</w:t>
      </w:r>
    </w:p>
    <w:p>
      <w:pPr>
        <w:adjustRightInd w:val="0"/>
        <w:snapToGrid w:val="0"/>
        <w:spacing w:line="360" w:lineRule="auto"/>
        <w:ind w:firstLine="480" w:firstLineChars="200"/>
        <w:rPr>
          <w:rFonts w:hAnsi="宋体"/>
          <w:kern w:val="0"/>
          <w:sz w:val="24"/>
        </w:rPr>
      </w:pPr>
      <w:r>
        <w:rPr>
          <w:rFonts w:hAnsi="宋体"/>
          <w:kern w:val="0"/>
          <w:sz w:val="24"/>
        </w:rPr>
        <w:t>6、募集期利息的处理方式</w:t>
      </w:r>
    </w:p>
    <w:p>
      <w:pPr>
        <w:adjustRightInd w:val="0"/>
        <w:snapToGrid w:val="0"/>
        <w:spacing w:line="360" w:lineRule="auto"/>
        <w:ind w:firstLine="480" w:firstLineChars="200"/>
        <w:rPr>
          <w:rFonts w:hAnsi="宋体"/>
          <w:kern w:val="0"/>
          <w:sz w:val="24"/>
        </w:rPr>
      </w:pPr>
      <w:r>
        <w:rPr>
          <w:rFonts w:hAnsi="宋体"/>
          <w:kern w:val="0"/>
          <w:sz w:val="24"/>
        </w:rPr>
        <w:t>本基金基金合同生效前，投资人的有效认购款项只能存入专门账户，任何人不得动用。有效认购款项在募集期间产生的利息将折算为</w:t>
      </w:r>
      <w:r>
        <w:rPr>
          <w:rFonts w:hint="eastAsia" w:hAnsi="宋体"/>
          <w:kern w:val="0"/>
          <w:sz w:val="24"/>
        </w:rPr>
        <w:t>相应类别的</w:t>
      </w:r>
      <w:r>
        <w:rPr>
          <w:rFonts w:hAnsi="宋体"/>
          <w:kern w:val="0"/>
          <w:sz w:val="24"/>
        </w:rPr>
        <w:t>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148053"/>
      <w:bookmarkEnd w:id="17"/>
      <w:bookmarkStart w:id="18" w:name="_Hlt91264042"/>
      <w:bookmarkEnd w:id="18"/>
      <w:bookmarkStart w:id="19" w:name="_Hlt90455312"/>
      <w:bookmarkEnd w:id="19"/>
      <w:bookmarkStart w:id="20" w:name="_Hlt91264078"/>
      <w:bookmarkEnd w:id="20"/>
      <w:bookmarkStart w:id="21" w:name="_Hlt90801570"/>
      <w:bookmarkEnd w:id="21"/>
      <w:bookmarkStart w:id="22" w:name="_Toc109537384"/>
      <w:r>
        <w:rPr>
          <w:sz w:val="24"/>
          <w:szCs w:val="21"/>
        </w:rPr>
        <w:t>。</w:t>
      </w:r>
      <w:bookmarkEnd w:id="16"/>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3" w:name="_Toc48122008"/>
      <w:r>
        <w:rPr>
          <w:rFonts w:hint="eastAsia" w:ascii="宋体" w:hAnsi="宋体"/>
          <w:b/>
          <w:kern w:val="0"/>
          <w:sz w:val="30"/>
        </w:rPr>
        <w:t>七、基金合同的生效</w:t>
      </w:r>
      <w:bookmarkEnd w:id="23"/>
    </w:p>
    <w:bookmarkEnd w:id="22"/>
    <w:p>
      <w:pPr>
        <w:adjustRightInd w:val="0"/>
        <w:snapToGrid w:val="0"/>
        <w:spacing w:line="360" w:lineRule="auto"/>
        <w:ind w:firstLine="482" w:firstLineChars="200"/>
        <w:rPr>
          <w:b/>
          <w:sz w:val="24"/>
          <w:szCs w:val="24"/>
        </w:rPr>
      </w:pPr>
      <w:bookmarkStart w:id="24" w:name="_Hlt88901074"/>
      <w:bookmarkEnd w:id="24"/>
      <w:bookmarkStart w:id="25" w:name="_Toc79392603"/>
      <w:bookmarkStart w:id="26" w:name="_Toc15118260"/>
      <w:bookmarkStart w:id="27" w:name="_Toc57530272"/>
      <w:bookmarkStart w:id="28" w:name="_Toc109537386"/>
      <w:r>
        <w:rPr>
          <w:b/>
          <w:sz w:val="24"/>
          <w:szCs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rPr>
          <w:b/>
          <w:sz w:val="24"/>
          <w:szCs w:val="24"/>
        </w:rPr>
      </w:pPr>
      <w:r>
        <w:rPr>
          <w:b/>
          <w:sz w:val="24"/>
          <w:szCs w:val="24"/>
        </w:rPr>
        <w:t>（二）基金合同不能生效时募集资金的处理方式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rPr>
          <w:b/>
          <w:sz w:val="24"/>
          <w:szCs w:val="24"/>
        </w:rPr>
      </w:pPr>
      <w:r>
        <w:rPr>
          <w:b/>
          <w:sz w:val="24"/>
          <w:szCs w:val="24"/>
        </w:rPr>
        <w:t>（三）基金存续期内的基金份额持有人数量和资产规模</w:t>
      </w:r>
    </w:p>
    <w:bookmarkEnd w:id="25"/>
    <w:bookmarkEnd w:id="26"/>
    <w:bookmarkEnd w:id="27"/>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9" w:name="_Toc48122009"/>
      <w:r>
        <w:rPr>
          <w:rFonts w:hint="eastAsia" w:ascii="宋体" w:hAnsi="宋体"/>
          <w:b/>
          <w:kern w:val="0"/>
          <w:sz w:val="30"/>
        </w:rPr>
        <w:t>八、基金份额的申购与赎回</w:t>
      </w:r>
      <w:bookmarkEnd w:id="28"/>
      <w:bookmarkEnd w:id="29"/>
    </w:p>
    <w:p>
      <w:pPr>
        <w:adjustRightInd w:val="0"/>
        <w:snapToGrid w:val="0"/>
        <w:spacing w:line="360" w:lineRule="auto"/>
        <w:ind w:firstLine="482" w:firstLineChars="200"/>
        <w:rPr>
          <w:b/>
          <w:sz w:val="24"/>
          <w:szCs w:val="24"/>
        </w:rPr>
      </w:pPr>
      <w:bookmarkStart w:id="30" w:name="_Hlk49342362"/>
      <w:r>
        <w:rPr>
          <w:b/>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adjustRightInd w:val="0"/>
        <w:snapToGrid w:val="0"/>
        <w:spacing w:line="360" w:lineRule="auto"/>
        <w:ind w:firstLine="480" w:firstLineChars="200"/>
        <w:rPr>
          <w:sz w:val="24"/>
          <w:szCs w:val="24"/>
        </w:rPr>
      </w:pPr>
      <w:r>
        <w:rPr>
          <w:sz w:val="24"/>
          <w:szCs w:val="24"/>
        </w:rPr>
        <w:t>1、本基金管理人的直销机构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adjustRightInd w:val="0"/>
        <w:snapToGrid w:val="0"/>
        <w:spacing w:line="360" w:lineRule="auto"/>
        <w:ind w:firstLine="480" w:firstLineChars="200"/>
        <w:rPr>
          <w:sz w:val="24"/>
          <w:szCs w:val="24"/>
        </w:rPr>
      </w:pPr>
      <w:r>
        <w:rPr>
          <w:sz w:val="24"/>
          <w:szCs w:val="24"/>
        </w:rPr>
        <w:t>2、</w:t>
      </w:r>
      <w:r>
        <w:rPr>
          <w:rFonts w:hint="eastAsia"/>
          <w:sz w:val="24"/>
          <w:szCs w:val="24"/>
        </w:rPr>
        <w:t>除基金管理人之外的其他销售</w:t>
      </w:r>
      <w:r>
        <w:rPr>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基金管理人</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rPr>
          <w:b/>
          <w:sz w:val="24"/>
          <w:szCs w:val="24"/>
        </w:rPr>
      </w:pPr>
      <w:r>
        <w:rPr>
          <w:b/>
          <w:sz w:val="24"/>
          <w:szCs w:val="24"/>
        </w:rPr>
        <w:t>（二）申购和赎回的开放日及时间</w:t>
      </w:r>
    </w:p>
    <w:p>
      <w:pPr>
        <w:adjustRightInd w:val="0"/>
        <w:snapToGrid w:val="0"/>
        <w:spacing w:line="360" w:lineRule="auto"/>
        <w:ind w:firstLine="480" w:firstLineChars="200"/>
        <w:rPr>
          <w:sz w:val="24"/>
          <w:szCs w:val="24"/>
        </w:rPr>
      </w:pPr>
      <w:r>
        <w:rPr>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w:t>
      </w:r>
    </w:p>
    <w:p>
      <w:pPr>
        <w:adjustRightInd w:val="0"/>
        <w:snapToGrid w:val="0"/>
        <w:spacing w:line="360" w:lineRule="auto"/>
        <w:ind w:firstLine="480" w:firstLineChars="200"/>
        <w:rPr>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rPr>
          <w:sz w:val="24"/>
          <w:szCs w:val="24"/>
        </w:rPr>
      </w:pPr>
      <w:r>
        <w:rPr>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基金管理人可根据实际情况依法决定本基金开始办理申购的具体日期，具体业务办理时间在申购开始公告中规定。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基金管理人自基金合同生效之日起不超过3个月开始办理赎回，具体业务办理时间在赎回开始公告中规定。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pPr>
        <w:adjustRightInd w:val="0"/>
        <w:snapToGrid w:val="0"/>
        <w:spacing w:line="360" w:lineRule="auto"/>
        <w:ind w:firstLine="482" w:firstLineChars="200"/>
        <w:rPr>
          <w:b/>
          <w:sz w:val="24"/>
          <w:szCs w:val="24"/>
        </w:rPr>
      </w:pPr>
      <w:r>
        <w:rPr>
          <w:b/>
          <w:sz w:val="24"/>
          <w:szCs w:val="24"/>
        </w:rPr>
        <w:t>（三）申购</w:t>
      </w:r>
      <w:r>
        <w:rPr>
          <w:rFonts w:hint="eastAsia"/>
          <w:b/>
          <w:sz w:val="24"/>
          <w:szCs w:val="24"/>
        </w:rPr>
        <w:t>与</w:t>
      </w:r>
      <w:r>
        <w:rPr>
          <w:b/>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adjustRightInd w:val="0"/>
        <w:snapToGrid w:val="0"/>
        <w:spacing w:line="360" w:lineRule="auto"/>
        <w:ind w:firstLine="482" w:firstLineChars="200"/>
        <w:rPr>
          <w:b/>
          <w:sz w:val="24"/>
          <w:szCs w:val="24"/>
        </w:rPr>
      </w:pPr>
      <w:r>
        <w:rPr>
          <w:b/>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直销机构首次申购的最低金额为单笔100</w:t>
      </w:r>
      <w:r>
        <w:rPr>
          <w:rFonts w:hint="eastAsia"/>
          <w:kern w:val="0"/>
          <w:sz w:val="24"/>
          <w:szCs w:val="24"/>
        </w:rPr>
        <w:t>万</w:t>
      </w:r>
      <w:r>
        <w:rPr>
          <w:kern w:val="0"/>
          <w:sz w:val="24"/>
          <w:szCs w:val="24"/>
        </w:rPr>
        <w:t>元，追加申购的最低金额为单笔10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31"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每个工作日投资人在单个基金交易账户保留的本基金基金份额余额少于1份时，若当日该账户同时有基金份额减少类业务（如赎回、转换出等）被确认，则基金管理人有权将投资人在该账户保留的本基金基金份额一次性全部赎回。</w:t>
      </w:r>
      <w:bookmarkEnd w:id="31"/>
    </w:p>
    <w:p>
      <w:pPr>
        <w:widowControl/>
        <w:adjustRightInd w:val="0"/>
        <w:snapToGrid w:val="0"/>
        <w:spacing w:line="360" w:lineRule="auto"/>
        <w:ind w:firstLine="480" w:firstLineChars="200"/>
        <w:rPr>
          <w:rFonts w:hAnsi="宋体"/>
          <w:sz w:val="24"/>
          <w:szCs w:val="24"/>
        </w:rPr>
      </w:pPr>
      <w:r>
        <w:rPr>
          <w:rFonts w:hAnsi="宋体"/>
          <w:sz w:val="24"/>
          <w:szCs w:val="24"/>
        </w:rPr>
        <w:t>4</w:t>
      </w:r>
      <w:r>
        <w:rPr>
          <w:rFonts w:hint="eastAsia" w:hAnsi="宋体"/>
          <w:sz w:val="24"/>
          <w:szCs w:val="24"/>
        </w:rPr>
        <w:t>、基金管理人可以规定基金总规模上限、单个投资人累计持有的基金份额上限，具体规定请参见相关公告。</w:t>
      </w:r>
    </w:p>
    <w:p>
      <w:pPr>
        <w:widowControl/>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rPr>
          <w:b/>
          <w:sz w:val="24"/>
          <w:szCs w:val="24"/>
        </w:rPr>
      </w:pPr>
      <w:r>
        <w:rPr>
          <w:b/>
          <w:sz w:val="24"/>
          <w:szCs w:val="24"/>
        </w:rPr>
        <w:t>（五）申购和赎回的程序</w:t>
      </w:r>
    </w:p>
    <w:p>
      <w:pPr>
        <w:adjustRightInd w:val="0"/>
        <w:snapToGrid w:val="0"/>
        <w:spacing w:line="360" w:lineRule="auto"/>
        <w:ind w:firstLine="480" w:firstLineChars="200"/>
        <w:rPr>
          <w:sz w:val="24"/>
          <w:szCs w:val="24"/>
        </w:rPr>
      </w:pPr>
      <w:r>
        <w:rPr>
          <w:sz w:val="24"/>
          <w:szCs w:val="24"/>
        </w:rPr>
        <w:t>1、申购和赎回的申请方式</w:t>
      </w:r>
    </w:p>
    <w:p>
      <w:pPr>
        <w:adjustRightInd w:val="0"/>
        <w:snapToGrid w:val="0"/>
        <w:spacing w:line="360" w:lineRule="auto"/>
        <w:ind w:firstLine="480" w:firstLineChars="200"/>
        <w:rPr>
          <w:sz w:val="24"/>
          <w:szCs w:val="24"/>
        </w:rPr>
      </w:pPr>
      <w:r>
        <w:rPr>
          <w:rFonts w:hint="eastAsia"/>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adjustRightInd w:val="0"/>
        <w:snapToGrid w:val="0"/>
        <w:spacing w:line="360" w:lineRule="auto"/>
        <w:ind w:firstLine="480" w:firstLineChars="200"/>
        <w:rPr>
          <w:sz w:val="24"/>
          <w:szCs w:val="24"/>
        </w:rPr>
      </w:pPr>
      <w:r>
        <w:rPr>
          <w:sz w:val="24"/>
          <w:szCs w:val="24"/>
        </w:rPr>
        <w:t>2</w:t>
      </w:r>
      <w:r>
        <w:rPr>
          <w:rFonts w:hint="eastAsia"/>
          <w:sz w:val="24"/>
          <w:szCs w:val="24"/>
        </w:rPr>
        <w:t>、</w:t>
      </w:r>
      <w:r>
        <w:rPr>
          <w:sz w:val="24"/>
          <w:szCs w:val="24"/>
        </w:rPr>
        <w:t>申购和赎回的款项支付</w:t>
      </w:r>
    </w:p>
    <w:p>
      <w:pPr>
        <w:adjustRightInd w:val="0"/>
        <w:snapToGrid w:val="0"/>
        <w:spacing w:line="360" w:lineRule="auto"/>
        <w:ind w:firstLine="480" w:firstLineChars="200"/>
        <w:rPr>
          <w:sz w:val="24"/>
          <w:szCs w:val="24"/>
        </w:rPr>
      </w:pPr>
      <w:r>
        <w:rPr>
          <w:rFonts w:hint="eastAsia"/>
          <w:sz w:val="24"/>
          <w:szCs w:val="24"/>
        </w:rPr>
        <w:t>投资人申购基金份额时，必须全额交付申购款项，若申购资金在规定时间内未全额到账则申购不成立。投资人全额交付申购款项，申购成立；基金登记机构确认基金份额时，申购生效。</w:t>
      </w:r>
    </w:p>
    <w:p>
      <w:pPr>
        <w:adjustRightInd w:val="0"/>
        <w:snapToGrid w:val="0"/>
        <w:spacing w:line="360" w:lineRule="auto"/>
        <w:ind w:firstLine="480" w:firstLineChars="200"/>
        <w:rPr>
          <w:sz w:val="24"/>
          <w:szCs w:val="24"/>
        </w:rPr>
      </w:pPr>
      <w:r>
        <w:rPr>
          <w:rFonts w:hint="eastAsia"/>
          <w:sz w:val="24"/>
          <w:szCs w:val="24"/>
        </w:rPr>
        <w:t>基金份额持有人递交赎回申请，赎回成立；基金登记机构确认赎回时，赎回生效。投资者赎回申请生效后，基金管理人将在T</w:t>
      </w:r>
      <w:r>
        <w:rPr>
          <w:sz w:val="24"/>
          <w:szCs w:val="24"/>
        </w:rPr>
        <w:t>+</w:t>
      </w:r>
      <w:r>
        <w:rPr>
          <w:rFonts w:hint="eastAsia"/>
          <w:sz w:val="24"/>
          <w:szCs w:val="24"/>
        </w:rPr>
        <w:t>7日（包括该日）内支付赎回款项。在发生巨额赎回或基金合同载明的其他暂停赎回或延缓支付赎回款项的情形时，款项的支付办法参照基金合同有关条款处理。</w:t>
      </w:r>
    </w:p>
    <w:p>
      <w:pPr>
        <w:adjustRightInd w:val="0"/>
        <w:snapToGrid w:val="0"/>
        <w:spacing w:line="360" w:lineRule="auto"/>
        <w:ind w:firstLine="480" w:firstLineChars="200"/>
        <w:rPr>
          <w:sz w:val="24"/>
          <w:szCs w:val="24"/>
        </w:rPr>
      </w:pPr>
      <w:r>
        <w:rPr>
          <w:sz w:val="24"/>
          <w:szCs w:val="24"/>
        </w:rPr>
        <w:t>3</w:t>
      </w:r>
      <w:r>
        <w:rPr>
          <w:rFonts w:hint="eastAsia"/>
          <w:sz w:val="24"/>
          <w:szCs w:val="24"/>
        </w:rPr>
        <w:t>、</w:t>
      </w:r>
      <w:r>
        <w:rPr>
          <w:sz w:val="24"/>
          <w:szCs w:val="24"/>
        </w:rPr>
        <w:t>申购和赎回申请的确认</w:t>
      </w:r>
    </w:p>
    <w:p>
      <w:pPr>
        <w:adjustRightInd w:val="0"/>
        <w:snapToGrid w:val="0"/>
        <w:spacing w:line="360" w:lineRule="auto"/>
        <w:ind w:firstLine="480" w:firstLineChars="200"/>
        <w:rPr>
          <w:sz w:val="24"/>
          <w:szCs w:val="24"/>
        </w:rPr>
      </w:pPr>
      <w:r>
        <w:rPr>
          <w:rFonts w:hint="eastAsia"/>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adjustRightInd w:val="0"/>
        <w:snapToGrid w:val="0"/>
        <w:spacing w:line="360" w:lineRule="auto"/>
        <w:ind w:firstLine="480" w:firstLineChars="200"/>
        <w:rPr>
          <w:sz w:val="24"/>
          <w:szCs w:val="24"/>
        </w:rPr>
      </w:pPr>
      <w:r>
        <w:rPr>
          <w:rFonts w:hint="eastAsia"/>
          <w:sz w:val="24"/>
          <w:szCs w:val="24"/>
        </w:rPr>
        <w:t>基金管理人可在法律法规允许的范围内，依法对上述申购和赎回申请的确认时间进行调整，并必须在调整实施日前按照《信息披露办法》的有关规定在规定媒介上公告。</w:t>
      </w:r>
    </w:p>
    <w:p>
      <w:pPr>
        <w:adjustRightInd w:val="0"/>
        <w:snapToGrid w:val="0"/>
        <w:spacing w:line="360" w:lineRule="auto"/>
        <w:ind w:firstLine="480" w:firstLineChars="200"/>
        <w:rPr>
          <w:sz w:val="24"/>
          <w:szCs w:val="24"/>
        </w:rPr>
      </w:pPr>
      <w:r>
        <w:rPr>
          <w:rFonts w:hint="eastAsia"/>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adjustRightInd w:val="0"/>
        <w:snapToGrid w:val="0"/>
        <w:spacing w:line="360" w:lineRule="auto"/>
        <w:ind w:firstLine="480" w:firstLineChars="200"/>
        <w:rPr>
          <w:sz w:val="24"/>
          <w:szCs w:val="24"/>
        </w:rPr>
      </w:pPr>
      <w:r>
        <w:rPr>
          <w:sz w:val="24"/>
          <w:szCs w:val="24"/>
        </w:rPr>
        <w:t>4、申购和赎回的登记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w:t>
      </w:r>
      <w:r>
        <w:rPr>
          <w:rFonts w:hint="eastAsia" w:hAnsi="宋体"/>
          <w:sz w:val="24"/>
          <w:szCs w:val="24"/>
        </w:rPr>
        <w:t>，投资人自T＋2日起（包括该日）有权赎回该部分基金份额</w:t>
      </w:r>
      <w:r>
        <w:rPr>
          <w:rFonts w:hAnsi="宋体"/>
          <w:sz w:val="24"/>
          <w:szCs w:val="24"/>
        </w:rPr>
        <w:t>。投资人应及时查询有关申请的确认情况。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adjustRightInd w:val="0"/>
        <w:snapToGrid w:val="0"/>
        <w:spacing w:line="360" w:lineRule="auto"/>
        <w:ind w:firstLine="482" w:firstLineChars="200"/>
        <w:rPr>
          <w:b/>
          <w:sz w:val="24"/>
          <w:szCs w:val="24"/>
        </w:rPr>
      </w:pPr>
      <w:r>
        <w:rPr>
          <w:b/>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不从该类别基金资产中计提销售服务费；申购C类基金份额不支付申购费用、从该类别基金资产中计提销售服务费。</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color w:val="000000"/>
          <w:sz w:val="24"/>
          <w:szCs w:val="24"/>
        </w:rPr>
        <w:t>A类基金份额</w:t>
      </w:r>
      <w:r>
        <w:rPr>
          <w:rFonts w:hAnsi="宋体"/>
          <w:sz w:val="24"/>
          <w:szCs w:val="24"/>
        </w:rPr>
        <w:t>的申购费用由</w:t>
      </w:r>
      <w:r>
        <w:rPr>
          <w:rFonts w:hint="eastAsia" w:hAnsi="宋体"/>
          <w:sz w:val="24"/>
          <w:szCs w:val="24"/>
        </w:rPr>
        <w:t>申购A类基金份额的投资人</w:t>
      </w:r>
      <w:r>
        <w:rPr>
          <w:rFonts w:hAnsi="宋体"/>
          <w:sz w:val="24"/>
          <w:szCs w:val="24"/>
        </w:rPr>
        <w:t>承担，不列入基金财产，主要用于本基金的市场推广、销售、登记</w:t>
      </w:r>
      <w:r>
        <w:rPr>
          <w:rFonts w:hint="eastAsia" w:hAnsi="宋体"/>
          <w:sz w:val="24"/>
          <w:szCs w:val="24"/>
        </w:rPr>
        <w:t>结算</w:t>
      </w:r>
      <w:r>
        <w:rPr>
          <w:rFonts w:hAnsi="宋体"/>
          <w:sz w:val="24"/>
          <w:szCs w:val="24"/>
        </w:rPr>
        <w:t>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w:t>
      </w:r>
      <w:r>
        <w:rPr>
          <w:sz w:val="24"/>
        </w:rPr>
        <w:t>A</w:t>
      </w:r>
      <w:r>
        <w:rPr>
          <w:rFonts w:hint="eastAsia"/>
          <w:sz w:val="24"/>
        </w:rPr>
        <w:t>类基金份额的</w:t>
      </w:r>
      <w:r>
        <w:rPr>
          <w:rFonts w:hAnsi="宋体"/>
          <w:sz w:val="24"/>
          <w:szCs w:val="24"/>
        </w:rPr>
        <w:t>申购费</w:t>
      </w:r>
      <w:r>
        <w:rPr>
          <w:rFonts w:hint="eastAsia" w:hAnsi="宋体"/>
          <w:sz w:val="24"/>
          <w:szCs w:val="24"/>
        </w:rPr>
        <w:t>用</w:t>
      </w:r>
      <w:r>
        <w:rPr>
          <w:rFonts w:hAnsi="宋体"/>
          <w:sz w:val="24"/>
          <w:szCs w:val="24"/>
        </w:rPr>
        <w:t>按</w:t>
      </w:r>
      <w:r>
        <w:rPr>
          <w:sz w:val="24"/>
        </w:rPr>
        <w:t>A</w:t>
      </w:r>
      <w:r>
        <w:rPr>
          <w:rFonts w:hint="eastAsia"/>
          <w:sz w:val="24"/>
        </w:rPr>
        <w:t>类基金份额</w:t>
      </w:r>
      <w:r>
        <w:rPr>
          <w:rFonts w:hAnsi="宋体"/>
          <w:sz w:val="24"/>
          <w:szCs w:val="24"/>
        </w:rPr>
        <w:t>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sz w:val="24"/>
              </w:rPr>
              <w:t>万元以下</w:t>
            </w:r>
          </w:p>
        </w:tc>
        <w:tc>
          <w:tcPr>
            <w:tcW w:w="4079" w:type="dxa"/>
            <w:vAlign w:val="center"/>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sz w:val="24"/>
              </w:rPr>
              <w:t>万元以上（含</w:t>
            </w:r>
            <w:r>
              <w:rPr>
                <w:rFonts w:hint="eastAsia"/>
                <w:sz w:val="24"/>
              </w:rPr>
              <w:t>1000</w:t>
            </w:r>
            <w:r>
              <w:rPr>
                <w:sz w:val="24"/>
              </w:rPr>
              <w:t>万</w:t>
            </w:r>
            <w:r>
              <w:rPr>
                <w:rFonts w:hint="eastAsia"/>
                <w:sz w:val="24"/>
              </w:rPr>
              <w:t>元</w:t>
            </w:r>
            <w:r>
              <w:rPr>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A类基金份额特定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sz w:val="24"/>
              </w:rPr>
              <w:t>万元以下</w:t>
            </w:r>
          </w:p>
        </w:tc>
        <w:tc>
          <w:tcPr>
            <w:tcW w:w="3938" w:type="dxa"/>
            <w:vAlign w:val="center"/>
          </w:tcPr>
          <w:p>
            <w:pPr>
              <w:adjustRightInd w:val="0"/>
              <w:snapToGrid w:val="0"/>
              <w:jc w:val="center"/>
              <w:rPr>
                <w:sz w:val="24"/>
              </w:rPr>
            </w:pPr>
            <w:r>
              <w:rPr>
                <w:kern w:val="0"/>
                <w:sz w:val="24"/>
                <w:szCs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rFonts w:hint="eastAsia"/>
                <w:sz w:val="24"/>
              </w:rPr>
              <w:t>1000</w:t>
            </w:r>
            <w:r>
              <w:rPr>
                <w:sz w:val="24"/>
              </w:rPr>
              <w:t>万元以上（含</w:t>
            </w:r>
            <w:r>
              <w:rPr>
                <w:rFonts w:hint="eastAsia"/>
                <w:sz w:val="24"/>
              </w:rPr>
              <w:t>1000</w:t>
            </w:r>
            <w:r>
              <w:rPr>
                <w:sz w:val="24"/>
              </w:rPr>
              <w:t>万</w:t>
            </w:r>
            <w:r>
              <w:rPr>
                <w:rFonts w:hint="eastAsia"/>
                <w:sz w:val="24"/>
              </w:rPr>
              <w:t>元</w:t>
            </w:r>
            <w:r>
              <w:rPr>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（1）本基金A类基金份额的赎回费用由赎回A类基金份额的基金份额持有人承担，</w:t>
      </w:r>
      <w:r>
        <w:rPr>
          <w:rFonts w:hint="eastAsia"/>
          <w:sz w:val="24"/>
          <w:szCs w:val="24"/>
        </w:rPr>
        <w:t>在基金份额持有人赎回基金份额时收取，</w:t>
      </w:r>
      <w:r>
        <w:rPr>
          <w:rFonts w:hint="eastAsia" w:hAnsi="宋体"/>
          <w:sz w:val="24"/>
          <w:szCs w:val="24"/>
        </w:rPr>
        <w:t>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w:t>
      </w:r>
      <w:r>
        <w:rPr>
          <w:rFonts w:hAnsi="宋体"/>
          <w:sz w:val="24"/>
          <w:szCs w:val="24"/>
        </w:rPr>
        <w:t>25</w:t>
      </w:r>
      <w:r>
        <w:rPr>
          <w:rFonts w:hint="eastAsia" w:hAnsi="宋体"/>
          <w:sz w:val="24"/>
          <w:szCs w:val="24"/>
        </w:rPr>
        <w:t>%计入基金财产。上述</w:t>
      </w:r>
      <w:r>
        <w:rPr>
          <w:rFonts w:hAnsi="宋体"/>
          <w:sz w:val="24"/>
          <w:szCs w:val="24"/>
        </w:rPr>
        <w:t>“</w:t>
      </w:r>
      <w:r>
        <w:rPr>
          <w:rFonts w:hint="eastAsia" w:hAnsi="宋体"/>
          <w:sz w:val="24"/>
          <w:szCs w:val="24"/>
        </w:rPr>
        <w:t>月</w:t>
      </w:r>
      <w:r>
        <w:rPr>
          <w:rFonts w:hAnsi="宋体"/>
          <w:sz w:val="24"/>
          <w:szCs w:val="24"/>
        </w:rPr>
        <w:t>”</w:t>
      </w:r>
      <w:r>
        <w:rPr>
          <w:rFonts w:hint="eastAsia" w:hAnsi="宋体"/>
          <w:sz w:val="24"/>
          <w:szCs w:val="24"/>
        </w:rPr>
        <w:t>指的是30个自然日。未归入基金财产的部分用于支付登记费和其他必要的手续费。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本基金A类基金份额的赎回费率如下：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tcBorders>
              <w:top w:val="single" w:color="808080" w:sz="4" w:space="0"/>
              <w:left w:val="single" w:color="808080" w:sz="4" w:space="0"/>
              <w:bottom w:val="single" w:color="808080" w:sz="4" w:space="0"/>
              <w:right w:val="single" w:color="808080" w:sz="4" w:space="0"/>
              <w:tl2br w:val="nil"/>
              <w:tr2bl w:val="nil"/>
            </w:tcBorders>
            <w:shd w:val="clear" w:color="auto" w:fill="auto"/>
            <w:vAlign w:val="center"/>
          </w:tcPr>
          <w:p>
            <w:pPr>
              <w:adjustRightInd w:val="0"/>
              <w:snapToGrid w:val="0"/>
              <w:jc w:val="center"/>
              <w:rPr>
                <w:sz w:val="24"/>
                <w:szCs w:val="24"/>
              </w:rPr>
            </w:pPr>
            <w:r>
              <w:rPr>
                <w:rFonts w:hint="eastAsia" w:hAnsi="宋体"/>
                <w:sz w:val="24"/>
                <w:szCs w:val="24"/>
              </w:rPr>
              <w:t>A类基金份额的赎回费率</w:t>
            </w:r>
          </w:p>
        </w:tc>
        <w:tc>
          <w:tcPr>
            <w:tcW w:w="324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hAnsi="宋体"/>
                <w:b/>
                <w:sz w:val="24"/>
                <w:szCs w:val="24"/>
              </w:rPr>
              <w:t>持有期限</w:t>
            </w:r>
          </w:p>
        </w:tc>
        <w:tc>
          <w:tcPr>
            <w:tcW w:w="1926"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hAnsi="宋体"/>
                <w:b/>
                <w:sz w:val="24"/>
                <w:szCs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7日</w:t>
            </w:r>
            <w:r>
              <w:rPr>
                <w:rFonts w:hint="eastAsia" w:hAnsi="宋体"/>
                <w:sz w:val="24"/>
                <w:szCs w:val="24"/>
              </w:rPr>
              <w:t>以内</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1</w:t>
            </w:r>
            <w:r>
              <w:rPr>
                <w:sz w:val="24"/>
                <w:szCs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7日（含）—30日</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30日（含）—1年</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p>
        </w:tc>
        <w:tc>
          <w:tcPr>
            <w:tcW w:w="324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w:t>
            </w:r>
            <w:r>
              <w:rPr>
                <w:rFonts w:hint="eastAsia" w:hAnsi="宋体"/>
                <w:sz w:val="24"/>
                <w:szCs w:val="24"/>
              </w:rPr>
              <w:t>年以上（含）</w:t>
            </w:r>
          </w:p>
        </w:tc>
        <w:tc>
          <w:tcPr>
            <w:tcW w:w="1926"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（2）本基金C类基金份额的赎回费用由赎回C类基金份额的基金份额持有人承担，在基金份额持有人赎回C类基金份额时收取，对C类基金份额持有人收取的赎回费全额计入基金财产。</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本基金C类基金份额的赎回费率如下：</w:t>
      </w:r>
    </w:p>
    <w:tbl>
      <w:tblPr>
        <w:tblStyle w:val="28"/>
        <w:tblW w:w="0" w:type="auto"/>
        <w:tblInd w:w="39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551"/>
        <w:gridCol w:w="2977"/>
        <w:gridCol w:w="24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551" w:type="dxa"/>
            <w:vMerge w:val="restart"/>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color w:val="000000"/>
                <w:sz w:val="24"/>
                <w:szCs w:val="24"/>
              </w:rPr>
            </w:pPr>
            <w:r>
              <w:rPr>
                <w:rFonts w:hint="eastAsia" w:ascii="宋体" w:hAnsi="宋体"/>
                <w:color w:val="000000"/>
                <w:sz w:val="24"/>
                <w:szCs w:val="24"/>
              </w:rPr>
              <w:t>C类基金份额的</w:t>
            </w:r>
          </w:p>
          <w:p>
            <w:pPr>
              <w:adjustRightInd w:val="0"/>
              <w:snapToGrid w:val="0"/>
              <w:jc w:val="center"/>
              <w:rPr>
                <w:rFonts w:ascii="宋体" w:hAnsi="宋体"/>
                <w:color w:val="000000"/>
                <w:sz w:val="24"/>
                <w:szCs w:val="24"/>
              </w:rPr>
            </w:pPr>
            <w:r>
              <w:rPr>
                <w:rFonts w:hint="eastAsia" w:ascii="宋体" w:hAnsi="宋体"/>
                <w:color w:val="000000"/>
                <w:sz w:val="24"/>
                <w:szCs w:val="24"/>
              </w:rPr>
              <w:t>赎回费率</w:t>
            </w:r>
          </w:p>
        </w:tc>
        <w:tc>
          <w:tcPr>
            <w:tcW w:w="297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持有期限</w:t>
            </w:r>
          </w:p>
        </w:tc>
        <w:tc>
          <w:tcPr>
            <w:tcW w:w="2410"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rFonts w:ascii="宋体" w:hAnsi="宋体"/>
                <w:b/>
                <w:color w:val="000000"/>
                <w:sz w:val="24"/>
                <w:szCs w:val="24"/>
              </w:rPr>
            </w:pPr>
            <w:r>
              <w:rPr>
                <w:rFonts w:hint="eastAsia" w:ascii="宋体" w:hAnsi="宋体"/>
                <w:b/>
                <w:color w:val="000000"/>
                <w:sz w:val="24"/>
                <w:szCs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7日以内</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7日（含）-30日</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5" w:hRule="atLeast"/>
        </w:trPr>
        <w:tc>
          <w:tcPr>
            <w:tcW w:w="2551" w:type="dxa"/>
            <w:vMerge w:val="continue"/>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p>
        </w:tc>
        <w:tc>
          <w:tcPr>
            <w:tcW w:w="297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rFonts w:ascii="宋体" w:hAnsi="宋体"/>
                <w:color w:val="000000"/>
                <w:sz w:val="24"/>
                <w:szCs w:val="24"/>
              </w:rPr>
            </w:pPr>
            <w:r>
              <w:rPr>
                <w:rFonts w:hint="eastAsia" w:ascii="宋体" w:hAnsi="宋体"/>
                <w:color w:val="000000"/>
                <w:sz w:val="24"/>
                <w:szCs w:val="24"/>
              </w:rPr>
              <w:t>30日以上（含）</w:t>
            </w:r>
          </w:p>
        </w:tc>
        <w:tc>
          <w:tcPr>
            <w:tcW w:w="241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ascii="宋体" w:hAnsi="宋体"/>
                <w:color w:val="000000"/>
                <w:sz w:val="24"/>
                <w:szCs w:val="24"/>
              </w:rPr>
            </w:pPr>
            <w:r>
              <w:rPr>
                <w:rFonts w:hint="eastAsia" w:ascii="宋体" w:hAnsi="宋体"/>
                <w:color w:val="000000"/>
                <w:sz w:val="24"/>
                <w:szCs w:val="24"/>
              </w:rPr>
              <w:t>0</w:t>
            </w:r>
          </w:p>
        </w:tc>
      </w:tr>
    </w:tbl>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bCs/>
          <w:sz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adjustRightInd w:val="0"/>
        <w:snapToGrid w:val="0"/>
        <w:spacing w:line="360" w:lineRule="auto"/>
        <w:ind w:firstLine="482" w:firstLineChars="200"/>
        <w:rPr>
          <w:b/>
          <w:sz w:val="24"/>
          <w:szCs w:val="24"/>
        </w:rPr>
      </w:pPr>
      <w:bookmarkStart w:id="32" w:name="_Hlt81024033"/>
      <w:bookmarkEnd w:id="32"/>
      <w:bookmarkStart w:id="33" w:name="_Hlt90458725"/>
      <w:bookmarkEnd w:id="33"/>
      <w:bookmarkStart w:id="34" w:name="_Hlt91144389"/>
      <w:bookmarkEnd w:id="34"/>
      <w:r>
        <w:rPr>
          <w:b/>
          <w:sz w:val="24"/>
          <w:szCs w:val="24"/>
        </w:rPr>
        <w:t>（七）申购和赎回的数额和价格</w:t>
      </w:r>
    </w:p>
    <w:p>
      <w:pPr>
        <w:adjustRightInd w:val="0"/>
        <w:snapToGrid w:val="0"/>
        <w:spacing w:line="360" w:lineRule="auto"/>
        <w:ind w:firstLine="480" w:firstLineChars="200"/>
        <w:rPr>
          <w:sz w:val="24"/>
          <w:szCs w:val="24"/>
        </w:rPr>
      </w:pPr>
      <w:r>
        <w:rPr>
          <w:sz w:val="24"/>
          <w:szCs w:val="24"/>
        </w:rPr>
        <w:t>1、申购和赎回数额、余额的处理方式</w:t>
      </w:r>
    </w:p>
    <w:p>
      <w:pPr>
        <w:adjustRightInd w:val="0"/>
        <w:snapToGrid w:val="0"/>
        <w:spacing w:line="360" w:lineRule="auto"/>
        <w:ind w:firstLine="480" w:firstLineChars="200"/>
        <w:rPr>
          <w:sz w:val="24"/>
          <w:szCs w:val="24"/>
        </w:rPr>
      </w:pPr>
      <w:r>
        <w:rPr>
          <w:sz w:val="24"/>
          <w:szCs w:val="24"/>
        </w:rPr>
        <w:t>（1）申购A类基金份额</w:t>
      </w:r>
      <w:r>
        <w:rPr>
          <w:rFonts w:hint="eastAsia"/>
          <w:sz w:val="24"/>
          <w:szCs w:val="24"/>
        </w:rPr>
        <w:t>或C类基金份额</w:t>
      </w:r>
      <w:r>
        <w:rPr>
          <w:sz w:val="24"/>
          <w:szCs w:val="24"/>
        </w:rPr>
        <w:t>的有效份额为净申购金额除以当日</w:t>
      </w:r>
      <w:r>
        <w:rPr>
          <w:rFonts w:hint="eastAsia"/>
          <w:sz w:val="24"/>
          <w:szCs w:val="24"/>
        </w:rPr>
        <w:t>该类基金份额</w:t>
      </w:r>
      <w:r>
        <w:rPr>
          <w:sz w:val="24"/>
          <w:szCs w:val="24"/>
        </w:rPr>
        <w:t>的基金份额净值，有效份额单位为份，</w:t>
      </w:r>
      <w:r>
        <w:rPr>
          <w:rFonts w:hint="eastAsia"/>
          <w:sz w:val="24"/>
          <w:szCs w:val="24"/>
        </w:rPr>
        <w:t>申购份额</w:t>
      </w:r>
      <w:r>
        <w:rPr>
          <w:sz w:val="24"/>
          <w:szCs w:val="24"/>
        </w:rPr>
        <w:t>计算结果按四舍五入方法，保留到小数点后</w:t>
      </w:r>
      <w:r>
        <w:rPr>
          <w:rFonts w:hint="eastAsia"/>
          <w:sz w:val="24"/>
          <w:szCs w:val="24"/>
        </w:rPr>
        <w:t>2</w:t>
      </w:r>
      <w:r>
        <w:rPr>
          <w:sz w:val="24"/>
          <w:szCs w:val="24"/>
        </w:rPr>
        <w:t>位，由此产生的收益或损失由基金财产承担。</w:t>
      </w:r>
    </w:p>
    <w:p>
      <w:pPr>
        <w:adjustRightInd w:val="0"/>
        <w:snapToGrid w:val="0"/>
        <w:spacing w:line="360" w:lineRule="auto"/>
        <w:ind w:firstLine="480" w:firstLineChars="200"/>
        <w:rPr>
          <w:sz w:val="24"/>
          <w:szCs w:val="24"/>
        </w:rPr>
      </w:pPr>
      <w:r>
        <w:rPr>
          <w:sz w:val="24"/>
          <w:szCs w:val="24"/>
        </w:rPr>
        <w:t>（2）赎回金额为按实际确认的</w:t>
      </w:r>
      <w:r>
        <w:rPr>
          <w:rFonts w:hint="eastAsia"/>
          <w:sz w:val="24"/>
          <w:szCs w:val="24"/>
        </w:rPr>
        <w:t>A类基金份额或C类基金份额的</w:t>
      </w:r>
      <w:r>
        <w:rPr>
          <w:sz w:val="24"/>
          <w:szCs w:val="24"/>
        </w:rPr>
        <w:t>有效赎回份额乘以当日</w:t>
      </w:r>
      <w:r>
        <w:rPr>
          <w:rFonts w:hint="eastAsia"/>
          <w:sz w:val="24"/>
          <w:szCs w:val="24"/>
        </w:rPr>
        <w:t>该类</w:t>
      </w:r>
      <w:r>
        <w:rPr>
          <w:sz w:val="24"/>
          <w:szCs w:val="24"/>
        </w:rPr>
        <w:t>基金份额</w:t>
      </w:r>
      <w:r>
        <w:rPr>
          <w:rFonts w:hint="eastAsia"/>
          <w:sz w:val="24"/>
          <w:szCs w:val="24"/>
        </w:rPr>
        <w:t>的</w:t>
      </w:r>
      <w:r>
        <w:rPr>
          <w:sz w:val="24"/>
          <w:szCs w:val="24"/>
        </w:rPr>
        <w:t>基金份额净值并扣除相应的费用（如有），赎回金额单位为元。</w:t>
      </w:r>
      <w:r>
        <w:rPr>
          <w:rFonts w:hint="eastAsia"/>
          <w:sz w:val="24"/>
          <w:szCs w:val="24"/>
        </w:rPr>
        <w:t>赎回金额</w:t>
      </w:r>
      <w:r>
        <w:rPr>
          <w:sz w:val="24"/>
          <w:szCs w:val="24"/>
        </w:rPr>
        <w:t>计算结果按四舍五入方法，保留到小数点后</w:t>
      </w:r>
      <w:r>
        <w:rPr>
          <w:rFonts w:hint="eastAsia"/>
          <w:sz w:val="24"/>
          <w:szCs w:val="24"/>
        </w:rPr>
        <w:t>2</w:t>
      </w:r>
      <w:r>
        <w:rPr>
          <w:sz w:val="24"/>
          <w:szCs w:val="24"/>
        </w:rPr>
        <w:t>位，由此产生的收益或损失由基金财产承担。</w:t>
      </w:r>
    </w:p>
    <w:p>
      <w:pPr>
        <w:adjustRightInd w:val="0"/>
        <w:snapToGrid w:val="0"/>
        <w:spacing w:line="360" w:lineRule="auto"/>
        <w:ind w:firstLine="480" w:firstLineChars="200"/>
        <w:rPr>
          <w:sz w:val="24"/>
          <w:szCs w:val="24"/>
        </w:rPr>
      </w:pPr>
      <w:r>
        <w:rPr>
          <w:sz w:val="24"/>
          <w:szCs w:val="24"/>
        </w:rPr>
        <w:t>2、申购份额的计算</w:t>
      </w:r>
    </w:p>
    <w:p>
      <w:pPr>
        <w:adjustRightInd w:val="0"/>
        <w:snapToGrid w:val="0"/>
        <w:spacing w:line="360" w:lineRule="auto"/>
        <w:ind w:firstLine="480" w:firstLineChars="200"/>
        <w:rPr>
          <w:sz w:val="24"/>
          <w:szCs w:val="24"/>
        </w:rPr>
      </w:pPr>
      <w:r>
        <w:rPr>
          <w:rFonts w:hint="eastAsia"/>
          <w:sz w:val="24"/>
          <w:szCs w:val="24"/>
        </w:rPr>
        <w:t>本基金采用金额申购的方式。</w:t>
      </w:r>
    </w:p>
    <w:p>
      <w:pPr>
        <w:adjustRightInd w:val="0"/>
        <w:snapToGrid w:val="0"/>
        <w:spacing w:line="360" w:lineRule="auto"/>
        <w:ind w:firstLine="480" w:firstLineChars="200"/>
        <w:rPr>
          <w:sz w:val="24"/>
          <w:szCs w:val="24"/>
        </w:rPr>
      </w:pPr>
      <w:r>
        <w:rPr>
          <w:sz w:val="24"/>
          <w:szCs w:val="24"/>
        </w:rPr>
        <w:t>（1）</w:t>
      </w:r>
      <w:r>
        <w:rPr>
          <w:rFonts w:hint="eastAsia"/>
          <w:sz w:val="24"/>
          <w:szCs w:val="24"/>
        </w:rPr>
        <w:t>A类基金份额的申购</w:t>
      </w:r>
    </w:p>
    <w:p>
      <w:pPr>
        <w:adjustRightInd w:val="0"/>
        <w:snapToGrid w:val="0"/>
        <w:spacing w:line="360" w:lineRule="auto"/>
        <w:ind w:firstLine="480" w:firstLineChars="200"/>
        <w:rPr>
          <w:sz w:val="24"/>
          <w:szCs w:val="24"/>
        </w:rPr>
      </w:pPr>
      <w:r>
        <w:rPr>
          <w:rFonts w:hint="eastAsia"/>
          <w:sz w:val="24"/>
          <w:szCs w:val="24"/>
        </w:rPr>
        <w:t>申购总金额=申请总金额</w:t>
      </w:r>
    </w:p>
    <w:p>
      <w:pPr>
        <w:adjustRightInd w:val="0"/>
        <w:snapToGrid w:val="0"/>
        <w:spacing w:line="360" w:lineRule="auto"/>
        <w:ind w:firstLine="480" w:firstLineChars="200"/>
        <w:rPr>
          <w:sz w:val="24"/>
          <w:szCs w:val="24"/>
        </w:rPr>
      </w:pPr>
      <w:r>
        <w:rPr>
          <w:rFonts w:hint="eastAsia"/>
          <w:sz w:val="24"/>
          <w:szCs w:val="24"/>
        </w:rPr>
        <w:t>净申购金额=申购总金额/（1+申购费率）</w:t>
      </w:r>
    </w:p>
    <w:p>
      <w:pPr>
        <w:adjustRightInd w:val="0"/>
        <w:snapToGrid w:val="0"/>
        <w:spacing w:line="360" w:lineRule="auto"/>
        <w:ind w:firstLine="480" w:firstLineChars="200"/>
        <w:rPr>
          <w:sz w:val="24"/>
          <w:szCs w:val="24"/>
        </w:rPr>
      </w:pPr>
      <w:r>
        <w:rPr>
          <w:rFonts w:hint="eastAsia"/>
          <w:sz w:val="24"/>
          <w:szCs w:val="24"/>
        </w:rPr>
        <w:t>（注：对于适用固定金额申购费用的申购，净申购金额＝申购总金额－固定申购费用金额）</w:t>
      </w:r>
    </w:p>
    <w:p>
      <w:pPr>
        <w:adjustRightInd w:val="0"/>
        <w:snapToGrid w:val="0"/>
        <w:spacing w:line="360" w:lineRule="auto"/>
        <w:ind w:firstLine="480" w:firstLineChars="200"/>
        <w:rPr>
          <w:sz w:val="24"/>
          <w:szCs w:val="24"/>
        </w:rPr>
      </w:pPr>
      <w:r>
        <w:rPr>
          <w:rFonts w:hint="eastAsia"/>
          <w:sz w:val="24"/>
          <w:szCs w:val="24"/>
        </w:rPr>
        <w:t>申购费用=申购总金额-净申购金额</w:t>
      </w:r>
    </w:p>
    <w:p>
      <w:pPr>
        <w:adjustRightInd w:val="0"/>
        <w:snapToGrid w:val="0"/>
        <w:spacing w:line="360" w:lineRule="auto"/>
        <w:ind w:firstLine="480" w:firstLineChars="200"/>
        <w:rPr>
          <w:sz w:val="24"/>
          <w:szCs w:val="24"/>
        </w:rPr>
      </w:pPr>
      <w:r>
        <w:rPr>
          <w:rFonts w:hint="eastAsia"/>
          <w:sz w:val="24"/>
          <w:szCs w:val="24"/>
        </w:rPr>
        <w:t>（注：对于适用固定金额申购费用的申购，申购费用＝固定申购费用金额）</w:t>
      </w:r>
    </w:p>
    <w:p>
      <w:pPr>
        <w:adjustRightInd w:val="0"/>
        <w:snapToGrid w:val="0"/>
        <w:spacing w:line="360" w:lineRule="auto"/>
        <w:ind w:firstLine="480" w:firstLineChars="200"/>
        <w:rPr>
          <w:sz w:val="24"/>
          <w:szCs w:val="24"/>
        </w:rPr>
      </w:pPr>
      <w:r>
        <w:rPr>
          <w:rFonts w:hint="eastAsia"/>
          <w:sz w:val="24"/>
          <w:szCs w:val="24"/>
        </w:rPr>
        <w:t>申购份额=净申购金额/T日A类基金份额净值</w:t>
      </w:r>
    </w:p>
    <w:p>
      <w:pPr>
        <w:adjustRightInd w:val="0"/>
        <w:snapToGrid w:val="0"/>
        <w:spacing w:line="360" w:lineRule="auto"/>
        <w:ind w:firstLine="480" w:firstLineChars="200"/>
        <w:rPr>
          <w:sz w:val="24"/>
          <w:szCs w:val="24"/>
        </w:rPr>
      </w:pPr>
      <w:r>
        <w:rPr>
          <w:rFonts w:hint="eastAsia"/>
          <w:sz w:val="24"/>
          <w:szCs w:val="24"/>
        </w:rPr>
        <w:t>例四：某投资者（非养老金客户）投资100,000</w:t>
      </w:r>
      <w:r>
        <w:rPr>
          <w:sz w:val="24"/>
          <w:szCs w:val="24"/>
        </w:rPr>
        <w:t>.00</w:t>
      </w:r>
      <w:r>
        <w:rPr>
          <w:rFonts w:hint="eastAsia"/>
          <w:sz w:val="24"/>
          <w:szCs w:val="24"/>
        </w:rPr>
        <w:t>元申购本基金A类基金份额，假设申购当日A类基金份额净值为1.0400元，申购费率为1.5%，则其可得到的申购份额为：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w:t>
      </w:r>
      <w:r>
        <w:rPr>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w:t>
      </w:r>
      <w:r>
        <w:rPr>
          <w:sz w:val="24"/>
          <w:szCs w:val="24"/>
        </w:rPr>
        <w:t>.00</w:t>
      </w:r>
      <w:r>
        <w:rPr>
          <w:rFonts w:hint="eastAsia" w:hAnsi="宋体"/>
          <w:kern w:val="0"/>
          <w:sz w:val="24"/>
          <w:szCs w:val="24"/>
        </w:rPr>
        <w:t>/（1+</w:t>
      </w:r>
      <w:r>
        <w:rPr>
          <w:rFonts w:hAnsi="宋体"/>
          <w:kern w:val="0"/>
          <w:sz w:val="24"/>
          <w:szCs w:val="24"/>
        </w:rPr>
        <w:t>1.5</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w:t>
      </w:r>
      <w:r>
        <w:rPr>
          <w:sz w:val="24"/>
          <w:szCs w:val="24"/>
        </w:rPr>
        <w:t>.00</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w:t>
      </w:r>
      <w:r>
        <w:rPr>
          <w:rFonts w:hAnsi="宋体"/>
          <w:kern w:val="0"/>
          <w:sz w:val="24"/>
          <w:szCs w:val="24"/>
        </w:rPr>
        <w:t>1</w:t>
      </w:r>
      <w:r>
        <w:rPr>
          <w:rFonts w:hint="eastAsia" w:hAnsi="宋体"/>
          <w:kern w:val="0"/>
          <w:sz w:val="24"/>
          <w:szCs w:val="24"/>
        </w:rPr>
        <w:t>,</w:t>
      </w:r>
      <w:r>
        <w:rPr>
          <w:rFonts w:hAnsi="宋体"/>
          <w:kern w:val="0"/>
          <w:sz w:val="24"/>
          <w:szCs w:val="24"/>
        </w:rPr>
        <w:t>477.83</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/1.0400=9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即：某投资者（非养老金客户）投资100,000</w:t>
      </w:r>
      <w:r>
        <w:rPr>
          <w:sz w:val="24"/>
          <w:szCs w:val="24"/>
        </w:rPr>
        <w:t>.00</w:t>
      </w:r>
      <w:r>
        <w:rPr>
          <w:rFonts w:hint="eastAsia" w:hAnsi="宋体"/>
          <w:kern w:val="0"/>
          <w:sz w:val="24"/>
          <w:szCs w:val="24"/>
        </w:rPr>
        <w:t>元申购本基金A类基金份额，假设申购当日A类基金份额净值为1.0400元，则其可得到9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五</w:t>
      </w:r>
      <w:r>
        <w:rPr>
          <w:rFonts w:hAnsi="宋体"/>
          <w:kern w:val="0"/>
          <w:sz w:val="24"/>
          <w:szCs w:val="24"/>
        </w:rPr>
        <w:t>：</w:t>
      </w:r>
      <w:r>
        <w:rPr>
          <w:rFonts w:hint="eastAsia" w:hAnsi="宋体"/>
          <w:kern w:val="0"/>
          <w:sz w:val="24"/>
          <w:szCs w:val="24"/>
        </w:rPr>
        <w:t>某养老金客户投资1</w:t>
      </w:r>
      <w:r>
        <w:rPr>
          <w:rFonts w:hAnsi="宋体"/>
          <w:kern w:val="0"/>
          <w:sz w:val="24"/>
          <w:szCs w:val="24"/>
        </w:rPr>
        <w:t>,0</w:t>
      </w:r>
      <w:r>
        <w:rPr>
          <w:rFonts w:hint="eastAsia" w:hAnsi="宋体"/>
          <w:kern w:val="0"/>
          <w:sz w:val="24"/>
          <w:szCs w:val="24"/>
        </w:rPr>
        <w:t>00,000</w:t>
      </w:r>
      <w:r>
        <w:rPr>
          <w:sz w:val="24"/>
          <w:szCs w:val="24"/>
        </w:rPr>
        <w:t>.00</w:t>
      </w:r>
      <w:r>
        <w:rPr>
          <w:rFonts w:hint="eastAsia" w:hAnsi="宋体"/>
          <w:kern w:val="0"/>
          <w:sz w:val="24"/>
          <w:szCs w:val="24"/>
        </w:rPr>
        <w:t>元通过基金管理人的直销柜台申购本基金A类基金份额，</w:t>
      </w:r>
      <w:r>
        <w:rPr>
          <w:rFonts w:hAnsi="宋体"/>
          <w:kern w:val="0"/>
          <w:sz w:val="24"/>
          <w:szCs w:val="24"/>
        </w:rPr>
        <w:t>假设申购当日</w:t>
      </w:r>
      <w:r>
        <w:rPr>
          <w:rFonts w:hint="eastAsia" w:hAnsi="宋体"/>
          <w:kern w:val="0"/>
          <w:sz w:val="24"/>
          <w:szCs w:val="24"/>
        </w:rPr>
        <w:t>A类</w:t>
      </w:r>
      <w:r>
        <w:rPr>
          <w:rFonts w:hAnsi="宋体"/>
          <w:kern w:val="0"/>
          <w:sz w:val="24"/>
          <w:szCs w:val="24"/>
        </w:rPr>
        <w:t>基金份额净值为1.0400元，申购费率为</w:t>
      </w:r>
      <w:r>
        <w:rPr>
          <w:rFonts w:hint="eastAsia" w:hAnsi="宋体"/>
          <w:kern w:val="0"/>
          <w:sz w:val="24"/>
          <w:szCs w:val="24"/>
        </w:rPr>
        <w:t>0.6</w:t>
      </w:r>
      <w:r>
        <w:rPr>
          <w:rFonts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申购总金额＝</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w:t>
      </w:r>
      <w:r>
        <w:rPr>
          <w:sz w:val="24"/>
          <w:szCs w:val="24"/>
        </w:rPr>
        <w:t>.00</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w:t>
      </w:r>
      <w:r>
        <w:rPr>
          <w:sz w:val="24"/>
          <w:szCs w:val="24"/>
        </w:rPr>
        <w:t>.00</w:t>
      </w:r>
      <w:r>
        <w:rPr>
          <w:rFonts w:hAnsi="宋体"/>
          <w:kern w:val="0"/>
          <w:sz w:val="24"/>
          <w:szCs w:val="24"/>
        </w:rPr>
        <w:t>/（1+</w:t>
      </w:r>
      <w:r>
        <w:rPr>
          <w:rFonts w:hint="eastAsia" w:hAnsi="宋体"/>
          <w:kern w:val="0"/>
          <w:sz w:val="24"/>
          <w:szCs w:val="24"/>
        </w:rPr>
        <w:t>0.6</w:t>
      </w:r>
      <w:r>
        <w:rPr>
          <w:rFonts w:hAnsi="宋体"/>
          <w:kern w:val="0"/>
          <w:sz w:val="24"/>
          <w:szCs w:val="24"/>
        </w:rPr>
        <w:t>%）=99</w:t>
      </w:r>
      <w:r>
        <w:rPr>
          <w:rFonts w:hint="eastAsia" w:hAnsi="宋体"/>
          <w:kern w:val="0"/>
          <w:sz w:val="24"/>
          <w:szCs w:val="24"/>
        </w:rPr>
        <w:t>4,035.79</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w:t>
      </w:r>
      <w:r>
        <w:rPr>
          <w:sz w:val="24"/>
          <w:szCs w:val="24"/>
        </w:rPr>
        <w:t>.00</w:t>
      </w:r>
      <w:r>
        <w:rPr>
          <w:rFonts w:hAnsi="宋体"/>
          <w:kern w:val="0"/>
          <w:sz w:val="24"/>
          <w:szCs w:val="24"/>
        </w:rPr>
        <w:t>-</w:t>
      </w:r>
      <w:r>
        <w:rPr>
          <w:rFonts w:hint="eastAsia" w:hAnsi="宋体"/>
          <w:kern w:val="0"/>
          <w:sz w:val="24"/>
          <w:szCs w:val="24"/>
        </w:rPr>
        <w:t>994,035.79</w:t>
      </w:r>
      <w:r>
        <w:rPr>
          <w:rFonts w:hAnsi="宋体"/>
          <w:kern w:val="0"/>
          <w:sz w:val="24"/>
          <w:szCs w:val="24"/>
        </w:rPr>
        <w:t>=</w:t>
      </w:r>
      <w:r>
        <w:rPr>
          <w:rFonts w:hint="eastAsia" w:hAnsi="宋体"/>
          <w:kern w:val="0"/>
          <w:sz w:val="24"/>
          <w:szCs w:val="24"/>
        </w:rPr>
        <w:t>5,964.21</w:t>
      </w:r>
      <w:r>
        <w:rPr>
          <w:rFonts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申购份额=99</w:t>
      </w:r>
      <w:r>
        <w:rPr>
          <w:rFonts w:hint="eastAsia" w:hAnsi="宋体"/>
          <w:kern w:val="0"/>
          <w:sz w:val="24"/>
          <w:szCs w:val="24"/>
        </w:rPr>
        <w:t>4,035.79</w:t>
      </w:r>
      <w:r>
        <w:rPr>
          <w:rFonts w:hAnsi="宋体"/>
          <w:kern w:val="0"/>
          <w:sz w:val="24"/>
          <w:szCs w:val="24"/>
        </w:rPr>
        <w:t>/1.040</w:t>
      </w:r>
      <w:r>
        <w:rPr>
          <w:rFonts w:hint="eastAsia" w:hAnsi="宋体"/>
          <w:kern w:val="0"/>
          <w:sz w:val="24"/>
          <w:szCs w:val="24"/>
        </w:rPr>
        <w:t>0</w:t>
      </w:r>
      <w:r>
        <w:rPr>
          <w:rFonts w:hAnsi="宋体"/>
          <w:kern w:val="0"/>
          <w:sz w:val="24"/>
          <w:szCs w:val="24"/>
        </w:rPr>
        <w:t>=95</w:t>
      </w:r>
      <w:r>
        <w:rPr>
          <w:rFonts w:hint="eastAsia" w:hAnsi="宋体"/>
          <w:kern w:val="0"/>
          <w:sz w:val="24"/>
          <w:szCs w:val="24"/>
        </w:rPr>
        <w:t>5</w:t>
      </w:r>
      <w:r>
        <w:rPr>
          <w:rFonts w:hAnsi="宋体"/>
          <w:kern w:val="0"/>
          <w:sz w:val="24"/>
          <w:szCs w:val="24"/>
        </w:rPr>
        <w:t>,</w:t>
      </w:r>
      <w:r>
        <w:rPr>
          <w:rFonts w:hint="eastAsia" w:hAnsi="宋体"/>
          <w:kern w:val="0"/>
          <w:sz w:val="24"/>
          <w:szCs w:val="24"/>
        </w:rPr>
        <w:t>803.64</w:t>
      </w:r>
      <w:r>
        <w:rPr>
          <w:rFonts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w:t>
      </w:r>
      <w:r>
        <w:rPr>
          <w:rFonts w:hAnsi="宋体"/>
          <w:kern w:val="0"/>
          <w:sz w:val="24"/>
          <w:szCs w:val="24"/>
        </w:rPr>
        <w:t>,0</w:t>
      </w:r>
      <w:r>
        <w:rPr>
          <w:rFonts w:hint="eastAsia" w:hAnsi="宋体"/>
          <w:kern w:val="0"/>
          <w:sz w:val="24"/>
          <w:szCs w:val="24"/>
        </w:rPr>
        <w:t>00,000</w:t>
      </w:r>
      <w:r>
        <w:rPr>
          <w:sz w:val="24"/>
          <w:szCs w:val="24"/>
        </w:rPr>
        <w:t>.00</w:t>
      </w:r>
      <w:r>
        <w:rPr>
          <w:rFonts w:hint="eastAsia" w:hAnsi="宋体"/>
          <w:kern w:val="0"/>
          <w:sz w:val="24"/>
          <w:szCs w:val="24"/>
        </w:rPr>
        <w:t>元通过基金管理人的直销柜台申购本基金A类基金份额，假设申购当日A类基金份额净值为1.0400元，则其可得到955,803.64份A类基金份额。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如果投资者选择申购C类基金份额，则申购份额的计算方法如下：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申购份额=申购总金额/T日C类基金份额净值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w:t>
      </w:r>
      <w:r>
        <w:rPr>
          <w:sz w:val="24"/>
          <w:szCs w:val="24"/>
        </w:rPr>
        <w:t>.00</w:t>
      </w:r>
      <w:r>
        <w:rPr>
          <w:rFonts w:hint="eastAsia" w:hAnsi="宋体"/>
          <w:kern w:val="0"/>
          <w:sz w:val="24"/>
          <w:szCs w:val="24"/>
        </w:rPr>
        <w:t>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w:t>
      </w:r>
      <w:r>
        <w:rPr>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sz w:val="24"/>
          <w:szCs w:val="24"/>
        </w:rPr>
        <w:t>.00</w:t>
      </w:r>
      <w:r>
        <w:rPr>
          <w:rFonts w:hint="eastAsia" w:hAnsi="宋体"/>
          <w:kern w:val="0"/>
          <w:sz w:val="24"/>
          <w:szCs w:val="24"/>
        </w:rPr>
        <w:t>/1.0400＝96,153.85份</w:t>
      </w:r>
    </w:p>
    <w:p>
      <w:pPr>
        <w:adjustRightInd w:val="0"/>
        <w:snapToGrid w:val="0"/>
        <w:spacing w:line="360" w:lineRule="auto"/>
        <w:ind w:firstLine="480" w:firstLineChars="200"/>
        <w:rPr>
          <w:sz w:val="24"/>
          <w:szCs w:val="24"/>
        </w:rPr>
      </w:pPr>
      <w:r>
        <w:rPr>
          <w:rFonts w:hint="eastAsia" w:hAnsi="宋体"/>
          <w:kern w:val="0"/>
          <w:sz w:val="24"/>
          <w:szCs w:val="24"/>
        </w:rPr>
        <w:t>即：投资者投资100,000</w:t>
      </w:r>
      <w:r>
        <w:rPr>
          <w:sz w:val="24"/>
          <w:szCs w:val="24"/>
        </w:rPr>
        <w:t>.00</w:t>
      </w:r>
      <w:r>
        <w:rPr>
          <w:rFonts w:hint="eastAsia" w:hAnsi="宋体"/>
          <w:kern w:val="0"/>
          <w:sz w:val="24"/>
          <w:szCs w:val="24"/>
        </w:rPr>
        <w:t>元申购本基金的C类基金份额，假设申购当日C类基</w:t>
      </w:r>
      <w:r>
        <w:rPr>
          <w:rFonts w:hint="eastAsia"/>
          <w:sz w:val="24"/>
          <w:szCs w:val="24"/>
        </w:rPr>
        <w:t>金份额净值为1.0400元，则其可得到96,153.85份C类基金份额。</w:t>
      </w:r>
    </w:p>
    <w:p>
      <w:pPr>
        <w:adjustRightInd w:val="0"/>
        <w:snapToGrid w:val="0"/>
        <w:spacing w:line="360" w:lineRule="auto"/>
        <w:ind w:firstLine="480" w:firstLineChars="200"/>
        <w:rPr>
          <w:sz w:val="24"/>
          <w:szCs w:val="24"/>
        </w:rPr>
      </w:pPr>
      <w:r>
        <w:rPr>
          <w:rFonts w:hint="eastAsia"/>
          <w:sz w:val="24"/>
          <w:szCs w:val="24"/>
        </w:rPr>
        <w:t>3、赎回金额的计算</w:t>
      </w:r>
    </w:p>
    <w:p>
      <w:pPr>
        <w:autoSpaceDE w:val="0"/>
        <w:autoSpaceDN w:val="0"/>
        <w:adjustRightInd w:val="0"/>
        <w:snapToGrid w:val="0"/>
        <w:spacing w:line="360" w:lineRule="auto"/>
        <w:ind w:firstLine="480" w:firstLineChars="200"/>
        <w:jc w:val="left"/>
        <w:rPr>
          <w:kern w:val="0"/>
          <w:sz w:val="24"/>
          <w:szCs w:val="24"/>
        </w:rPr>
      </w:pPr>
      <w:r>
        <w:rPr>
          <w:rFonts w:hint="eastAsia"/>
          <w:kern w:val="0"/>
          <w:sz w:val="24"/>
          <w:szCs w:val="24"/>
        </w:rPr>
        <w:t>本基金采用“份额赎回”的方式。</w:t>
      </w:r>
    </w:p>
    <w:p>
      <w:pPr>
        <w:widowControl/>
        <w:adjustRightInd w:val="0"/>
        <w:snapToGrid w:val="0"/>
        <w:spacing w:line="360" w:lineRule="auto"/>
        <w:ind w:firstLine="480" w:firstLineChars="200"/>
        <w:rPr>
          <w:rFonts w:hAnsi="宋体"/>
          <w:sz w:val="24"/>
          <w:szCs w:val="24"/>
        </w:rPr>
      </w:pPr>
      <w:r>
        <w:rPr>
          <w:rFonts w:hint="eastAsia" w:hAnsi="宋体"/>
          <w:sz w:val="24"/>
          <w:szCs w:val="24"/>
        </w:rPr>
        <w:t>（1）A类基金份额的赎回</w:t>
      </w:r>
    </w:p>
    <w:p>
      <w:pPr>
        <w:widowControl/>
        <w:adjustRightInd w:val="0"/>
        <w:snapToGrid w:val="0"/>
        <w:spacing w:line="360" w:lineRule="auto"/>
        <w:ind w:firstLine="480" w:firstLineChars="200"/>
        <w:rPr>
          <w:rFonts w:hAnsi="宋体"/>
          <w:sz w:val="24"/>
          <w:szCs w:val="24"/>
        </w:rPr>
      </w:pPr>
      <w:r>
        <w:rPr>
          <w:rFonts w:hint="eastAsia" w:hAnsi="宋体"/>
          <w:sz w:val="24"/>
          <w:szCs w:val="24"/>
        </w:rPr>
        <w:t>如果投资者赎回A类基金份额，则赎回金额的计算方法如下：</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赎回费用=赎回份额×T日A</w:t>
      </w:r>
      <w:r>
        <w:rPr>
          <w:rFonts w:hint="eastAsia" w:hAnsi="宋体"/>
          <w:kern w:val="0"/>
          <w:sz w:val="24"/>
          <w:szCs w:val="24"/>
        </w:rPr>
        <w:t>类</w:t>
      </w:r>
      <w:r>
        <w:rPr>
          <w:rFonts w:hint="eastAsia" w:hAnsi="宋体"/>
          <w:sz w:val="24"/>
          <w:szCs w:val="24"/>
        </w:rPr>
        <w:t>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赎回金额=赎回份额×T日A类基金份额净值</w:t>
      </w:r>
      <w:r>
        <w:rPr>
          <w:rFonts w:hint="eastAsia" w:hAnsi="宋体"/>
          <w:sz w:val="24"/>
          <w:szCs w:val="24"/>
        </w:rPr>
        <w:t>—</w:t>
      </w:r>
      <w:r>
        <w:rPr>
          <w:rFonts w:hint="eastAsia" w:hAnsi="宋体"/>
          <w:kern w:val="0"/>
          <w:sz w:val="24"/>
          <w:szCs w:val="24"/>
        </w:rPr>
        <w:t>赎回</w:t>
      </w:r>
      <w:r>
        <w:rPr>
          <w:rFonts w:hAnsi="宋体"/>
          <w:kern w:val="0"/>
          <w:sz w:val="24"/>
          <w:szCs w:val="24"/>
        </w:rPr>
        <w:t>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例七：某投资者赎回持有的10,000</w:t>
      </w:r>
      <w:r>
        <w:rPr>
          <w:sz w:val="24"/>
          <w:szCs w:val="24"/>
        </w:rPr>
        <w:t>.00</w:t>
      </w:r>
      <w:r>
        <w:rPr>
          <w:rFonts w:hint="eastAsia" w:hAnsi="宋体"/>
          <w:sz w:val="24"/>
          <w:szCs w:val="24"/>
        </w:rPr>
        <w:t>份A类基金份额，持有期限为30日，对应的赎回费率为0.5%，假设赎回当日A类基金份额净值是1.0160元，则其可得到的赎回金额为：</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赎回费用=10,000</w:t>
      </w:r>
      <w:r>
        <w:rPr>
          <w:sz w:val="24"/>
          <w:szCs w:val="24"/>
        </w:rPr>
        <w:t>.00</w:t>
      </w:r>
      <w:r>
        <w:rPr>
          <w:rFonts w:hint="eastAsia" w:hAnsi="宋体"/>
          <w:sz w:val="24"/>
          <w:szCs w:val="24"/>
        </w:rPr>
        <w:t>×1.0160×0.5%＝50.80元</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w:t>
      </w:r>
      <w:bookmarkStart w:id="35" w:name="OLE_LINK9"/>
      <w:bookmarkStart w:id="36" w:name="OLE_LINK5"/>
      <w:r>
        <w:rPr>
          <w:rFonts w:hint="eastAsia" w:hAnsi="宋体"/>
          <w:sz w:val="24"/>
          <w:szCs w:val="24"/>
        </w:rPr>
        <w:t>10,000</w:t>
      </w:r>
      <w:r>
        <w:rPr>
          <w:sz w:val="24"/>
          <w:szCs w:val="24"/>
        </w:rPr>
        <w:t>.00</w:t>
      </w:r>
      <w:r>
        <w:rPr>
          <w:rFonts w:hint="eastAsia" w:hAnsi="宋体"/>
          <w:sz w:val="24"/>
          <w:szCs w:val="24"/>
        </w:rPr>
        <w:t>×1.0160-50.80</w:t>
      </w:r>
      <w:bookmarkEnd w:id="35"/>
      <w:bookmarkEnd w:id="36"/>
      <w:r>
        <w:rPr>
          <w:rFonts w:hint="eastAsia" w:hAnsi="宋体"/>
          <w:sz w:val="24"/>
          <w:szCs w:val="24"/>
        </w:rPr>
        <w:t>＝10,109.20元</w:t>
      </w:r>
    </w:p>
    <w:p>
      <w:pPr>
        <w:widowControl/>
        <w:adjustRightInd w:val="0"/>
        <w:snapToGrid w:val="0"/>
        <w:spacing w:line="360" w:lineRule="auto"/>
        <w:ind w:firstLine="480" w:firstLineChars="200"/>
        <w:rPr>
          <w:rFonts w:hAnsi="宋体"/>
          <w:sz w:val="24"/>
          <w:szCs w:val="24"/>
        </w:rPr>
      </w:pPr>
      <w:r>
        <w:rPr>
          <w:rFonts w:hint="eastAsia" w:hAnsi="宋体"/>
          <w:sz w:val="24"/>
          <w:szCs w:val="24"/>
        </w:rPr>
        <w:t>即：该投资者赎回本基金10,000</w:t>
      </w:r>
      <w:r>
        <w:rPr>
          <w:sz w:val="24"/>
          <w:szCs w:val="24"/>
        </w:rPr>
        <w:t>.00</w:t>
      </w:r>
      <w:r>
        <w:rPr>
          <w:rFonts w:hint="eastAsia" w:hAnsi="宋体"/>
          <w:sz w:val="24"/>
          <w:szCs w:val="24"/>
        </w:rPr>
        <w:t>份A类基金份额，持有期限为30日，对应的赎回费率为0.5%，假设赎回当日A类基金份额净值是1.0160元，则其可得到的赎回金额为10,109.20元。</w:t>
      </w:r>
    </w:p>
    <w:p>
      <w:pPr>
        <w:widowControl/>
        <w:adjustRightInd w:val="0"/>
        <w:snapToGrid w:val="0"/>
        <w:spacing w:line="360" w:lineRule="auto"/>
        <w:ind w:firstLine="480" w:firstLineChars="200"/>
        <w:rPr>
          <w:rFonts w:hAnsi="宋体"/>
          <w:sz w:val="24"/>
          <w:szCs w:val="24"/>
        </w:rPr>
      </w:pPr>
      <w:r>
        <w:rPr>
          <w:rFonts w:hint="eastAsia" w:hAnsi="宋体"/>
          <w:sz w:val="24"/>
          <w:szCs w:val="24"/>
        </w:rPr>
        <w:t>（2）C类基金份额的赎回</w:t>
      </w:r>
    </w:p>
    <w:p>
      <w:pPr>
        <w:widowControl/>
        <w:adjustRightInd w:val="0"/>
        <w:snapToGrid w:val="0"/>
        <w:spacing w:line="360" w:lineRule="auto"/>
        <w:ind w:firstLine="480" w:firstLineChars="200"/>
        <w:rPr>
          <w:rFonts w:hAnsi="宋体"/>
          <w:sz w:val="24"/>
          <w:szCs w:val="24"/>
        </w:rPr>
      </w:pPr>
      <w:r>
        <w:rPr>
          <w:rFonts w:hint="eastAsia" w:hAnsi="宋体"/>
          <w:sz w:val="24"/>
          <w:szCs w:val="24"/>
        </w:rPr>
        <w:t>如果投资者赎回C类基金份额，赎回金额的计算方法如下：</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赎回费用=赎回份额×T日C类基金份额净值×赎回费率</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赎回金额=赎回份额×T日C类基金份额净值—赎回费用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例八：某投资者赎回持有的10,000</w:t>
      </w:r>
      <w:r>
        <w:rPr>
          <w:rFonts w:hAnsi="宋体"/>
          <w:sz w:val="24"/>
          <w:szCs w:val="24"/>
        </w:rPr>
        <w:t>.00</w:t>
      </w:r>
      <w:r>
        <w:rPr>
          <w:rFonts w:hint="eastAsia" w:hAnsi="宋体"/>
          <w:sz w:val="24"/>
          <w:szCs w:val="24"/>
        </w:rPr>
        <w:t>份C类基金份额，持有时间为20日，对应的赎回费率为0.5%，假设赎回当日C类基金份额净值是1.0160元，则其可得到的赎回金额为：</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赎回费用=10,000</w:t>
      </w:r>
      <w:r>
        <w:rPr>
          <w:rFonts w:hAnsi="宋体"/>
          <w:sz w:val="24"/>
          <w:szCs w:val="24"/>
        </w:rPr>
        <w:t>.00</w:t>
      </w:r>
      <w:r>
        <w:rPr>
          <w:rFonts w:hint="eastAsia" w:hAnsi="宋体"/>
          <w:sz w:val="24"/>
          <w:szCs w:val="24"/>
        </w:rPr>
        <w:t>×1.0160×0.5%＝50.80元</w:t>
      </w:r>
    </w:p>
    <w:p>
      <w:pPr>
        <w:widowControl/>
        <w:adjustRightInd w:val="0"/>
        <w:snapToGrid w:val="0"/>
        <w:spacing w:line="360" w:lineRule="auto"/>
        <w:ind w:firstLine="480" w:firstLineChars="200"/>
        <w:rPr>
          <w:rFonts w:hAnsi="宋体"/>
          <w:sz w:val="24"/>
          <w:szCs w:val="24"/>
        </w:rPr>
      </w:pPr>
      <w:r>
        <w:rPr>
          <w:rFonts w:hint="eastAsia" w:hAnsi="宋体"/>
          <w:sz w:val="24"/>
          <w:szCs w:val="24"/>
        </w:rPr>
        <w:t>赎回金额=10,000</w:t>
      </w:r>
      <w:r>
        <w:rPr>
          <w:rFonts w:hAnsi="宋体"/>
          <w:sz w:val="24"/>
          <w:szCs w:val="24"/>
        </w:rPr>
        <w:t>.00</w:t>
      </w:r>
      <w:r>
        <w:rPr>
          <w:rFonts w:hint="eastAsia" w:hAnsi="宋体"/>
          <w:sz w:val="24"/>
          <w:szCs w:val="24"/>
        </w:rPr>
        <w:t>×1.0160-50.80＝10,109.20元</w:t>
      </w:r>
    </w:p>
    <w:p>
      <w:pPr>
        <w:widowControl/>
        <w:adjustRightInd w:val="0"/>
        <w:snapToGrid w:val="0"/>
        <w:spacing w:line="360" w:lineRule="auto"/>
        <w:ind w:firstLine="480" w:firstLineChars="200"/>
        <w:rPr>
          <w:rFonts w:hAnsi="宋体"/>
          <w:kern w:val="0"/>
          <w:sz w:val="24"/>
          <w:szCs w:val="24"/>
        </w:rPr>
      </w:pPr>
      <w:r>
        <w:rPr>
          <w:rFonts w:hint="eastAsia" w:hAnsi="宋体"/>
          <w:sz w:val="24"/>
          <w:szCs w:val="24"/>
        </w:rPr>
        <w:t>即：投资者赎回本基金10,000</w:t>
      </w:r>
      <w:r>
        <w:rPr>
          <w:rFonts w:hAnsi="宋体"/>
          <w:sz w:val="24"/>
          <w:szCs w:val="24"/>
        </w:rPr>
        <w:t>.00</w:t>
      </w:r>
      <w:r>
        <w:rPr>
          <w:rFonts w:hint="eastAsia" w:hAnsi="宋体"/>
          <w:sz w:val="24"/>
          <w:szCs w:val="24"/>
        </w:rPr>
        <w:t>份C类基金份额，持有时间为20日，对应的赎回费率为0.5%，假设赎回当日C类基金份额净值是1.0160元，则其可得到的赎回金额为10,109.20元。</w:t>
      </w:r>
    </w:p>
    <w:p>
      <w:pPr>
        <w:adjustRightInd w:val="0"/>
        <w:snapToGrid w:val="0"/>
        <w:spacing w:line="360" w:lineRule="auto"/>
        <w:ind w:firstLine="480" w:firstLineChars="200"/>
        <w:rPr>
          <w:sz w:val="24"/>
          <w:szCs w:val="24"/>
        </w:rPr>
      </w:pPr>
      <w:r>
        <w:rPr>
          <w:sz w:val="24"/>
          <w:szCs w:val="24"/>
        </w:rPr>
        <w:t>4、基金份额净值的计算公式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bookmarkStart w:id="37" w:name="_Hlk197558550"/>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A类基金份额和C类基金份额的基金</w:t>
      </w:r>
      <w:r>
        <w:rPr>
          <w:rFonts w:hAnsi="宋体"/>
          <w:sz w:val="24"/>
          <w:szCs w:val="24"/>
        </w:rPr>
        <w:t>份额净值的计算，</w:t>
      </w:r>
      <w:r>
        <w:rPr>
          <w:rFonts w:hint="eastAsia"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bookmarkEnd w:id="37"/>
    <w:p>
      <w:pPr>
        <w:adjustRightInd w:val="0"/>
        <w:snapToGrid w:val="0"/>
        <w:spacing w:line="360" w:lineRule="auto"/>
        <w:ind w:firstLine="482" w:firstLineChars="200"/>
        <w:rPr>
          <w:b/>
          <w:sz w:val="24"/>
          <w:szCs w:val="24"/>
        </w:rPr>
      </w:pPr>
      <w:bookmarkStart w:id="38" w:name="_Toc79392615"/>
      <w:r>
        <w:rPr>
          <w:b/>
          <w:sz w:val="24"/>
          <w:szCs w:val="24"/>
        </w:rPr>
        <w:t>（八）拒绝或暂停申购的情形</w:t>
      </w:r>
      <w:bookmarkEnd w:id="38"/>
    </w:p>
    <w:p>
      <w:pPr>
        <w:widowControl/>
        <w:adjustRightInd w:val="0"/>
        <w:snapToGrid w:val="0"/>
        <w:spacing w:line="360" w:lineRule="auto"/>
        <w:ind w:firstLine="480" w:firstLineChars="200"/>
        <w:rPr>
          <w:rFonts w:hAnsi="宋体"/>
          <w:kern w:val="0"/>
          <w:sz w:val="24"/>
          <w:szCs w:val="24"/>
        </w:rPr>
      </w:pPr>
      <w:bookmarkStart w:id="39" w:name="_Hlt70481650"/>
      <w:bookmarkEnd w:id="39"/>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6、基金销售机构、基金销售支付结算机构或登记机构的异常情况导致基金销售系统、基金销售支付结算系统、基金注册登记系统或基金会计系统无法正常运行。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8、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9、基金管理人接受某笔或者某些申购申请有可能导致单一投资者持有基金份额的比例超过50%，或者变相规避50%集中度的。出现上述情形时，基金管理人有权将上述申购申请全部或部分确认失败。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10、法律法规规定、中国证监会认定或基金合同约定的其他情形。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w:t>
      </w:r>
      <w:r>
        <w:rPr>
          <w:rFonts w:hint="eastAsia"/>
          <w:bCs/>
          <w:sz w:val="24"/>
        </w:rPr>
        <w:t>8、10</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adjustRightInd w:val="0"/>
        <w:snapToGrid w:val="0"/>
        <w:spacing w:line="360" w:lineRule="auto"/>
        <w:ind w:firstLine="482" w:firstLineChars="200"/>
        <w:rPr>
          <w:b/>
          <w:sz w:val="24"/>
          <w:szCs w:val="24"/>
        </w:rPr>
      </w:pPr>
      <w:r>
        <w:rPr>
          <w:b/>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40"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adjustRightInd w:val="0"/>
        <w:snapToGrid w:val="0"/>
        <w:spacing w:line="360" w:lineRule="auto"/>
        <w:ind w:firstLine="482" w:firstLineChars="200"/>
        <w:rPr>
          <w:b/>
          <w:sz w:val="24"/>
          <w:szCs w:val="24"/>
        </w:rPr>
      </w:pPr>
      <w:r>
        <w:rPr>
          <w:b/>
          <w:sz w:val="24"/>
          <w:szCs w:val="24"/>
        </w:rPr>
        <w:t>（十）巨额赎回的情形及处理方式</w:t>
      </w:r>
      <w:bookmarkEnd w:id="40"/>
    </w:p>
    <w:p>
      <w:pPr>
        <w:adjustRightInd w:val="0"/>
        <w:snapToGrid w:val="0"/>
        <w:spacing w:line="360" w:lineRule="auto"/>
        <w:ind w:firstLine="480" w:firstLineChars="200"/>
        <w:rPr>
          <w:sz w:val="24"/>
          <w:szCs w:val="24"/>
        </w:rPr>
      </w:pPr>
      <w:r>
        <w:rPr>
          <w:sz w:val="24"/>
          <w:szCs w:val="24"/>
        </w:rPr>
        <w:t>1</w:t>
      </w:r>
      <w:r>
        <w:rPr>
          <w:rFonts w:hint="eastAsia"/>
          <w:sz w:val="24"/>
          <w:szCs w:val="24"/>
        </w:rPr>
        <w:t>、</w:t>
      </w:r>
      <w:r>
        <w:rPr>
          <w:sz w:val="24"/>
          <w:szCs w:val="24"/>
        </w:rPr>
        <w:t>巨额赎回的认定</w:t>
      </w:r>
    </w:p>
    <w:p>
      <w:pPr>
        <w:adjustRightInd w:val="0"/>
        <w:snapToGrid w:val="0"/>
        <w:spacing w:line="360" w:lineRule="auto"/>
        <w:ind w:firstLine="480" w:firstLineChars="200"/>
        <w:rPr>
          <w:sz w:val="24"/>
          <w:szCs w:val="24"/>
        </w:rPr>
      </w:pPr>
      <w:r>
        <w:rPr>
          <w:rFonts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djustRightInd w:val="0"/>
        <w:snapToGrid w:val="0"/>
        <w:spacing w:line="360" w:lineRule="auto"/>
        <w:ind w:firstLine="480" w:firstLineChars="200"/>
        <w:rPr>
          <w:sz w:val="24"/>
          <w:szCs w:val="24"/>
        </w:rPr>
      </w:pPr>
      <w:r>
        <w:rPr>
          <w:sz w:val="24"/>
          <w:szCs w:val="24"/>
        </w:rPr>
        <w:t>2</w:t>
      </w:r>
      <w:r>
        <w:rPr>
          <w:rFonts w:hint="eastAsia"/>
          <w:sz w:val="24"/>
          <w:szCs w:val="24"/>
        </w:rPr>
        <w:t>、</w:t>
      </w:r>
      <w:r>
        <w:rPr>
          <w:sz w:val="24"/>
          <w:szCs w:val="24"/>
        </w:rPr>
        <w:t>巨额赎回的处理方式</w:t>
      </w:r>
    </w:p>
    <w:p>
      <w:pPr>
        <w:adjustRightInd w:val="0"/>
        <w:snapToGrid w:val="0"/>
        <w:spacing w:line="360" w:lineRule="auto"/>
        <w:ind w:firstLine="480" w:firstLineChars="200"/>
        <w:rPr>
          <w:sz w:val="24"/>
          <w:szCs w:val="24"/>
        </w:rPr>
      </w:pPr>
      <w:r>
        <w:rPr>
          <w:rFonts w:hint="eastAsia"/>
          <w:sz w:val="24"/>
          <w:szCs w:val="24"/>
        </w:rPr>
        <w:t>当基金出现巨额赎回时，基金管理人可以根据基金当时的资产组合状况决定全额赎回或部分延期赎回。</w:t>
      </w:r>
    </w:p>
    <w:p>
      <w:pPr>
        <w:adjustRightInd w:val="0"/>
        <w:snapToGrid w:val="0"/>
        <w:spacing w:line="360" w:lineRule="auto"/>
        <w:ind w:firstLine="480" w:firstLineChars="200"/>
        <w:rPr>
          <w:sz w:val="24"/>
          <w:szCs w:val="24"/>
        </w:rPr>
      </w:pPr>
      <w:r>
        <w:rPr>
          <w:rFonts w:hint="eastAsia"/>
          <w:sz w:val="24"/>
          <w:szCs w:val="24"/>
        </w:rPr>
        <w:t>（1）全额赎回：当基金管理人认为有能力支付投资人的全部赎回申请时，按正常赎回程序执行。</w:t>
      </w:r>
    </w:p>
    <w:p>
      <w:pPr>
        <w:adjustRightInd w:val="0"/>
        <w:snapToGrid w:val="0"/>
        <w:spacing w:line="360" w:lineRule="auto"/>
        <w:ind w:firstLine="480" w:firstLineChars="200"/>
        <w:rPr>
          <w:sz w:val="24"/>
          <w:szCs w:val="24"/>
        </w:rPr>
      </w:pPr>
      <w:r>
        <w:rPr>
          <w:rFonts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本基金如发生巨额赎回且单个开放日内单个基金份额持有人申请赎回的基金份额超过前一开放日的基金总份额的20%时，本基金管理人有权采取如下措施：</w:t>
      </w:r>
    </w:p>
    <w:p>
      <w:pPr>
        <w:adjustRightInd w:val="0"/>
        <w:snapToGrid w:val="0"/>
        <w:spacing w:line="360" w:lineRule="auto"/>
        <w:ind w:firstLine="480" w:firstLineChars="200"/>
        <w:rPr>
          <w:sz w:val="24"/>
          <w:szCs w:val="24"/>
        </w:rPr>
      </w:pPr>
      <w:r>
        <w:rPr>
          <w:rFonts w:hint="eastAsia"/>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adjustRightInd w:val="0"/>
        <w:snapToGrid w:val="0"/>
        <w:spacing w:line="360" w:lineRule="auto"/>
        <w:ind w:firstLine="480" w:firstLineChars="200"/>
        <w:rPr>
          <w:sz w:val="24"/>
          <w:szCs w:val="24"/>
        </w:rPr>
      </w:pPr>
      <w:r>
        <w:rPr>
          <w:rFonts w:hint="eastAsia"/>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adjustRightInd w:val="0"/>
        <w:snapToGrid w:val="0"/>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adjustRightInd w:val="0"/>
        <w:snapToGrid w:val="0"/>
        <w:spacing w:line="360" w:lineRule="auto"/>
        <w:ind w:firstLine="480" w:firstLineChars="200"/>
        <w:rPr>
          <w:sz w:val="24"/>
          <w:szCs w:val="24"/>
        </w:rPr>
      </w:pPr>
      <w:r>
        <w:rPr>
          <w:sz w:val="24"/>
          <w:szCs w:val="24"/>
        </w:rPr>
        <w:t>3</w:t>
      </w:r>
      <w:r>
        <w:rPr>
          <w:rFonts w:hint="eastAsia"/>
          <w:sz w:val="24"/>
          <w:szCs w:val="24"/>
        </w:rPr>
        <w:t>、</w:t>
      </w:r>
      <w:r>
        <w:rPr>
          <w:sz w:val="24"/>
          <w:szCs w:val="24"/>
        </w:rPr>
        <w:t>巨额赎回的公告</w:t>
      </w:r>
    </w:p>
    <w:p>
      <w:pPr>
        <w:adjustRightInd w:val="0"/>
        <w:snapToGrid w:val="0"/>
        <w:spacing w:line="360" w:lineRule="auto"/>
        <w:ind w:firstLine="480" w:firstLineChars="200"/>
        <w:rPr>
          <w:sz w:val="24"/>
          <w:szCs w:val="24"/>
        </w:rPr>
      </w:pPr>
      <w:r>
        <w:rPr>
          <w:sz w:val="24"/>
          <w:szCs w:val="24"/>
        </w:rPr>
        <w:t>当发生上述</w:t>
      </w:r>
      <w:r>
        <w:rPr>
          <w:rFonts w:hint="eastAsia"/>
          <w:sz w:val="24"/>
          <w:szCs w:val="24"/>
        </w:rPr>
        <w:t>巨额</w:t>
      </w:r>
      <w:r>
        <w:rPr>
          <w:sz w:val="24"/>
          <w:szCs w:val="24"/>
        </w:rPr>
        <w:t>赎回并延期办理时，基金管理人应当通过邮寄、传真</w:t>
      </w:r>
      <w:r>
        <w:rPr>
          <w:rFonts w:hint="eastAsia"/>
          <w:sz w:val="24"/>
          <w:szCs w:val="24"/>
        </w:rPr>
        <w:t>、刊登公告或者通知销售机构代为告知等</w:t>
      </w:r>
      <w:r>
        <w:rPr>
          <w:sz w:val="24"/>
          <w:szCs w:val="24"/>
        </w:rPr>
        <w:t>方式在</w:t>
      </w:r>
      <w:r>
        <w:rPr>
          <w:rFonts w:hint="eastAsia"/>
          <w:sz w:val="24"/>
          <w:szCs w:val="24"/>
        </w:rPr>
        <w:t>3</w:t>
      </w:r>
      <w:r>
        <w:rPr>
          <w:sz w:val="24"/>
          <w:szCs w:val="24"/>
        </w:rPr>
        <w:t>个交易日内通知基金份额持有人，说明有关处理方法，</w:t>
      </w:r>
      <w:r>
        <w:rPr>
          <w:rFonts w:hint="eastAsia"/>
          <w:sz w:val="24"/>
          <w:szCs w:val="24"/>
        </w:rPr>
        <w:t>并在两日内</w:t>
      </w:r>
      <w:r>
        <w:rPr>
          <w:sz w:val="24"/>
          <w:szCs w:val="24"/>
        </w:rPr>
        <w:t>在规定媒介上刊登公告。</w:t>
      </w:r>
    </w:p>
    <w:p>
      <w:pPr>
        <w:adjustRightInd w:val="0"/>
        <w:snapToGrid w:val="0"/>
        <w:spacing w:line="360" w:lineRule="auto"/>
        <w:ind w:firstLine="482" w:firstLineChars="200"/>
        <w:rPr>
          <w:b/>
          <w:sz w:val="24"/>
          <w:szCs w:val="24"/>
        </w:rPr>
      </w:pPr>
      <w:bookmarkStart w:id="41" w:name="_Toc79392617"/>
      <w:r>
        <w:rPr>
          <w:b/>
          <w:sz w:val="24"/>
          <w:szCs w:val="24"/>
        </w:rPr>
        <w:t>（十一）暂停申购或赎回的公告和重新开放申购或赎回的公告</w:t>
      </w:r>
      <w:bookmarkEnd w:id="41"/>
    </w:p>
    <w:p>
      <w:pPr>
        <w:widowControl/>
        <w:adjustRightInd w:val="0"/>
        <w:snapToGrid w:val="0"/>
        <w:spacing w:line="360" w:lineRule="auto"/>
        <w:ind w:firstLine="480" w:firstLineChars="200"/>
        <w:rPr>
          <w:rFonts w:hAnsi="宋体"/>
          <w:kern w:val="0"/>
          <w:sz w:val="24"/>
          <w:szCs w:val="24"/>
        </w:rPr>
      </w:pPr>
      <w:bookmarkStart w:id="42" w:name="_Toc59441259"/>
      <w:bookmarkStart w:id="43" w:name="_Toc15118274"/>
      <w:bookmarkStart w:id="44" w:name="_Toc79392618"/>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2、如发生暂停的时间为1日，基金管理人应于重新开放日，在规定媒介上刊登基金重新开放申购或赎回公告，并公布最近1个开放日各类基金份额的基金份额净值。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42"/>
    <w:bookmarkEnd w:id="43"/>
    <w:bookmarkEnd w:id="44"/>
    <w:p>
      <w:pPr>
        <w:adjustRightInd w:val="0"/>
        <w:snapToGrid w:val="0"/>
        <w:spacing w:line="360" w:lineRule="auto"/>
        <w:ind w:firstLine="482" w:firstLineChars="200"/>
        <w:rPr>
          <w:b/>
          <w:sz w:val="24"/>
          <w:szCs w:val="24"/>
        </w:rPr>
      </w:pPr>
      <w:bookmarkStart w:id="45" w:name="_Toc79392621"/>
      <w:r>
        <w:rPr>
          <w:b/>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adjustRightInd w:val="0"/>
        <w:snapToGrid w:val="0"/>
        <w:spacing w:line="360" w:lineRule="auto"/>
        <w:ind w:firstLine="482" w:firstLineChars="200"/>
        <w:rPr>
          <w:b/>
          <w:sz w:val="24"/>
          <w:szCs w:val="24"/>
        </w:rPr>
      </w:pPr>
      <w:r>
        <w:rPr>
          <w:b/>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djustRightInd w:val="0"/>
        <w:snapToGrid w:val="0"/>
        <w:spacing w:line="360" w:lineRule="auto"/>
        <w:ind w:firstLine="482" w:firstLineChars="200"/>
        <w:rPr>
          <w:b/>
          <w:sz w:val="24"/>
          <w:szCs w:val="24"/>
        </w:rPr>
      </w:pPr>
      <w:r>
        <w:rPr>
          <w:b/>
          <w:sz w:val="24"/>
          <w:szCs w:val="24"/>
        </w:rPr>
        <w:t>（十四）基金的转托管</w:t>
      </w:r>
      <w:bookmarkEnd w:id="45"/>
    </w:p>
    <w:p>
      <w:pPr>
        <w:widowControl/>
        <w:adjustRightInd w:val="0"/>
        <w:snapToGrid w:val="0"/>
        <w:spacing w:line="360" w:lineRule="auto"/>
        <w:ind w:firstLine="480" w:firstLineChars="200"/>
        <w:rPr>
          <w:rFonts w:hAnsi="宋体"/>
          <w:kern w:val="0"/>
          <w:sz w:val="24"/>
          <w:szCs w:val="24"/>
        </w:rPr>
      </w:pPr>
      <w:bookmarkStart w:id="46" w:name="_Toc79392620"/>
      <w:r>
        <w:rPr>
          <w:rFonts w:hint="eastAsia" w:hAnsi="宋体"/>
          <w:kern w:val="0"/>
          <w:sz w:val="24"/>
          <w:szCs w:val="24"/>
        </w:rPr>
        <w:t>基金份额持有人可办理已持有基金份额在不同销售机构之间的转托管，基金销售机构可以按照规定的标准收取转托管费。</w:t>
      </w:r>
    </w:p>
    <w:p>
      <w:pPr>
        <w:adjustRightInd w:val="0"/>
        <w:snapToGrid w:val="0"/>
        <w:spacing w:line="360" w:lineRule="auto"/>
        <w:ind w:firstLine="482" w:firstLineChars="200"/>
        <w:rPr>
          <w:b/>
          <w:sz w:val="24"/>
          <w:szCs w:val="24"/>
        </w:rPr>
      </w:pPr>
      <w:r>
        <w:rPr>
          <w:b/>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adjustRightInd w:val="0"/>
        <w:snapToGrid w:val="0"/>
        <w:spacing w:line="360" w:lineRule="auto"/>
        <w:ind w:firstLine="482" w:firstLineChars="200"/>
        <w:rPr>
          <w:b/>
          <w:sz w:val="24"/>
          <w:szCs w:val="24"/>
        </w:rPr>
      </w:pPr>
      <w:r>
        <w:rPr>
          <w:b/>
          <w:sz w:val="24"/>
          <w:szCs w:val="24"/>
        </w:rPr>
        <w:t>（十六）基金份额的冻结和解冻</w:t>
      </w:r>
      <w:bookmarkEnd w:id="46"/>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rPr>
          <w:b/>
          <w:sz w:val="24"/>
          <w:szCs w:val="24"/>
        </w:rPr>
      </w:pPr>
      <w:bookmarkStart w:id="47" w:name="_Toc66719557"/>
      <w:bookmarkStart w:id="48" w:name="_Toc109059024"/>
      <w:bookmarkStart w:id="49" w:name="_Toc66720082"/>
      <w:r>
        <w:rPr>
          <w:rFonts w:hint="eastAsia"/>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rPr>
          <w:b/>
          <w:sz w:val="24"/>
          <w:szCs w:val="24"/>
        </w:rPr>
      </w:pPr>
      <w:r>
        <w:rPr>
          <w:b/>
          <w:sz w:val="24"/>
          <w:szCs w:val="24"/>
        </w:rPr>
        <w:t>（十</w:t>
      </w:r>
      <w:r>
        <w:rPr>
          <w:rFonts w:hint="eastAsia"/>
          <w:b/>
          <w:sz w:val="24"/>
          <w:szCs w:val="24"/>
        </w:rPr>
        <w:t>八</w:t>
      </w:r>
      <w:r>
        <w:rPr>
          <w:b/>
          <w:sz w:val="24"/>
          <w:szCs w:val="24"/>
        </w:rPr>
        <w:t>）</w:t>
      </w:r>
      <w:r>
        <w:rPr>
          <w:rFonts w:hint="eastAsia"/>
          <w:b/>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rPr>
          <w:b/>
          <w:sz w:val="24"/>
          <w:szCs w:val="24"/>
        </w:rPr>
      </w:pPr>
      <w:r>
        <w:rPr>
          <w:rFonts w:hint="eastAsia"/>
          <w:b/>
          <w:sz w:val="24"/>
          <w:szCs w:val="24"/>
        </w:rPr>
        <w:t>（十九</w:t>
      </w:r>
      <w:r>
        <w:rPr>
          <w:b/>
          <w:sz w:val="24"/>
          <w:szCs w:val="24"/>
        </w:rPr>
        <w:t>）</w:t>
      </w:r>
      <w:r>
        <w:rPr>
          <w:rFonts w:hint="eastAsia"/>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50" w:name="_Toc48122010"/>
      <w:bookmarkStart w:id="51" w:name="_Hlk197612777"/>
      <w:r>
        <w:rPr>
          <w:rFonts w:hint="eastAsia" w:ascii="宋体" w:hAnsi="宋体"/>
          <w:b/>
          <w:kern w:val="0"/>
          <w:sz w:val="30"/>
        </w:rPr>
        <w:t>九、基金的投资</w:t>
      </w:r>
      <w:bookmarkEnd w:id="50"/>
    </w:p>
    <w:p>
      <w:pPr>
        <w:adjustRightInd w:val="0"/>
        <w:snapToGrid w:val="0"/>
        <w:spacing w:line="360" w:lineRule="auto"/>
        <w:ind w:firstLine="482" w:firstLineChars="200"/>
        <w:rPr>
          <w:b/>
          <w:sz w:val="24"/>
          <w:szCs w:val="24"/>
        </w:rPr>
      </w:pPr>
      <w:bookmarkStart w:id="52" w:name="_Hlk50018503"/>
      <w:r>
        <w:rPr>
          <w:rFonts w:hint="eastAsia"/>
          <w:b/>
          <w:sz w:val="24"/>
          <w:szCs w:val="24"/>
        </w:rPr>
        <w:t>（一）投资目标</w:t>
      </w:r>
    </w:p>
    <w:p>
      <w:pPr>
        <w:adjustRightInd w:val="0"/>
        <w:snapToGrid w:val="0"/>
        <w:spacing w:line="360" w:lineRule="auto"/>
        <w:ind w:firstLine="482"/>
        <w:rPr>
          <w:bCs/>
          <w:sz w:val="24"/>
        </w:rPr>
      </w:pPr>
      <w:r>
        <w:rPr>
          <w:rFonts w:hint="eastAsia"/>
          <w:bCs/>
          <w:sz w:val="24"/>
        </w:rPr>
        <w:t>本基金主要投资于港股通标的股票，在合理控制风险的前提下，充分发挥专业的研究与管理能力，力争实现基金资产的长期稳健增值。</w:t>
      </w:r>
    </w:p>
    <w:p>
      <w:pPr>
        <w:adjustRightInd w:val="0"/>
        <w:snapToGrid w:val="0"/>
        <w:spacing w:line="360" w:lineRule="auto"/>
        <w:ind w:firstLine="482" w:firstLineChars="200"/>
        <w:rPr>
          <w:b/>
          <w:sz w:val="24"/>
          <w:szCs w:val="24"/>
        </w:rPr>
      </w:pPr>
      <w:r>
        <w:rPr>
          <w:rFonts w:hint="eastAsia"/>
          <w:b/>
          <w:sz w:val="24"/>
          <w:szCs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本基金的投资范围为具有良好流动性的金融工具，包括港股通标的股票、国内依法发行上市的股票（含</w:t>
      </w:r>
      <w:r>
        <w:rPr>
          <w:rFonts w:hint="eastAsia" w:ascii="宋体" w:hAnsi="宋体"/>
          <w:bCs/>
          <w:sz w:val="24"/>
          <w:szCs w:val="24"/>
          <w:lang w:val="en-US" w:eastAsia="zh-CN"/>
        </w:rPr>
        <w:t>主板、</w:t>
      </w:r>
      <w:r>
        <w:rPr>
          <w:rFonts w:hint="eastAsia" w:ascii="宋体" w:hAnsi="宋体"/>
          <w:bCs/>
          <w:sz w:val="24"/>
          <w:szCs w:val="24"/>
        </w:rPr>
        <w:t>创业板、科创板及其他经中国证监会核准</w:t>
      </w:r>
      <w:r>
        <w:rPr>
          <w:rFonts w:hint="eastAsia"/>
          <w:bCs/>
          <w:sz w:val="24"/>
        </w:rPr>
        <w:t>或注册</w:t>
      </w:r>
      <w:r>
        <w:rPr>
          <w:rFonts w:hint="eastAsia" w:ascii="宋体" w:hAnsi="宋体"/>
          <w:bCs/>
          <w:sz w:val="24"/>
          <w:szCs w:val="24"/>
        </w:rPr>
        <w:t>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股票投资（含存托凭证）占基金资产的比例为60%-95%，其中投资于港股通标的股票的比例不低于非现金基金资产的80%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rPr>
          <w:b/>
          <w:sz w:val="24"/>
          <w:szCs w:val="24"/>
        </w:rPr>
      </w:pPr>
      <w:r>
        <w:rPr>
          <w:rFonts w:hint="eastAsia"/>
          <w:b/>
          <w:sz w:val="24"/>
          <w:szCs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rPr>
          <w:sz w:val="24"/>
          <w:szCs w:val="24"/>
        </w:rPr>
      </w:pPr>
      <w:r>
        <w:rPr>
          <w:rFonts w:hint="eastAsia"/>
          <w:sz w:val="24"/>
          <w:szCs w:val="24"/>
        </w:rPr>
        <w:t>1、大类资产配置</w:t>
      </w:r>
    </w:p>
    <w:p>
      <w:pPr>
        <w:adjustRightInd w:val="0"/>
        <w:snapToGrid w:val="0"/>
        <w:spacing w:line="360" w:lineRule="auto"/>
        <w:ind w:firstLine="480" w:firstLineChars="200"/>
        <w:rPr>
          <w:sz w:val="24"/>
          <w:szCs w:val="24"/>
        </w:rPr>
      </w:pPr>
      <w:r>
        <w:rPr>
          <w:rFonts w:hint="eastAsia"/>
          <w:sz w:val="24"/>
          <w:szCs w:val="24"/>
        </w:rPr>
        <w:t>本基金利用经交银施罗德研究团队修正后的投资时钟分析框架，通过“自上而下”的定性分析和定量分析相结合形成对不同资产市场表现的预测和判断，确定基金资产在沪深A股、港股通标的股票、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rPr>
          <w:sz w:val="24"/>
          <w:szCs w:val="24"/>
        </w:rPr>
      </w:pPr>
      <w:r>
        <w:rPr>
          <w:rFonts w:hint="eastAsia"/>
          <w:sz w:val="24"/>
          <w:szCs w:val="24"/>
        </w:rPr>
        <w:t>2、股票投资策略</w:t>
      </w:r>
    </w:p>
    <w:p>
      <w:pPr>
        <w:adjustRightInd w:val="0"/>
        <w:snapToGrid w:val="0"/>
        <w:spacing w:line="360" w:lineRule="auto"/>
        <w:ind w:firstLine="480" w:firstLineChars="200"/>
        <w:rPr>
          <w:sz w:val="24"/>
          <w:szCs w:val="24"/>
        </w:rPr>
      </w:pPr>
      <w:r>
        <w:rPr>
          <w:rFonts w:hint="eastAsia"/>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sz w:val="24"/>
          <w:szCs w:val="24"/>
        </w:rPr>
      </w:pPr>
      <w:r>
        <w:rPr>
          <w:rFonts w:hint="eastAsia"/>
          <w:sz w:val="24"/>
          <w:szCs w:val="24"/>
        </w:rPr>
        <w:t>（1）港股通标的股票投资策略</w:t>
      </w:r>
    </w:p>
    <w:p>
      <w:pPr>
        <w:adjustRightInd w:val="0"/>
        <w:snapToGrid w:val="0"/>
        <w:spacing w:line="360" w:lineRule="auto"/>
        <w:ind w:firstLine="480" w:firstLineChars="200"/>
        <w:rPr>
          <w:sz w:val="24"/>
          <w:szCs w:val="24"/>
        </w:rPr>
      </w:pPr>
      <w:r>
        <w:rPr>
          <w:rFonts w:hint="eastAsia"/>
          <w:sz w:val="24"/>
          <w:szCs w:val="24"/>
        </w:rPr>
        <w:t>本基金将通过内地与香港股票市场交易互联互通机制投资于香港股票市场，重点投资于处于周期上行行业、业绩向上弹性较大、具有估值优势或核心竞争力的港股通标的股票。</w:t>
      </w:r>
    </w:p>
    <w:p>
      <w:pPr>
        <w:adjustRightInd w:val="0"/>
        <w:snapToGrid w:val="0"/>
        <w:spacing w:line="360" w:lineRule="auto"/>
        <w:ind w:firstLine="480" w:firstLineChars="200"/>
        <w:rPr>
          <w:sz w:val="24"/>
          <w:szCs w:val="24"/>
        </w:rPr>
      </w:pPr>
      <w:r>
        <w:rPr>
          <w:rFonts w:hint="eastAsia"/>
          <w:sz w:val="24"/>
          <w:szCs w:val="24"/>
        </w:rPr>
        <w:t>1）周期判断</w:t>
      </w:r>
    </w:p>
    <w:p>
      <w:pPr>
        <w:adjustRightInd w:val="0"/>
        <w:snapToGrid w:val="0"/>
        <w:spacing w:line="360" w:lineRule="auto"/>
        <w:ind w:firstLine="480" w:firstLineChars="200"/>
        <w:rPr>
          <w:sz w:val="24"/>
          <w:szCs w:val="24"/>
        </w:rPr>
      </w:pPr>
      <w:r>
        <w:rPr>
          <w:rFonts w:hint="eastAsia"/>
          <w:sz w:val="24"/>
          <w:szCs w:val="24"/>
        </w:rPr>
        <w:t>根据对宏观经济、市场面、政策面等因素进行定量与定性相结合的分析研究，确定当下经济运行所处阶段，寻找与之相匹配的增速机会：当整体经济处于收缩阶段，越是增速高的预期，实现的概率会越低，反之亦然。这决定了组合在不同的经济周期，对于筛选个股增速的要求不同。主要考虑的因素有：</w:t>
      </w:r>
    </w:p>
    <w:p>
      <w:pPr>
        <w:numPr>
          <w:ilvl w:val="0"/>
          <w:numId w:val="1"/>
        </w:numPr>
        <w:adjustRightInd w:val="0"/>
        <w:snapToGrid w:val="0"/>
        <w:spacing w:line="360" w:lineRule="auto"/>
        <w:rPr>
          <w:sz w:val="24"/>
          <w:szCs w:val="24"/>
        </w:rPr>
      </w:pPr>
      <w:r>
        <w:rPr>
          <w:rFonts w:hint="eastAsia"/>
          <w:sz w:val="24"/>
          <w:szCs w:val="24"/>
        </w:rPr>
        <w:t>宏观经济指标：如国内生产总值（GDP）增速、工业增加值、生产者物价指数（PPI）、消费者物价指数（CPI）、市场利率变化、货币供应量、固定资产投资、进出口贸易数据等；</w:t>
      </w:r>
    </w:p>
    <w:p>
      <w:pPr>
        <w:numPr>
          <w:ilvl w:val="0"/>
          <w:numId w:val="1"/>
        </w:numPr>
        <w:adjustRightInd w:val="0"/>
        <w:snapToGrid w:val="0"/>
        <w:spacing w:line="360" w:lineRule="auto"/>
        <w:rPr>
          <w:sz w:val="24"/>
          <w:szCs w:val="24"/>
        </w:rPr>
      </w:pPr>
      <w:r>
        <w:rPr>
          <w:rFonts w:hint="eastAsia"/>
          <w:sz w:val="24"/>
          <w:szCs w:val="24"/>
        </w:rPr>
        <w:t>政策因素：如货币政策、财政政策、货币市场相关政策等；</w:t>
      </w:r>
    </w:p>
    <w:p>
      <w:pPr>
        <w:numPr>
          <w:ilvl w:val="0"/>
          <w:numId w:val="1"/>
        </w:numPr>
        <w:adjustRightInd w:val="0"/>
        <w:snapToGrid w:val="0"/>
        <w:spacing w:line="360" w:lineRule="auto"/>
        <w:rPr>
          <w:sz w:val="24"/>
          <w:szCs w:val="24"/>
        </w:rPr>
      </w:pPr>
      <w:r>
        <w:rPr>
          <w:rFonts w:hint="eastAsia"/>
          <w:sz w:val="24"/>
          <w:szCs w:val="24"/>
        </w:rPr>
        <w:t>行业因素：如行业发展阶段、竞争格局、行业政策扶持情况等。</w:t>
      </w:r>
    </w:p>
    <w:p>
      <w:pPr>
        <w:adjustRightInd w:val="0"/>
        <w:snapToGrid w:val="0"/>
        <w:spacing w:line="360" w:lineRule="auto"/>
        <w:ind w:firstLine="480" w:firstLineChars="200"/>
        <w:rPr>
          <w:sz w:val="24"/>
          <w:szCs w:val="24"/>
        </w:rPr>
      </w:pPr>
      <w:r>
        <w:rPr>
          <w:rFonts w:hint="eastAsia"/>
          <w:sz w:val="24"/>
          <w:szCs w:val="24"/>
        </w:rPr>
        <w:t>2）品质筛选</w:t>
      </w:r>
    </w:p>
    <w:p>
      <w:pPr>
        <w:adjustRightInd w:val="0"/>
        <w:snapToGrid w:val="0"/>
        <w:spacing w:line="360" w:lineRule="auto"/>
        <w:ind w:firstLine="480" w:firstLineChars="200"/>
        <w:rPr>
          <w:sz w:val="24"/>
          <w:szCs w:val="24"/>
        </w:rPr>
      </w:pPr>
      <w:r>
        <w:rPr>
          <w:rFonts w:hint="eastAsia"/>
          <w:sz w:val="24"/>
          <w:szCs w:val="24"/>
        </w:rPr>
        <w:t>筛选出在公司治理、财务及管理品质上符合基本品质要求的公司，构建备选股票池。主要筛选指标包括：</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2"/>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rPr>
          <w:sz w:val="24"/>
          <w:szCs w:val="24"/>
        </w:rPr>
      </w:pPr>
      <w:r>
        <w:rPr>
          <w:rFonts w:hint="eastAsia"/>
          <w:sz w:val="24"/>
          <w:szCs w:val="24"/>
        </w:rPr>
        <w:t>3、债券投资策略</w:t>
      </w:r>
    </w:p>
    <w:p>
      <w:pPr>
        <w:adjustRightInd w:val="0"/>
        <w:snapToGrid w:val="0"/>
        <w:spacing w:line="360" w:lineRule="auto"/>
        <w:ind w:firstLine="480" w:firstLineChars="200"/>
        <w:rPr>
          <w:sz w:val="24"/>
          <w:szCs w:val="24"/>
        </w:rPr>
      </w:pPr>
      <w:r>
        <w:rPr>
          <w:rFonts w:hint="eastAsia"/>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sz w:val="24"/>
          <w:szCs w:val="24"/>
        </w:rPr>
      </w:pPr>
      <w:r>
        <w:rPr>
          <w:rFonts w:hint="eastAsia"/>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adjustRightInd w:val="0"/>
        <w:snapToGrid w:val="0"/>
        <w:spacing w:line="360" w:lineRule="auto"/>
        <w:ind w:firstLine="480" w:firstLineChars="200"/>
        <w:rPr>
          <w:sz w:val="24"/>
          <w:szCs w:val="24"/>
        </w:rPr>
      </w:pPr>
      <w:r>
        <w:rPr>
          <w:rFonts w:hint="eastAsia"/>
          <w:sz w:val="24"/>
          <w:szCs w:val="24"/>
        </w:rPr>
        <w:t>4、资产支持证券投资策略</w:t>
      </w:r>
    </w:p>
    <w:p>
      <w:pPr>
        <w:adjustRightInd w:val="0"/>
        <w:snapToGrid w:val="0"/>
        <w:spacing w:line="360" w:lineRule="auto"/>
        <w:ind w:firstLine="480" w:firstLineChars="200"/>
        <w:rPr>
          <w:sz w:val="24"/>
          <w:szCs w:val="24"/>
        </w:rPr>
      </w:pPr>
      <w:r>
        <w:rPr>
          <w:rFonts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rPr>
          <w:sz w:val="24"/>
          <w:szCs w:val="24"/>
        </w:rPr>
      </w:pPr>
      <w:r>
        <w:rPr>
          <w:sz w:val="24"/>
          <w:szCs w:val="24"/>
        </w:rPr>
        <w:t>5</w:t>
      </w:r>
      <w:r>
        <w:rPr>
          <w:rFonts w:hint="eastAsia"/>
          <w:sz w:val="24"/>
          <w:szCs w:val="24"/>
        </w:rPr>
        <w:t>、股指期货投资策略</w:t>
      </w:r>
    </w:p>
    <w:p>
      <w:pPr>
        <w:adjustRightInd w:val="0"/>
        <w:snapToGrid w:val="0"/>
        <w:spacing w:line="360" w:lineRule="auto"/>
        <w:ind w:firstLine="480" w:firstLineChars="200"/>
        <w:rPr>
          <w:sz w:val="24"/>
          <w:szCs w:val="24"/>
        </w:rPr>
      </w:pPr>
      <w:r>
        <w:rPr>
          <w:rFonts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sz w:val="24"/>
          <w:szCs w:val="24"/>
        </w:rPr>
      </w:pPr>
      <w:r>
        <w:rPr>
          <w:rFonts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rPr>
          <w:b/>
          <w:sz w:val="24"/>
          <w:szCs w:val="24"/>
        </w:rPr>
      </w:pPr>
      <w:r>
        <w:rPr>
          <w:rFonts w:hint="eastAsia"/>
          <w:b/>
          <w:sz w:val="24"/>
          <w:szCs w:val="24"/>
        </w:rPr>
        <w:t>（四）投资限制</w:t>
      </w:r>
    </w:p>
    <w:p>
      <w:pPr>
        <w:adjustRightInd w:val="0"/>
        <w:snapToGrid w:val="0"/>
        <w:spacing w:line="360" w:lineRule="auto"/>
        <w:ind w:firstLine="480" w:firstLineChars="200"/>
        <w:rPr>
          <w:sz w:val="24"/>
          <w:szCs w:val="24"/>
        </w:rPr>
      </w:pPr>
      <w:r>
        <w:rPr>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w:t>
      </w:r>
      <w:r>
        <w:rPr>
          <w:bCs/>
          <w:sz w:val="24"/>
        </w:rPr>
        <w:t>含存托凭证</w:t>
      </w:r>
      <w:r>
        <w:rPr>
          <w:rFonts w:hint="eastAsia"/>
          <w:bCs/>
          <w:sz w:val="24"/>
        </w:rPr>
        <w:t>）占基金资产的比例为60%-</w:t>
      </w:r>
      <w:r>
        <w:rPr>
          <w:bCs/>
          <w:sz w:val="24"/>
        </w:rPr>
        <w:t>9</w:t>
      </w:r>
      <w:r>
        <w:rPr>
          <w:rFonts w:hint="eastAsia"/>
          <w:bCs/>
          <w:sz w:val="24"/>
        </w:rPr>
        <w:t>5%，其中投资于港股通标的股票的比例不低于非现金基金资产的80%；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（13）本基金与私募类证券资管产品及中国证监会认定的其他主体为交易对手开展逆回购交易的，可接受质押品的资质要求应当与基金合同约定的投资范围保持一致；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（14）本基金参与股指期货交易，则：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（15）本基金资产总值不超过基金资产净值的140%；</w:t>
      </w:r>
    </w:p>
    <w:p>
      <w:pPr>
        <w:adjustRightInd w:val="0"/>
        <w:snapToGrid w:val="0"/>
        <w:spacing w:line="360" w:lineRule="auto"/>
        <w:ind w:firstLine="480" w:firstLineChars="200"/>
        <w:rPr>
          <w:bCs/>
          <w:sz w:val="24"/>
        </w:rPr>
      </w:pPr>
      <w:r>
        <w:rPr>
          <w:rFonts w:hint="eastAsia"/>
          <w:bCs/>
          <w:sz w:val="24"/>
        </w:rPr>
        <w:t>（16）本基金投资存托凭证的比例限制依照境内上市交易的股票执行；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（17）法律法规及中国证监会规定的和《基金合同》约定的其他投资限制。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法律法规或监管部门取消或者变更上述限制，如适用于本基金，基金管理人在履行适当程序后，则本基金投资不再受相关限制或以变更后的规定为准。</w:t>
      </w:r>
    </w:p>
    <w:p>
      <w:pPr>
        <w:adjustRightInd w:val="0"/>
        <w:snapToGrid w:val="0"/>
        <w:spacing w:line="360" w:lineRule="auto"/>
        <w:ind w:firstLine="480" w:firstLineChars="200"/>
        <w:rPr>
          <w:sz w:val="24"/>
          <w:szCs w:val="24"/>
        </w:rPr>
      </w:pPr>
      <w:r>
        <w:rPr>
          <w:rFonts w:hint="eastAsia"/>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firstLineChars="200"/>
        <w:rPr>
          <w:b/>
          <w:sz w:val="24"/>
          <w:szCs w:val="24"/>
        </w:rPr>
      </w:pPr>
      <w:r>
        <w:rPr>
          <w:rFonts w:hint="eastAsia"/>
          <w:b/>
          <w:sz w:val="24"/>
          <w:szCs w:val="24"/>
        </w:rPr>
        <w:t>（五）业绩比较基准</w:t>
      </w:r>
    </w:p>
    <w:p>
      <w:pPr>
        <w:adjustRightInd w:val="0"/>
        <w:snapToGrid w:val="0"/>
        <w:spacing w:line="360" w:lineRule="auto"/>
        <w:ind w:firstLine="480" w:firstLineChars="200"/>
        <w:rPr>
          <w:bCs/>
          <w:sz w:val="24"/>
        </w:rPr>
      </w:pPr>
      <w:r>
        <w:rPr>
          <w:rFonts w:hint="eastAsia"/>
          <w:bCs/>
          <w:sz w:val="24"/>
        </w:rPr>
        <w:t>中证港股通综合指数（人民币）收益率×80%+中债综合全价指数收益率×10%+人民币银行活期存款利率（税后）×</w:t>
      </w:r>
      <w:r>
        <w:rPr>
          <w:rFonts w:hint="eastAsia"/>
          <w:bCs/>
          <w:sz w:val="24"/>
          <w:lang w:val="en-US" w:eastAsia="zh-CN"/>
        </w:rPr>
        <w:t>10</w:t>
      </w:r>
      <w:r>
        <w:rPr>
          <w:rFonts w:hint="eastAsia"/>
          <w:bCs/>
          <w:sz w:val="24"/>
        </w:rPr>
        <w:t>%</w:t>
      </w:r>
    </w:p>
    <w:p>
      <w:pPr>
        <w:adjustRightInd w:val="0"/>
        <w:snapToGrid w:val="0"/>
        <w:spacing w:line="360" w:lineRule="auto"/>
        <w:ind w:firstLine="480" w:firstLineChars="200"/>
        <w:rPr>
          <w:rFonts w:hint="eastAsia"/>
          <w:bCs/>
          <w:sz w:val="24"/>
        </w:rPr>
      </w:pPr>
      <w:r>
        <w:rPr>
          <w:rFonts w:hint="eastAsia"/>
          <w:bCs/>
          <w:sz w:val="24"/>
        </w:rPr>
        <w:t>中证港股通综合指数是由中证指数有限公司编制，选取符合港股通资格的上市公司证券作为样本，以反映港股通范围内上市公司的整体表现。</w:t>
      </w:r>
    </w:p>
    <w:p>
      <w:pPr>
        <w:adjustRightInd w:val="0"/>
        <w:snapToGrid w:val="0"/>
        <w:spacing w:line="360" w:lineRule="auto"/>
        <w:ind w:firstLine="480" w:firstLineChars="200"/>
        <w:rPr>
          <w:rFonts w:hint="eastAsia"/>
          <w:bCs/>
          <w:sz w:val="24"/>
        </w:rPr>
      </w:pPr>
      <w:r>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rPr>
          <w:b/>
          <w:sz w:val="24"/>
          <w:szCs w:val="24"/>
        </w:rPr>
      </w:pPr>
      <w:r>
        <w:rPr>
          <w:rFonts w:hint="eastAsia"/>
          <w:b/>
          <w:sz w:val="24"/>
          <w:szCs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本基金是一只混合型基金，其预期风险和预期收益理论上高于债券型基金和货币市场基金，低于股票型基金。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本基金投资港股通标的股票，会面临港股通机制下因投资环境、投资标的、市场制度以及交易规则等差异带来的特有风险。</w:t>
      </w:r>
    </w:p>
    <w:p>
      <w:pPr>
        <w:adjustRightInd w:val="0"/>
        <w:snapToGrid w:val="0"/>
        <w:spacing w:line="360" w:lineRule="auto"/>
        <w:ind w:firstLine="482" w:firstLineChars="200"/>
        <w:rPr>
          <w:b/>
          <w:sz w:val="24"/>
          <w:szCs w:val="24"/>
        </w:rPr>
      </w:pPr>
      <w:r>
        <w:rPr>
          <w:rFonts w:hint="eastAsia"/>
          <w:b/>
          <w:sz w:val="24"/>
          <w:szCs w:val="24"/>
        </w:rPr>
        <w:t>（七）基金管理人代表基金行使股东</w:t>
      </w:r>
      <w:r>
        <w:rPr>
          <w:b/>
          <w:sz w:val="24"/>
          <w:szCs w:val="24"/>
        </w:rPr>
        <w:t>或</w:t>
      </w:r>
      <w:r>
        <w:rPr>
          <w:rFonts w:hint="eastAsia"/>
          <w:b/>
          <w:sz w:val="24"/>
          <w:szCs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7"/>
    <w:bookmarkEnd w:id="48"/>
    <w:bookmarkEnd w:id="49"/>
    <w:p>
      <w:pPr>
        <w:adjustRightInd w:val="0"/>
        <w:snapToGrid w:val="0"/>
        <w:spacing w:line="360" w:lineRule="auto"/>
        <w:ind w:firstLine="482" w:firstLineChars="200"/>
        <w:rPr>
          <w:b/>
          <w:sz w:val="24"/>
          <w:szCs w:val="24"/>
        </w:rPr>
      </w:pPr>
      <w:bookmarkStart w:id="53" w:name="_Hlt81033424"/>
      <w:bookmarkEnd w:id="53"/>
      <w:bookmarkStart w:id="54" w:name="_Toc109059036"/>
      <w:bookmarkEnd w:id="54"/>
      <w:bookmarkStart w:id="55" w:name="_Toc109059025"/>
      <w:bookmarkEnd w:id="55"/>
      <w:bookmarkStart w:id="56" w:name="_Hlt5604240"/>
      <w:bookmarkEnd w:id="56"/>
      <w:bookmarkStart w:id="57" w:name="_Toc109059037"/>
      <w:bookmarkEnd w:id="57"/>
      <w:bookmarkStart w:id="58" w:name="_Hlt5528681"/>
      <w:bookmarkEnd w:id="58"/>
      <w:bookmarkStart w:id="59" w:name="_Hlt88281392"/>
      <w:bookmarkEnd w:id="59"/>
      <w:bookmarkStart w:id="60" w:name="_Hlt81033092"/>
      <w:bookmarkEnd w:id="60"/>
      <w:bookmarkStart w:id="61" w:name="_Toc155690783"/>
      <w:bookmarkStart w:id="62" w:name="_Toc154909614"/>
      <w:r>
        <w:rPr>
          <w:b/>
          <w:sz w:val="24"/>
          <w:szCs w:val="24"/>
        </w:rPr>
        <w:t>（</w:t>
      </w:r>
      <w:r>
        <w:rPr>
          <w:rFonts w:hint="eastAsia"/>
          <w:b/>
          <w:sz w:val="24"/>
          <w:szCs w:val="24"/>
        </w:rPr>
        <w:t>八</w:t>
      </w:r>
      <w:r>
        <w:rPr>
          <w:b/>
          <w:sz w:val="24"/>
          <w:szCs w:val="24"/>
        </w:rPr>
        <w:t>）</w:t>
      </w:r>
      <w:r>
        <w:rPr>
          <w:rFonts w:hint="eastAsia"/>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bookmarkEnd w:id="52"/>
    <w:p>
      <w:pPr>
        <w:adjustRightInd w:val="0"/>
        <w:snapToGrid w:val="0"/>
        <w:spacing w:line="360" w:lineRule="auto"/>
        <w:ind w:firstLine="480" w:firstLineChars="200"/>
        <w:rPr>
          <w:rFonts w:hAnsi="宋体"/>
          <w:sz w:val="24"/>
          <w:szCs w:val="24"/>
        </w:rPr>
      </w:pPr>
      <w:bookmarkStart w:id="63" w:name="_Toc78208364"/>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64" w:name="_Toc48122011"/>
      <w:r>
        <w:rPr>
          <w:rFonts w:hint="eastAsia" w:ascii="宋体" w:hAnsi="宋体"/>
          <w:b/>
          <w:kern w:val="0"/>
          <w:sz w:val="30"/>
        </w:rPr>
        <w:t>十、基金的财产</w:t>
      </w:r>
      <w:bookmarkEnd w:id="64"/>
    </w:p>
    <w:p>
      <w:pPr>
        <w:adjustRightInd w:val="0"/>
        <w:snapToGrid w:val="0"/>
        <w:spacing w:line="360" w:lineRule="auto"/>
        <w:ind w:firstLine="482" w:firstLineChars="200"/>
        <w:rPr>
          <w:b/>
          <w:sz w:val="24"/>
          <w:szCs w:val="24"/>
        </w:rPr>
      </w:pPr>
      <w:bookmarkStart w:id="65" w:name="_Hlk49343903"/>
      <w:r>
        <w:rPr>
          <w:b/>
          <w:sz w:val="24"/>
          <w:szCs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63"/>
      <w:bookmarkStart w:id="66" w:name="_Toc311810245"/>
    </w:p>
    <w:p>
      <w:pPr>
        <w:adjustRightInd w:val="0"/>
        <w:snapToGrid w:val="0"/>
        <w:spacing w:line="360" w:lineRule="auto"/>
        <w:ind w:firstLine="482" w:firstLineChars="200"/>
        <w:rPr>
          <w:b/>
          <w:sz w:val="24"/>
          <w:szCs w:val="24"/>
        </w:rPr>
      </w:pPr>
      <w:r>
        <w:rPr>
          <w:b/>
          <w:sz w:val="24"/>
          <w:szCs w:val="24"/>
        </w:rPr>
        <w:t>（二）基金资</w:t>
      </w:r>
      <w:bookmarkEnd w:id="66"/>
      <w:r>
        <w:rPr>
          <w:b/>
          <w:sz w:val="24"/>
          <w:szCs w:val="24"/>
        </w:rPr>
        <w:t>产</w:t>
      </w:r>
      <w:bookmarkEnd w:id="61"/>
      <w:bookmarkEnd w:id="62"/>
      <w:r>
        <w:rPr>
          <w:b/>
          <w:sz w:val="24"/>
          <w:szCs w:val="24"/>
        </w:rPr>
        <w:t>净</w:t>
      </w:r>
      <w:bookmarkStart w:id="67" w:name="_Toc109537391"/>
      <w:r>
        <w:rPr>
          <w:b/>
          <w:sz w:val="24"/>
          <w:szCs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7"/>
      <w:r>
        <w:rPr>
          <w:rFonts w:hAnsi="宋体"/>
          <w:sz w:val="24"/>
          <w:szCs w:val="21"/>
        </w:rPr>
        <w:t>金资产净值是指基金资产总值</w:t>
      </w:r>
      <w:bookmarkStart w:id="68" w:name="_Toc79556449"/>
      <w:bookmarkStart w:id="69" w:name="_Toc79392635"/>
      <w:r>
        <w:rPr>
          <w:rFonts w:hAnsi="宋体"/>
          <w:sz w:val="24"/>
          <w:szCs w:val="21"/>
        </w:rPr>
        <w:t>减去基金负债后的价值。</w:t>
      </w:r>
    </w:p>
    <w:p>
      <w:pPr>
        <w:adjustRightInd w:val="0"/>
        <w:snapToGrid w:val="0"/>
        <w:spacing w:line="360" w:lineRule="auto"/>
        <w:ind w:firstLine="482" w:firstLineChars="200"/>
        <w:rPr>
          <w:b/>
          <w:sz w:val="24"/>
          <w:szCs w:val="24"/>
        </w:rPr>
      </w:pPr>
      <w:r>
        <w:rPr>
          <w:b/>
          <w:sz w:val="24"/>
          <w:szCs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以及投资所需的其他专用账户</w:t>
      </w:r>
      <w:r>
        <w:rPr>
          <w:bCs/>
          <w:sz w:val="24"/>
        </w:rPr>
        <w:t>。开立的基金专用账户与基金管理人、基</w:t>
      </w:r>
      <w:bookmarkEnd w:id="68"/>
      <w:bookmarkEnd w:id="69"/>
      <w:r>
        <w:rPr>
          <w:bCs/>
          <w:sz w:val="24"/>
        </w:rPr>
        <w:t>金托管人、基金销售机构和基金登记机构自有的财产账户以及其他基金财产账户相独立。</w:t>
      </w:r>
    </w:p>
    <w:p>
      <w:pPr>
        <w:adjustRightInd w:val="0"/>
        <w:snapToGrid w:val="0"/>
        <w:spacing w:line="360" w:lineRule="auto"/>
        <w:ind w:firstLine="482" w:firstLineChars="200"/>
        <w:rPr>
          <w:b/>
          <w:sz w:val="24"/>
          <w:szCs w:val="24"/>
        </w:rPr>
      </w:pPr>
      <w:r>
        <w:rPr>
          <w:b/>
          <w:sz w:val="24"/>
          <w:szCs w:val="24"/>
        </w:rPr>
        <w:t>（四）基金财产的保管</w:t>
      </w:r>
      <w:r>
        <w:rPr>
          <w:rFonts w:hint="eastAsia"/>
          <w:b/>
          <w:sz w:val="24"/>
          <w:szCs w:val="24"/>
        </w:rPr>
        <w:t>和</w:t>
      </w:r>
      <w:r>
        <w:rPr>
          <w:b/>
          <w:sz w:val="24"/>
          <w:szCs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5"/>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0" w:name="_Toc48122012"/>
      <w:r>
        <w:rPr>
          <w:rFonts w:hint="eastAsia" w:ascii="宋体" w:hAnsi="宋体"/>
          <w:b/>
          <w:kern w:val="0"/>
          <w:sz w:val="30"/>
        </w:rPr>
        <w:t>十一、基金资产的估值</w:t>
      </w:r>
      <w:bookmarkEnd w:id="70"/>
    </w:p>
    <w:p>
      <w:pPr>
        <w:adjustRightInd w:val="0"/>
        <w:snapToGrid w:val="0"/>
        <w:spacing w:line="360" w:lineRule="auto"/>
        <w:ind w:firstLine="482" w:firstLineChars="200"/>
        <w:rPr>
          <w:b/>
          <w:sz w:val="24"/>
          <w:szCs w:val="24"/>
        </w:rPr>
      </w:pPr>
      <w:bookmarkStart w:id="71" w:name="_Hlk50017869"/>
      <w:r>
        <w:rPr>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rPr>
          <w:b/>
          <w:sz w:val="24"/>
          <w:szCs w:val="24"/>
        </w:rPr>
      </w:pPr>
      <w:r>
        <w:rPr>
          <w:b/>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基金所拥有的股票、债券、资产支持证券、股指期货和其他投资等持续以公允价值计量的金融资产及负债。</w:t>
      </w:r>
    </w:p>
    <w:p>
      <w:pPr>
        <w:adjustRightInd w:val="0"/>
        <w:snapToGrid w:val="0"/>
        <w:spacing w:line="360" w:lineRule="auto"/>
        <w:ind w:firstLine="482" w:firstLineChars="200"/>
        <w:rPr>
          <w:b/>
          <w:sz w:val="24"/>
          <w:szCs w:val="24"/>
        </w:rPr>
      </w:pPr>
      <w:r>
        <w:rPr>
          <w:b/>
          <w:sz w:val="24"/>
          <w:szCs w:val="24"/>
        </w:rPr>
        <w:t>（三）估值</w:t>
      </w:r>
      <w:r>
        <w:rPr>
          <w:rFonts w:hint="eastAsia"/>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四</w:t>
      </w:r>
      <w:r>
        <w:rPr>
          <w:b/>
          <w:sz w:val="24"/>
          <w:szCs w:val="24"/>
        </w:rPr>
        <w:t>）估值方法</w:t>
      </w:r>
    </w:p>
    <w:p>
      <w:pPr>
        <w:adjustRightInd w:val="0"/>
        <w:snapToGrid w:val="0"/>
        <w:spacing w:line="360" w:lineRule="auto"/>
        <w:ind w:firstLine="480" w:firstLineChars="200"/>
        <w:rPr>
          <w:sz w:val="24"/>
          <w:szCs w:val="24"/>
        </w:rPr>
      </w:pPr>
      <w:r>
        <w:rPr>
          <w:rFonts w:hint="eastAsia"/>
          <w:sz w:val="24"/>
          <w:szCs w:val="24"/>
        </w:rPr>
        <w:t>1、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2、处于未上市期间的有价证券应区分如下情况处理：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3、对于已上市或已挂牌转让的不含权固定收益品种（另有规定的除外），选取第三方估值基准服务机构提供的相应品种当日的估值全价进行估值。</w:t>
      </w:r>
    </w:p>
    <w:p>
      <w:pPr>
        <w:adjustRightInd w:val="0"/>
        <w:snapToGrid w:val="0"/>
        <w:spacing w:line="360" w:lineRule="auto"/>
        <w:ind w:firstLine="480" w:firstLineChars="200"/>
        <w:rPr>
          <w:sz w:val="24"/>
          <w:szCs w:val="24"/>
        </w:rPr>
      </w:pPr>
      <w:r>
        <w:rPr>
          <w:rFonts w:hint="eastAsia"/>
          <w:sz w:val="24"/>
          <w:szCs w:val="24"/>
        </w:rPr>
        <w:t>4、对于已上市或已挂牌转让的含权固定收益品种（另有规定的除外），选取第三方估值基准服务机构提供的相应品种当日的唯一估值全价或推荐估值全价进行估值。</w:t>
      </w:r>
    </w:p>
    <w:p>
      <w:pPr>
        <w:adjustRightInd w:val="0"/>
        <w:snapToGrid w:val="0"/>
        <w:spacing w:line="360" w:lineRule="auto"/>
        <w:ind w:firstLine="480" w:firstLineChars="200"/>
        <w:rPr>
          <w:sz w:val="24"/>
          <w:szCs w:val="24"/>
        </w:rPr>
      </w:pPr>
      <w:r>
        <w:rPr>
          <w:rFonts w:hint="eastAsia"/>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adjustRightInd w:val="0"/>
        <w:snapToGrid w:val="0"/>
        <w:spacing w:line="360" w:lineRule="auto"/>
        <w:ind w:firstLine="480" w:firstLineChars="200"/>
        <w:rPr>
          <w:sz w:val="24"/>
          <w:szCs w:val="24"/>
        </w:rPr>
      </w:pPr>
      <w:r>
        <w:rPr>
          <w:rFonts w:hint="eastAsia"/>
          <w:sz w:val="24"/>
          <w:szCs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80" w:firstLineChars="200"/>
        <w:rPr>
          <w:sz w:val="24"/>
          <w:szCs w:val="24"/>
        </w:rPr>
      </w:pPr>
      <w:r>
        <w:rPr>
          <w:rFonts w:hint="eastAsia"/>
          <w:sz w:val="24"/>
          <w:szCs w:val="24"/>
        </w:rPr>
        <w:t>6、对于未上市或未挂牌转让且不存在活跃市场的固定收益品种，采用在当前情况下适用并且有足够可利用数据和其他信息支持的估值技术确定其公允价值。</w:t>
      </w:r>
    </w:p>
    <w:p>
      <w:pPr>
        <w:adjustRightInd w:val="0"/>
        <w:snapToGrid w:val="0"/>
        <w:spacing w:line="360" w:lineRule="auto"/>
        <w:ind w:firstLine="480" w:firstLineChars="200"/>
        <w:rPr>
          <w:sz w:val="24"/>
          <w:szCs w:val="24"/>
        </w:rPr>
      </w:pPr>
      <w:r>
        <w:rPr>
          <w:rFonts w:hint="eastAsia"/>
          <w:sz w:val="24"/>
          <w:szCs w:val="24"/>
        </w:rPr>
        <w:t>7、本基金投资股指期货合约，一般以估值当日结算价进行估值，估值当日无结算价的，且最近交易日后经济环境未发生重大变化的，采用最近交易日结算价估值。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rFonts w:hint="eastAsia"/>
          <w:sz w:val="24"/>
          <w:szCs w:val="24"/>
        </w:rPr>
        <w:t>8、同一证券同时在两个或两个以上市场交易的，按证券所处的市场分别估值。</w:t>
      </w:r>
    </w:p>
    <w:p>
      <w:pPr>
        <w:adjustRightInd w:val="0"/>
        <w:snapToGrid w:val="0"/>
        <w:spacing w:line="360" w:lineRule="auto"/>
        <w:ind w:firstLine="480" w:firstLineChars="200"/>
        <w:rPr>
          <w:sz w:val="24"/>
          <w:szCs w:val="24"/>
        </w:rPr>
      </w:pPr>
      <w:r>
        <w:rPr>
          <w:rFonts w:hint="eastAsia"/>
          <w:sz w:val="24"/>
          <w:szCs w:val="24"/>
        </w:rPr>
        <w:t>9、估值计算中涉及港币对人民币汇率的，将依据下列信息提供机构所提供的汇率为基准：当日中国人民银行或其授权机构公布的人民币与港币的中间价。</w:t>
      </w:r>
    </w:p>
    <w:p>
      <w:pPr>
        <w:adjustRightInd w:val="0"/>
        <w:snapToGrid w:val="0"/>
        <w:spacing w:line="360" w:lineRule="auto"/>
        <w:ind w:firstLine="480" w:firstLineChars="200"/>
        <w:rPr>
          <w:sz w:val="24"/>
          <w:szCs w:val="24"/>
        </w:rPr>
      </w:pPr>
      <w:r>
        <w:rPr>
          <w:rFonts w:hint="eastAsia"/>
          <w:sz w:val="24"/>
          <w:szCs w:val="24"/>
        </w:rPr>
        <w:t>10、对于因税收规定调整或其他原因导致本基金实际交纳税金与估算的应交税金有差异的，本基金将在相关税金调整日或实际支付日进行相应的会计处理。</w:t>
      </w:r>
    </w:p>
    <w:p>
      <w:pPr>
        <w:adjustRightInd w:val="0"/>
        <w:snapToGrid w:val="0"/>
        <w:spacing w:line="360" w:lineRule="auto"/>
        <w:ind w:firstLine="480" w:firstLineChars="200"/>
        <w:rPr>
          <w:sz w:val="24"/>
          <w:szCs w:val="24"/>
        </w:rPr>
      </w:pPr>
      <w:r>
        <w:rPr>
          <w:rFonts w:hint="eastAsia"/>
          <w:sz w:val="24"/>
          <w:szCs w:val="24"/>
        </w:rPr>
        <w:t>11、本基金投资存托凭证的估值核算依照境内上市交易的股票执行。</w:t>
      </w:r>
    </w:p>
    <w:p>
      <w:pPr>
        <w:adjustRightInd w:val="0"/>
        <w:snapToGrid w:val="0"/>
        <w:spacing w:line="360" w:lineRule="auto"/>
        <w:ind w:firstLine="480" w:firstLineChars="200"/>
        <w:rPr>
          <w:sz w:val="24"/>
          <w:szCs w:val="24"/>
        </w:rPr>
      </w:pPr>
      <w:r>
        <w:rPr>
          <w:rFonts w:hint="eastAsia"/>
          <w:sz w:val="24"/>
          <w:szCs w:val="24"/>
        </w:rPr>
        <w:t>12、如有确凿证据表明按上述方法进行估值不能客观反映其公允价值的，基金管理人可根据具体情况与基金托管人商定后，按最能反映公允价值的价格估值。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rFonts w:hint="eastAsia"/>
          <w:sz w:val="24"/>
          <w:szCs w:val="24"/>
        </w:rPr>
        <w:t>13、当发生大额申购或赎回情形时，基金管理人可以采用摆动定价机制，以确保基金估值的公平性。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rFonts w:hint="eastAsia"/>
          <w:sz w:val="24"/>
          <w:szCs w:val="24"/>
        </w:rPr>
        <w:t>14、相关法律法规以及监管部门有强制规定的，从其规定。如有新增事项，按国家最新规定估值。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五</w:t>
      </w:r>
      <w:r>
        <w:rPr>
          <w:b/>
          <w:sz w:val="24"/>
          <w:szCs w:val="24"/>
        </w:rPr>
        <w:t>）估值程序</w:t>
      </w:r>
    </w:p>
    <w:p>
      <w:pPr>
        <w:adjustRightInd w:val="0"/>
        <w:snapToGrid w:val="0"/>
        <w:spacing w:line="360" w:lineRule="auto"/>
        <w:ind w:firstLine="480" w:firstLineChars="200"/>
        <w:rPr>
          <w:sz w:val="24"/>
          <w:szCs w:val="24"/>
        </w:rPr>
      </w:pPr>
      <w:r>
        <w:rPr>
          <w:rFonts w:hint="eastAsia"/>
          <w:sz w:val="24"/>
          <w:szCs w:val="24"/>
        </w:rPr>
        <w:t>1、</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2、基金管理人应每个工作日对基金资产估值，但基金管理人根据法律法规或基金合同的规定暂停估值时除外。基金管理人每个工作日对基金资产估值后，将基金资产净值、</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六</w:t>
      </w:r>
      <w:r>
        <w:rPr>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rPr>
          <w:sz w:val="24"/>
          <w:szCs w:val="24"/>
        </w:rPr>
      </w:pPr>
      <w:r>
        <w:rPr>
          <w:rFonts w:hint="eastAsia"/>
          <w:sz w:val="24"/>
          <w:szCs w:val="24"/>
        </w:rPr>
        <w:t>1、估值错误类型</w:t>
      </w:r>
    </w:p>
    <w:p>
      <w:pPr>
        <w:adjustRightInd w:val="0"/>
        <w:snapToGrid w:val="0"/>
        <w:spacing w:line="360" w:lineRule="auto"/>
        <w:ind w:firstLine="480" w:firstLineChars="200"/>
        <w:rPr>
          <w:sz w:val="24"/>
          <w:szCs w:val="24"/>
        </w:rPr>
      </w:pPr>
      <w:r>
        <w:rPr>
          <w:rFonts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sz w:val="24"/>
          <w:szCs w:val="24"/>
        </w:rPr>
      </w:pPr>
      <w:r>
        <w:rPr>
          <w:rFonts w:hint="eastAsia"/>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sz w:val="24"/>
          <w:szCs w:val="24"/>
        </w:rPr>
      </w:pPr>
      <w:r>
        <w:rPr>
          <w:rFonts w:hint="eastAsia"/>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sz w:val="24"/>
          <w:szCs w:val="24"/>
        </w:rPr>
      </w:pPr>
      <w:r>
        <w:rPr>
          <w:rFonts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rPr>
          <w:sz w:val="24"/>
          <w:szCs w:val="24"/>
        </w:rPr>
      </w:pPr>
      <w:r>
        <w:rPr>
          <w:rFonts w:hint="eastAsia"/>
          <w:sz w:val="24"/>
          <w:szCs w:val="24"/>
        </w:rPr>
        <w:t>2、估值错误处理原则</w:t>
      </w:r>
    </w:p>
    <w:p>
      <w:pPr>
        <w:adjustRightInd w:val="0"/>
        <w:snapToGrid w:val="0"/>
        <w:spacing w:line="360" w:lineRule="auto"/>
        <w:ind w:firstLine="480" w:firstLineChars="200"/>
        <w:rPr>
          <w:sz w:val="24"/>
          <w:szCs w:val="24"/>
        </w:rPr>
      </w:pPr>
      <w:r>
        <w:rPr>
          <w:rFonts w:hint="eastAsia"/>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sz w:val="24"/>
          <w:szCs w:val="24"/>
        </w:rPr>
      </w:pPr>
      <w:r>
        <w:rPr>
          <w:rFonts w:hint="eastAsia"/>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rPr>
          <w:sz w:val="24"/>
          <w:szCs w:val="24"/>
        </w:rPr>
      </w:pPr>
      <w:r>
        <w:rPr>
          <w:rFonts w:hint="eastAsia"/>
          <w:sz w:val="24"/>
          <w:szCs w:val="24"/>
        </w:rPr>
        <w:t>3、估值错误处理程序</w:t>
      </w:r>
    </w:p>
    <w:p>
      <w:pPr>
        <w:adjustRightInd w:val="0"/>
        <w:snapToGrid w:val="0"/>
        <w:spacing w:line="360" w:lineRule="auto"/>
        <w:ind w:firstLine="480" w:firstLineChars="200"/>
        <w:rPr>
          <w:sz w:val="24"/>
          <w:szCs w:val="24"/>
        </w:rPr>
      </w:pPr>
      <w:r>
        <w:rPr>
          <w:rFonts w:hint="eastAsia"/>
          <w:sz w:val="24"/>
          <w:szCs w:val="24"/>
        </w:rPr>
        <w:t>估值错误被发现后，有关的当事人应当及时进行处理，处理的程序如下：</w:t>
      </w:r>
    </w:p>
    <w:p>
      <w:pPr>
        <w:adjustRightInd w:val="0"/>
        <w:snapToGrid w:val="0"/>
        <w:spacing w:line="360" w:lineRule="auto"/>
        <w:ind w:firstLine="480" w:firstLineChars="200"/>
        <w:rPr>
          <w:sz w:val="24"/>
          <w:szCs w:val="24"/>
        </w:rPr>
      </w:pPr>
      <w:r>
        <w:rPr>
          <w:rFonts w:hint="eastAsia"/>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sz w:val="24"/>
          <w:szCs w:val="24"/>
        </w:rPr>
      </w:pPr>
      <w:r>
        <w:rPr>
          <w:rFonts w:hint="eastAsia"/>
          <w:sz w:val="24"/>
          <w:szCs w:val="24"/>
        </w:rPr>
        <w:t>（2）根据估值错误处理原则或当事人协商的方法对因估值错误造成的损失进行评估；</w:t>
      </w:r>
    </w:p>
    <w:p>
      <w:pPr>
        <w:adjustRightInd w:val="0"/>
        <w:snapToGrid w:val="0"/>
        <w:spacing w:line="360" w:lineRule="auto"/>
        <w:ind w:firstLine="480" w:firstLineChars="200"/>
        <w:rPr>
          <w:sz w:val="24"/>
          <w:szCs w:val="24"/>
        </w:rPr>
      </w:pPr>
      <w:r>
        <w:rPr>
          <w:rFonts w:hint="eastAsia"/>
          <w:sz w:val="24"/>
          <w:szCs w:val="24"/>
        </w:rPr>
        <w:t>（3）根据估值错误处理原则或当事人协商的方法由估值错误的责任方进行更正和赔偿损失；</w:t>
      </w:r>
    </w:p>
    <w:p>
      <w:pPr>
        <w:adjustRightInd w:val="0"/>
        <w:snapToGrid w:val="0"/>
        <w:spacing w:line="360" w:lineRule="auto"/>
        <w:ind w:firstLine="480" w:firstLineChars="200"/>
        <w:rPr>
          <w:sz w:val="24"/>
          <w:szCs w:val="24"/>
        </w:rPr>
      </w:pPr>
      <w:r>
        <w:rPr>
          <w:rFonts w:hint="eastAsia"/>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rPr>
          <w:sz w:val="24"/>
          <w:szCs w:val="24"/>
        </w:rPr>
      </w:pPr>
      <w:r>
        <w:rPr>
          <w:rFonts w:hint="eastAsia"/>
          <w:sz w:val="24"/>
          <w:szCs w:val="24"/>
        </w:rPr>
        <w:t>4、基金份额净值估值错误处理的方法如下：</w:t>
      </w:r>
    </w:p>
    <w:p>
      <w:pPr>
        <w:adjustRightInd w:val="0"/>
        <w:snapToGrid w:val="0"/>
        <w:spacing w:line="360" w:lineRule="auto"/>
        <w:ind w:firstLine="480" w:firstLineChars="200"/>
        <w:rPr>
          <w:sz w:val="24"/>
          <w:szCs w:val="24"/>
        </w:rPr>
      </w:pPr>
      <w:r>
        <w:rPr>
          <w:rFonts w:hint="eastAsia"/>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sz w:val="24"/>
          <w:szCs w:val="24"/>
        </w:rPr>
        <w:t>（2）错误偏差达到该类基金份额净值的0.25%时，基金管理人应当通报基金托管人</w:t>
      </w:r>
      <w:r>
        <w:rPr>
          <w:rFonts w:hint="eastAsia" w:hAnsi="宋体"/>
          <w:sz w:val="24"/>
          <w:szCs w:val="24"/>
        </w:rPr>
        <w:t>并报中国证监会备案；错误偏差达到该类基金份额净值的0.5%时，基金管理人应当公告，并报中国证监会备案。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（3）前述内容如法律法规或监管机关另有规定的，从其规定处理。</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七</w:t>
      </w:r>
      <w:r>
        <w:rPr>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1、基金投资所涉及的证券、期货交易市场或外汇市场遇法定节假日或因其他原因暂停营业时；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八</w:t>
      </w:r>
      <w:r>
        <w:rPr>
          <w:b/>
          <w:sz w:val="24"/>
          <w:szCs w:val="24"/>
        </w:rPr>
        <w:t>）基金净值的确认</w:t>
      </w:r>
    </w:p>
    <w:p>
      <w:pPr>
        <w:adjustRightInd w:val="0"/>
        <w:snapToGrid w:val="0"/>
        <w:spacing w:line="360" w:lineRule="auto"/>
        <w:ind w:firstLine="480" w:firstLineChars="200"/>
        <w:rPr>
          <w:sz w:val="24"/>
          <w:szCs w:val="24"/>
        </w:rPr>
      </w:pPr>
      <w:r>
        <w:rPr>
          <w:rFonts w:hint="eastAsia"/>
          <w:bCs/>
          <w:sz w:val="24"/>
        </w:rPr>
        <w:t>各类基金份额的</w:t>
      </w:r>
      <w:r>
        <w:rPr>
          <w:rFonts w:hint="eastAsia" w:hAnsi="宋体"/>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int="eastAsia" w:hAnsi="宋体"/>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rPr>
          <w:b/>
          <w:sz w:val="24"/>
          <w:szCs w:val="24"/>
        </w:rPr>
      </w:pPr>
      <w:r>
        <w:rPr>
          <w:b/>
          <w:sz w:val="24"/>
          <w:szCs w:val="24"/>
        </w:rPr>
        <w:t>（</w:t>
      </w:r>
      <w:r>
        <w:rPr>
          <w:rFonts w:hint="eastAsia"/>
          <w:b/>
          <w:sz w:val="24"/>
          <w:szCs w:val="24"/>
        </w:rPr>
        <w:t>九</w:t>
      </w:r>
      <w:r>
        <w:rPr>
          <w:b/>
          <w:sz w:val="24"/>
          <w:szCs w:val="24"/>
        </w:rPr>
        <w:t>）特殊情</w:t>
      </w:r>
      <w:r>
        <w:rPr>
          <w:rFonts w:hint="eastAsia"/>
          <w:b/>
          <w:sz w:val="24"/>
          <w:szCs w:val="24"/>
        </w:rPr>
        <w:t>形</w:t>
      </w:r>
      <w:r>
        <w:rPr>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、基金管理人或基金托管人按估值方法的第12项进行估值时，所造成的误差不作为基金资产估值错误处理。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rPr>
          <w:b/>
          <w:sz w:val="24"/>
          <w:szCs w:val="24"/>
        </w:rPr>
      </w:pPr>
      <w:r>
        <w:rPr>
          <w:rFonts w:hint="eastAsia"/>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51"/>
      <w:bookmarkEnd w:id="71"/>
    </w:p>
    <w:p>
      <w:pPr>
        <w:adjustRightInd w:val="0"/>
        <w:snapToGrid w:val="0"/>
        <w:spacing w:line="360" w:lineRule="auto"/>
        <w:jc w:val="center"/>
        <w:outlineLvl w:val="0"/>
        <w:rPr>
          <w:rFonts w:ascii="宋体" w:hAnsi="宋体"/>
          <w:b/>
          <w:kern w:val="0"/>
          <w:sz w:val="30"/>
        </w:rPr>
      </w:pPr>
      <w:r>
        <w:rPr>
          <w:sz w:val="24"/>
          <w:szCs w:val="24"/>
        </w:rPr>
        <w:br w:type="page"/>
      </w:r>
      <w:bookmarkStart w:id="72" w:name="_Toc48122013"/>
      <w:bookmarkStart w:id="73" w:name="_Hlk197612808"/>
      <w:r>
        <w:rPr>
          <w:rFonts w:hint="eastAsia" w:ascii="宋体" w:hAnsi="宋体"/>
          <w:b/>
          <w:kern w:val="0"/>
          <w:sz w:val="30"/>
        </w:rPr>
        <w:t>十二、基金收益与分配</w:t>
      </w:r>
      <w:bookmarkEnd w:id="72"/>
    </w:p>
    <w:p>
      <w:pPr>
        <w:adjustRightInd w:val="0"/>
        <w:snapToGrid w:val="0"/>
        <w:spacing w:line="360" w:lineRule="auto"/>
        <w:ind w:firstLine="482" w:firstLineChars="200"/>
        <w:rPr>
          <w:b/>
          <w:sz w:val="24"/>
          <w:szCs w:val="24"/>
        </w:rPr>
      </w:pPr>
      <w:bookmarkStart w:id="74" w:name="_Hlk49343954"/>
      <w:r>
        <w:rPr>
          <w:b/>
          <w:sz w:val="24"/>
          <w:szCs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rPr>
          <w:b/>
          <w:sz w:val="24"/>
          <w:szCs w:val="24"/>
        </w:rPr>
      </w:pPr>
      <w:r>
        <w:rPr>
          <w:b/>
          <w:sz w:val="24"/>
          <w:szCs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75" w:name="_Hlt80435237"/>
      <w:bookmarkEnd w:id="75"/>
      <w:bookmarkStart w:id="76" w:name="_Hlt88900301"/>
      <w:bookmarkEnd w:id="76"/>
      <w:bookmarkStart w:id="77" w:name="_Hlt81129040"/>
      <w:bookmarkEnd w:id="77"/>
      <w:bookmarkStart w:id="78" w:name="_Toc15118286"/>
      <w:bookmarkStart w:id="79" w:name="_Toc109537392"/>
      <w:r>
        <w:rPr>
          <w:rFonts w:hAnsi="宋体"/>
          <w:sz w:val="24"/>
        </w:rPr>
        <w:t>配</w:t>
      </w:r>
      <w:bookmarkEnd w:id="78"/>
      <w:r>
        <w:rPr>
          <w:rFonts w:hAnsi="宋体"/>
          <w:sz w:val="24"/>
        </w:rPr>
        <w:t>基准日基金未分配利润与</w:t>
      </w:r>
      <w:bookmarkEnd w:id="79"/>
      <w:r>
        <w:rPr>
          <w:rFonts w:hAnsi="宋体"/>
          <w:sz w:val="24"/>
        </w:rPr>
        <w:t>未分配利润中已实现收益的孰低数。</w:t>
      </w:r>
    </w:p>
    <w:p>
      <w:pPr>
        <w:adjustRightInd w:val="0"/>
        <w:snapToGrid w:val="0"/>
        <w:spacing w:line="360" w:lineRule="auto"/>
        <w:ind w:firstLine="482" w:firstLineChars="200"/>
        <w:rPr>
          <w:b/>
          <w:sz w:val="24"/>
          <w:szCs w:val="24"/>
        </w:rPr>
      </w:pPr>
      <w:r>
        <w:rPr>
          <w:b/>
          <w:sz w:val="24"/>
          <w:szCs w:val="24"/>
        </w:rPr>
        <w:t>（三）</w:t>
      </w:r>
      <w:r>
        <w:rPr>
          <w:rFonts w:hint="eastAsia"/>
          <w:b/>
          <w:sz w:val="24"/>
          <w:szCs w:val="24"/>
        </w:rPr>
        <w:t>基金</w:t>
      </w:r>
      <w:r>
        <w:rPr>
          <w:b/>
          <w:sz w:val="24"/>
          <w:szCs w:val="24"/>
        </w:rPr>
        <w:t>收益分配原则</w:t>
      </w:r>
    </w:p>
    <w:p>
      <w:pPr>
        <w:adjustRightInd w:val="0"/>
        <w:snapToGrid w:val="0"/>
        <w:spacing w:line="360" w:lineRule="auto"/>
        <w:ind w:firstLine="480" w:firstLineChars="200"/>
        <w:rPr>
          <w:rFonts w:ascii="宋体" w:hAnsi="宋体"/>
          <w:bCs/>
          <w:sz w:val="24"/>
          <w:szCs w:val="24"/>
        </w:rPr>
      </w:pPr>
      <w:bookmarkStart w:id="80" w:name="OLE_LINK72"/>
      <w:bookmarkStart w:id="81" w:name="OLE_LINK73"/>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、基金收益分配后</w:t>
      </w:r>
      <w:r>
        <w:rPr>
          <w:rFonts w:hint="eastAsia"/>
          <w:bCs/>
          <w:sz w:val="24"/>
        </w:rPr>
        <w:t>任一类</w:t>
      </w:r>
      <w:r>
        <w:rPr>
          <w:rFonts w:hint="eastAsia" w:ascii="宋体" w:hAnsi="宋体"/>
          <w:bCs/>
          <w:sz w:val="24"/>
          <w:szCs w:val="24"/>
        </w:rPr>
        <w:t>基金份额净值不能低于面值；即基金收益分配基准日的</w:t>
      </w:r>
      <w:r>
        <w:rPr>
          <w:rFonts w:hint="eastAsia"/>
          <w:bCs/>
          <w:sz w:val="24"/>
        </w:rPr>
        <w:t>任一类</w:t>
      </w:r>
      <w:r>
        <w:rPr>
          <w:rFonts w:hint="eastAsia" w:ascii="宋体" w:hAnsi="宋体"/>
          <w:bCs/>
          <w:sz w:val="24"/>
          <w:szCs w:val="24"/>
        </w:rPr>
        <w:t>基金份额净值减去</w:t>
      </w:r>
      <w:r>
        <w:rPr>
          <w:rFonts w:hint="eastAsia"/>
          <w:bCs/>
          <w:sz w:val="24"/>
        </w:rPr>
        <w:t>该类</w:t>
      </w:r>
      <w:r>
        <w:rPr>
          <w:rFonts w:hint="eastAsia" w:ascii="宋体" w:hAnsi="宋体"/>
          <w:bCs/>
          <w:sz w:val="24"/>
          <w:szCs w:val="24"/>
        </w:rPr>
        <w:t>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6、法律法规或监管</w:t>
      </w:r>
      <w:r>
        <w:rPr>
          <w:rFonts w:hint="eastAsia" w:ascii="宋体" w:hAnsi="宋体"/>
          <w:bCs/>
          <w:sz w:val="24"/>
          <w:szCs w:val="24"/>
        </w:rPr>
        <w:t>机</w:t>
      </w:r>
      <w:r>
        <w:rPr>
          <w:rFonts w:ascii="宋体" w:hAnsi="宋体"/>
          <w:bCs/>
          <w:sz w:val="24"/>
          <w:szCs w:val="24"/>
        </w:rPr>
        <w:t>关另有规定的，从其规定。</w:t>
      </w:r>
    </w:p>
    <w:bookmarkEnd w:id="80"/>
    <w:bookmarkEnd w:id="81"/>
    <w:p>
      <w:pPr>
        <w:adjustRightInd w:val="0"/>
        <w:snapToGrid w:val="0"/>
        <w:spacing w:line="360" w:lineRule="auto"/>
        <w:ind w:firstLine="482" w:firstLineChars="200"/>
        <w:rPr>
          <w:b/>
          <w:sz w:val="24"/>
          <w:szCs w:val="24"/>
        </w:rPr>
      </w:pPr>
      <w:r>
        <w:rPr>
          <w:b/>
          <w:sz w:val="24"/>
          <w:szCs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rPr>
          <w:b/>
          <w:sz w:val="24"/>
          <w:szCs w:val="24"/>
        </w:rPr>
      </w:pPr>
      <w:r>
        <w:rPr>
          <w:b/>
          <w:sz w:val="24"/>
          <w:szCs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rPr>
          <w:b/>
          <w:sz w:val="24"/>
          <w:szCs w:val="24"/>
        </w:rPr>
      </w:pPr>
      <w:r>
        <w:rPr>
          <w:b/>
          <w:sz w:val="24"/>
          <w:szCs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rPr>
          <w:b/>
          <w:sz w:val="24"/>
          <w:szCs w:val="24"/>
        </w:rPr>
      </w:pPr>
      <w:r>
        <w:rPr>
          <w:b/>
          <w:sz w:val="24"/>
          <w:szCs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rPr>
          <w:b/>
          <w:sz w:val="24"/>
          <w:szCs w:val="24"/>
        </w:rPr>
      </w:pPr>
      <w:r>
        <w:rPr>
          <w:rFonts w:hint="eastAsia"/>
          <w:b/>
          <w:sz w:val="24"/>
          <w:szCs w:val="24"/>
        </w:rPr>
        <w:t>（八</w:t>
      </w:r>
      <w:r>
        <w:rPr>
          <w:b/>
          <w:sz w:val="24"/>
          <w:szCs w:val="24"/>
        </w:rPr>
        <w:t>）</w:t>
      </w:r>
      <w:r>
        <w:rPr>
          <w:rFonts w:hint="eastAsia"/>
          <w:b/>
          <w:sz w:val="24"/>
          <w:szCs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73"/>
      <w:bookmarkEnd w:id="74"/>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2" w:name="_Toc48122014"/>
      <w:bookmarkStart w:id="83" w:name="_Hlk197612794"/>
      <w:r>
        <w:rPr>
          <w:rFonts w:hint="eastAsia" w:ascii="宋体" w:hAnsi="宋体"/>
          <w:b/>
          <w:kern w:val="0"/>
          <w:sz w:val="30"/>
        </w:rPr>
        <w:t>十三、基金的费用与税收</w:t>
      </w:r>
      <w:bookmarkEnd w:id="82"/>
    </w:p>
    <w:p>
      <w:pPr>
        <w:adjustRightInd w:val="0"/>
        <w:snapToGrid w:val="0"/>
        <w:spacing w:line="360" w:lineRule="auto"/>
        <w:ind w:firstLine="482" w:firstLineChars="200"/>
        <w:rPr>
          <w:b/>
          <w:sz w:val="24"/>
          <w:szCs w:val="24"/>
        </w:rPr>
      </w:pPr>
      <w:bookmarkStart w:id="84" w:name="_Hlk49343964"/>
      <w:r>
        <w:rPr>
          <w:b/>
          <w:sz w:val="24"/>
          <w:szCs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firstLineChars="200"/>
        <w:rPr>
          <w:b/>
          <w:sz w:val="24"/>
          <w:szCs w:val="24"/>
        </w:rPr>
      </w:pPr>
      <w:r>
        <w:rPr>
          <w:b/>
          <w:sz w:val="24"/>
          <w:szCs w:val="24"/>
        </w:rPr>
        <w:t>（二）基金费用计提方法、计提标准和支付方式</w:t>
      </w:r>
    </w:p>
    <w:p>
      <w:pPr>
        <w:adjustRightInd w:val="0"/>
        <w:snapToGrid w:val="0"/>
        <w:spacing w:line="360" w:lineRule="auto"/>
        <w:ind w:firstLine="480" w:firstLineChars="200"/>
        <w:rPr>
          <w:sz w:val="24"/>
          <w:szCs w:val="24"/>
        </w:rPr>
      </w:pPr>
      <w:r>
        <w:rPr>
          <w:rFonts w:hint="eastAsia"/>
          <w:sz w:val="24"/>
          <w:szCs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本基金的管理费按前一日基金资产净值的1.</w:t>
      </w:r>
      <w:r>
        <w:rPr>
          <w:bCs/>
          <w:sz w:val="24"/>
        </w:rPr>
        <w:t>2</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H＝E×1</w:t>
      </w:r>
      <w:r>
        <w:rPr>
          <w:bCs/>
          <w:sz w:val="24"/>
        </w:rPr>
        <w:t>.2%</w:t>
      </w:r>
      <w:r>
        <w:rPr>
          <w:rFonts w:hint="eastAsia"/>
          <w:bCs/>
          <w:sz w:val="24"/>
        </w:rPr>
        <w:t>÷当年天数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逐日累计至每月月末，按月支付，由基金管理人向基金托管人发送基金管理费划款指令，基金托管人复核后于次月前5个工作日内从基金财产中一次性支付给基金管理人。若遇法定节假日、公休假等，支付日期顺延至最近可支付日支付。</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本基金的托管费按前一日基金资产净值的0.2%年费率计提。托管费的计算方法如下：</w:t>
      </w:r>
    </w:p>
    <w:p>
      <w:pPr>
        <w:adjustRightInd w:val="0"/>
        <w:snapToGrid w:val="0"/>
        <w:spacing w:line="360" w:lineRule="auto"/>
        <w:ind w:firstLine="480" w:firstLineChars="200"/>
        <w:rPr>
          <w:bCs/>
          <w:sz w:val="24"/>
        </w:rPr>
      </w:pPr>
      <w:r>
        <w:rPr>
          <w:rFonts w:hint="eastAsia"/>
          <w:bCs/>
          <w:sz w:val="24"/>
        </w:rPr>
        <w:t>H＝E×0</w:t>
      </w:r>
      <w:r>
        <w:rPr>
          <w:bCs/>
          <w:sz w:val="24"/>
        </w:rPr>
        <w:t>.2%</w:t>
      </w:r>
      <w:r>
        <w:rPr>
          <w:rFonts w:hint="eastAsia"/>
          <w:bCs/>
          <w:sz w:val="24"/>
        </w:rPr>
        <w:t>÷当年天数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向基金托管人发送基金托管费划款指令，基金托管人复核后于次月前5个工作日内从基金财产中一次性支付给基金托管人。若遇法定节假日、公休假等，支付日期顺延至最近可支付日支付。</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本基金A类基金份额不收取销售服务费，C类基金份额的销售服务费按前一日C类基金资产净值的0.6%年费率计提。计算方法如下：</w:t>
      </w:r>
    </w:p>
    <w:p>
      <w:pPr>
        <w:adjustRightInd w:val="0"/>
        <w:snapToGrid w:val="0"/>
        <w:spacing w:line="360" w:lineRule="auto"/>
        <w:ind w:firstLine="480" w:firstLineChars="200"/>
        <w:rPr>
          <w:bCs/>
          <w:sz w:val="24"/>
        </w:rPr>
      </w:pPr>
      <w:r>
        <w:rPr>
          <w:rFonts w:hint="eastAsia"/>
          <w:bCs/>
          <w:sz w:val="24"/>
        </w:rPr>
        <w:t>H＝E×0.6%÷当年天数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于次月前5个工作日内从基金财产中一次性支付给基金管理人，由基金管理人代付给销售机构。若遇法定节假日、公休假等，支付日期顺延至最近可支付日支付。</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rPr>
          <w:sz w:val="24"/>
          <w:szCs w:val="24"/>
        </w:rPr>
      </w:pPr>
      <w:r>
        <w:rPr>
          <w:sz w:val="24"/>
          <w:szCs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bookmarkStart w:id="85" w:name="OLE_LINK7"/>
      <w:bookmarkStart w:id="86" w:name="OLE_LINK8"/>
      <w:r>
        <w:rPr>
          <w:bCs/>
          <w:sz w:val="24"/>
        </w:rPr>
        <w:t>基金份额的申购与赎回</w:t>
      </w:r>
      <w:bookmarkEnd w:id="85"/>
      <w:bookmarkEnd w:id="86"/>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firstLineChars="200"/>
        <w:rPr>
          <w:b/>
          <w:sz w:val="24"/>
          <w:szCs w:val="24"/>
        </w:rPr>
      </w:pPr>
      <w:r>
        <w:rPr>
          <w:b/>
          <w:sz w:val="24"/>
          <w:szCs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87" w:name="_Hlt81193394"/>
      <w:bookmarkEnd w:id="87"/>
      <w:r>
        <w:rPr>
          <w:rFonts w:hAnsi="宋体"/>
          <w:sz w:val="24"/>
          <w:szCs w:val="21"/>
        </w:rPr>
        <w:t>4、其他根据相关法律法规及中国证监会的有关规定不得列入基金费用的项目。</w:t>
      </w:r>
    </w:p>
    <w:p>
      <w:pPr>
        <w:adjustRightInd w:val="0"/>
        <w:snapToGrid w:val="0"/>
        <w:spacing w:line="360" w:lineRule="auto"/>
        <w:ind w:firstLine="482" w:firstLineChars="200"/>
        <w:rPr>
          <w:b/>
          <w:sz w:val="24"/>
          <w:szCs w:val="24"/>
        </w:rPr>
      </w:pPr>
      <w:r>
        <w:rPr>
          <w:rFonts w:hint="eastAsia"/>
          <w:b/>
          <w:sz w:val="24"/>
          <w:szCs w:val="24"/>
        </w:rPr>
        <w:t>（</w:t>
      </w:r>
      <w:r>
        <w:rPr>
          <w:b/>
          <w:sz w:val="24"/>
          <w:szCs w:val="24"/>
        </w:rPr>
        <w:t>四</w:t>
      </w:r>
      <w:r>
        <w:rPr>
          <w:rFonts w:hint="eastAsia"/>
          <w:b/>
          <w:sz w:val="24"/>
          <w:szCs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firstLineChars="200"/>
        <w:rPr>
          <w:b/>
          <w:sz w:val="24"/>
          <w:szCs w:val="24"/>
        </w:rPr>
      </w:pPr>
      <w:r>
        <w:rPr>
          <w:rFonts w:hint="eastAsia"/>
          <w:b/>
          <w:sz w:val="24"/>
          <w:szCs w:val="24"/>
        </w:rPr>
        <w:t>（五）</w:t>
      </w:r>
      <w:r>
        <w:rPr>
          <w:b/>
          <w:sz w:val="24"/>
          <w:szCs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83"/>
      <w:bookmarkEnd w:id="84"/>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8" w:name="_Toc48122015"/>
      <w:bookmarkStart w:id="89" w:name="_Hlk197612846"/>
      <w:r>
        <w:rPr>
          <w:rFonts w:hint="eastAsia" w:ascii="宋体" w:hAnsi="宋体"/>
          <w:b/>
          <w:kern w:val="0"/>
          <w:sz w:val="30"/>
        </w:rPr>
        <w:t>十四、基金的会计与审计</w:t>
      </w:r>
      <w:bookmarkEnd w:id="88"/>
    </w:p>
    <w:p>
      <w:pPr>
        <w:adjustRightInd w:val="0"/>
        <w:snapToGrid w:val="0"/>
        <w:spacing w:line="360" w:lineRule="auto"/>
        <w:ind w:firstLine="482" w:firstLineChars="200"/>
        <w:rPr>
          <w:b/>
          <w:sz w:val="24"/>
          <w:szCs w:val="24"/>
        </w:rPr>
      </w:pPr>
      <w:bookmarkStart w:id="90" w:name="_Hlk49344167"/>
      <w:r>
        <w:rPr>
          <w:b/>
          <w:sz w:val="24"/>
          <w:szCs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91" w:name="_Toc109537394"/>
      <w:r>
        <w:rPr>
          <w:sz w:val="24"/>
        </w:rPr>
        <w:t>3</w:t>
      </w:r>
      <w:r>
        <w:rPr>
          <w:rFonts w:hAnsi="宋体"/>
          <w:sz w:val="24"/>
        </w:rPr>
        <w:t>、</w:t>
      </w:r>
      <w:r>
        <w:rPr>
          <w:rFonts w:hAnsi="宋体"/>
          <w:sz w:val="24"/>
          <w:szCs w:val="21"/>
        </w:rPr>
        <w:t>基金核</w:t>
      </w:r>
      <w:bookmarkEnd w:id="91"/>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、基金托管人每月与基金管理人就基金的会计核算、报表编制等进行核对确认。</w:t>
      </w:r>
    </w:p>
    <w:p>
      <w:pPr>
        <w:adjustRightInd w:val="0"/>
        <w:snapToGrid w:val="0"/>
        <w:spacing w:line="360" w:lineRule="auto"/>
        <w:ind w:firstLine="482" w:firstLineChars="200"/>
        <w:rPr>
          <w:b/>
          <w:sz w:val="24"/>
          <w:szCs w:val="24"/>
        </w:rPr>
      </w:pPr>
      <w:r>
        <w:rPr>
          <w:b/>
          <w:sz w:val="24"/>
          <w:szCs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92" w:name="_Hlt4221115"/>
      <w:bookmarkEnd w:id="92"/>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bookmarkEnd w:id="89"/>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3" w:name="_Toc48122016"/>
      <w:bookmarkStart w:id="94" w:name="_Hlk197612877"/>
      <w:r>
        <w:rPr>
          <w:rFonts w:hint="eastAsia" w:ascii="宋体" w:hAnsi="宋体"/>
          <w:b/>
          <w:kern w:val="0"/>
          <w:sz w:val="30"/>
        </w:rPr>
        <w:t>十五、基金的信息披露</w:t>
      </w:r>
      <w:bookmarkEnd w:id="93"/>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本基金的信息披露应符合《基金法》、《运作办法》、《信息披露办法》、《流动性风险管理规定》、《基金合同》及其他有关规定。相关法律法规关于信息披露的规定发生变化时，本基金从其最新规定。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rFonts w:hint="eastAsia"/>
          <w:bCs/>
          <w:sz w:val="24"/>
        </w:rPr>
        <w:t>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（25）《基金合同》生效后，连续30、40、45个工作日出现基金份额持有人数量不满200人或者基金资产净值低于5000万元情形，基金管理人应当发布提示性公告；</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交易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bCs/>
          <w:sz w:val="24"/>
        </w:rPr>
        <w:t>本基金投</w:t>
      </w:r>
      <w:r>
        <w:rPr>
          <w:bCs/>
          <w:sz w:val="24"/>
        </w:rPr>
        <w:t>资</w:t>
      </w:r>
      <w:r>
        <w:rPr>
          <w:rFonts w:hint="eastAsia"/>
          <w:bCs/>
          <w:sz w:val="24"/>
        </w:rPr>
        <w:t>于港股通标的股票，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等法律法规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基金托管人应当按照相关法律法规、中国证监会的规定和《基金合同》的约定，对基金管理人编制的基金资产净值、各类基金份额的基金份额净值、基金份额申购赎回价格、基金定期报告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90"/>
      <w:bookmarkEnd w:id="94"/>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5" w:name="_Toc48122017"/>
      <w:r>
        <w:rPr>
          <w:rFonts w:hint="eastAsia" w:ascii="宋体" w:hAnsi="宋体"/>
          <w:b/>
          <w:kern w:val="0"/>
          <w:sz w:val="30"/>
        </w:rPr>
        <w:t>十六、侧袋机制</w:t>
      </w:r>
      <w:bookmarkEnd w:id="95"/>
    </w:p>
    <w:p>
      <w:pPr>
        <w:adjustRightInd w:val="0"/>
        <w:snapToGrid w:val="0"/>
        <w:spacing w:line="360" w:lineRule="auto"/>
        <w:ind w:firstLine="482" w:firstLineChars="200"/>
        <w:rPr>
          <w:b/>
          <w:sz w:val="24"/>
          <w:szCs w:val="24"/>
        </w:rPr>
      </w:pPr>
      <w:r>
        <w:rPr>
          <w:rFonts w:hint="eastAsia"/>
          <w:b/>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96" w:name="_Hlk45746268"/>
      <w:r>
        <w:rPr>
          <w:rFonts w:hint="eastAsia" w:hAnsi="宋体"/>
          <w:bCs/>
          <w:sz w:val="24"/>
          <w:szCs w:val="24"/>
        </w:rPr>
        <w:t>并在</w:t>
      </w:r>
      <w:bookmarkStart w:id="97" w:name="_Hlk45746204"/>
      <w:r>
        <w:rPr>
          <w:rFonts w:hint="eastAsia" w:hAnsi="宋体"/>
          <w:bCs/>
          <w:sz w:val="24"/>
          <w:szCs w:val="24"/>
        </w:rPr>
        <w:t>五个工作日内</w:t>
      </w:r>
      <w:bookmarkEnd w:id="96"/>
      <w:bookmarkEnd w:id="97"/>
      <w:r>
        <w:rPr>
          <w:rFonts w:hint="eastAsia" w:hAnsi="宋体"/>
          <w:bCs/>
          <w:sz w:val="24"/>
          <w:szCs w:val="24"/>
        </w:rPr>
        <w:t>聘请</w:t>
      </w:r>
      <w:bookmarkStart w:id="98" w:name="_Hlk45746277"/>
      <w:r>
        <w:rPr>
          <w:rFonts w:hint="eastAsia" w:hAnsi="宋体"/>
          <w:bCs/>
          <w:sz w:val="24"/>
          <w:szCs w:val="24"/>
        </w:rPr>
        <w:t>侧袋机制启用日发表意见且</w:t>
      </w:r>
      <w:bookmarkEnd w:id="98"/>
      <w:r>
        <w:rPr>
          <w:rFonts w:hint="eastAsia" w:hAnsi="宋体"/>
          <w:bCs/>
          <w:sz w:val="24"/>
          <w:szCs w:val="24"/>
        </w:rPr>
        <w:t>符合《中华人民共和国证券法》规定的会计师事务所</w:t>
      </w:r>
      <w:bookmarkStart w:id="99" w:name="_Hlk45746299"/>
      <w:r>
        <w:rPr>
          <w:rFonts w:hint="eastAsia" w:hAnsi="宋体"/>
          <w:bCs/>
          <w:sz w:val="24"/>
          <w:szCs w:val="24"/>
        </w:rPr>
        <w:t>进行审计并披露</w:t>
      </w:r>
      <w:bookmarkEnd w:id="99"/>
      <w:r>
        <w:rPr>
          <w:rFonts w:hint="eastAsia" w:hAnsi="宋体"/>
          <w:bCs/>
          <w:sz w:val="24"/>
          <w:szCs w:val="24"/>
        </w:rPr>
        <w:t>专项审计意见。</w:t>
      </w:r>
    </w:p>
    <w:p>
      <w:pPr>
        <w:adjustRightInd w:val="0"/>
        <w:snapToGrid w:val="0"/>
        <w:spacing w:line="360" w:lineRule="auto"/>
        <w:ind w:firstLine="482" w:firstLineChars="200"/>
        <w:rPr>
          <w:b/>
          <w:sz w:val="24"/>
          <w:szCs w:val="24"/>
        </w:rPr>
      </w:pPr>
      <w:r>
        <w:rPr>
          <w:rFonts w:hint="eastAsia"/>
          <w:b/>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rPr>
          <w:b/>
          <w:sz w:val="24"/>
          <w:szCs w:val="24"/>
        </w:rPr>
      </w:pPr>
      <w:r>
        <w:rPr>
          <w:rFonts w:hint="eastAsia"/>
          <w:b/>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rPr>
          <w:b/>
          <w:sz w:val="24"/>
          <w:szCs w:val="24"/>
        </w:rPr>
      </w:pPr>
      <w:r>
        <w:rPr>
          <w:rFonts w:hint="eastAsia"/>
          <w:b/>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rPr>
          <w:b/>
          <w:sz w:val="24"/>
          <w:szCs w:val="24"/>
        </w:rPr>
      </w:pPr>
      <w:r>
        <w:rPr>
          <w:rFonts w:hint="eastAsia"/>
          <w:b/>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1、本基金实施侧袋机制的，管理费和托管费等按主袋账户基金资产净值作为基数计提。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rPr>
          <w:b/>
          <w:sz w:val="24"/>
          <w:szCs w:val="24"/>
        </w:rPr>
      </w:pPr>
      <w:r>
        <w:rPr>
          <w:rFonts w:hint="eastAsia"/>
          <w:b/>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rPr>
          <w:b/>
          <w:sz w:val="24"/>
          <w:szCs w:val="24"/>
        </w:rPr>
      </w:pPr>
      <w:r>
        <w:rPr>
          <w:rFonts w:hint="eastAsia"/>
          <w:b/>
          <w:sz w:val="24"/>
          <w:szCs w:val="24"/>
        </w:rPr>
        <w:t>（七）侧袋机制的信息披露</w:t>
      </w:r>
    </w:p>
    <w:p>
      <w:pPr>
        <w:adjustRightInd w:val="0"/>
        <w:snapToGrid w:val="0"/>
        <w:spacing w:line="360" w:lineRule="auto"/>
        <w:ind w:firstLine="480" w:firstLineChars="200"/>
        <w:rPr>
          <w:sz w:val="24"/>
          <w:szCs w:val="24"/>
        </w:rPr>
      </w:pPr>
      <w:r>
        <w:rPr>
          <w:rFonts w:hint="eastAsia"/>
          <w:sz w:val="24"/>
          <w:szCs w:val="24"/>
        </w:rPr>
        <w:t>1、临时公告</w:t>
      </w:r>
    </w:p>
    <w:p>
      <w:pPr>
        <w:adjustRightInd w:val="0"/>
        <w:snapToGrid w:val="0"/>
        <w:spacing w:line="360" w:lineRule="auto"/>
        <w:ind w:firstLine="480" w:firstLineChars="200"/>
        <w:rPr>
          <w:sz w:val="24"/>
          <w:szCs w:val="24"/>
        </w:rPr>
      </w:pPr>
      <w:r>
        <w:rPr>
          <w:rFonts w:hint="eastAsia"/>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rPr>
          <w:sz w:val="24"/>
          <w:szCs w:val="24"/>
        </w:rPr>
      </w:pPr>
      <w:r>
        <w:rPr>
          <w:rFonts w:hint="eastAsia"/>
          <w:sz w:val="24"/>
          <w:szCs w:val="24"/>
        </w:rPr>
        <w:t>2、基金净值信息</w:t>
      </w:r>
    </w:p>
    <w:p>
      <w:pPr>
        <w:adjustRightInd w:val="0"/>
        <w:snapToGrid w:val="0"/>
        <w:spacing w:line="360" w:lineRule="auto"/>
        <w:ind w:firstLine="480" w:firstLineChars="200"/>
        <w:rPr>
          <w:sz w:val="24"/>
          <w:szCs w:val="24"/>
        </w:rPr>
      </w:pPr>
      <w:r>
        <w:rPr>
          <w:rFonts w:hint="eastAsia"/>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rPr>
          <w:sz w:val="24"/>
          <w:szCs w:val="24"/>
        </w:rPr>
      </w:pPr>
      <w:r>
        <w:rPr>
          <w:rFonts w:hint="eastAsia"/>
          <w:sz w:val="24"/>
          <w:szCs w:val="24"/>
        </w:rPr>
        <w:t>3、定期报告</w:t>
      </w:r>
    </w:p>
    <w:p>
      <w:pPr>
        <w:adjustRightInd w:val="0"/>
        <w:snapToGrid w:val="0"/>
        <w:spacing w:line="360" w:lineRule="auto"/>
        <w:ind w:firstLine="480" w:firstLineChars="200"/>
        <w:rPr>
          <w:sz w:val="24"/>
          <w:szCs w:val="24"/>
        </w:rPr>
      </w:pPr>
      <w:r>
        <w:rPr>
          <w:rFonts w:hint="eastAsia"/>
          <w:sz w:val="24"/>
          <w:szCs w:val="24"/>
        </w:rPr>
        <w:t>侧袋机制实施期间，基金管理人应当在基金定期报告中披露报告期内侧袋账户相关信息，基金定期报告中的基金会计报表仅需针对主袋账户进行编制。</w:t>
      </w:r>
      <w:bookmarkStart w:id="100" w:name="_Hlk45747214"/>
      <w:r>
        <w:rPr>
          <w:rFonts w:hint="eastAsia"/>
          <w:sz w:val="24"/>
          <w:szCs w:val="24"/>
        </w:rPr>
        <w:t>会计师事务所对基金年度报告进行审计时，应对报告期内基金侧袋机制运行相关的会计核算和年度报告披露等发表审计意见。</w:t>
      </w:r>
      <w:bookmarkEnd w:id="10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101" w:name="_Toc48122018"/>
      <w:bookmarkStart w:id="102" w:name="OLE_LINK1"/>
      <w:bookmarkStart w:id="103" w:name="OLE_LINK2"/>
      <w:r>
        <w:rPr>
          <w:rFonts w:hint="eastAsia" w:ascii="宋体" w:hAnsi="宋体"/>
          <w:b/>
          <w:kern w:val="0"/>
          <w:sz w:val="30"/>
        </w:rPr>
        <w:t>十七、风险揭示</w:t>
      </w:r>
      <w:bookmarkEnd w:id="101"/>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4" w:name="_Hlt88901012"/>
      <w:bookmarkEnd w:id="104"/>
      <w:bookmarkStart w:id="105" w:name="_Hlt91150550"/>
      <w:bookmarkEnd w:id="105"/>
      <w:bookmarkStart w:id="106" w:name="_Toc109537396"/>
      <w:r>
        <w:rPr>
          <w:rFonts w:hAnsi="宋体"/>
          <w:sz w:val="24"/>
          <w:szCs w:val="24"/>
        </w:rPr>
        <w:t>生的收益，也可能承担</w:t>
      </w:r>
      <w:bookmarkEnd w:id="106"/>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firstLineChars="200"/>
        <w:rPr>
          <w:b/>
          <w:sz w:val="24"/>
          <w:szCs w:val="24"/>
        </w:rPr>
      </w:pPr>
      <w:r>
        <w:rPr>
          <w:b/>
          <w:sz w:val="24"/>
          <w:szCs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firstLineChars="200"/>
        <w:rPr>
          <w:b/>
          <w:sz w:val="24"/>
          <w:szCs w:val="24"/>
        </w:rPr>
      </w:pPr>
      <w:r>
        <w:rPr>
          <w:b/>
          <w:sz w:val="24"/>
          <w:szCs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firstLineChars="200"/>
        <w:rPr>
          <w:b/>
          <w:sz w:val="24"/>
          <w:szCs w:val="24"/>
        </w:rPr>
      </w:pPr>
      <w:r>
        <w:rPr>
          <w:b/>
          <w:sz w:val="24"/>
          <w:szCs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djustRightInd w:val="0"/>
        <w:snapToGrid w:val="0"/>
        <w:spacing w:line="360" w:lineRule="auto"/>
        <w:ind w:firstLine="480" w:firstLineChars="200"/>
        <w:rPr>
          <w:sz w:val="24"/>
          <w:szCs w:val="24"/>
        </w:rPr>
      </w:pPr>
      <w:r>
        <w:rPr>
          <w:rFonts w:hint="eastAsia"/>
          <w:sz w:val="24"/>
          <w:szCs w:val="24"/>
        </w:rPr>
        <w:t>1、本基金的申购、赎回安排</w:t>
      </w:r>
    </w:p>
    <w:p>
      <w:pPr>
        <w:adjustRightInd w:val="0"/>
        <w:snapToGrid w:val="0"/>
        <w:spacing w:line="360" w:lineRule="auto"/>
        <w:ind w:firstLine="480" w:firstLineChars="200"/>
        <w:rPr>
          <w:sz w:val="24"/>
          <w:szCs w:val="24"/>
        </w:rPr>
      </w:pPr>
      <w:r>
        <w:rPr>
          <w:rFonts w:hint="eastAsia"/>
          <w:sz w:val="24"/>
          <w:szCs w:val="24"/>
        </w:rPr>
        <w:t>本基金采用开放方式运作，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2、投资市场、行业及资产的流动性风险评估</w:t>
      </w:r>
    </w:p>
    <w:p>
      <w:pPr>
        <w:adjustRightInd w:val="0"/>
        <w:snapToGrid w:val="0"/>
        <w:spacing w:line="360" w:lineRule="auto"/>
        <w:ind w:firstLine="480" w:firstLineChars="200"/>
        <w:rPr>
          <w:sz w:val="24"/>
          <w:szCs w:val="24"/>
        </w:rPr>
      </w:pPr>
      <w:r>
        <w:rPr>
          <w:rFonts w:hint="eastAsia"/>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djustRightInd w:val="0"/>
        <w:snapToGrid w:val="0"/>
        <w:spacing w:line="360" w:lineRule="auto"/>
        <w:ind w:firstLine="480" w:firstLineChars="200"/>
        <w:rPr>
          <w:sz w:val="24"/>
          <w:szCs w:val="24"/>
        </w:rPr>
      </w:pPr>
      <w:r>
        <w:rPr>
          <w:rFonts w:hint="eastAsia"/>
          <w:sz w:val="24"/>
          <w:szCs w:val="24"/>
        </w:rPr>
        <w:t>3、巨额赎回情形下的流动性风险管理措施</w:t>
      </w:r>
    </w:p>
    <w:p>
      <w:pPr>
        <w:adjustRightInd w:val="0"/>
        <w:snapToGrid w:val="0"/>
        <w:spacing w:line="360" w:lineRule="auto"/>
        <w:ind w:firstLine="480" w:firstLineChars="200"/>
        <w:rPr>
          <w:sz w:val="24"/>
          <w:szCs w:val="24"/>
        </w:rPr>
      </w:pPr>
      <w:r>
        <w:rPr>
          <w:rFonts w:hint="eastAsia"/>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adjustRightInd w:val="0"/>
        <w:snapToGrid w:val="0"/>
        <w:spacing w:line="360" w:lineRule="auto"/>
        <w:ind w:firstLine="480" w:firstLineChars="200"/>
        <w:rPr>
          <w:sz w:val="24"/>
          <w:szCs w:val="24"/>
        </w:rPr>
      </w:pPr>
      <w:r>
        <w:rPr>
          <w:rFonts w:hint="eastAsia"/>
          <w:sz w:val="24"/>
          <w:szCs w:val="24"/>
        </w:rPr>
        <w:t>当基金出现巨额赎回时，基金管理人可以根据基金当时的资产组合状况决定全额赎回或部分延期赎回。</w:t>
      </w:r>
    </w:p>
    <w:p>
      <w:pPr>
        <w:adjustRightInd w:val="0"/>
        <w:snapToGrid w:val="0"/>
        <w:spacing w:line="360" w:lineRule="auto"/>
        <w:ind w:firstLine="480" w:firstLineChars="200"/>
        <w:rPr>
          <w:sz w:val="24"/>
          <w:szCs w:val="24"/>
        </w:rPr>
      </w:pPr>
      <w:r>
        <w:rPr>
          <w:rFonts w:hint="eastAsia"/>
          <w:sz w:val="24"/>
          <w:szCs w:val="24"/>
        </w:rPr>
        <w:t>（1）全额赎回：当基金管理人认为有能力支付投资人的全部赎回申请时，按正常赎回程序执行。</w:t>
      </w:r>
    </w:p>
    <w:p>
      <w:pPr>
        <w:adjustRightInd w:val="0"/>
        <w:snapToGrid w:val="0"/>
        <w:spacing w:line="360" w:lineRule="auto"/>
        <w:ind w:firstLine="480" w:firstLineChars="200"/>
        <w:rPr>
          <w:sz w:val="24"/>
          <w:szCs w:val="24"/>
        </w:rPr>
      </w:pPr>
      <w:r>
        <w:rPr>
          <w:rFonts w:hint="eastAsia"/>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本基金如发生巨额赎回且单个开放日内单个基金份额持有人申请赎回的基金份额超过前一开放日的基金总份额的20%时，本基金管理人有权采取如下措施：</w:t>
      </w:r>
    </w:p>
    <w:p>
      <w:pPr>
        <w:adjustRightInd w:val="0"/>
        <w:snapToGrid w:val="0"/>
        <w:spacing w:line="360" w:lineRule="auto"/>
        <w:ind w:firstLine="480" w:firstLineChars="200"/>
        <w:rPr>
          <w:sz w:val="24"/>
          <w:szCs w:val="24"/>
        </w:rPr>
      </w:pPr>
      <w:r>
        <w:rPr>
          <w:rFonts w:hint="eastAsia"/>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adjustRightInd w:val="0"/>
        <w:snapToGrid w:val="0"/>
        <w:spacing w:line="360" w:lineRule="auto"/>
        <w:ind w:firstLine="480" w:firstLineChars="200"/>
        <w:rPr>
          <w:sz w:val="24"/>
          <w:szCs w:val="24"/>
        </w:rPr>
      </w:pPr>
      <w:r>
        <w:rPr>
          <w:rFonts w:hint="eastAsia"/>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adjustRightInd w:val="0"/>
        <w:snapToGrid w:val="0"/>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adjustRightInd w:val="0"/>
        <w:snapToGrid w:val="0"/>
        <w:spacing w:line="360" w:lineRule="auto"/>
        <w:ind w:firstLine="480" w:firstLineChars="200"/>
        <w:rPr>
          <w:sz w:val="24"/>
          <w:szCs w:val="24"/>
        </w:rPr>
      </w:pPr>
      <w:r>
        <w:rPr>
          <w:rFonts w:hint="eastAsia"/>
          <w:sz w:val="24"/>
          <w:szCs w:val="24"/>
        </w:rPr>
        <w:t>4、实施备用的流动性风险管理工具的情形、程序及对投资者的潜在影响</w:t>
      </w:r>
    </w:p>
    <w:p>
      <w:pPr>
        <w:adjustRightInd w:val="0"/>
        <w:snapToGrid w:val="0"/>
        <w:spacing w:line="360" w:lineRule="auto"/>
        <w:ind w:firstLine="480" w:firstLineChars="200"/>
        <w:rPr>
          <w:sz w:val="24"/>
          <w:szCs w:val="24"/>
        </w:rPr>
      </w:pPr>
      <w:r>
        <w:rPr>
          <w:rFonts w:hint="eastAsia"/>
          <w:sz w:val="24"/>
          <w:szCs w:val="24"/>
        </w:rPr>
        <w:t>本基金在面临大规模赎回的情况下有可能因为无法变现造成流动性风险。</w:t>
      </w:r>
    </w:p>
    <w:p>
      <w:pPr>
        <w:adjustRightInd w:val="0"/>
        <w:snapToGrid w:val="0"/>
        <w:spacing w:line="360" w:lineRule="auto"/>
        <w:ind w:firstLine="480" w:firstLineChars="200"/>
        <w:rPr>
          <w:sz w:val="24"/>
          <w:szCs w:val="24"/>
        </w:rPr>
      </w:pPr>
      <w:r>
        <w:rPr>
          <w:rFonts w:hint="eastAsia"/>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基金合同约定的时限支付赎回款项。</w:t>
      </w:r>
    </w:p>
    <w:p>
      <w:pPr>
        <w:adjustRightInd w:val="0"/>
        <w:snapToGrid w:val="0"/>
        <w:spacing w:line="360" w:lineRule="auto"/>
        <w:ind w:firstLine="480" w:firstLineChars="200"/>
        <w:rPr>
          <w:sz w:val="24"/>
          <w:szCs w:val="24"/>
        </w:rPr>
      </w:pPr>
      <w:r>
        <w:rPr>
          <w:rFonts w:hint="eastAsia"/>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adjustRightInd w:val="0"/>
        <w:snapToGrid w:val="0"/>
        <w:spacing w:line="360" w:lineRule="auto"/>
        <w:ind w:firstLine="480" w:firstLineChars="200"/>
        <w:rPr>
          <w:sz w:val="24"/>
          <w:szCs w:val="24"/>
        </w:rPr>
      </w:pPr>
      <w:r>
        <w:rPr>
          <w:rFonts w:hint="eastAsia"/>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adjustRightInd w:val="0"/>
        <w:snapToGrid w:val="0"/>
        <w:spacing w:line="360" w:lineRule="auto"/>
        <w:ind w:firstLine="480" w:firstLineChars="200"/>
        <w:rPr>
          <w:sz w:val="24"/>
          <w:szCs w:val="24"/>
        </w:rPr>
      </w:pPr>
      <w:r>
        <w:rPr>
          <w:rFonts w:hint="eastAsia"/>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firstLineChars="200"/>
        <w:rPr>
          <w:b/>
          <w:sz w:val="24"/>
          <w:szCs w:val="24"/>
        </w:rPr>
      </w:pPr>
      <w:r>
        <w:rPr>
          <w:b/>
          <w:sz w:val="24"/>
          <w:szCs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firstLineChars="200"/>
        <w:rPr>
          <w:b/>
          <w:sz w:val="24"/>
          <w:szCs w:val="24"/>
        </w:rPr>
      </w:pPr>
      <w:r>
        <w:rPr>
          <w:b/>
          <w:sz w:val="24"/>
          <w:szCs w:val="24"/>
        </w:rPr>
        <w:t>（五）本基金的</w:t>
      </w:r>
      <w:r>
        <w:rPr>
          <w:rFonts w:hint="eastAsia"/>
          <w:b/>
          <w:sz w:val="24"/>
          <w:szCs w:val="24"/>
        </w:rPr>
        <w:t>特有</w:t>
      </w:r>
      <w:r>
        <w:rPr>
          <w:b/>
          <w:sz w:val="24"/>
          <w:szCs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股票投资（含存托凭证）占基金资产的比例为60%-95%，其中投资于港股通标的股票的比例不低于非现金基金资产的80%。本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基金合同提前终止风险。基金合同生效后，连续50个工作日出现基金份额持有人数量不满200人或者基金资产净值低于5000万元情形的，基金合同终止，不需召开基金份额持有人大会。因此，投资者可能面临基金合同提前终止的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、本基金可投资创业板股票，创业板个股上市后的前五个交易日不设价格涨跌幅限制，第六个交易日开始涨跌幅限制比例为20%。</w:t>
      </w:r>
    </w:p>
    <w:p>
      <w:pPr>
        <w:widowControl/>
        <w:adjustRightInd w:val="0"/>
        <w:snapToGrid w:val="0"/>
        <w:spacing w:line="360" w:lineRule="auto"/>
        <w:ind w:firstLine="480" w:firstLineChars="200"/>
        <w:rPr>
          <w:b/>
          <w:sz w:val="24"/>
          <w:szCs w:val="24"/>
        </w:rPr>
      </w:pPr>
      <w:r>
        <w:rPr>
          <w:b w:val="0"/>
          <w:sz w:val="24"/>
          <w:szCs w:val="24"/>
        </w:rPr>
        <w:t>5</w:t>
      </w:r>
      <w:r>
        <w:rPr>
          <w:rFonts w:hint="eastAsia"/>
          <w:b w:val="0"/>
          <w:sz w:val="24"/>
          <w:szCs w:val="24"/>
        </w:rPr>
        <w:t>、投资港股通标的股票的特定风险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本基金投资于港股通标的股票，会面临港股通机制下因投资环境、投资标的、市场制度以及交易规则等差异带来的特有风险，具体如下：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香港联合交易所规定的相关情形时，香港联合交易所将可能停市，本基金将面临在停市期间无法进行港股通交易的风险；出现内地证券交易服务公司认定的交易异常情况时，内地证券交易服务公司将可能暂停提供部分或者全部港股通服务，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内地证券交易服务公司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adjustRightInd w:val="0"/>
        <w:snapToGrid w:val="0"/>
        <w:spacing w:line="360" w:lineRule="auto"/>
        <w:ind w:firstLine="480" w:firstLineChars="200"/>
        <w:rPr>
          <w:b w:val="0"/>
          <w:sz w:val="24"/>
          <w:szCs w:val="24"/>
        </w:rPr>
      </w:pPr>
      <w:r>
        <w:rPr>
          <w:b w:val="0"/>
          <w:sz w:val="24"/>
          <w:szCs w:val="24"/>
        </w:rPr>
        <w:t>6</w:t>
      </w:r>
      <w:r>
        <w:rPr>
          <w:rFonts w:hint="eastAsia"/>
          <w:b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adjustRightInd w:val="0"/>
        <w:snapToGrid w:val="0"/>
        <w:spacing w:line="360" w:lineRule="auto"/>
        <w:ind w:firstLine="480" w:firstLineChars="200"/>
        <w:rPr>
          <w:b w:val="0"/>
          <w:sz w:val="24"/>
          <w:szCs w:val="24"/>
        </w:rPr>
      </w:pPr>
      <w:r>
        <w:rPr>
          <w:b w:val="0"/>
          <w:sz w:val="24"/>
          <w:szCs w:val="24"/>
        </w:rPr>
        <w:t>7</w:t>
      </w:r>
      <w:r>
        <w:rPr>
          <w:rFonts w:hint="eastAsia"/>
          <w:b w:val="0"/>
          <w:sz w:val="24"/>
          <w:szCs w:val="24"/>
        </w:rPr>
        <w:t>、投资资产支持证券的特定风险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djustRightInd w:val="0"/>
        <w:snapToGrid w:val="0"/>
        <w:spacing w:line="360" w:lineRule="auto"/>
        <w:ind w:firstLine="480" w:firstLineChars="200"/>
        <w:rPr>
          <w:b w:val="0"/>
          <w:sz w:val="24"/>
          <w:szCs w:val="24"/>
        </w:rPr>
      </w:pPr>
      <w:r>
        <w:rPr>
          <w:b w:val="0"/>
          <w:sz w:val="24"/>
          <w:szCs w:val="24"/>
        </w:rPr>
        <w:t>8</w:t>
      </w:r>
      <w:r>
        <w:rPr>
          <w:rFonts w:hint="eastAsia"/>
          <w:b w:val="0"/>
          <w:sz w:val="24"/>
          <w:szCs w:val="24"/>
        </w:rPr>
        <w:t>、投资流通受限证券的特定风险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ascii="宋体" w:hAnsi="宋体"/>
          <w:b w:val="0"/>
          <w:sz w:val="24"/>
          <w:szCs w:val="24"/>
        </w:rPr>
      </w:pPr>
      <w:r>
        <w:rPr>
          <w:rFonts w:ascii="宋体" w:hAnsi="宋体"/>
          <w:b w:val="0"/>
          <w:sz w:val="24"/>
          <w:szCs w:val="24"/>
        </w:rPr>
        <w:t>9、</w:t>
      </w:r>
      <w:r>
        <w:rPr>
          <w:rFonts w:hint="eastAsia" w:ascii="宋体" w:hAnsi="宋体"/>
          <w:b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ascii="宋体" w:hAnsi="宋体"/>
          <w:b w:val="0"/>
          <w:sz w:val="24"/>
          <w:szCs w:val="24"/>
        </w:rPr>
      </w:pPr>
      <w:r>
        <w:rPr>
          <w:rFonts w:ascii="宋体" w:hAnsi="宋体"/>
          <w:b w:val="0"/>
          <w:sz w:val="24"/>
          <w:szCs w:val="24"/>
        </w:rPr>
        <w:t>10</w:t>
      </w:r>
      <w:r>
        <w:rPr>
          <w:rFonts w:hint="eastAsia" w:ascii="宋体" w:hAnsi="宋体"/>
          <w:b w:val="0"/>
          <w:sz w:val="24"/>
          <w:szCs w:val="24"/>
        </w:rPr>
        <w:t>、投资科创板股票的特定风险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1）市场风险</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jc w:val="left"/>
        <w:rPr>
          <w:sz w:val="24"/>
        </w:rPr>
      </w:pPr>
      <w:r>
        <w:rPr>
          <w:rFonts w:hint="eastAsia"/>
          <w:sz w:val="24"/>
        </w:rPr>
        <w:t>科创板个股上市后的前五个交易日无涨跌停限制，其后涨跌幅限制为</w:t>
      </w:r>
      <w:r>
        <w:rPr>
          <w:sz w:val="24"/>
        </w:rPr>
        <w:t>20%</w:t>
      </w:r>
      <w:r>
        <w:rPr>
          <w:rFonts w:hint="eastAsia"/>
          <w:sz w:val="24"/>
        </w:rPr>
        <w:t>，科创板股票上市首日即可作为融资融券标的，可能导致较大的股票价格波动。</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2）流动性风险</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科创板整体投资门槛较高，</w:t>
      </w:r>
      <w:r>
        <w:rPr>
          <w:rFonts w:ascii="宋体" w:hAnsi="宋体"/>
          <w:sz w:val="24"/>
          <w:szCs w:val="24"/>
        </w:rPr>
        <w:t>二级市场上个人投资者参与度相对较低，机构持有个股大量流通盘导致个股流动性较差，基金组合存在无法及时变现及其他相关流动性风险。</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3）退市风险</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科创板退市制度较主板更为严格，且不再设置暂停上市、恢复上市和重新上市环节，上市公司退市风险更大。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4）系统性风险</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科创板企业均为市场认可度较高的科技创新企业，在企业经营及盈利模式上存在趋同，所以科创板个股相关性较高，市场表现不佳时，系统性风险将更为显著。</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5）政策风险</w:t>
      </w:r>
    </w:p>
    <w:p>
      <w:pPr>
        <w:widowControl/>
        <w:adjustRightInd w:val="0"/>
        <w:snapToGrid w:val="0"/>
        <w:spacing w:line="360" w:lineRule="auto"/>
        <w:ind w:firstLine="480" w:firstLineChars="200"/>
        <w:rPr>
          <w:rFonts w:hAnsi="宋体"/>
          <w:b/>
          <w:kern w:val="0"/>
          <w:sz w:val="24"/>
          <w:szCs w:val="24"/>
        </w:rPr>
      </w:pPr>
      <w:r>
        <w:rPr>
          <w:rFonts w:hint="eastAsia" w:hAnsi="宋体"/>
          <w:bCs/>
          <w:kern w:val="0"/>
          <w:sz w:val="24"/>
          <w:szCs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82" w:firstLineChars="200"/>
        <w:rPr>
          <w:rFonts w:ascii="宋体" w:hAnsi="宋体"/>
          <w:b/>
          <w:sz w:val="24"/>
          <w:szCs w:val="24"/>
        </w:rPr>
      </w:pPr>
      <w:r>
        <w:rPr>
          <w:rFonts w:hint="eastAsia" w:ascii="宋体" w:hAnsi="宋体"/>
          <w:b/>
          <w:sz w:val="24"/>
          <w:szCs w:val="24"/>
        </w:rPr>
        <w:t>（六）本基金法律文件风险收益特征表述与销售机构基金风险评价可能不一致的风险</w:t>
      </w:r>
    </w:p>
    <w:p>
      <w:pPr>
        <w:widowControl/>
        <w:adjustRightInd w:val="0"/>
        <w:snapToGrid w:val="0"/>
        <w:spacing w:line="360" w:lineRule="auto"/>
        <w:ind w:firstLine="480" w:firstLineChars="200"/>
        <w:rPr>
          <w:rFonts w:hAnsi="宋体"/>
          <w:b/>
          <w:kern w:val="0"/>
          <w:sz w:val="24"/>
          <w:szCs w:val="24"/>
        </w:rPr>
      </w:pPr>
      <w:r>
        <w:rPr>
          <w:rFonts w:hint="eastAsia" w:hAnsi="宋体"/>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widowControl/>
        <w:adjustRightInd w:val="0"/>
        <w:snapToGrid w:val="0"/>
        <w:spacing w:line="360" w:lineRule="auto"/>
        <w:ind w:firstLine="482" w:firstLineChars="200"/>
        <w:rPr>
          <w:rFonts w:ascii="宋体" w:hAnsi="宋体"/>
          <w:b/>
          <w:sz w:val="24"/>
          <w:szCs w:val="24"/>
        </w:rPr>
      </w:pPr>
      <w:r>
        <w:rPr>
          <w:rFonts w:hint="eastAsia" w:ascii="宋体" w:hAnsi="宋体"/>
          <w:b/>
          <w:sz w:val="24"/>
          <w:szCs w:val="24"/>
        </w:rPr>
        <w:t>（七）</w:t>
      </w:r>
      <w:r>
        <w:rPr>
          <w:rFonts w:ascii="宋体" w:hAnsi="宋体"/>
          <w:b/>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107"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End w:id="102"/>
      <w:bookmarkEnd w:id="103"/>
      <w:bookmarkStart w:id="108" w:name="_Toc48122019"/>
      <w:bookmarkStart w:id="109" w:name="_Hlk197612911"/>
      <w:r>
        <w:rPr>
          <w:rFonts w:hint="eastAsia" w:hAnsi="宋体"/>
          <w:b/>
          <w:kern w:val="0"/>
          <w:sz w:val="30"/>
        </w:rPr>
        <w:t>十八</w:t>
      </w:r>
      <w:r>
        <w:rPr>
          <w:rFonts w:hAnsi="宋体"/>
          <w:b/>
          <w:kern w:val="0"/>
          <w:sz w:val="30"/>
        </w:rPr>
        <w:t>、基金合同的变更、终止与基金财</w:t>
      </w:r>
      <w:bookmarkEnd w:id="107"/>
      <w:r>
        <w:rPr>
          <w:rFonts w:hAnsi="宋体"/>
          <w:b/>
          <w:kern w:val="0"/>
          <w:sz w:val="30"/>
        </w:rPr>
        <w:t>产的清算</w:t>
      </w:r>
      <w:bookmarkEnd w:id="108"/>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（1）《基金合同》终止情形出现时，由基金财产清算小组统一接管基金财产；</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清算费用是指基金财产清算小组在进行基金财产清算过程中发生的所有合理费用，清算费用由基金财产清算小组优先从基金财产中支付。</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0" w:name="_Toc48122020"/>
      <w:r>
        <w:rPr>
          <w:rFonts w:hint="eastAsia" w:ascii="宋体" w:hAnsi="宋体"/>
          <w:b/>
          <w:kern w:val="0"/>
          <w:sz w:val="30"/>
        </w:rPr>
        <w:t>十九、基金合同内容摘要</w:t>
      </w:r>
      <w:bookmarkEnd w:id="110"/>
    </w:p>
    <w:p>
      <w:pPr>
        <w:adjustRightInd w:val="0"/>
        <w:snapToGrid w:val="0"/>
        <w:spacing w:line="360" w:lineRule="auto"/>
        <w:ind w:firstLine="482" w:firstLineChars="200"/>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111" w:name="_Hlt88897298"/>
      <w:bookmarkEnd w:id="111"/>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但根据监管机构、司法机关等有权机关的要求提供，或因审计、法律等外部专业顾问提供服务需要提供的情况除外；</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（4）根据相关市场规则，为基金开设资金账户、证券账户等投资所需账户，为基金办理证券、期货交易资金清算；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pPr>
        <w:adjustRightInd w:val="0"/>
        <w:snapToGrid w:val="0"/>
        <w:spacing w:line="360" w:lineRule="auto"/>
        <w:ind w:firstLine="480" w:firstLineChars="200"/>
        <w:rPr>
          <w:bCs/>
          <w:sz w:val="24"/>
        </w:rPr>
      </w:pPr>
      <w:r>
        <w:rPr>
          <w:rFonts w:hint="eastAsia"/>
          <w:bCs/>
          <w:sz w:val="24"/>
        </w:rPr>
        <w:t>（8）复核、审查基金管理人计算的基金资产净值、各类基金份额净值、基金份额申购、赎回价格；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（12）从基金管理人或其委托的登记机构处接收并保存基金份额持有人名册；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firstLineChars="200"/>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5）调整基金管理人、基金托管人的报酬标准或提高销售服务费率；</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1）调低基金销售服务费率；</w:t>
      </w:r>
    </w:p>
    <w:p>
      <w:pPr>
        <w:adjustRightInd w:val="0"/>
        <w:snapToGrid w:val="0"/>
        <w:spacing w:line="360" w:lineRule="auto"/>
        <w:ind w:firstLine="480" w:firstLineChars="200"/>
        <w:rPr>
          <w:bCs/>
          <w:sz w:val="24"/>
        </w:rPr>
      </w:pPr>
      <w:r>
        <w:rPr>
          <w:rFonts w:hint="eastAsia"/>
          <w:bCs/>
          <w:sz w:val="24"/>
        </w:rPr>
        <w:t>2）法律法规要求增加的基金费用的收取；</w:t>
      </w:r>
    </w:p>
    <w:p>
      <w:pPr>
        <w:adjustRightInd w:val="0"/>
        <w:snapToGrid w:val="0"/>
        <w:spacing w:line="360" w:lineRule="auto"/>
        <w:ind w:firstLine="480" w:firstLineChars="200"/>
        <w:rPr>
          <w:bCs/>
          <w:sz w:val="24"/>
        </w:rPr>
      </w:pPr>
      <w:r>
        <w:rPr>
          <w:bCs/>
          <w:sz w:val="24"/>
        </w:rPr>
        <w:t>3</w:t>
      </w:r>
      <w:r>
        <w:rPr>
          <w:rFonts w:hint="eastAsia"/>
          <w:bCs/>
          <w:sz w:val="24"/>
        </w:rPr>
        <w:t>）在法律法规和《基金合同》规定的范围内调整本基金的申购费率、在对现有基金份额持有人利益无实质性不利影响的前提下变更收费方式；</w:t>
      </w:r>
    </w:p>
    <w:p>
      <w:pPr>
        <w:adjustRightInd w:val="0"/>
        <w:snapToGrid w:val="0"/>
        <w:spacing w:line="360" w:lineRule="auto"/>
        <w:ind w:firstLine="480" w:firstLineChars="200"/>
        <w:rPr>
          <w:bCs/>
          <w:sz w:val="24"/>
        </w:rPr>
      </w:pPr>
      <w:r>
        <w:rPr>
          <w:bCs/>
          <w:sz w:val="24"/>
        </w:rPr>
        <w:t>4</w:t>
      </w:r>
      <w:r>
        <w:rPr>
          <w:rFonts w:hint="eastAsia"/>
          <w:bCs/>
          <w:sz w:val="24"/>
        </w:rPr>
        <w:t>）因相应的法律法规、登记机构的相关业务规则发生变动而应当对《基金合同》进行修改；</w:t>
      </w:r>
    </w:p>
    <w:p>
      <w:pPr>
        <w:adjustRightInd w:val="0"/>
        <w:snapToGrid w:val="0"/>
        <w:spacing w:line="360" w:lineRule="auto"/>
        <w:ind w:firstLine="480" w:firstLineChars="20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bCs/>
          <w:sz w:val="24"/>
        </w:rPr>
        <w:t>6</w:t>
      </w:r>
      <w:r>
        <w:rPr>
          <w:rFonts w:hint="eastAsia"/>
          <w:bCs/>
          <w:sz w:val="24"/>
        </w:rPr>
        <w:t>）在法律法规允许的情况下，且在对现有基金份额持有人利益无实质性不利影响的前提下，在履行适当程序后，基金推出新业务或服务；</w:t>
      </w:r>
    </w:p>
    <w:p>
      <w:pPr>
        <w:adjustRightInd w:val="0"/>
        <w:snapToGrid w:val="0"/>
        <w:spacing w:line="360" w:lineRule="auto"/>
        <w:ind w:firstLine="480" w:firstLineChars="200"/>
        <w:rPr>
          <w:bCs/>
          <w:sz w:val="24"/>
        </w:rPr>
      </w:pPr>
      <w:r>
        <w:rPr>
          <w:bCs/>
          <w:sz w:val="24"/>
        </w:rPr>
        <w:t>7</w:t>
      </w:r>
      <w:r>
        <w:rPr>
          <w:rFonts w:hint="eastAsia"/>
          <w:bCs/>
          <w:sz w:val="24"/>
        </w:rPr>
        <w:t>）在符合法律法规及本基金合同规定、并且对基金份额持有人利益无实质性不利影响的前提下，调整本基金份额类别的设置、对基金份额分类办法及规则进行调整；</w:t>
      </w:r>
    </w:p>
    <w:p>
      <w:pPr>
        <w:adjustRightInd w:val="0"/>
        <w:snapToGrid w:val="0"/>
        <w:spacing w:line="360" w:lineRule="auto"/>
        <w:ind w:firstLine="480" w:firstLineChars="20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bCs/>
          <w:sz w:val="24"/>
        </w:rPr>
        <w:t>9</w:t>
      </w:r>
      <w:r>
        <w:rPr>
          <w:rFonts w:hint="eastAsia"/>
          <w:bCs/>
          <w:sz w:val="24"/>
        </w:rPr>
        <w:t>）按照法律法规和《基金合同》规定不需召开基金份额持有人大会的其他情形。</w:t>
      </w:r>
    </w:p>
    <w:p>
      <w:pPr>
        <w:adjustRightInd w:val="0"/>
        <w:snapToGrid w:val="0"/>
        <w:spacing w:line="360" w:lineRule="auto"/>
        <w:ind w:firstLine="480" w:firstLineChars="200"/>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bCs/>
          <w:sz w:val="24"/>
        </w:rPr>
      </w:pPr>
      <w:r>
        <w:rPr>
          <w:rFonts w:hint="eastAsia"/>
          <w:bCs/>
          <w:sz w:val="24"/>
        </w:rPr>
        <w:t>5、议事内容与程序</w:t>
      </w:r>
    </w:p>
    <w:p>
      <w:pPr>
        <w:adjustRightInd w:val="0"/>
        <w:snapToGrid w:val="0"/>
        <w:spacing w:line="360" w:lineRule="auto"/>
        <w:ind w:firstLine="480" w:firstLineChars="200"/>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firstLineChars="200"/>
        <w:rPr>
          <w:b/>
          <w:bCs/>
          <w:sz w:val="24"/>
        </w:rPr>
      </w:pPr>
      <w:r>
        <w:rPr>
          <w:rFonts w:hint="eastAsia"/>
          <w:b/>
          <w:bCs/>
          <w:sz w:val="24"/>
        </w:rPr>
        <w:t>（三）基金合同解除和终止的事由、程序</w:t>
      </w:r>
    </w:p>
    <w:p>
      <w:pPr>
        <w:adjustRightInd w:val="0"/>
        <w:snapToGrid w:val="0"/>
        <w:spacing w:line="360" w:lineRule="auto"/>
        <w:ind w:firstLine="480" w:firstLineChars="200"/>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按规定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1）《基金合同》终止情形出现时，由基金财产清算小组统一接管基金财产；</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w:t>
      </w:r>
      <w:r>
        <w:rPr>
          <w:rFonts w:hint="eastAsia"/>
          <w:bCs/>
          <w:sz w:val="24"/>
        </w:rPr>
        <w:t>财产</w:t>
      </w:r>
      <w:r>
        <w:rPr>
          <w:bCs/>
          <w:sz w:val="24"/>
        </w:rPr>
        <w:t>清算过程中发生的所有合理费用，清算费用由基金财产清算小组优先从基金财产中支付。</w:t>
      </w:r>
    </w:p>
    <w:p>
      <w:pPr>
        <w:adjustRightInd w:val="0"/>
        <w:snapToGrid w:val="0"/>
        <w:spacing w:line="360" w:lineRule="auto"/>
        <w:ind w:firstLine="480" w:firstLineChars="200"/>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rPr>
          <w:bCs/>
          <w:sz w:val="24"/>
        </w:rPr>
      </w:pPr>
      <w:r>
        <w:rPr>
          <w:rFonts w:hint="eastAsia"/>
          <w:bCs/>
          <w:sz w:val="24"/>
        </w:rPr>
        <w:t>7</w:t>
      </w:r>
      <w:r>
        <w:rPr>
          <w:bCs/>
          <w:sz w:val="24"/>
        </w:rPr>
        <w:t>、基金财产清算账册及文件的保存</w:t>
      </w:r>
    </w:p>
    <w:p>
      <w:pPr>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0" w:firstLineChars="200"/>
        <w:rPr>
          <w:bCs/>
          <w:sz w:val="24"/>
        </w:rPr>
      </w:pPr>
      <w:r>
        <w:rPr>
          <w:bCs/>
          <w:sz w:val="24"/>
        </w:rPr>
        <w:t>（四）争议</w:t>
      </w:r>
      <w:r>
        <w:rPr>
          <w:rFonts w:hint="eastAsia"/>
          <w:bCs/>
          <w:sz w:val="24"/>
        </w:rPr>
        <w:t>解决方式</w:t>
      </w:r>
    </w:p>
    <w:p>
      <w:pPr>
        <w:adjustRightInd w:val="0"/>
        <w:snapToGrid w:val="0"/>
        <w:spacing w:line="360" w:lineRule="auto"/>
        <w:ind w:firstLine="482" w:firstLineChars="200"/>
        <w:rPr>
          <w:b/>
          <w:bCs w:val="0"/>
          <w:sz w:val="24"/>
        </w:rPr>
      </w:pPr>
      <w:bookmarkStart w:id="122" w:name="_GoBack"/>
      <w:r>
        <w:rPr>
          <w:rFonts w:hint="eastAsia"/>
          <w:b/>
          <w:bCs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bookmarkEnd w:id="122"/>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《基金合同》受中国法律（为本基金合同之目的，不含港澳台地区法律）管辖并从其解释。</w:t>
      </w:r>
    </w:p>
    <w:p>
      <w:pPr>
        <w:adjustRightInd w:val="0"/>
        <w:snapToGrid w:val="0"/>
        <w:spacing w:line="360" w:lineRule="auto"/>
        <w:ind w:firstLine="480" w:firstLineChars="200"/>
        <w:rPr>
          <w:bCs/>
          <w:sz w:val="24"/>
        </w:rPr>
      </w:pPr>
      <w:bookmarkStart w:id="112" w:name="_Toc523711688"/>
      <w:r>
        <w:rPr>
          <w:bCs/>
          <w:sz w:val="24"/>
        </w:rPr>
        <w:t>（五）基金合同存放地和投资者取得基金合同的方式</w:t>
      </w:r>
    </w:p>
    <w:bookmarkEnd w:id="112"/>
    <w:p>
      <w:pPr>
        <w:adjustRightInd w:val="0"/>
        <w:snapToGrid w:val="0"/>
        <w:spacing w:line="360" w:lineRule="auto"/>
        <w:ind w:firstLine="480" w:firstLineChars="200"/>
        <w:rPr>
          <w:bCs/>
          <w:sz w:val="24"/>
        </w:rPr>
      </w:pPr>
      <w:r>
        <w:rPr>
          <w:rFonts w:hint="eastAsia"/>
          <w:bCs/>
          <w:sz w:val="24"/>
        </w:rPr>
        <w:t>《基金合同》正本一式三份，除上报有关监管机构一份外，基金管理人、基金托管人各持有一份，每份具有同等的法律效力。</w:t>
      </w:r>
    </w:p>
    <w:p>
      <w:pPr>
        <w:adjustRightInd w:val="0"/>
        <w:snapToGrid w:val="0"/>
        <w:spacing w:line="360" w:lineRule="auto"/>
        <w:ind w:firstLine="480" w:firstLineChars="200"/>
        <w:rPr>
          <w:bCs/>
          <w:sz w:val="24"/>
        </w:rPr>
      </w:pPr>
      <w:r>
        <w:rPr>
          <w:rFonts w:hint="eastAsia"/>
          <w:bCs/>
          <w:sz w:val="24"/>
        </w:rPr>
        <w:t>《基金合同》可印制成册，供投资者在基金管理人、基金托管人、销售机构的办公场所和营业场所查阅，但应以《基金合同》正本为准。</w:t>
      </w:r>
      <w:bookmarkEnd w:id="109"/>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3" w:name="_Toc48122021"/>
      <w:bookmarkStart w:id="114" w:name="_Hlk130846689"/>
      <w:r>
        <w:rPr>
          <w:rFonts w:hint="eastAsia" w:ascii="宋体" w:hAnsi="宋体"/>
          <w:b/>
          <w:kern w:val="0"/>
          <w:sz w:val="30"/>
        </w:rPr>
        <w:t>二十、托管协议的内容摘要</w:t>
      </w:r>
      <w:bookmarkEnd w:id="113"/>
    </w:p>
    <w:p>
      <w:pPr>
        <w:adjustRightInd w:val="0"/>
        <w:snapToGrid w:val="0"/>
        <w:spacing w:line="360" w:lineRule="auto"/>
        <w:ind w:firstLine="482" w:firstLineChars="200"/>
        <w:rPr>
          <w:b/>
          <w:bCs/>
          <w:sz w:val="24"/>
        </w:rPr>
      </w:pPr>
      <w:r>
        <w:rPr>
          <w:rFonts w:hint="eastAsia"/>
          <w:b/>
          <w:bCs/>
          <w:sz w:val="24"/>
        </w:rPr>
        <w:t>（一）托管协议当事人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1、基金管理人(或简称“管理人”)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名称：交银施罗德基金管理有限公司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注册地址：中国（上海）自由贸易试验区银城中路188号交通银行大楼二层（裙）</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办公地址：上海市浦东新区世纪大道8号国金中心二期21-22楼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法定代表人：张宏良</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成立时间：2005年8月4日</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批准设立机关：中国证券监督管理委员会</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批准设立文号：中国证监会证监基金字[2005]128号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组织形式：有限责任公司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注册资本：2亿元人民币</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存续期间：持续经营</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经营范围：基金募集、基金销售、资产管理和中国证监会许可的其他业务。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2、基金托管人(或简称“托管人”)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名称：中信证券股份有限公司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注册地址：广东省深圳市福田区中心三路8号卓越时代广场（二期）北座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办公地址：北京市朝阳区亮马桥路48号中信证券大厦</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          广东省深圳市福田区中心三路8号中信证券大厦</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法定代表人：张佑君</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成立时间：1995年10月25日</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批准设立机关：国家工商总局</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批准设立文号：100000000018305</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组织形式：股份有限公司（上市）</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注册资本：14,820,546,829元人民币</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基金托管资格批文及文号：《关于核准中信证券股份有限公司证券投资基金托管资格的批复》（证监许可[2014]1044号）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经营范围：证券经纪（限山东省、河南省、浙江省天台县、浙江省苍南县以外区域）；证券投资咨询；与证券交易、证券投资活动有关的财务顾问；证券承销与保荐；证券自营；证券资产管理（全国社会保障基金境内委托投资管理、基本养老保险基金证券投资管理、企业年金基金投资管理和职业年金基金投资管理）；融资融券；证券投资基金代销；为期货公司提供中间介绍业务；代销金融产品；股票期权做市。上市证券做市交易。(依法须经批准的项目,经相关部门批准后方可开展经营活动,具体经营项目以相关部门批准文件或许可证件为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存续期间：无限期</w:t>
      </w:r>
    </w:p>
    <w:p>
      <w:pPr>
        <w:adjustRightInd w:val="0"/>
        <w:snapToGrid w:val="0"/>
        <w:spacing w:line="360" w:lineRule="auto"/>
        <w:ind w:firstLine="482" w:firstLineChars="200"/>
        <w:rPr>
          <w:b/>
          <w:bCs/>
          <w:sz w:val="24"/>
        </w:rPr>
      </w:pPr>
      <w:r>
        <w:rPr>
          <w:rFonts w:hint="eastAsia"/>
          <w:b/>
          <w:bCs/>
          <w:sz w:val="24"/>
        </w:rPr>
        <w:t>（二）基金托管人对基金管理人的业务监督和核查</w:t>
      </w:r>
    </w:p>
    <w:p>
      <w:pPr>
        <w:adjustRightInd w:val="0"/>
        <w:snapToGrid w:val="0"/>
        <w:spacing w:line="360" w:lineRule="auto"/>
        <w:ind w:firstLine="480"/>
        <w:rPr>
          <w:rFonts w:ascii="宋体" w:hAnsi="宋体"/>
          <w:sz w:val="24"/>
          <w:szCs w:val="24"/>
        </w:rPr>
      </w:pPr>
      <w:r>
        <w:rPr>
          <w:rFonts w:hint="eastAsia" w:ascii="宋体" w:hAnsi="宋体"/>
          <w:sz w:val="24"/>
          <w:szCs w:val="24"/>
        </w:rPr>
        <w:t>1、基金托管人对基金管理人的投资行为行使监督权</w:t>
      </w:r>
    </w:p>
    <w:p>
      <w:pPr>
        <w:adjustRightInd w:val="0"/>
        <w:snapToGrid w:val="0"/>
        <w:spacing w:line="360" w:lineRule="auto"/>
        <w:ind w:firstLine="480"/>
        <w:rPr>
          <w:rFonts w:ascii="宋体" w:hAnsi="宋体"/>
          <w:sz w:val="24"/>
          <w:szCs w:val="24"/>
        </w:rPr>
      </w:pPr>
      <w:r>
        <w:rPr>
          <w:rFonts w:hint="eastAsia" w:ascii="宋体" w:hAnsi="宋体"/>
          <w:sz w:val="24"/>
          <w:szCs w:val="24"/>
        </w:rPr>
        <w:t>（1） 基金托管人根据有关法律法规的规定和《基金合同》的约定，对下述基金投资范围进行监督。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本基金将投资于以下金融工具：</w:t>
      </w:r>
    </w:p>
    <w:p>
      <w:pPr>
        <w:adjustRightInd w:val="0"/>
        <w:snapToGrid w:val="0"/>
        <w:spacing w:line="360" w:lineRule="auto"/>
        <w:ind w:firstLine="480"/>
        <w:rPr>
          <w:rFonts w:ascii="宋体" w:hAnsi="宋体"/>
          <w:sz w:val="24"/>
          <w:szCs w:val="24"/>
        </w:rPr>
      </w:pPr>
      <w:r>
        <w:rPr>
          <w:rFonts w:hint="eastAsia" w:ascii="宋体" w:hAnsi="宋体"/>
          <w:sz w:val="24"/>
          <w:szCs w:val="24"/>
        </w:rPr>
        <w:t>本基金的投资范围为具有良好流动性的金融工具，包括港股通标的股票、国内依法发行上市的股票（含</w:t>
      </w:r>
      <w:r>
        <w:rPr>
          <w:rFonts w:hint="eastAsia" w:ascii="宋体" w:hAnsi="宋体"/>
          <w:sz w:val="24"/>
          <w:szCs w:val="24"/>
          <w:lang w:val="en-US" w:eastAsia="zh-CN"/>
        </w:rPr>
        <w:t>主板、</w:t>
      </w:r>
      <w:r>
        <w:rPr>
          <w:rFonts w:hint="eastAsia" w:ascii="宋体" w:hAnsi="宋体"/>
          <w:sz w:val="24"/>
          <w:szCs w:val="24"/>
        </w:rPr>
        <w:t>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0"/>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0"/>
        <w:rPr>
          <w:rFonts w:ascii="宋体" w:hAnsi="宋体"/>
          <w:sz w:val="24"/>
          <w:szCs w:val="24"/>
        </w:rPr>
      </w:pPr>
      <w:r>
        <w:rPr>
          <w:rFonts w:hint="eastAsia" w:ascii="宋体" w:hAnsi="宋体"/>
          <w:sz w:val="24"/>
          <w:szCs w:val="24"/>
        </w:rPr>
        <w:t>（2） 基金托管人根据有关法律法规的规定及《基金合同》的约定对下述基金投资比例进行监督。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1）按法律法规的规定及《基金合同》的约定，本基金的投资资产配置比例为：</w:t>
      </w:r>
    </w:p>
    <w:p>
      <w:pPr>
        <w:adjustRightInd w:val="0"/>
        <w:snapToGrid w:val="0"/>
        <w:spacing w:line="360" w:lineRule="auto"/>
        <w:ind w:firstLine="480"/>
        <w:rPr>
          <w:rFonts w:ascii="宋体" w:hAnsi="宋体"/>
          <w:sz w:val="24"/>
          <w:szCs w:val="24"/>
        </w:rPr>
      </w:pPr>
      <w:r>
        <w:rPr>
          <w:rFonts w:hint="eastAsia" w:ascii="宋体" w:hAnsi="宋体"/>
          <w:sz w:val="24"/>
          <w:szCs w:val="24"/>
        </w:rPr>
        <w:t>股票投资（含存托凭证）占基金资产的比例为60%-95%，其中投资于港股通标的股票的比例不低于非现金基金资产的80%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0"/>
        <w:rPr>
          <w:rFonts w:ascii="宋体" w:hAnsi="宋体"/>
          <w:sz w:val="24"/>
          <w:szCs w:val="24"/>
        </w:rPr>
      </w:pPr>
      <w:r>
        <w:rPr>
          <w:rFonts w:hint="eastAsia" w:ascii="宋体" w:hAnsi="宋体"/>
          <w:sz w:val="24"/>
          <w:szCs w:val="24"/>
        </w:rPr>
        <w:t>2）根据法律法规的规定及《基金合同》的约定，本基金投资组合遵循以下投资限制：</w:t>
      </w:r>
    </w:p>
    <w:p>
      <w:pPr>
        <w:adjustRightInd w:val="0"/>
        <w:snapToGrid w:val="0"/>
        <w:spacing w:line="360" w:lineRule="auto"/>
        <w:ind w:firstLine="480"/>
        <w:rPr>
          <w:rFonts w:ascii="宋体" w:hAnsi="宋体"/>
          <w:sz w:val="24"/>
          <w:szCs w:val="24"/>
        </w:rPr>
      </w:pPr>
      <w:r>
        <w:rPr>
          <w:rFonts w:hint="eastAsia" w:ascii="宋体" w:hAnsi="宋体"/>
          <w:sz w:val="24"/>
          <w:szCs w:val="24"/>
        </w:rPr>
        <w:t>a.股票投资（含存托凭证）占基金资产的比例为60%-95%，其中投资于港股通标的股票的比例不低于非现金基金资产的80%；</w:t>
      </w:r>
    </w:p>
    <w:p>
      <w:pPr>
        <w:adjustRightInd w:val="0"/>
        <w:snapToGrid w:val="0"/>
        <w:spacing w:line="360" w:lineRule="auto"/>
        <w:ind w:firstLine="480"/>
        <w:rPr>
          <w:rFonts w:ascii="宋体" w:hAnsi="宋体"/>
          <w:sz w:val="24"/>
          <w:szCs w:val="24"/>
        </w:rPr>
      </w:pPr>
      <w:r>
        <w:rPr>
          <w:rFonts w:hint="eastAsia" w:ascii="宋体" w:hAnsi="宋体"/>
          <w:sz w:val="24"/>
          <w:szCs w:val="24"/>
        </w:rPr>
        <w:t>b.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rPr>
          <w:rFonts w:ascii="宋体" w:hAnsi="宋体"/>
          <w:sz w:val="24"/>
          <w:szCs w:val="24"/>
        </w:rPr>
      </w:pPr>
      <w:r>
        <w:rPr>
          <w:rFonts w:hint="eastAsia" w:ascii="宋体" w:hAnsi="宋体"/>
          <w:sz w:val="24"/>
          <w:szCs w:val="24"/>
        </w:rPr>
        <w:t>c.本基金持有一家公司发行的证券（同一家公司在内地和香港同时上市的A+H股合计计算），其市值不超过基金资产净值的10％；</w:t>
      </w:r>
    </w:p>
    <w:p>
      <w:pPr>
        <w:adjustRightInd w:val="0"/>
        <w:snapToGrid w:val="0"/>
        <w:spacing w:line="360" w:lineRule="auto"/>
        <w:ind w:firstLine="480"/>
        <w:rPr>
          <w:rFonts w:ascii="宋体" w:hAnsi="宋体"/>
          <w:sz w:val="24"/>
          <w:szCs w:val="24"/>
        </w:rPr>
      </w:pPr>
      <w:r>
        <w:rPr>
          <w:rFonts w:hint="eastAsia" w:ascii="宋体" w:hAnsi="宋体"/>
          <w:sz w:val="24"/>
          <w:szCs w:val="24"/>
        </w:rPr>
        <w:t>d.本基金管理人管理且在基金托管人处托管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rPr>
          <w:rFonts w:ascii="宋体" w:hAnsi="宋体"/>
          <w:sz w:val="24"/>
          <w:szCs w:val="24"/>
        </w:rPr>
      </w:pPr>
      <w:r>
        <w:rPr>
          <w:rFonts w:hint="eastAsia" w:ascii="宋体" w:hAnsi="宋体"/>
          <w:sz w:val="24"/>
          <w:szCs w:val="24"/>
        </w:rPr>
        <w:t>e.本基金投资于同一原始权益人的各类资产支持证券的比例，不得超过基金资产净值的10％；</w:t>
      </w:r>
    </w:p>
    <w:p>
      <w:pPr>
        <w:adjustRightInd w:val="0"/>
        <w:snapToGrid w:val="0"/>
        <w:spacing w:line="360" w:lineRule="auto"/>
        <w:ind w:firstLine="480"/>
        <w:rPr>
          <w:rFonts w:ascii="宋体" w:hAnsi="宋体"/>
          <w:sz w:val="24"/>
          <w:szCs w:val="24"/>
        </w:rPr>
      </w:pPr>
      <w:r>
        <w:rPr>
          <w:rFonts w:hint="eastAsia" w:ascii="宋体" w:hAnsi="宋体"/>
          <w:sz w:val="24"/>
          <w:szCs w:val="24"/>
        </w:rPr>
        <w:t>f.本基金持有的全部资产支持证券，其市值不得超过基金资产净值的20％；</w:t>
      </w:r>
    </w:p>
    <w:p>
      <w:pPr>
        <w:adjustRightInd w:val="0"/>
        <w:snapToGrid w:val="0"/>
        <w:spacing w:line="360" w:lineRule="auto"/>
        <w:ind w:firstLine="480"/>
        <w:rPr>
          <w:rFonts w:ascii="宋体" w:hAnsi="宋体"/>
          <w:sz w:val="24"/>
          <w:szCs w:val="24"/>
        </w:rPr>
      </w:pPr>
      <w:r>
        <w:rPr>
          <w:rFonts w:hint="eastAsia" w:ascii="宋体" w:hAnsi="宋体"/>
          <w:sz w:val="24"/>
          <w:szCs w:val="24"/>
        </w:rPr>
        <w:t>g.本基金持有的同一（指同一信用级别）资产支持证券的比例，不得超过该资产支持证券规模的10％；</w:t>
      </w:r>
    </w:p>
    <w:p>
      <w:pPr>
        <w:adjustRightInd w:val="0"/>
        <w:snapToGrid w:val="0"/>
        <w:spacing w:line="360" w:lineRule="auto"/>
        <w:ind w:firstLine="480"/>
        <w:rPr>
          <w:rFonts w:ascii="宋体" w:hAnsi="宋体"/>
          <w:sz w:val="24"/>
          <w:szCs w:val="24"/>
        </w:rPr>
      </w:pPr>
      <w:r>
        <w:rPr>
          <w:rFonts w:hint="eastAsia" w:ascii="宋体" w:hAnsi="宋体"/>
          <w:sz w:val="24"/>
          <w:szCs w:val="24"/>
        </w:rPr>
        <w:t>h.本基金管理人管理且在基金托管人处托管的全部基金投资于同一原始权益人的各类资产支持证券，不得超过其各类资产支持证券合计规模的10％；</w:t>
      </w:r>
    </w:p>
    <w:p>
      <w:pPr>
        <w:adjustRightInd w:val="0"/>
        <w:snapToGrid w:val="0"/>
        <w:spacing w:line="360" w:lineRule="auto"/>
        <w:ind w:firstLine="480"/>
        <w:rPr>
          <w:rFonts w:ascii="宋体" w:hAnsi="宋体"/>
          <w:sz w:val="24"/>
          <w:szCs w:val="24"/>
        </w:rPr>
      </w:pPr>
      <w:r>
        <w:rPr>
          <w:rFonts w:hint="eastAsia" w:ascii="宋体" w:hAnsi="宋体"/>
          <w:sz w:val="24"/>
          <w:szCs w:val="24"/>
        </w:rPr>
        <w:t>i.本基金应投资于信用级别评级为BBB以上（含BBB）的资产支持证券。基金持有资产支持证券期间，如果其信用等级下降、不再符合投资标准，应在评级报告发布之日起3个月内予以全部卖出；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rPr>
          <w:rFonts w:ascii="宋体" w:hAnsi="宋体"/>
          <w:sz w:val="24"/>
          <w:szCs w:val="24"/>
        </w:rPr>
      </w:pPr>
      <w:r>
        <w:rPr>
          <w:rFonts w:hint="eastAsia" w:ascii="宋体" w:hAnsi="宋体"/>
          <w:sz w:val="24"/>
          <w:szCs w:val="24"/>
        </w:rPr>
        <w:t>j.基金财产参与股票发行申购，本基金所申报的金额不超过本基金的总资产，本基金所申报的股票数量不超过拟发行股票公司本次发行股票的总量；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rPr>
          <w:rFonts w:ascii="宋体" w:hAnsi="宋体"/>
          <w:sz w:val="24"/>
          <w:szCs w:val="24"/>
        </w:rPr>
      </w:pPr>
      <w:r>
        <w:rPr>
          <w:rFonts w:hint="eastAsia" w:ascii="宋体" w:hAnsi="宋体"/>
          <w:sz w:val="24"/>
          <w:szCs w:val="24"/>
        </w:rPr>
        <w:t>k.本基金管理人管理且在基金托管人处托管的全部开放式基金（包括开放式基金以及处于开放期的定期开放基金）持有一家上市公司发行的可流通股票，不得超过该上市公司可流通股票的15%；本基金管理人管理且在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rPr>
          <w:rFonts w:ascii="宋体" w:hAnsi="宋体"/>
          <w:sz w:val="24"/>
          <w:szCs w:val="24"/>
        </w:rPr>
      </w:pPr>
      <w:r>
        <w:rPr>
          <w:rFonts w:hint="eastAsia" w:ascii="宋体" w:hAnsi="宋体"/>
          <w:sz w:val="24"/>
          <w:szCs w:val="24"/>
        </w:rPr>
        <w:t>l.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rPr>
          <w:rFonts w:ascii="宋体" w:hAnsi="宋体"/>
          <w:sz w:val="24"/>
          <w:szCs w:val="24"/>
        </w:rPr>
      </w:pPr>
      <w:r>
        <w:rPr>
          <w:rFonts w:hint="eastAsia" w:ascii="宋体" w:hAnsi="宋体"/>
          <w:sz w:val="24"/>
          <w:szCs w:val="24"/>
        </w:rPr>
        <w:t>m.本基金与私募类证券资管产品及中国证监会认定的其他主体为交易对手开展逆回购交易的，可接受质押品的资质要求应当与基金合同约定的投资范围保持一致；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rPr>
          <w:rFonts w:ascii="宋体" w:hAnsi="宋体"/>
          <w:sz w:val="24"/>
          <w:szCs w:val="24"/>
        </w:rPr>
      </w:pPr>
      <w:r>
        <w:rPr>
          <w:rFonts w:hint="eastAsia" w:ascii="宋体" w:hAnsi="宋体"/>
          <w:sz w:val="24"/>
          <w:szCs w:val="24"/>
        </w:rPr>
        <w:t>n.本基金参与股指期货交易，则：</w:t>
      </w:r>
    </w:p>
    <w:p>
      <w:pPr>
        <w:adjustRightInd w:val="0"/>
        <w:snapToGrid w:val="0"/>
        <w:spacing w:line="360" w:lineRule="auto"/>
        <w:ind w:firstLine="480"/>
        <w:rPr>
          <w:rFonts w:ascii="宋体" w:hAnsi="宋体"/>
          <w:sz w:val="24"/>
          <w:szCs w:val="24"/>
        </w:rPr>
      </w:pPr>
      <w:r>
        <w:rPr>
          <w:rFonts w:hint="eastAsia" w:ascii="宋体" w:hAnsi="宋体"/>
          <w:sz w:val="24"/>
          <w:szCs w:val="24"/>
        </w:rPr>
        <w:t>①本基金在任何交易日日终，持有的买入股指期货合约价值，不得超过基金资产净值的10%；</w:t>
      </w:r>
    </w:p>
    <w:p>
      <w:pPr>
        <w:adjustRightInd w:val="0"/>
        <w:snapToGrid w:val="0"/>
        <w:spacing w:line="360" w:lineRule="auto"/>
        <w:ind w:firstLine="480"/>
        <w:rPr>
          <w:rFonts w:ascii="宋体" w:hAnsi="宋体"/>
          <w:sz w:val="24"/>
          <w:szCs w:val="24"/>
        </w:rPr>
      </w:pPr>
      <w:r>
        <w:rPr>
          <w:rFonts w:hint="eastAsia" w:ascii="宋体" w:hAnsi="宋体"/>
          <w:sz w:val="24"/>
          <w:szCs w:val="24"/>
        </w:rPr>
        <w:t>②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rPr>
          <w:rFonts w:ascii="宋体" w:hAnsi="宋体"/>
          <w:sz w:val="24"/>
          <w:szCs w:val="24"/>
        </w:rPr>
      </w:pPr>
      <w:r>
        <w:rPr>
          <w:rFonts w:hint="eastAsia" w:ascii="宋体" w:hAnsi="宋体"/>
          <w:sz w:val="24"/>
          <w:szCs w:val="24"/>
        </w:rPr>
        <w:t>③本基金在任何交易日日终，持有的卖出股指期货合约价值不得超过基金持有的股票总市值的20%；</w:t>
      </w:r>
    </w:p>
    <w:p>
      <w:pPr>
        <w:adjustRightInd w:val="0"/>
        <w:snapToGrid w:val="0"/>
        <w:spacing w:line="360" w:lineRule="auto"/>
        <w:ind w:firstLine="480"/>
        <w:rPr>
          <w:rFonts w:ascii="宋体" w:hAnsi="宋体"/>
          <w:sz w:val="24"/>
          <w:szCs w:val="24"/>
        </w:rPr>
      </w:pPr>
      <w:r>
        <w:rPr>
          <w:rFonts w:hint="eastAsia" w:ascii="宋体" w:hAnsi="宋体"/>
          <w:sz w:val="24"/>
          <w:szCs w:val="24"/>
        </w:rPr>
        <w:t>④本基金所持有的股票市值和买入、卖出股指期货合约价值，合计（轧差计算）应当符合基金合同关于股票投资比例的有关约定；</w:t>
      </w:r>
    </w:p>
    <w:p>
      <w:pPr>
        <w:adjustRightInd w:val="0"/>
        <w:snapToGrid w:val="0"/>
        <w:spacing w:line="360" w:lineRule="auto"/>
        <w:ind w:firstLine="480"/>
        <w:rPr>
          <w:rFonts w:ascii="宋体" w:hAnsi="宋体"/>
          <w:sz w:val="24"/>
          <w:szCs w:val="24"/>
        </w:rPr>
      </w:pPr>
      <w:r>
        <w:rPr>
          <w:rFonts w:hint="eastAsia" w:ascii="宋体" w:hAnsi="宋体"/>
          <w:sz w:val="24"/>
          <w:szCs w:val="24"/>
        </w:rPr>
        <w:t>⑤本基金在任何交易日内交易（不包括平仓）的股指期货合约的成交金额不得超过上一交易日基金资产净值的20%；</w:t>
      </w:r>
    </w:p>
    <w:p>
      <w:pPr>
        <w:adjustRightInd w:val="0"/>
        <w:snapToGrid w:val="0"/>
        <w:spacing w:line="360" w:lineRule="auto"/>
        <w:ind w:firstLine="480"/>
        <w:rPr>
          <w:rFonts w:ascii="宋体" w:hAnsi="宋体"/>
          <w:sz w:val="24"/>
          <w:szCs w:val="24"/>
        </w:rPr>
      </w:pPr>
      <w:r>
        <w:rPr>
          <w:rFonts w:hint="eastAsia" w:ascii="宋体" w:hAnsi="宋体"/>
          <w:sz w:val="24"/>
          <w:szCs w:val="24"/>
        </w:rPr>
        <w:t>o.本基金资产总值不超过基金资产净值的140%；</w:t>
      </w:r>
    </w:p>
    <w:p>
      <w:pPr>
        <w:adjustRightInd w:val="0"/>
        <w:snapToGrid w:val="0"/>
        <w:spacing w:line="360" w:lineRule="auto"/>
        <w:ind w:firstLine="480"/>
        <w:rPr>
          <w:rFonts w:ascii="宋体" w:hAnsi="宋体"/>
          <w:sz w:val="24"/>
          <w:szCs w:val="24"/>
        </w:rPr>
      </w:pPr>
      <w:r>
        <w:rPr>
          <w:rFonts w:hint="eastAsia" w:ascii="宋体" w:hAnsi="宋体"/>
          <w:sz w:val="24"/>
          <w:szCs w:val="24"/>
        </w:rPr>
        <w:t>p.本基金投资存托凭证的比例限制依照境内上市交易的股票执行；</w:t>
      </w:r>
    </w:p>
    <w:p>
      <w:pPr>
        <w:adjustRightInd w:val="0"/>
        <w:snapToGrid w:val="0"/>
        <w:spacing w:line="360" w:lineRule="auto"/>
        <w:ind w:firstLine="480"/>
        <w:rPr>
          <w:rFonts w:ascii="宋体" w:hAnsi="宋体"/>
          <w:sz w:val="24"/>
          <w:szCs w:val="24"/>
        </w:rPr>
      </w:pPr>
      <w:r>
        <w:rPr>
          <w:rFonts w:hint="eastAsia" w:ascii="宋体" w:hAnsi="宋体"/>
          <w:sz w:val="24"/>
          <w:szCs w:val="24"/>
        </w:rPr>
        <w:t>q.法律法规及中国证监会规定的和《基金合同》约定的其他投资限制。</w:t>
      </w:r>
    </w:p>
    <w:p>
      <w:pPr>
        <w:adjustRightInd w:val="0"/>
        <w:snapToGrid w:val="0"/>
        <w:spacing w:line="360" w:lineRule="auto"/>
        <w:ind w:firstLine="480"/>
        <w:rPr>
          <w:rFonts w:ascii="宋体" w:hAnsi="宋体"/>
          <w:sz w:val="24"/>
          <w:szCs w:val="24"/>
        </w:rPr>
      </w:pPr>
      <w:r>
        <w:rPr>
          <w:rFonts w:hint="eastAsia" w:ascii="宋体" w:hAnsi="宋体"/>
          <w:sz w:val="24"/>
          <w:szCs w:val="24"/>
        </w:rPr>
        <w:t>除上述b、i、l、m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pPr>
        <w:adjustRightInd w:val="0"/>
        <w:snapToGrid w:val="0"/>
        <w:spacing w:line="360" w:lineRule="auto"/>
        <w:ind w:firstLine="480"/>
        <w:rPr>
          <w:rFonts w:ascii="宋体" w:hAnsi="宋体"/>
          <w:sz w:val="24"/>
          <w:szCs w:val="24"/>
        </w:rPr>
      </w:pPr>
      <w:r>
        <w:rPr>
          <w:rFonts w:hint="eastAsia" w:ascii="宋体" w:hAnsi="宋体"/>
          <w:sz w:val="24"/>
          <w:szCs w:val="24"/>
        </w:rPr>
        <w:t>法律法规或监管部门取消或者变更上述限制，如适用于本基金，基金管理人在履行适当程序后，则本基金投资不再受相关限制或以变更后的规定为准。</w:t>
      </w:r>
    </w:p>
    <w:p>
      <w:pPr>
        <w:adjustRightInd w:val="0"/>
        <w:snapToGrid w:val="0"/>
        <w:spacing w:line="360" w:lineRule="auto"/>
        <w:ind w:firstLine="480"/>
        <w:rPr>
          <w:rFonts w:ascii="宋体" w:hAnsi="宋体"/>
          <w:sz w:val="24"/>
          <w:szCs w:val="24"/>
        </w:rPr>
      </w:pPr>
      <w:r>
        <w:rPr>
          <w:rFonts w:hint="eastAsia" w:ascii="宋体" w:hAnsi="宋体"/>
          <w:sz w:val="24"/>
          <w:szCs w:val="24"/>
        </w:rPr>
        <w:t>（3） 基金托管人根据有关法律法规的规定及《基金合同》的约定对下述基金投资禁止行为通过事后监督方式进行监督：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1）承销证券；</w:t>
      </w:r>
    </w:p>
    <w:p>
      <w:pPr>
        <w:adjustRightInd w:val="0"/>
        <w:snapToGrid w:val="0"/>
        <w:spacing w:line="360" w:lineRule="auto"/>
        <w:ind w:firstLine="480"/>
        <w:rPr>
          <w:rFonts w:ascii="宋体" w:hAnsi="宋体"/>
          <w:sz w:val="24"/>
          <w:szCs w:val="24"/>
        </w:rPr>
      </w:pPr>
      <w:r>
        <w:rPr>
          <w:rFonts w:hint="eastAsia" w:ascii="宋体" w:hAnsi="宋体"/>
          <w:sz w:val="24"/>
          <w:szCs w:val="24"/>
        </w:rPr>
        <w:t>2）违反规定向他人贷款或者提供担保；</w:t>
      </w:r>
    </w:p>
    <w:p>
      <w:pPr>
        <w:adjustRightInd w:val="0"/>
        <w:snapToGrid w:val="0"/>
        <w:spacing w:line="360" w:lineRule="auto"/>
        <w:ind w:firstLine="480"/>
        <w:rPr>
          <w:rFonts w:ascii="宋体" w:hAnsi="宋体"/>
          <w:sz w:val="24"/>
          <w:szCs w:val="24"/>
        </w:rPr>
      </w:pPr>
      <w:r>
        <w:rPr>
          <w:rFonts w:hint="eastAsia" w:ascii="宋体" w:hAnsi="宋体"/>
          <w:sz w:val="24"/>
          <w:szCs w:val="24"/>
        </w:rPr>
        <w:t>3）从事承担无限责任的投资；</w:t>
      </w:r>
    </w:p>
    <w:p>
      <w:pPr>
        <w:adjustRightInd w:val="0"/>
        <w:snapToGrid w:val="0"/>
        <w:spacing w:line="360" w:lineRule="auto"/>
        <w:ind w:firstLine="480"/>
        <w:rPr>
          <w:rFonts w:ascii="宋体" w:hAnsi="宋体"/>
          <w:sz w:val="24"/>
          <w:szCs w:val="24"/>
        </w:rPr>
      </w:pPr>
      <w:r>
        <w:rPr>
          <w:rFonts w:hint="eastAsia" w:ascii="宋体" w:hAnsi="宋体"/>
          <w:sz w:val="24"/>
          <w:szCs w:val="24"/>
        </w:rPr>
        <w:t>4）买卖其他基金份额，但是中国证监会另有规定的除外；</w:t>
      </w:r>
    </w:p>
    <w:p>
      <w:pPr>
        <w:adjustRightInd w:val="0"/>
        <w:snapToGrid w:val="0"/>
        <w:spacing w:line="360" w:lineRule="auto"/>
        <w:ind w:firstLine="480"/>
        <w:rPr>
          <w:rFonts w:ascii="宋体" w:hAnsi="宋体"/>
          <w:sz w:val="24"/>
          <w:szCs w:val="24"/>
        </w:rPr>
      </w:pPr>
      <w:r>
        <w:rPr>
          <w:rFonts w:hint="eastAsia" w:ascii="宋体" w:hAnsi="宋体"/>
          <w:sz w:val="24"/>
          <w:szCs w:val="24"/>
        </w:rPr>
        <w:t>5）向其基金管理人、基金托管人出资；</w:t>
      </w:r>
    </w:p>
    <w:p>
      <w:pPr>
        <w:adjustRightInd w:val="0"/>
        <w:snapToGrid w:val="0"/>
        <w:spacing w:line="360" w:lineRule="auto"/>
        <w:ind w:firstLine="480"/>
        <w:rPr>
          <w:rFonts w:ascii="宋体" w:hAnsi="宋体"/>
          <w:sz w:val="24"/>
          <w:szCs w:val="24"/>
        </w:rPr>
      </w:pPr>
      <w:r>
        <w:rPr>
          <w:rFonts w:hint="eastAsia" w:ascii="宋体" w:hAnsi="宋体"/>
          <w:sz w:val="24"/>
          <w:szCs w:val="24"/>
        </w:rPr>
        <w:t>6）从事内幕交易、操纵证券交易价格及其他不正当的证券交易活动；</w:t>
      </w:r>
    </w:p>
    <w:p>
      <w:pPr>
        <w:adjustRightInd w:val="0"/>
        <w:snapToGrid w:val="0"/>
        <w:spacing w:line="360" w:lineRule="auto"/>
        <w:ind w:firstLine="480"/>
        <w:rPr>
          <w:rFonts w:ascii="宋体" w:hAnsi="宋体"/>
          <w:sz w:val="24"/>
          <w:szCs w:val="24"/>
        </w:rPr>
      </w:pPr>
      <w:r>
        <w:rPr>
          <w:rFonts w:hint="eastAsia" w:ascii="宋体" w:hAnsi="宋体"/>
          <w:sz w:val="24"/>
          <w:szCs w:val="24"/>
        </w:rPr>
        <w:t>7）法律、行政法规和中国证监会规定禁止的其他活动。</w:t>
      </w:r>
    </w:p>
    <w:p>
      <w:pPr>
        <w:adjustRightInd w:val="0"/>
        <w:snapToGrid w:val="0"/>
        <w:spacing w:line="360" w:lineRule="auto"/>
        <w:ind w:firstLine="48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0"/>
        <w:rPr>
          <w:rFonts w:ascii="宋体" w:hAnsi="宋体"/>
          <w:sz w:val="24"/>
          <w:szCs w:val="24"/>
        </w:rPr>
      </w:pPr>
      <w:r>
        <w:rPr>
          <w:rFonts w:hint="eastAsia" w:ascii="宋体" w:hAnsi="宋体"/>
          <w:sz w:val="24"/>
          <w:szCs w:val="24"/>
        </w:rPr>
        <w:t>（4）基金托管人依据有关法律法规的规定和《基金合同》的约定对于基金关联投资限制进行监督。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0"/>
        <w:rPr>
          <w:rFonts w:ascii="宋体" w:hAnsi="宋体"/>
          <w:sz w:val="24"/>
          <w:szCs w:val="24"/>
        </w:rPr>
      </w:pPr>
      <w:r>
        <w:rPr>
          <w:rFonts w:hint="eastAsia" w:ascii="宋体" w:hAnsi="宋体"/>
          <w:sz w:val="24"/>
          <w:szCs w:val="24"/>
        </w:rPr>
        <w:t>（5）本基金参与银行间市场交易，由基金管理人决定银行间市场交易对手的名单，并按照审慎的风险控制原则在该名单中约定各交易对手所适用的交易结算方式。基金管理人应严格按照交易对手名单的范围在银行间债券市场选择交易对手；基金管理人在银行间市场进行现券买卖和回购交易时，需按交易对手名单中约定的该交易对手所适用的交易结算方式进行交易。基金托管人对基金管理人参与银行间市场交易的交易对手是否符合交易对手名单进行事后监督。基金托管人监控依赖基金管理人提供的交易对手名单，如基金管理人未能提供，基金托管人不承担任何责任。</w:t>
      </w:r>
    </w:p>
    <w:p>
      <w:pPr>
        <w:adjustRightInd w:val="0"/>
        <w:snapToGrid w:val="0"/>
        <w:spacing w:line="360" w:lineRule="auto"/>
        <w:ind w:firstLine="480"/>
        <w:rPr>
          <w:rFonts w:ascii="宋体" w:hAnsi="宋体"/>
          <w:sz w:val="24"/>
          <w:szCs w:val="24"/>
        </w:rPr>
      </w:pPr>
      <w:r>
        <w:rPr>
          <w:rFonts w:hint="eastAsia" w:ascii="宋体" w:hAnsi="宋体"/>
          <w:sz w:val="24"/>
          <w:szCs w:val="24"/>
        </w:rPr>
        <w:t>（6）基金托管人对基金投资流通受限证券的监督</w:t>
      </w:r>
    </w:p>
    <w:p>
      <w:pPr>
        <w:adjustRightInd w:val="0"/>
        <w:snapToGrid w:val="0"/>
        <w:spacing w:line="360" w:lineRule="auto"/>
        <w:ind w:firstLine="480"/>
        <w:rPr>
          <w:rFonts w:ascii="宋体" w:hAnsi="宋体"/>
          <w:sz w:val="24"/>
          <w:szCs w:val="24"/>
        </w:rPr>
      </w:pPr>
      <w:r>
        <w:rPr>
          <w:rFonts w:hint="eastAsia" w:ascii="宋体" w:hAnsi="宋体"/>
          <w:sz w:val="24"/>
          <w:szCs w:val="24"/>
        </w:rPr>
        <w:t>1）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pPr>
        <w:adjustRightInd w:val="0"/>
        <w:snapToGrid w:val="0"/>
        <w:spacing w:line="360" w:lineRule="auto"/>
        <w:ind w:firstLine="480"/>
        <w:rPr>
          <w:rFonts w:ascii="宋体" w:hAnsi="宋体"/>
          <w:sz w:val="24"/>
          <w:szCs w:val="24"/>
        </w:rPr>
      </w:pPr>
      <w:r>
        <w:rPr>
          <w:rFonts w:hint="eastAsia" w:ascii="宋体" w:hAnsi="宋体"/>
          <w:sz w:val="24"/>
          <w:szCs w:val="24"/>
        </w:rPr>
        <w:t>2）此处流通受限证券与上文所述的流动性受限资产并不完全一致，包括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djustRightInd w:val="0"/>
        <w:snapToGrid w:val="0"/>
        <w:spacing w:line="360" w:lineRule="auto"/>
        <w:ind w:firstLine="480"/>
        <w:rPr>
          <w:rFonts w:ascii="宋体" w:hAnsi="宋体"/>
          <w:sz w:val="24"/>
          <w:szCs w:val="24"/>
        </w:rPr>
      </w:pPr>
      <w:r>
        <w:rPr>
          <w:rFonts w:hint="eastAsia" w:ascii="宋体" w:hAnsi="宋体"/>
          <w:sz w:val="24"/>
          <w:szCs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pPr>
        <w:adjustRightInd w:val="0"/>
        <w:snapToGrid w:val="0"/>
        <w:spacing w:line="360" w:lineRule="auto"/>
        <w:ind w:firstLine="480"/>
        <w:rPr>
          <w:rFonts w:ascii="宋体" w:hAnsi="宋体"/>
          <w:sz w:val="24"/>
          <w:szCs w:val="24"/>
        </w:rPr>
      </w:pPr>
      <w:r>
        <w:rPr>
          <w:rFonts w:hint="eastAsia" w:ascii="宋体" w:hAnsi="宋体"/>
          <w:sz w:val="24"/>
          <w:szCs w:val="24"/>
        </w:rPr>
        <w:t>4）基金投资非公开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于拟执行投资指令前将上述信息书面发至基金托管人，保证基金托管人有足够的时间进行审核。</w:t>
      </w:r>
    </w:p>
    <w:p>
      <w:pPr>
        <w:adjustRightInd w:val="0"/>
        <w:snapToGrid w:val="0"/>
        <w:spacing w:line="360" w:lineRule="auto"/>
        <w:ind w:firstLine="480"/>
        <w:rPr>
          <w:rFonts w:ascii="宋体" w:hAnsi="宋体"/>
          <w:sz w:val="24"/>
          <w:szCs w:val="24"/>
        </w:rPr>
      </w:pPr>
      <w:r>
        <w:rPr>
          <w:rFonts w:hint="eastAsia" w:ascii="宋体" w:hAnsi="宋体"/>
          <w:sz w:val="24"/>
          <w:szCs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相应责任，并有权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如基金管理人和基金托管人无法达成一致，应及时上报中国证监会请求解决。如果基金托管人切实履行监督职责，则不承担相应责任。</w:t>
      </w:r>
    </w:p>
    <w:p>
      <w:pPr>
        <w:adjustRightInd w:val="0"/>
        <w:snapToGrid w:val="0"/>
        <w:spacing w:line="360" w:lineRule="auto"/>
        <w:ind w:firstLine="480"/>
        <w:rPr>
          <w:rFonts w:ascii="宋体" w:hAnsi="宋体"/>
          <w:sz w:val="24"/>
          <w:szCs w:val="24"/>
        </w:rPr>
      </w:pPr>
      <w:r>
        <w:rPr>
          <w:rFonts w:hint="eastAsia" w:ascii="宋体" w:hAnsi="宋体"/>
          <w:sz w:val="24"/>
          <w:szCs w:val="24"/>
        </w:rPr>
        <w:t>（7）本基金投资银行存款的信用风险主要包括存款银行的信用等级、存款银行的支付能力等涉及到存款银行选择方面的风险。本基金的基金管理人根据相应规则确定存款银行，本基金投资存款银行以外的银行存款出现由于存款银行信用风险而造成的损失时由相关责任人进行赔偿。基金托管人不对本基金投资银行存款的存款银行进行监控。</w:t>
      </w:r>
    </w:p>
    <w:p>
      <w:pPr>
        <w:adjustRightInd w:val="0"/>
        <w:snapToGrid w:val="0"/>
        <w:spacing w:line="360" w:lineRule="auto"/>
        <w:ind w:firstLine="480"/>
        <w:rPr>
          <w:rFonts w:ascii="宋体" w:hAnsi="宋体"/>
          <w:sz w:val="24"/>
          <w:szCs w:val="24"/>
        </w:rPr>
      </w:pPr>
      <w:r>
        <w:rPr>
          <w:rFonts w:hint="eastAsia" w:ascii="宋体" w:hAnsi="宋体"/>
          <w:sz w:val="24"/>
          <w:szCs w:val="24"/>
        </w:rPr>
        <w:t>2、基金托管人应根据有关法律法规的规定及《基金合同》的约定，对基金资产净值计算、各类基金份额净值计算、应收资金到账、基金费用开支及收入确定、基金收益分配、相关信息披露、基金宣传推介材料（需基金管理人主动提供）中登载基金业绩表现数据等进行监督和核查。</w:t>
      </w:r>
    </w:p>
    <w:p>
      <w:pPr>
        <w:adjustRightInd w:val="0"/>
        <w:snapToGrid w:val="0"/>
        <w:spacing w:line="360" w:lineRule="auto"/>
        <w:ind w:firstLine="480"/>
        <w:rPr>
          <w:rFonts w:ascii="宋体" w:hAnsi="宋体"/>
          <w:sz w:val="24"/>
          <w:szCs w:val="24"/>
        </w:rPr>
      </w:pPr>
      <w:r>
        <w:rPr>
          <w:rFonts w:hint="eastAsia" w:ascii="宋体" w:hAnsi="宋体"/>
          <w:sz w:val="24"/>
          <w:szCs w:val="24"/>
        </w:rPr>
        <w:t>3、基金托管人发现基金管理人的投资运作及其他运作违反法律法规、《基金合同》、本托管协议及其他有关规定时，应及时以书面形式通知基金管理人限期纠正，基金管理人收到通知后应及时核对，并以书面形式向基金托管人发出回函，进行解释或举证，说明违规原因及纠正期限。</w:t>
      </w:r>
    </w:p>
    <w:p>
      <w:pPr>
        <w:adjustRightInd w:val="0"/>
        <w:snapToGrid w:val="0"/>
        <w:spacing w:line="360" w:lineRule="auto"/>
        <w:ind w:firstLine="480"/>
        <w:rPr>
          <w:rFonts w:ascii="宋体" w:hAnsi="宋体"/>
          <w:sz w:val="24"/>
          <w:szCs w:val="24"/>
        </w:rPr>
      </w:pPr>
      <w:r>
        <w:rPr>
          <w:rFonts w:hint="eastAsia" w:ascii="宋体" w:hAnsi="宋体"/>
          <w:sz w:val="24"/>
          <w:szCs w:val="24"/>
        </w:rPr>
        <w:t>在限期内，基金托管人有权随时对通知事项进行复查，督促基金管理人改正。基金管理人对基金托管人通知的违规事项未能在限期内纠正的，基金托管人应报告中国证监会。基金管理人应赔偿因其违反法律法规、行业自律性规定或《基金合同》或本托管协议及其他有关规定而致使投资者和基金托管人遭受的损失。</w:t>
      </w:r>
    </w:p>
    <w:p>
      <w:pPr>
        <w:adjustRightInd w:val="0"/>
        <w:snapToGrid w:val="0"/>
        <w:spacing w:line="360" w:lineRule="auto"/>
        <w:ind w:firstLine="480"/>
        <w:rPr>
          <w:rFonts w:ascii="宋体" w:hAnsi="宋体"/>
          <w:sz w:val="24"/>
          <w:szCs w:val="24"/>
        </w:rPr>
      </w:pPr>
      <w:r>
        <w:rPr>
          <w:rFonts w:hint="eastAsia" w:ascii="宋体" w:hAnsi="宋体"/>
          <w:sz w:val="24"/>
          <w:szCs w:val="24"/>
        </w:rPr>
        <w:t>对于依据交易程序尚未成交的且基金托管人在交易前能够监控的投资指令，基金托管人发现该投资指令违反有关法律法规规定或者违反《基金合同》约定的，应当拒绝执行，立即通知基金管理人，并向中国证监会报告。</w:t>
      </w:r>
    </w:p>
    <w:p>
      <w:pPr>
        <w:adjustRightInd w:val="0"/>
        <w:snapToGrid w:val="0"/>
        <w:spacing w:line="360" w:lineRule="auto"/>
        <w:ind w:firstLine="480"/>
        <w:rPr>
          <w:rFonts w:ascii="宋体" w:hAnsi="宋体"/>
          <w:sz w:val="24"/>
          <w:szCs w:val="24"/>
        </w:rPr>
      </w:pPr>
      <w:r>
        <w:rPr>
          <w:rFonts w:hint="eastAsia" w:ascii="宋体" w:hAnsi="宋体"/>
          <w:sz w:val="24"/>
          <w:szCs w:val="24"/>
        </w:rPr>
        <w:t>对于必须于估值完成后方可获知的监控指标或依据交易程序已经成交的投资指令，基金托管人发现该投资指令违反有关法律法规或者违反《基金合同》约定的，应当立即通知基金管理人，并报告中国证监会。</w:t>
      </w:r>
    </w:p>
    <w:p>
      <w:pPr>
        <w:adjustRightInd w:val="0"/>
        <w:snapToGrid w:val="0"/>
        <w:spacing w:line="360" w:lineRule="auto"/>
        <w:ind w:firstLine="480"/>
        <w:rPr>
          <w:rFonts w:ascii="宋体" w:hAnsi="宋体"/>
          <w:sz w:val="24"/>
          <w:szCs w:val="24"/>
        </w:rPr>
      </w:pPr>
      <w:r>
        <w:rPr>
          <w:rFonts w:hint="eastAsia" w:ascii="宋体" w:hAnsi="宋体"/>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adjustRightInd w:val="0"/>
        <w:snapToGrid w:val="0"/>
        <w:spacing w:line="360" w:lineRule="auto"/>
        <w:ind w:firstLine="480"/>
        <w:rPr>
          <w:rFonts w:ascii="宋体" w:hAnsi="宋体"/>
          <w:sz w:val="24"/>
          <w:szCs w:val="24"/>
        </w:rPr>
      </w:pPr>
      <w:r>
        <w:rPr>
          <w:rFonts w:hint="eastAsia" w:ascii="宋体" w:hAnsi="宋体"/>
          <w:sz w:val="24"/>
          <w:szCs w:val="24"/>
        </w:rPr>
        <w:t>基金托管人发现基金管理人有重大违规行为，应立即报告中国证监会，同时通知基金管理人限期纠正。</w:t>
      </w:r>
    </w:p>
    <w:p>
      <w:pPr>
        <w:adjustRightInd w:val="0"/>
        <w:snapToGrid w:val="0"/>
        <w:spacing w:line="360" w:lineRule="auto"/>
        <w:ind w:firstLine="480" w:firstLineChars="200"/>
        <w:rPr>
          <w:b/>
          <w:bCs/>
          <w:sz w:val="24"/>
        </w:rPr>
      </w:pPr>
      <w:r>
        <w:rPr>
          <w:rFonts w:hint="eastAsia" w:ascii="宋体" w:hAnsi="宋体"/>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adjustRightInd w:val="0"/>
        <w:snapToGrid w:val="0"/>
        <w:spacing w:line="360" w:lineRule="auto"/>
        <w:ind w:firstLine="482" w:firstLineChars="200"/>
        <w:rPr>
          <w:b/>
          <w:bCs/>
          <w:sz w:val="24"/>
        </w:rPr>
      </w:pPr>
      <w:r>
        <w:rPr>
          <w:b/>
          <w:bCs/>
          <w:sz w:val="24"/>
        </w:rPr>
        <w:t>（三）基金管理人对基金托管人的业务核查</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1、基金管理人对基金托管人履行托管职责情况进行核查，核查事项包括但不限于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2、基金管理人发现基金托管人擅自挪用基金财产、未对基金财产实行分账管理、未执行或无故延迟执行基金管理人资金划拨指令、泄露基金投资信息等违反《基金法》等法律法规、《基金合同》、本托管协议及其他有关规定时，基金管理人应及时以书面形式通知基金托管人限期纠正，基金托管人收到通知后应及时核对确认并以书面形式向基金管理人发出回函，说明违规原因及纠正期限，并保证在规定期限内及时改正。在上述限期内，基金管理人有权随时对通知事项进行复查，督促基金托管人改正，并予协助配合。基金托管人应积极配合基金管理人的核查行为，包括但不限于：提交相关资料以供基金管理人核查基金财产的完整性和真实性，在规定时间内答复基金管理人并改正。基金托管人对基金管理人通知的违规事项未能在限期内纠正的，基金管理人应报告中国证监会。</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3、基金管理人发现基金托管人有重大违规行为，应立即报告中国证监会，同时通知基金托管人限期纠正，并将纠正结果报告中国证监会。</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adjustRightInd w:val="0"/>
        <w:snapToGrid w:val="0"/>
        <w:spacing w:line="360" w:lineRule="auto"/>
        <w:ind w:firstLine="482" w:firstLineChars="200"/>
        <w:rPr>
          <w:b/>
          <w:bCs/>
          <w:sz w:val="24"/>
        </w:rPr>
      </w:pPr>
      <w:r>
        <w:rPr>
          <w:b/>
          <w:bCs/>
          <w:sz w:val="24"/>
        </w:rPr>
        <w:t>（四）基金财产保管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1、基金财产保管的原则</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（1）基金财产应独立于基金管理人、基金托管人、证券经纪机构的固有财产。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（2）基金托管人应安全保管基金财产，未经基金管理人的合法合规指令或法律法规、《基金合同》及本协议另有规定，不得自行运用、处分、分配基金的任何财产。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（3）基金托管人按照规定开设基金财产的资金账户、证券账户等投资所需账户，相关开户费用由基金资产承担。</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（4）基金托管人对所托管的不同基金财产分别设置账户，分账管理，独立核算，确保基金财产的完整与独立。</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对于因为基金认申购、投资产生的应收资产，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基金托管人应予以必要的协助与配合，但对此不承担相应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对因为基金管理人投资产生的存放或存管在基金托管人以外机构的基金财产，或交由期货公司或证券公司负责清算交收的基金财产（包括但不限于期货保证金账户内的资金、期货合约等）及其收益，若由于该等机构或该机构会员单位等本协议当事人外第三方的原因给基金财产造成的损失等，基金托管人不承担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（7）除依据法律法规、《基金合同》及其他有关规定外，基金托管人不得委托第三人托管基金财产。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2、《基金合同》生效前募集资金的验资和入账</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募集期间募集的资金应存于基金管理人在具有托管资格的银行开立的“基金募集专户”，该账户由基金管理人开立并管理。基金募集期满或基金管理人宣布停止募集时，募集的基金份额总额、基金募集金额、基金份额持有人人数符合《基金法》、《运作办法》等有关规定后，基金管理人应将属于本基金财产的全部资金划入在基金托管人为本基金开立的基金银行账户。同时在规定时间内，由基金管理人在法定期限内聘请符合《中华人民共和国证券法》规定的会计师事务所对基金进行验资，并出具验资报告，出具的验资报告应由参加验资的2名以上(含2名)中国注册会计师签字方为有效。</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（2）若基金募集期限届满，未能达到《基金合同》生效的条件，由基金管理人按规定办理退款等事宜，基金托管人应提供必要的协助。</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3、基金的银行账户（基金托管账户）的开设和管理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（1）基金托管人应负责本基金的银行账户的开设和管理。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人以本基金的名义在具有基金托管资格的商业银行开设本基金的银行账户。本基金的银行预留印鉴为“中信证券股份有限公司托管业务结算专用章”和基金托管人有权人名章。本基金的一切货币收支活动，包括但不限于投资、支付赎回金额、支付基金收益、收取申购款，均需通过本基金的银行账户进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（3）本基金银行账户的开立和使用，限于满足开展本基金业务的需要。基金托管人和基金管理人不得假借本基金的名义开立其他任何银行账户；亦不得使用本基金的银行账户进行本基金业务以外的活动。</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（4）本基金银行账户的开立和管理应符合法律法规及银行业监督管理机构的有关规定。</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4、基金证券账户和证券资金账户的开设和管理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（1）基金托管人应当代表本基金，以基金托管人和本基金联名的方式在中国证券登记结算有限责任公司（以下简称为“中登公司”）开设证券账户。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本基金证券账户的开立和使用，限于满足开展本基金业务的需要。基金托管人和基金管理人不得出借或未经另一方同意擅自转让本基金的证券账户；亦不得使用本基金的证券账户进行本基金业务以外的活动。</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（3）基金证券账户的开立由基金托管人负责，账户资产的管理和运用由基金管理人负责。</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（4）证券账户开立后，证券经纪商选择指定营业网点为本基金开立证券资金账户，并通知基金托管人，该证券资金账户与基金托管账户之间建立银证转账对应关系。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交易所证券交易资金采用第三方存管模式，即用于证券交易结算资金全额存放在基金管理人为基金开设证券资金账户中，场内的证券交易资金清算由基金管理人所选择的证券公司负责。基金托管人不负责办理场内的证券交易资金清算，也不负责保管证券资金账户内存放的资金。</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（6）在本托管协议生效日之后，本基金被允许从事其他投资品种的投资业务的，涉及相关账户的开设、使用的，若无相关规定，则基金托管人应当比照并遵守上述关于账户开设、使用的规定。</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5、债券托管账户的开设和管理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合同》生效后，基金管理人负责以基金的名义申请并取得进入全国银行间同业拆借市场的交易资格，并代表基金进行交易；基金托管人根据中国人民银行、银行间市场登记结算机构的有关规定，以基金的名义在中央国债登记结算有限责任公司、银行间市场清算所股份有限公司开设银行间债券市场债券托管账户和资金结算专户，并代表基金进行银行间债券市场债券和资金的清算。基金管理人和基金托管人应共同负责完成银行间债券市场准入备案。</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6、期货账户的开设和管理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根据投资需要按照规定开立期货保证金账户及期货交易编码等。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7、其他账户的开立和管理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（1）因业务发展需要而开立的其他账户，可以根据法律法规和《基金合同》的规定，由基金管理人协助基金托管人按照有关法律法规和本协议的约定协商后开立。新账户按有关规定使用并管理。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（2）法律法规等有关规定对相关账户的开立和管理另有规定的，从其规定办理。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8、基金投资银行存款账户的开立和管理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基金投资银行定期存款应由基金管理人与存款银行总行或其授权分行签订总体合作协议，并将资金存放于存款银行总行或其授权分行指定的分支机构。</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存款账户必须以基金名义开立，账户名称为基金名称，存款账户开户文件上加盖预留印鉴及基金管理人公章。预留印鉴为“中信证券股份有限公司托管业务结算专用章”和基金托管人有权人名章。存款证实书原件由基金托管人负责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本基金投资银行存款时，基金管理人应当与存款银行签订具体存款协议，明确存款的类型、期限、利率、金额、账号、对账方式、支取方式、账户管理等细则。存款协议须约定将基金托管人为本基金开立的托管银行账户指定为唯一回款账户，任何情况下，存款银行都不得将存款本息划往任何其他账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为防范特殊情况下的流动性风险，定期存款协议中应当约定提前支取条款。</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基金所投资定期存款存续期间，基金管理人、基金托管人应当与存款银行建立定期对账机制，确保基金银行存款业务账目及核对的真实、准确。</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9、基金财产投资的有关有价凭证的保管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实物证券、银行定期存款存单等有价凭证由基金托管人存放于其档案库或保险柜，但要与非本基金的其他有价凭证分开保管。保管凭证由基金托管人持有，基金托管人承担保管职责。基金托管人对由基金托管人以外机构实际有效控制的证券不承担保管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10、与基金财产有关的重大合同及有关凭证的保管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的保管期限不少于法律法规的规定。</w:t>
      </w:r>
    </w:p>
    <w:p>
      <w:pPr>
        <w:widowControl/>
        <w:adjustRightInd w:val="0"/>
        <w:snapToGrid w:val="0"/>
        <w:spacing w:line="360" w:lineRule="auto"/>
        <w:ind w:firstLine="480" w:firstLineChars="200"/>
        <w:rPr>
          <w:rFonts w:ascii="宋体" w:hAnsi="宋体"/>
          <w:b/>
          <w:bCs/>
          <w:sz w:val="24"/>
          <w:szCs w:val="24"/>
        </w:rPr>
      </w:pPr>
      <w:r>
        <w:rPr>
          <w:rFonts w:hint="eastAsia" w:ascii="宋体" w:hAnsi="宋体"/>
          <w:sz w:val="24"/>
          <w:szCs w:val="24"/>
        </w:rPr>
        <w:t>对于无法取得二份以上的正本的，基金管理人应向基金托管人提供与合同原件核对一致的并加盖基金管理人公章的合同传真件或复印件或扫描件，未经双方协商一致，合同原件不得转移。</w:t>
      </w:r>
    </w:p>
    <w:p>
      <w:pPr>
        <w:widowControl/>
        <w:adjustRightInd w:val="0"/>
        <w:snapToGrid w:val="0"/>
        <w:spacing w:line="360" w:lineRule="auto"/>
        <w:ind w:firstLine="482" w:firstLineChars="200"/>
        <w:rPr>
          <w:rFonts w:ascii="宋体" w:hAnsi="宋体"/>
          <w:b/>
          <w:bCs/>
          <w:sz w:val="24"/>
          <w:szCs w:val="24"/>
        </w:rPr>
      </w:pPr>
      <w:r>
        <w:rPr>
          <w:rFonts w:ascii="宋体" w:hAnsi="宋体"/>
          <w:b/>
          <w:bCs/>
          <w:sz w:val="24"/>
          <w:szCs w:val="24"/>
        </w:rPr>
        <w:t>（五）</w:t>
      </w:r>
      <w:r>
        <w:rPr>
          <w:rFonts w:hint="eastAsia" w:ascii="宋体" w:hAnsi="宋体"/>
          <w:b/>
          <w:bCs/>
          <w:sz w:val="24"/>
          <w:szCs w:val="24"/>
        </w:rPr>
        <w:t>基金资产净值计算和会计核算</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1、基金资产净值的计算和复核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（1）基金资产净值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基金资产净值是指基金资产总值减去负债后的价值。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（2）复核程序</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每个工作日对基金资产估值，但基金管理人根据法律法规或《基金合同》的规定暂停估值时除外。估值原则应符合《基金合同》、《证券投资基金会计核算业务指引》及其他法律、法规的规定。基金资产净值和各类基金份额净值由基金管理人负责计算，基金托管人复核。基金管理人应于每个估值日对基金资产估值后，将基金资产净值、基金份额净值以双方认可的方式发送给基金托管人。基金托管人对净值计算结果复核后以双方认可的方式发送给基金管理人，由基金管理人按规定对基金净值予以公布。</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最新规定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2、基金资产估值方法</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（1）估值对象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基金所拥有的股票、债券、资产支持证券、股指期货和其他投资等持续以公允价值计量的金融资产及负债。</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（2）估值方法</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2）处于未上市期间的有价证券应区分如下情况处理：</w:t>
      </w:r>
    </w:p>
    <w:p>
      <w:pPr>
        <w:widowControl/>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①</w:t>
      </w:r>
      <w:r>
        <w:rPr>
          <w:rFonts w:hint="eastAsia" w:ascii="宋体" w:hAnsi="宋体"/>
          <w:sz w:val="24"/>
          <w:szCs w:val="24"/>
        </w:rPr>
        <w:t>送股、转增股、配股和公开增发的新股，按估值日在证券交易所挂牌的同一股票的估值方法估值；该日无交易的，以最近一日的市价（收盘价）估值；</w:t>
      </w:r>
    </w:p>
    <w:p>
      <w:pPr>
        <w:widowControl/>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②</w:t>
      </w:r>
      <w:r>
        <w:rPr>
          <w:rFonts w:hint="eastAsia" w:ascii="宋体" w:hAnsi="宋体"/>
          <w:sz w:val="24"/>
          <w:szCs w:val="24"/>
        </w:rPr>
        <w:t>首次公开发行未上市的股票和债券，采用估值技术确定公允价值；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cs="宋体"/>
          <w:sz w:val="24"/>
          <w:szCs w:val="24"/>
        </w:rPr>
        <w:t>③</w:t>
      </w:r>
      <w:r>
        <w:rPr>
          <w:rFonts w:hint="eastAsia" w:ascii="宋体" w:hAnsi="宋体"/>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3）对于已上市或已挂牌转让的不含权固定收益品种（另有规定的除外），选取第三方估值基准服务机构提供的相应品种当日的估值全价进行估值。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4）对于已上市或已挂牌转让的含权固定收益品种（另有规定的除外），选取第三方估值基准服务机构提供的相应品种当日的唯一估值全价或推荐估值全价进行估值。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6）对于未上市或未挂牌转让且不存在活跃市场的固定收益品种，采用在当前情况下适用并且有足够可利用数据和其他信息支持的估值技术确定其公允价值。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7）本基金投资股指期货合约，一般以估值当日结算价进行估值，估值当日无结算价的，且最近交易日后经济环境未发生重大变化的，采用最近交易日结算价估值。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8）同一证券同时在两个或两个以上市场交易的，按证券所处的市场分别估值。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9）估值计算中涉及港币对人民币汇率的，将依据下列信息提供机构所提供的汇率为基准：当日中国人民银行或其授权机构公布的人民币与港币的中间价。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10）对于因税收规定调整或其他原因导致本基金实际交纳税金与估算的应交税金有差异的，本基金将在相关税金调整日或实际支付日进行相应的会计处理。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11）本基金投资存托凭证的估值核算依照境内上市交易的股票执行。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12）如有确凿证据表明按上述方法进行估值不能客观反映其公允价值的，基金管理人可根据具体情况与基金托管人商定后，按最能反映公允价值的价格估值。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13）当发生大额申购或赎回情形时，基金管理人可以采用摆动定价机制，以确保基金估值的公平性。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14）相关法律法规以及监管部门有强制规定的，从其规定。如有新增事项，按国家最新规定估值。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3、基金份额净值错误的处理方式</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《基金合同》的当事人应按照以下约定处理：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（1）估值错误类型</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上述估值错误的主要类型包括但不限于：资料申报差错、数据传输差错、数据计算差错、系统故障差错、下达指令差错等。</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对于因技术原因引起的差错，若系同行业现有技术水平无法预见、无法避免、无法抗拒，则属不可抗力，按照下述规定执行。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（2）估值错误处理原则</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2）估值错误的责任方对有关当事人的直接损失负责，不对间接损失负责，并且仅对估值错误的有关直接当事人负责，不对第三方负责。</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4）估值错误调整采用尽量恢复至假设未发生估值错误的正确情形的方式。</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5）按法律法规规定的其他原则处理估值错误。</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（3）估值错误处理程序</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估值错误被发现后，有关的当事人应当及时进行处理，处理的程序如下：</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1）查明估值错误发生的原因，列明所有的当事人，并根据估值错误发生的原因确定估值错误的责任方；</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2）根据估值错误处理原则或当事人协商的方法对因估值错误造成的损失进行评估；</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3）根据估值错误处理原则或当事人协商的方法由估值错误的责任方进行更正和赔偿损失；</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4）根据估值错误处理的方法，需要修改基金登记机构交易数据的，由基金登记机构进行更正，并就估值错误的更正向有关当事人进行确认。</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（4）基金份额净值估值错误处理的方法如下：</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1）基金份额净值计算出现错误时，基金管理人应当立即予以纠正，通报基金托管人，并采取合理的措施防止损失进一步扩大。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2）错误偏差达到该类基金份额净值的0.25%时，基金管理人应当通报基金托管人并报中国证监会备案；错误偏差达到该类基金份额净值的0.5%时，基金管理人应当公告，并报中国证监会备案。</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3）前述内容如法律法规或监管机关另有规定的，从其规定处理。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（5）特殊情况的处理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1）基金管理人或基金托管人按本协议约定的估值方法的第（12）项进行估值时，所造成的误差不作为基金资产估值错误处理。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由于不可抗力原因，或由于证券、期货交易所、证券经纪机构、期货公司及登记结算公司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4、暂停估值的情形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（1）基金投资所涉及的证券、期货交易市场或外汇市场遇法定节假日或因其他原因暂停营业时；</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（2）因不可抗力致使基金管理人、基金托管人无法准确评估基金资产价值时；</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（3）当特定资产占前一估值日基金资产净值50%以上的，经与基金托管人协商确认后，基金管理人应当暂停基金估值；</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（4）法律法规、中国证监会和《基金合同》认定的其他情形。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5、基金会计制度</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按国家有关部门规定的会计制度执行。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6、基金账册的建立</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7、基金财务报表和定期报告的编制和复核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（1）财务报表的编制</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财务报表由基金管理人和基金托管人每月分别独立编制。月度报表的编制，应于每月终了后5个工作日内完成；《基金合同》生效后，基金招募说明书、基金产品资料概要的信息发生重大变更的，基金管理人应当在三个工作日内，更新基金招募说明书和基金产品资料概要，并登载在规定网站上，其中基金产品资料概要还应当登载在基金销售机构网站或营业网点；基金招募说明书、基金产品资料概要其他信息发生变更的，基金管理人至少每年更新一次。基金终止运作的，基金管理人不再更新基金招募说明书和基金产品资料概要。季度报告应在季度结束之日起15个工作日内予以公告；中期报告在会计年度半年终了后两个月内予以公告；年度报告在会计年度终了后三个月内予以公告。《基金合同》生效不足2个月的，基金管理人可以不编制当期季度报告、中期报告或者年度报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（2）报表复核</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个工作日内完成复核，并将复核结果书面通知基金管理人。基金管理人在年度报告完成当日，将有关报告提供基金托管人复核，基金托管人应在收到后45个工作日内完成复核，并将复核结果书面通知基金管理人。基金管理人和基金托管人之间的上述文件往来均以传真的方式或双方商定的其他方式进行。</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业务印鉴或者出具加盖业务印鉴的复核意见书或进行电子确认，双方各自留存一份。如果基金管理人与基金托管人不能于应当发布公告之日之前就相关报表达成一致，基金管理人有权按照其编制的报表对外发布公告，基金托管人有权就相关情况报中国证监会备案。</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基金托管人在对财务会计报告、季度报告、中期报告或年度报告复核完毕后，需盖章确认或出具相应的复核确认书或进行电子确认，以备有权机构对相关文件审核时出具。</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8、基金管理人应每季向基金托管人提供基金业绩比较基准的基础数据和编制结果。</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（六）</w:t>
      </w:r>
      <w:r>
        <w:rPr>
          <w:rFonts w:hint="eastAsia" w:ascii="宋体" w:hAnsi="宋体"/>
          <w:b/>
          <w:sz w:val="24"/>
          <w:szCs w:val="24"/>
        </w:rPr>
        <w:t>基金份额持有人名册的保管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1、基金份额持有人名册的保管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份额持有人名册至少应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不低于法定最低期限。</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若基金管理人或基金托管人由于自身原因无法妥善保管基金份额持有人名册，应按有关法规规定各自承担相应的责任。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2、基金份额持有人名册的提交</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（七）争议解决方式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1、本协议适用中华人民共和国法律（为本协议之目的，不包括香港特别行政区、澳门特别行政区和台湾地区法律）并从其解释。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管理人与基金托管人之间因本协议产生的或与本协议有关的争议可通过友好协商解决。但争议未能以协商方式解决的，则任何一方有权将争议提交中国国际经济贸易仲裁委员会，按照中国国际经济贸易仲裁委员会届时有效的仲裁规则进行仲裁，仲裁地点为北京市。仲裁裁决是终局的，对仲裁各方当事人均具有约束力。除非仲裁裁决另有规定，仲裁费用由败诉方承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3、争议处理期间，双方当事人应恪守基金管理人和基金托管人职责，各自继续忠实、勤勉、尽责地履行《基金合同》和《托管协议》规定的义务，维护基金份额持有人的合法权益。</w:t>
      </w:r>
    </w:p>
    <w:p>
      <w:pPr>
        <w:widowControl/>
        <w:adjustRightInd w:val="0"/>
        <w:snapToGrid w:val="0"/>
        <w:spacing w:line="360" w:lineRule="auto"/>
        <w:ind w:firstLine="482" w:firstLineChars="200"/>
        <w:rPr>
          <w:rFonts w:ascii="宋体" w:hAnsi="宋体"/>
          <w:b/>
          <w:sz w:val="24"/>
          <w:szCs w:val="24"/>
        </w:rPr>
      </w:pPr>
      <w:r>
        <w:rPr>
          <w:rFonts w:ascii="宋体" w:hAnsi="宋体"/>
          <w:b/>
          <w:sz w:val="24"/>
          <w:szCs w:val="24"/>
        </w:rPr>
        <w:t>（八）</w:t>
      </w:r>
      <w:r>
        <w:rPr>
          <w:rFonts w:hint="eastAsia" w:ascii="宋体" w:hAnsi="宋体"/>
          <w:b/>
          <w:sz w:val="24"/>
          <w:szCs w:val="24"/>
        </w:rPr>
        <w:t>基金托管协议的变更、终止与基金财产的清算</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1、托管协议的变更与终止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（1）托管协议的变更程序</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本协议双方当事人经协商一致，可以对协议的内容进行变更。变更后的托管协议，其内容不得与《基金合同》的规定有任何冲突。基金托管协议的变更按规定报中国证监会备案。</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（2）基金托管协议终止的情形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发生以下情况，本托管协议终止：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1）《基金合同》终止；</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2）基金托管人解散、依法被撤销、破产或有其他基金托管人接管基金资产；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3）基金管理人解散、依法被撤销、破产或有其他基金管理人接管基金管理权；</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4）发生法律法规、中国证监会或《基金合同》规定的终止事项。</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2、基金财产的清算</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（1）基金财产清算小组：自出现《基金合同》终止事由之日起30个工作日内成立清算小组，基金管理人组织基金财产清算小组并在中国证监会的监督下进行基金清算。</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（3）基金财产清算小组职责：基金财产清算小组负责基金财产的保管、清理、估价、变现和分配。基金财产清算小组可以依法进行必要的民事活动。</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（4）基金财产清算程序：</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1）《基金合同》终止情形出现时，由基金财产清算小组统一接管基金财产；</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2）对基金财产和债权债务进行清理和确认；</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3）对基金财产进行估值和变现；</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4）制作清算报告；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5）聘请会计师事务所对清算报告进行外部审计，聘请律师事务所对清算报告出具法律意见书；</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6）将清算报告报中国证监会备案并公告；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7）对基金剩余财产进行分配。</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（5）基金财产清算的期限为6个月，但因本基金所持证券的流动性受到限制而不能及时变现的，清算期限相应顺延。</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（6）清算费用</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清算费用是指基金财产清算小组在进行基金财产清算过程中发生的所有合理费用，清算费用由基金财产清算小组优先从基金财产中支付。</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（7）基金财产清算剩余资产的分配</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依据基金财产清算的分配方案，将基金财产清算后的全部剩余资产扣除基金财产清算费用、交纳所欠税款并清偿基金债务后，按基金份额持有人持有的基金份额比例进行分配。</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（8）基金财产清算的公告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（9）基金财产清算账册及文件的保存</w:t>
      </w:r>
    </w:p>
    <w:p>
      <w:pPr>
        <w:adjustRightInd w:val="0"/>
        <w:snapToGrid w:val="0"/>
        <w:spacing w:line="360" w:lineRule="auto"/>
        <w:ind w:firstLine="480" w:firstLineChars="200"/>
        <w:rPr>
          <w:rFonts w:ascii="宋体" w:hAnsi="宋体"/>
          <w:sz w:val="24"/>
        </w:rPr>
      </w:pPr>
      <w:r>
        <w:rPr>
          <w:rFonts w:hint="eastAsia" w:ascii="宋体" w:hAnsi="宋体"/>
          <w:sz w:val="24"/>
          <w:szCs w:val="24"/>
        </w:rPr>
        <w:t>基金财产清算账册及有关文件由基金托管人保存不低于法律法规规定的最低期限。</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End w:id="114"/>
      <w:bookmarkStart w:id="115" w:name="_Toc48122022"/>
      <w:r>
        <w:rPr>
          <w:rFonts w:hint="eastAsia" w:ascii="宋体" w:hAnsi="宋体"/>
          <w:b/>
          <w:kern w:val="0"/>
          <w:sz w:val="30"/>
        </w:rPr>
        <w:t>二十一、对基金份额持有人的服务</w:t>
      </w:r>
      <w:bookmarkEnd w:id="115"/>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（四）基金红利再投资</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16" w:name="OLE_LINK11"/>
      <w:r>
        <w:rPr>
          <w:kern w:val="0"/>
          <w:sz w:val="24"/>
        </w:rPr>
        <w:t>管理人可通过销售机构为投资人提供定期定额投资的服务。通过定期定额</w:t>
      </w:r>
      <w:bookmarkEnd w:id="116"/>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7" w:name="_Toc48122023"/>
      <w:r>
        <w:rPr>
          <w:rFonts w:hint="eastAsia" w:ascii="宋体" w:hAnsi="宋体"/>
          <w:b/>
          <w:kern w:val="0"/>
          <w:sz w:val="30"/>
        </w:rPr>
        <w:t>二十二、其他应披露事项</w:t>
      </w:r>
      <w:bookmarkEnd w:id="117"/>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18" w:name="_Toc48122024"/>
      <w:r>
        <w:rPr>
          <w:rFonts w:hint="eastAsia" w:ascii="宋体" w:hAnsi="宋体"/>
          <w:b/>
          <w:kern w:val="0"/>
          <w:sz w:val="30"/>
        </w:rPr>
        <w:t>二十三、招募说明书的存放及查阅方式</w:t>
      </w:r>
      <w:bookmarkEnd w:id="118"/>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19" w:name="_Toc109537401"/>
      <w:r>
        <w:rPr>
          <w:rFonts w:ascii="宋体" w:hAnsi="宋体"/>
          <w:kern w:val="0"/>
          <w:sz w:val="24"/>
        </w:rPr>
        <w:t>间内取得上述文件复制件</w:t>
      </w:r>
      <w:bookmarkEnd w:id="119"/>
      <w:r>
        <w:rPr>
          <w:rFonts w:ascii="宋体" w:hAnsi="宋体"/>
          <w:kern w:val="0"/>
          <w:sz w:val="24"/>
        </w:rPr>
        <w:t>或复印件。对投资人按此种方式所获得的文件及其复印件，基金管理人和基金托管人</w:t>
      </w:r>
      <w:bookmarkStart w:id="120" w:name="_Toc109537402"/>
      <w:r>
        <w:rPr>
          <w:rFonts w:ascii="宋体" w:hAnsi="宋体"/>
          <w:kern w:val="0"/>
          <w:sz w:val="24"/>
        </w:rPr>
        <w:t>保证文本的内容与所公告的内容完全一</w:t>
      </w:r>
      <w:bookmarkEnd w:id="120"/>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21" w:name="_Toc48122025"/>
      <w:r>
        <w:rPr>
          <w:rFonts w:hint="eastAsia" w:ascii="宋体" w:hAnsi="宋体"/>
          <w:b/>
          <w:kern w:val="0"/>
          <w:sz w:val="30"/>
        </w:rPr>
        <w:t>二十四、备查文件</w:t>
      </w:r>
      <w:bookmarkEnd w:id="121"/>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港股通优质精选</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港股通优质精选</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港股通优质精选</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w:t>
      </w:r>
      <w:r>
        <w:rPr>
          <w:rFonts w:hint="eastAsia" w:ascii="宋体" w:hAnsi="宋体"/>
          <w:kern w:val="0"/>
          <w:sz w:val="24"/>
        </w:rPr>
        <w:t>港股通优质精选</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56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20</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交银施罗德港股通优质精选混合型证券投资基金招募说明书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79A96FC"/>
    <w:multiLevelType w:val="singleLevel"/>
    <w:tmpl w:val="779A96FC"/>
    <w:lvl w:ilvl="0" w:tentative="0">
      <w:start w:val="1"/>
      <w:numFmt w:val="bullet"/>
      <w:lvlText w:val=""/>
      <w:lvlJc w:val="left"/>
      <w:pPr>
        <w:tabs>
          <w:tab w:val="left" w:pos="420"/>
        </w:tabs>
        <w:ind w:left="84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26B"/>
    <w:rsid w:val="00022409"/>
    <w:rsid w:val="00023E32"/>
    <w:rsid w:val="00023E75"/>
    <w:rsid w:val="000248AB"/>
    <w:rsid w:val="00025D7E"/>
    <w:rsid w:val="00026566"/>
    <w:rsid w:val="0003244B"/>
    <w:rsid w:val="00032B65"/>
    <w:rsid w:val="00032ED5"/>
    <w:rsid w:val="00033D71"/>
    <w:rsid w:val="000343C0"/>
    <w:rsid w:val="00034F61"/>
    <w:rsid w:val="0003520D"/>
    <w:rsid w:val="00035769"/>
    <w:rsid w:val="00035792"/>
    <w:rsid w:val="0003639E"/>
    <w:rsid w:val="00037275"/>
    <w:rsid w:val="000376EB"/>
    <w:rsid w:val="00041E92"/>
    <w:rsid w:val="00042121"/>
    <w:rsid w:val="000437B3"/>
    <w:rsid w:val="00043A36"/>
    <w:rsid w:val="0004506F"/>
    <w:rsid w:val="00045328"/>
    <w:rsid w:val="000461B1"/>
    <w:rsid w:val="000467E8"/>
    <w:rsid w:val="000469CF"/>
    <w:rsid w:val="00046D13"/>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F2F"/>
    <w:rsid w:val="00072162"/>
    <w:rsid w:val="0007227C"/>
    <w:rsid w:val="00072525"/>
    <w:rsid w:val="00073820"/>
    <w:rsid w:val="00073EE0"/>
    <w:rsid w:val="0007459F"/>
    <w:rsid w:val="000746DA"/>
    <w:rsid w:val="00074E2E"/>
    <w:rsid w:val="000751B6"/>
    <w:rsid w:val="00075DD9"/>
    <w:rsid w:val="000760FB"/>
    <w:rsid w:val="000766E4"/>
    <w:rsid w:val="00080148"/>
    <w:rsid w:val="0008018D"/>
    <w:rsid w:val="000808ED"/>
    <w:rsid w:val="000816D0"/>
    <w:rsid w:val="00081717"/>
    <w:rsid w:val="000825D3"/>
    <w:rsid w:val="00082AB1"/>
    <w:rsid w:val="00082BA8"/>
    <w:rsid w:val="000831FC"/>
    <w:rsid w:val="00084506"/>
    <w:rsid w:val="00084CED"/>
    <w:rsid w:val="0008593A"/>
    <w:rsid w:val="000866EF"/>
    <w:rsid w:val="00087169"/>
    <w:rsid w:val="00087B7B"/>
    <w:rsid w:val="00090A41"/>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380"/>
    <w:rsid w:val="000A365C"/>
    <w:rsid w:val="000A36E6"/>
    <w:rsid w:val="000A3CA6"/>
    <w:rsid w:val="000A3FB4"/>
    <w:rsid w:val="000A775B"/>
    <w:rsid w:val="000B07CA"/>
    <w:rsid w:val="000B086A"/>
    <w:rsid w:val="000B0A66"/>
    <w:rsid w:val="000B1A18"/>
    <w:rsid w:val="000B26A8"/>
    <w:rsid w:val="000B2FE7"/>
    <w:rsid w:val="000B3D39"/>
    <w:rsid w:val="000B4C2D"/>
    <w:rsid w:val="000B4FB6"/>
    <w:rsid w:val="000B6967"/>
    <w:rsid w:val="000B78FB"/>
    <w:rsid w:val="000B7E1D"/>
    <w:rsid w:val="000C0148"/>
    <w:rsid w:val="000C0D01"/>
    <w:rsid w:val="000C1A8D"/>
    <w:rsid w:val="000C2295"/>
    <w:rsid w:val="000C2598"/>
    <w:rsid w:val="000C2DD2"/>
    <w:rsid w:val="000C4E01"/>
    <w:rsid w:val="000C585D"/>
    <w:rsid w:val="000C650A"/>
    <w:rsid w:val="000C7711"/>
    <w:rsid w:val="000C7F7F"/>
    <w:rsid w:val="000D0D52"/>
    <w:rsid w:val="000D0ED3"/>
    <w:rsid w:val="000D1375"/>
    <w:rsid w:val="000D37C6"/>
    <w:rsid w:val="000D3A89"/>
    <w:rsid w:val="000D3F22"/>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2A2"/>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96B"/>
    <w:rsid w:val="00106E70"/>
    <w:rsid w:val="0010779D"/>
    <w:rsid w:val="00107C20"/>
    <w:rsid w:val="00107D4B"/>
    <w:rsid w:val="00107D54"/>
    <w:rsid w:val="00107EED"/>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192B"/>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370"/>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4C5"/>
    <w:rsid w:val="00160A24"/>
    <w:rsid w:val="001623B0"/>
    <w:rsid w:val="001629C9"/>
    <w:rsid w:val="001629DE"/>
    <w:rsid w:val="001648AA"/>
    <w:rsid w:val="001651A4"/>
    <w:rsid w:val="00165F32"/>
    <w:rsid w:val="00166E4B"/>
    <w:rsid w:val="00167015"/>
    <w:rsid w:val="001670ED"/>
    <w:rsid w:val="00167B47"/>
    <w:rsid w:val="0017072D"/>
    <w:rsid w:val="001723A3"/>
    <w:rsid w:val="00172632"/>
    <w:rsid w:val="0017291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1654"/>
    <w:rsid w:val="001820F6"/>
    <w:rsid w:val="00182281"/>
    <w:rsid w:val="001829F1"/>
    <w:rsid w:val="00184093"/>
    <w:rsid w:val="001847FD"/>
    <w:rsid w:val="00184B24"/>
    <w:rsid w:val="00184B7E"/>
    <w:rsid w:val="00184DB7"/>
    <w:rsid w:val="001854DC"/>
    <w:rsid w:val="00185FFD"/>
    <w:rsid w:val="00186102"/>
    <w:rsid w:val="00186FD4"/>
    <w:rsid w:val="00190429"/>
    <w:rsid w:val="001907EB"/>
    <w:rsid w:val="0019090C"/>
    <w:rsid w:val="00190E90"/>
    <w:rsid w:val="00191CCD"/>
    <w:rsid w:val="0019213F"/>
    <w:rsid w:val="001923D6"/>
    <w:rsid w:val="00192BCD"/>
    <w:rsid w:val="00193A52"/>
    <w:rsid w:val="001940CA"/>
    <w:rsid w:val="0019505F"/>
    <w:rsid w:val="00195AEF"/>
    <w:rsid w:val="001961EE"/>
    <w:rsid w:val="0019658D"/>
    <w:rsid w:val="0019719A"/>
    <w:rsid w:val="001A1652"/>
    <w:rsid w:val="001A191E"/>
    <w:rsid w:val="001A2DD1"/>
    <w:rsid w:val="001A3878"/>
    <w:rsid w:val="001A39CE"/>
    <w:rsid w:val="001A401D"/>
    <w:rsid w:val="001A41AF"/>
    <w:rsid w:val="001A49AE"/>
    <w:rsid w:val="001A57CF"/>
    <w:rsid w:val="001A58FE"/>
    <w:rsid w:val="001B038F"/>
    <w:rsid w:val="001B2567"/>
    <w:rsid w:val="001B30C8"/>
    <w:rsid w:val="001B33A8"/>
    <w:rsid w:val="001B4357"/>
    <w:rsid w:val="001B46A1"/>
    <w:rsid w:val="001B480D"/>
    <w:rsid w:val="001B5948"/>
    <w:rsid w:val="001B63A2"/>
    <w:rsid w:val="001B65BB"/>
    <w:rsid w:val="001B7CA2"/>
    <w:rsid w:val="001C3484"/>
    <w:rsid w:val="001C3695"/>
    <w:rsid w:val="001C3EAB"/>
    <w:rsid w:val="001C5648"/>
    <w:rsid w:val="001C651B"/>
    <w:rsid w:val="001C7AFB"/>
    <w:rsid w:val="001D06DB"/>
    <w:rsid w:val="001D0792"/>
    <w:rsid w:val="001D09B7"/>
    <w:rsid w:val="001D0A65"/>
    <w:rsid w:val="001D125E"/>
    <w:rsid w:val="001D187F"/>
    <w:rsid w:val="001D23C8"/>
    <w:rsid w:val="001D2D9B"/>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2A1"/>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6E3C"/>
    <w:rsid w:val="002172D5"/>
    <w:rsid w:val="00217B49"/>
    <w:rsid w:val="00217E1A"/>
    <w:rsid w:val="0022028D"/>
    <w:rsid w:val="00220FBF"/>
    <w:rsid w:val="00221127"/>
    <w:rsid w:val="002213BF"/>
    <w:rsid w:val="002213C7"/>
    <w:rsid w:val="00221F92"/>
    <w:rsid w:val="002224EC"/>
    <w:rsid w:val="00222727"/>
    <w:rsid w:val="002229B0"/>
    <w:rsid w:val="00222DC0"/>
    <w:rsid w:val="00223DD8"/>
    <w:rsid w:val="0022464C"/>
    <w:rsid w:val="00225114"/>
    <w:rsid w:val="0022586B"/>
    <w:rsid w:val="00225C4C"/>
    <w:rsid w:val="00226EB2"/>
    <w:rsid w:val="00227112"/>
    <w:rsid w:val="0022796A"/>
    <w:rsid w:val="00231247"/>
    <w:rsid w:val="002339A6"/>
    <w:rsid w:val="002344C9"/>
    <w:rsid w:val="00234677"/>
    <w:rsid w:val="0023502A"/>
    <w:rsid w:val="0023619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5AE4"/>
    <w:rsid w:val="00256021"/>
    <w:rsid w:val="002564B8"/>
    <w:rsid w:val="00256ACE"/>
    <w:rsid w:val="0025795A"/>
    <w:rsid w:val="00261278"/>
    <w:rsid w:val="0026254E"/>
    <w:rsid w:val="002635A6"/>
    <w:rsid w:val="002635EC"/>
    <w:rsid w:val="00263B65"/>
    <w:rsid w:val="00264191"/>
    <w:rsid w:val="00264AD1"/>
    <w:rsid w:val="00265A1F"/>
    <w:rsid w:val="00265FD2"/>
    <w:rsid w:val="002661A3"/>
    <w:rsid w:val="00266ACE"/>
    <w:rsid w:val="00266B21"/>
    <w:rsid w:val="00272220"/>
    <w:rsid w:val="002724C0"/>
    <w:rsid w:val="00273181"/>
    <w:rsid w:val="002802E4"/>
    <w:rsid w:val="00281F8E"/>
    <w:rsid w:val="00282F4D"/>
    <w:rsid w:val="00283237"/>
    <w:rsid w:val="002860B5"/>
    <w:rsid w:val="002869FF"/>
    <w:rsid w:val="00287E74"/>
    <w:rsid w:val="00290B48"/>
    <w:rsid w:val="002915C7"/>
    <w:rsid w:val="002920F3"/>
    <w:rsid w:val="00292156"/>
    <w:rsid w:val="0029355B"/>
    <w:rsid w:val="00293BC8"/>
    <w:rsid w:val="00296193"/>
    <w:rsid w:val="0029691D"/>
    <w:rsid w:val="00296E14"/>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271"/>
    <w:rsid w:val="002B537B"/>
    <w:rsid w:val="002B7181"/>
    <w:rsid w:val="002B74A2"/>
    <w:rsid w:val="002B78F9"/>
    <w:rsid w:val="002C01CE"/>
    <w:rsid w:val="002C08AA"/>
    <w:rsid w:val="002C0BB9"/>
    <w:rsid w:val="002C1F3C"/>
    <w:rsid w:val="002C2BD4"/>
    <w:rsid w:val="002C4278"/>
    <w:rsid w:val="002C6411"/>
    <w:rsid w:val="002C77BA"/>
    <w:rsid w:val="002C7A89"/>
    <w:rsid w:val="002D17E5"/>
    <w:rsid w:val="002D193A"/>
    <w:rsid w:val="002D19CB"/>
    <w:rsid w:val="002D1D28"/>
    <w:rsid w:val="002D2401"/>
    <w:rsid w:val="002D2527"/>
    <w:rsid w:val="002D355B"/>
    <w:rsid w:val="002D4CAA"/>
    <w:rsid w:val="002D541C"/>
    <w:rsid w:val="002D55B3"/>
    <w:rsid w:val="002D5E5D"/>
    <w:rsid w:val="002D5F7F"/>
    <w:rsid w:val="002D781E"/>
    <w:rsid w:val="002D7F04"/>
    <w:rsid w:val="002E0AE6"/>
    <w:rsid w:val="002E1513"/>
    <w:rsid w:val="002E1AC9"/>
    <w:rsid w:val="002E23FA"/>
    <w:rsid w:val="002E2738"/>
    <w:rsid w:val="002E4942"/>
    <w:rsid w:val="002E4A43"/>
    <w:rsid w:val="002E50C1"/>
    <w:rsid w:val="002E609E"/>
    <w:rsid w:val="002E72C3"/>
    <w:rsid w:val="002E7F7C"/>
    <w:rsid w:val="002F0BA6"/>
    <w:rsid w:val="002F12C9"/>
    <w:rsid w:val="002F2ADF"/>
    <w:rsid w:val="002F3CDD"/>
    <w:rsid w:val="002F3D6F"/>
    <w:rsid w:val="002F3DC0"/>
    <w:rsid w:val="002F5679"/>
    <w:rsid w:val="002F579F"/>
    <w:rsid w:val="002F5CD3"/>
    <w:rsid w:val="002F60EF"/>
    <w:rsid w:val="0030037A"/>
    <w:rsid w:val="00301328"/>
    <w:rsid w:val="00302ABF"/>
    <w:rsid w:val="00302D39"/>
    <w:rsid w:val="00302EB3"/>
    <w:rsid w:val="00303334"/>
    <w:rsid w:val="00303F52"/>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55EA"/>
    <w:rsid w:val="00327520"/>
    <w:rsid w:val="0033022C"/>
    <w:rsid w:val="00330610"/>
    <w:rsid w:val="0033142F"/>
    <w:rsid w:val="003315C6"/>
    <w:rsid w:val="00332FA9"/>
    <w:rsid w:val="0033329C"/>
    <w:rsid w:val="00333470"/>
    <w:rsid w:val="003334FB"/>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0BB"/>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731"/>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6A8B"/>
    <w:rsid w:val="0037714B"/>
    <w:rsid w:val="003775BF"/>
    <w:rsid w:val="00380AF9"/>
    <w:rsid w:val="00381452"/>
    <w:rsid w:val="0038287E"/>
    <w:rsid w:val="00383134"/>
    <w:rsid w:val="0038394E"/>
    <w:rsid w:val="00384AEF"/>
    <w:rsid w:val="00384D22"/>
    <w:rsid w:val="00385221"/>
    <w:rsid w:val="00385C62"/>
    <w:rsid w:val="00385CDC"/>
    <w:rsid w:val="00386231"/>
    <w:rsid w:val="00387671"/>
    <w:rsid w:val="00387ABE"/>
    <w:rsid w:val="003909E2"/>
    <w:rsid w:val="00391677"/>
    <w:rsid w:val="003926B9"/>
    <w:rsid w:val="00392C8E"/>
    <w:rsid w:val="00393344"/>
    <w:rsid w:val="003946F2"/>
    <w:rsid w:val="003950D0"/>
    <w:rsid w:val="00395441"/>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A7B75"/>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354"/>
    <w:rsid w:val="003C354F"/>
    <w:rsid w:val="003C3F39"/>
    <w:rsid w:val="003C4D79"/>
    <w:rsid w:val="003C6226"/>
    <w:rsid w:val="003C7623"/>
    <w:rsid w:val="003D0009"/>
    <w:rsid w:val="003D00C6"/>
    <w:rsid w:val="003D08F8"/>
    <w:rsid w:val="003D0EF7"/>
    <w:rsid w:val="003D1A34"/>
    <w:rsid w:val="003D1D93"/>
    <w:rsid w:val="003D5261"/>
    <w:rsid w:val="003D5457"/>
    <w:rsid w:val="003D54ED"/>
    <w:rsid w:val="003D5728"/>
    <w:rsid w:val="003D5A80"/>
    <w:rsid w:val="003D7221"/>
    <w:rsid w:val="003E00E2"/>
    <w:rsid w:val="003E1676"/>
    <w:rsid w:val="003E1CAC"/>
    <w:rsid w:val="003E2863"/>
    <w:rsid w:val="003E37AC"/>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47E4"/>
    <w:rsid w:val="004151D7"/>
    <w:rsid w:val="0041611F"/>
    <w:rsid w:val="00420BF4"/>
    <w:rsid w:val="00423237"/>
    <w:rsid w:val="00424170"/>
    <w:rsid w:val="00424BE4"/>
    <w:rsid w:val="00424ED2"/>
    <w:rsid w:val="004250A5"/>
    <w:rsid w:val="0042524B"/>
    <w:rsid w:val="00425EA8"/>
    <w:rsid w:val="004260C7"/>
    <w:rsid w:val="00426254"/>
    <w:rsid w:val="004276F1"/>
    <w:rsid w:val="00427CBF"/>
    <w:rsid w:val="0043062F"/>
    <w:rsid w:val="00430A2C"/>
    <w:rsid w:val="00430FF8"/>
    <w:rsid w:val="00431A31"/>
    <w:rsid w:val="00431D0B"/>
    <w:rsid w:val="00431D20"/>
    <w:rsid w:val="00431FE5"/>
    <w:rsid w:val="0043218B"/>
    <w:rsid w:val="004326E3"/>
    <w:rsid w:val="00432883"/>
    <w:rsid w:val="00434113"/>
    <w:rsid w:val="00435C3A"/>
    <w:rsid w:val="00437030"/>
    <w:rsid w:val="004370A4"/>
    <w:rsid w:val="004371B7"/>
    <w:rsid w:val="00437AD4"/>
    <w:rsid w:val="004403D5"/>
    <w:rsid w:val="0044052F"/>
    <w:rsid w:val="00440BB2"/>
    <w:rsid w:val="00440F8C"/>
    <w:rsid w:val="004414C4"/>
    <w:rsid w:val="0044187C"/>
    <w:rsid w:val="004419AE"/>
    <w:rsid w:val="00441AF7"/>
    <w:rsid w:val="0044390E"/>
    <w:rsid w:val="00443C68"/>
    <w:rsid w:val="00443D1C"/>
    <w:rsid w:val="0044415F"/>
    <w:rsid w:val="004457B1"/>
    <w:rsid w:val="00445D20"/>
    <w:rsid w:val="004461DC"/>
    <w:rsid w:val="00446326"/>
    <w:rsid w:val="004465B3"/>
    <w:rsid w:val="00447B3F"/>
    <w:rsid w:val="00447CC9"/>
    <w:rsid w:val="004509A7"/>
    <w:rsid w:val="004517A6"/>
    <w:rsid w:val="0045195C"/>
    <w:rsid w:val="0045254B"/>
    <w:rsid w:val="0045443A"/>
    <w:rsid w:val="00454AED"/>
    <w:rsid w:val="00454D7C"/>
    <w:rsid w:val="00456E6D"/>
    <w:rsid w:val="00456FD9"/>
    <w:rsid w:val="00457F1F"/>
    <w:rsid w:val="00461527"/>
    <w:rsid w:val="00462948"/>
    <w:rsid w:val="00463671"/>
    <w:rsid w:val="00463C82"/>
    <w:rsid w:val="00463CC8"/>
    <w:rsid w:val="004645F7"/>
    <w:rsid w:val="004647A4"/>
    <w:rsid w:val="00464A24"/>
    <w:rsid w:val="00464FF1"/>
    <w:rsid w:val="00465A95"/>
    <w:rsid w:val="00465F6F"/>
    <w:rsid w:val="00466384"/>
    <w:rsid w:val="0046724F"/>
    <w:rsid w:val="00467282"/>
    <w:rsid w:val="00470C73"/>
    <w:rsid w:val="00470D6C"/>
    <w:rsid w:val="0047104C"/>
    <w:rsid w:val="00471F0A"/>
    <w:rsid w:val="0047277B"/>
    <w:rsid w:val="00472839"/>
    <w:rsid w:val="00473C4C"/>
    <w:rsid w:val="00473F40"/>
    <w:rsid w:val="004742B0"/>
    <w:rsid w:val="00476370"/>
    <w:rsid w:val="00480664"/>
    <w:rsid w:val="00480F98"/>
    <w:rsid w:val="00482082"/>
    <w:rsid w:val="00485CB4"/>
    <w:rsid w:val="00486983"/>
    <w:rsid w:val="004869CA"/>
    <w:rsid w:val="00486AEC"/>
    <w:rsid w:val="00487F1C"/>
    <w:rsid w:val="0049093C"/>
    <w:rsid w:val="00490994"/>
    <w:rsid w:val="00490A0E"/>
    <w:rsid w:val="004915F3"/>
    <w:rsid w:val="00491993"/>
    <w:rsid w:val="00494682"/>
    <w:rsid w:val="004955C1"/>
    <w:rsid w:val="00495CD6"/>
    <w:rsid w:val="00495EAB"/>
    <w:rsid w:val="00496123"/>
    <w:rsid w:val="0049664E"/>
    <w:rsid w:val="0049680E"/>
    <w:rsid w:val="00496815"/>
    <w:rsid w:val="00496FF0"/>
    <w:rsid w:val="0049701D"/>
    <w:rsid w:val="004971B4"/>
    <w:rsid w:val="004974EB"/>
    <w:rsid w:val="004978F0"/>
    <w:rsid w:val="004979B6"/>
    <w:rsid w:val="004A0754"/>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6284"/>
    <w:rsid w:val="004B7D31"/>
    <w:rsid w:val="004B7DC4"/>
    <w:rsid w:val="004C1C0A"/>
    <w:rsid w:val="004C36B3"/>
    <w:rsid w:val="004C36BB"/>
    <w:rsid w:val="004C3A7E"/>
    <w:rsid w:val="004C3BF1"/>
    <w:rsid w:val="004C3D0A"/>
    <w:rsid w:val="004C44AF"/>
    <w:rsid w:val="004C5241"/>
    <w:rsid w:val="004C5F6D"/>
    <w:rsid w:val="004C7F8A"/>
    <w:rsid w:val="004D340D"/>
    <w:rsid w:val="004D34F3"/>
    <w:rsid w:val="004D4851"/>
    <w:rsid w:val="004D5C36"/>
    <w:rsid w:val="004D5DE3"/>
    <w:rsid w:val="004D711C"/>
    <w:rsid w:val="004E192B"/>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F2"/>
    <w:rsid w:val="004F3328"/>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163"/>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4639"/>
    <w:rsid w:val="00554C85"/>
    <w:rsid w:val="005550E5"/>
    <w:rsid w:val="0055516B"/>
    <w:rsid w:val="005552C2"/>
    <w:rsid w:val="00555F2C"/>
    <w:rsid w:val="005565C9"/>
    <w:rsid w:val="00556A03"/>
    <w:rsid w:val="00557E93"/>
    <w:rsid w:val="00557FAE"/>
    <w:rsid w:val="00560B59"/>
    <w:rsid w:val="00560C9F"/>
    <w:rsid w:val="005616E3"/>
    <w:rsid w:val="00561BD1"/>
    <w:rsid w:val="005621CB"/>
    <w:rsid w:val="00563FF2"/>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4667"/>
    <w:rsid w:val="00574893"/>
    <w:rsid w:val="00575FD9"/>
    <w:rsid w:val="005778A7"/>
    <w:rsid w:val="0058033F"/>
    <w:rsid w:val="005814BD"/>
    <w:rsid w:val="00582518"/>
    <w:rsid w:val="005829DC"/>
    <w:rsid w:val="00583F3A"/>
    <w:rsid w:val="00585772"/>
    <w:rsid w:val="005857B3"/>
    <w:rsid w:val="0058672E"/>
    <w:rsid w:val="0058765F"/>
    <w:rsid w:val="00587A65"/>
    <w:rsid w:val="0059002B"/>
    <w:rsid w:val="005906B2"/>
    <w:rsid w:val="005907BE"/>
    <w:rsid w:val="0059094D"/>
    <w:rsid w:val="005914C2"/>
    <w:rsid w:val="00592EA6"/>
    <w:rsid w:val="00594537"/>
    <w:rsid w:val="00594CF0"/>
    <w:rsid w:val="0059512B"/>
    <w:rsid w:val="005955CB"/>
    <w:rsid w:val="0059588C"/>
    <w:rsid w:val="0059618D"/>
    <w:rsid w:val="0059638A"/>
    <w:rsid w:val="00596B64"/>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37D3"/>
    <w:rsid w:val="005B5BA9"/>
    <w:rsid w:val="005B65AC"/>
    <w:rsid w:val="005B7856"/>
    <w:rsid w:val="005C1554"/>
    <w:rsid w:val="005C1EA1"/>
    <w:rsid w:val="005C1FF8"/>
    <w:rsid w:val="005C3188"/>
    <w:rsid w:val="005C3296"/>
    <w:rsid w:val="005C59EB"/>
    <w:rsid w:val="005C5C20"/>
    <w:rsid w:val="005C68CC"/>
    <w:rsid w:val="005C69D8"/>
    <w:rsid w:val="005C6C99"/>
    <w:rsid w:val="005C6EB8"/>
    <w:rsid w:val="005C78B1"/>
    <w:rsid w:val="005C79D9"/>
    <w:rsid w:val="005D0045"/>
    <w:rsid w:val="005D03FE"/>
    <w:rsid w:val="005D04D6"/>
    <w:rsid w:val="005D0685"/>
    <w:rsid w:val="005D0A1C"/>
    <w:rsid w:val="005D0FAA"/>
    <w:rsid w:val="005D1849"/>
    <w:rsid w:val="005D1922"/>
    <w:rsid w:val="005D1FA3"/>
    <w:rsid w:val="005D244A"/>
    <w:rsid w:val="005D3E58"/>
    <w:rsid w:val="005D50DE"/>
    <w:rsid w:val="005D5D38"/>
    <w:rsid w:val="005D7975"/>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0231"/>
    <w:rsid w:val="0060212D"/>
    <w:rsid w:val="006022FE"/>
    <w:rsid w:val="00602DB2"/>
    <w:rsid w:val="00602EFA"/>
    <w:rsid w:val="00605792"/>
    <w:rsid w:val="00606059"/>
    <w:rsid w:val="00606260"/>
    <w:rsid w:val="00607BFE"/>
    <w:rsid w:val="0061036D"/>
    <w:rsid w:val="006104C3"/>
    <w:rsid w:val="00611F66"/>
    <w:rsid w:val="00613A1C"/>
    <w:rsid w:val="00614214"/>
    <w:rsid w:val="0061422B"/>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061E"/>
    <w:rsid w:val="0064179F"/>
    <w:rsid w:val="006423D5"/>
    <w:rsid w:val="00643AD4"/>
    <w:rsid w:val="00643F16"/>
    <w:rsid w:val="00645542"/>
    <w:rsid w:val="006456EC"/>
    <w:rsid w:val="00645D5F"/>
    <w:rsid w:val="0065008F"/>
    <w:rsid w:val="00650D60"/>
    <w:rsid w:val="00650E37"/>
    <w:rsid w:val="00652829"/>
    <w:rsid w:val="006529B8"/>
    <w:rsid w:val="00652EE1"/>
    <w:rsid w:val="006533D9"/>
    <w:rsid w:val="00653919"/>
    <w:rsid w:val="00653AE2"/>
    <w:rsid w:val="00654F6A"/>
    <w:rsid w:val="00654FC7"/>
    <w:rsid w:val="00655AEC"/>
    <w:rsid w:val="00655BE9"/>
    <w:rsid w:val="00655FDD"/>
    <w:rsid w:val="00656A55"/>
    <w:rsid w:val="00657EB0"/>
    <w:rsid w:val="00660F7D"/>
    <w:rsid w:val="0066106E"/>
    <w:rsid w:val="006618D8"/>
    <w:rsid w:val="006621AB"/>
    <w:rsid w:val="00663FAA"/>
    <w:rsid w:val="0066474C"/>
    <w:rsid w:val="00664B05"/>
    <w:rsid w:val="00665BB1"/>
    <w:rsid w:val="00665BEB"/>
    <w:rsid w:val="00666A5B"/>
    <w:rsid w:val="00666AB3"/>
    <w:rsid w:val="006674A2"/>
    <w:rsid w:val="00667F13"/>
    <w:rsid w:val="0067087C"/>
    <w:rsid w:val="006709EE"/>
    <w:rsid w:val="00670E97"/>
    <w:rsid w:val="00670F48"/>
    <w:rsid w:val="00671603"/>
    <w:rsid w:val="006731E2"/>
    <w:rsid w:val="0067415B"/>
    <w:rsid w:val="006744F8"/>
    <w:rsid w:val="00675DC1"/>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2F72"/>
    <w:rsid w:val="00693204"/>
    <w:rsid w:val="00693C8C"/>
    <w:rsid w:val="00693D40"/>
    <w:rsid w:val="00693DAD"/>
    <w:rsid w:val="0069403C"/>
    <w:rsid w:val="00694B0C"/>
    <w:rsid w:val="006950ED"/>
    <w:rsid w:val="006956D6"/>
    <w:rsid w:val="00695B1F"/>
    <w:rsid w:val="00695F84"/>
    <w:rsid w:val="00696172"/>
    <w:rsid w:val="006972ED"/>
    <w:rsid w:val="006975C8"/>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C70E2"/>
    <w:rsid w:val="006D1496"/>
    <w:rsid w:val="006D167E"/>
    <w:rsid w:val="006D18E5"/>
    <w:rsid w:val="006D2436"/>
    <w:rsid w:val="006D30C2"/>
    <w:rsid w:val="006D362F"/>
    <w:rsid w:val="006D39E6"/>
    <w:rsid w:val="006D3C17"/>
    <w:rsid w:val="006D3EA1"/>
    <w:rsid w:val="006D3F83"/>
    <w:rsid w:val="006D5D72"/>
    <w:rsid w:val="006D5E6E"/>
    <w:rsid w:val="006D79B7"/>
    <w:rsid w:val="006D7A3E"/>
    <w:rsid w:val="006E13E3"/>
    <w:rsid w:val="006E196F"/>
    <w:rsid w:val="006E1DD9"/>
    <w:rsid w:val="006E1EBA"/>
    <w:rsid w:val="006E23CD"/>
    <w:rsid w:val="006E24E1"/>
    <w:rsid w:val="006E3951"/>
    <w:rsid w:val="006E3C75"/>
    <w:rsid w:val="006E4796"/>
    <w:rsid w:val="006E4820"/>
    <w:rsid w:val="006E5251"/>
    <w:rsid w:val="006E65C1"/>
    <w:rsid w:val="006E6CE2"/>
    <w:rsid w:val="006E6E62"/>
    <w:rsid w:val="006E7A6C"/>
    <w:rsid w:val="006E7E55"/>
    <w:rsid w:val="006F2D10"/>
    <w:rsid w:val="006F3EB0"/>
    <w:rsid w:val="006F3F15"/>
    <w:rsid w:val="006F4975"/>
    <w:rsid w:val="006F4E34"/>
    <w:rsid w:val="006F4EF5"/>
    <w:rsid w:val="006F538A"/>
    <w:rsid w:val="006F576D"/>
    <w:rsid w:val="0070029F"/>
    <w:rsid w:val="00700F79"/>
    <w:rsid w:val="00700FE8"/>
    <w:rsid w:val="007012B3"/>
    <w:rsid w:val="00701ED9"/>
    <w:rsid w:val="007023A3"/>
    <w:rsid w:val="00702BB7"/>
    <w:rsid w:val="00703C5F"/>
    <w:rsid w:val="007051FF"/>
    <w:rsid w:val="00705C92"/>
    <w:rsid w:val="00705F08"/>
    <w:rsid w:val="00706531"/>
    <w:rsid w:val="0070663B"/>
    <w:rsid w:val="00706AA1"/>
    <w:rsid w:val="00706E7C"/>
    <w:rsid w:val="00707BDA"/>
    <w:rsid w:val="0071188A"/>
    <w:rsid w:val="00711EE1"/>
    <w:rsid w:val="00712521"/>
    <w:rsid w:val="0071254D"/>
    <w:rsid w:val="00713E7D"/>
    <w:rsid w:val="00714750"/>
    <w:rsid w:val="007153D6"/>
    <w:rsid w:val="00716394"/>
    <w:rsid w:val="0071790E"/>
    <w:rsid w:val="00717AA3"/>
    <w:rsid w:val="007206F2"/>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2C0"/>
    <w:rsid w:val="00735D1E"/>
    <w:rsid w:val="00736156"/>
    <w:rsid w:val="00736301"/>
    <w:rsid w:val="0073641B"/>
    <w:rsid w:val="00736743"/>
    <w:rsid w:val="00736F61"/>
    <w:rsid w:val="007405DF"/>
    <w:rsid w:val="00741040"/>
    <w:rsid w:val="00741F61"/>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02"/>
    <w:rsid w:val="00753CCB"/>
    <w:rsid w:val="00753F0A"/>
    <w:rsid w:val="00754872"/>
    <w:rsid w:val="0075555E"/>
    <w:rsid w:val="00755DB0"/>
    <w:rsid w:val="00757019"/>
    <w:rsid w:val="00757186"/>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B06"/>
    <w:rsid w:val="00772D3A"/>
    <w:rsid w:val="0077427F"/>
    <w:rsid w:val="007745F5"/>
    <w:rsid w:val="00774F6B"/>
    <w:rsid w:val="00775D35"/>
    <w:rsid w:val="007766F4"/>
    <w:rsid w:val="00777A67"/>
    <w:rsid w:val="00777B3F"/>
    <w:rsid w:val="0078022D"/>
    <w:rsid w:val="0078049A"/>
    <w:rsid w:val="00782355"/>
    <w:rsid w:val="007826AD"/>
    <w:rsid w:val="00782C43"/>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5E0C"/>
    <w:rsid w:val="00795EB8"/>
    <w:rsid w:val="007960FA"/>
    <w:rsid w:val="007967CF"/>
    <w:rsid w:val="007A1223"/>
    <w:rsid w:val="007A1A8E"/>
    <w:rsid w:val="007A207C"/>
    <w:rsid w:val="007A2228"/>
    <w:rsid w:val="007A2DBA"/>
    <w:rsid w:val="007A32D9"/>
    <w:rsid w:val="007A3D6D"/>
    <w:rsid w:val="007A446D"/>
    <w:rsid w:val="007A4519"/>
    <w:rsid w:val="007A54EE"/>
    <w:rsid w:val="007A583D"/>
    <w:rsid w:val="007A5B28"/>
    <w:rsid w:val="007A6022"/>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31A"/>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4AC3"/>
    <w:rsid w:val="007D679D"/>
    <w:rsid w:val="007D6863"/>
    <w:rsid w:val="007D78E3"/>
    <w:rsid w:val="007E053E"/>
    <w:rsid w:val="007E0C0D"/>
    <w:rsid w:val="007E0EC6"/>
    <w:rsid w:val="007E0ED1"/>
    <w:rsid w:val="007E1C5A"/>
    <w:rsid w:val="007E20B7"/>
    <w:rsid w:val="007E28A0"/>
    <w:rsid w:val="007E3F4C"/>
    <w:rsid w:val="007E4042"/>
    <w:rsid w:val="007E453F"/>
    <w:rsid w:val="007E4883"/>
    <w:rsid w:val="007E5806"/>
    <w:rsid w:val="007E6824"/>
    <w:rsid w:val="007E6D33"/>
    <w:rsid w:val="007E74CF"/>
    <w:rsid w:val="007E7DA7"/>
    <w:rsid w:val="007F142D"/>
    <w:rsid w:val="007F1D38"/>
    <w:rsid w:val="007F2154"/>
    <w:rsid w:val="007F2457"/>
    <w:rsid w:val="007F30AB"/>
    <w:rsid w:val="007F3A04"/>
    <w:rsid w:val="007F491D"/>
    <w:rsid w:val="007F5FB0"/>
    <w:rsid w:val="007F6178"/>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567D"/>
    <w:rsid w:val="00806A8D"/>
    <w:rsid w:val="00806E01"/>
    <w:rsid w:val="00810770"/>
    <w:rsid w:val="00810C57"/>
    <w:rsid w:val="00812530"/>
    <w:rsid w:val="00813E21"/>
    <w:rsid w:val="00814089"/>
    <w:rsid w:val="00814D01"/>
    <w:rsid w:val="00814E15"/>
    <w:rsid w:val="00815D36"/>
    <w:rsid w:val="00816291"/>
    <w:rsid w:val="00817689"/>
    <w:rsid w:val="008178D3"/>
    <w:rsid w:val="00817F36"/>
    <w:rsid w:val="00821779"/>
    <w:rsid w:val="0082285D"/>
    <w:rsid w:val="0082331F"/>
    <w:rsid w:val="00823916"/>
    <w:rsid w:val="00823DAC"/>
    <w:rsid w:val="008245F5"/>
    <w:rsid w:val="0082493F"/>
    <w:rsid w:val="00824C78"/>
    <w:rsid w:val="00825088"/>
    <w:rsid w:val="008264FD"/>
    <w:rsid w:val="00826C9B"/>
    <w:rsid w:val="00827184"/>
    <w:rsid w:val="0082751E"/>
    <w:rsid w:val="00827B78"/>
    <w:rsid w:val="008302D0"/>
    <w:rsid w:val="00830977"/>
    <w:rsid w:val="00831027"/>
    <w:rsid w:val="0083280E"/>
    <w:rsid w:val="00833A06"/>
    <w:rsid w:val="00834F62"/>
    <w:rsid w:val="00835298"/>
    <w:rsid w:val="00836205"/>
    <w:rsid w:val="00836272"/>
    <w:rsid w:val="008363F4"/>
    <w:rsid w:val="00836C67"/>
    <w:rsid w:val="008400A8"/>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2E"/>
    <w:rsid w:val="00846FED"/>
    <w:rsid w:val="00847954"/>
    <w:rsid w:val="008479D4"/>
    <w:rsid w:val="00847B3F"/>
    <w:rsid w:val="00847DD4"/>
    <w:rsid w:val="00850D31"/>
    <w:rsid w:val="0085161C"/>
    <w:rsid w:val="00851999"/>
    <w:rsid w:val="00851A7D"/>
    <w:rsid w:val="00851F67"/>
    <w:rsid w:val="00851FF5"/>
    <w:rsid w:val="00853D16"/>
    <w:rsid w:val="008543A1"/>
    <w:rsid w:val="00854F1C"/>
    <w:rsid w:val="00856DCD"/>
    <w:rsid w:val="00857A8E"/>
    <w:rsid w:val="00857D06"/>
    <w:rsid w:val="0086069E"/>
    <w:rsid w:val="00861213"/>
    <w:rsid w:val="00861580"/>
    <w:rsid w:val="00862B70"/>
    <w:rsid w:val="00862C3D"/>
    <w:rsid w:val="0086454A"/>
    <w:rsid w:val="00864858"/>
    <w:rsid w:val="008653A5"/>
    <w:rsid w:val="00865690"/>
    <w:rsid w:val="00867FEB"/>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6703"/>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023"/>
    <w:rsid w:val="008A6943"/>
    <w:rsid w:val="008B0B9D"/>
    <w:rsid w:val="008B4EF3"/>
    <w:rsid w:val="008B526D"/>
    <w:rsid w:val="008B54AA"/>
    <w:rsid w:val="008B5638"/>
    <w:rsid w:val="008B5E6E"/>
    <w:rsid w:val="008B71B8"/>
    <w:rsid w:val="008B769C"/>
    <w:rsid w:val="008B7A5D"/>
    <w:rsid w:val="008B7EBB"/>
    <w:rsid w:val="008C08C9"/>
    <w:rsid w:val="008C14F3"/>
    <w:rsid w:val="008C2A0F"/>
    <w:rsid w:val="008C2A65"/>
    <w:rsid w:val="008C3274"/>
    <w:rsid w:val="008C3356"/>
    <w:rsid w:val="008C35AD"/>
    <w:rsid w:val="008C41CA"/>
    <w:rsid w:val="008C44A1"/>
    <w:rsid w:val="008C47AB"/>
    <w:rsid w:val="008C4BE2"/>
    <w:rsid w:val="008C4DFF"/>
    <w:rsid w:val="008C55B3"/>
    <w:rsid w:val="008C56D8"/>
    <w:rsid w:val="008C780B"/>
    <w:rsid w:val="008C7B44"/>
    <w:rsid w:val="008D02E0"/>
    <w:rsid w:val="008D0349"/>
    <w:rsid w:val="008D0B42"/>
    <w:rsid w:val="008D0F47"/>
    <w:rsid w:val="008D0F82"/>
    <w:rsid w:val="008D1FA7"/>
    <w:rsid w:val="008D2C09"/>
    <w:rsid w:val="008D319B"/>
    <w:rsid w:val="008D35A3"/>
    <w:rsid w:val="008D3A2B"/>
    <w:rsid w:val="008D3BDC"/>
    <w:rsid w:val="008D4293"/>
    <w:rsid w:val="008D484D"/>
    <w:rsid w:val="008D59D5"/>
    <w:rsid w:val="008D5FB4"/>
    <w:rsid w:val="008E0605"/>
    <w:rsid w:val="008E1A59"/>
    <w:rsid w:val="008E39E5"/>
    <w:rsid w:val="008E3F36"/>
    <w:rsid w:val="008E4285"/>
    <w:rsid w:val="008E57BE"/>
    <w:rsid w:val="008E5973"/>
    <w:rsid w:val="008E5AD7"/>
    <w:rsid w:val="008E5C7F"/>
    <w:rsid w:val="008E5CFF"/>
    <w:rsid w:val="008E7213"/>
    <w:rsid w:val="008E7649"/>
    <w:rsid w:val="008F0327"/>
    <w:rsid w:val="008F11E1"/>
    <w:rsid w:val="008F216B"/>
    <w:rsid w:val="008F2CA9"/>
    <w:rsid w:val="008F3866"/>
    <w:rsid w:val="008F41B8"/>
    <w:rsid w:val="008F494C"/>
    <w:rsid w:val="008F4DE2"/>
    <w:rsid w:val="008F5642"/>
    <w:rsid w:val="008F5C89"/>
    <w:rsid w:val="008F5CC1"/>
    <w:rsid w:val="008F66A7"/>
    <w:rsid w:val="008F66F7"/>
    <w:rsid w:val="008F766D"/>
    <w:rsid w:val="00900079"/>
    <w:rsid w:val="00900654"/>
    <w:rsid w:val="00900B62"/>
    <w:rsid w:val="00900E5D"/>
    <w:rsid w:val="009018CF"/>
    <w:rsid w:val="00901C56"/>
    <w:rsid w:val="00902AA8"/>
    <w:rsid w:val="009035A7"/>
    <w:rsid w:val="00903B6D"/>
    <w:rsid w:val="009041CC"/>
    <w:rsid w:val="00904444"/>
    <w:rsid w:val="009050E8"/>
    <w:rsid w:val="00905DDB"/>
    <w:rsid w:val="0090615F"/>
    <w:rsid w:val="00907F7D"/>
    <w:rsid w:val="009101A8"/>
    <w:rsid w:val="00912550"/>
    <w:rsid w:val="00912F7B"/>
    <w:rsid w:val="00913A29"/>
    <w:rsid w:val="009145E2"/>
    <w:rsid w:val="00914709"/>
    <w:rsid w:val="00914FFD"/>
    <w:rsid w:val="009166E5"/>
    <w:rsid w:val="00916C89"/>
    <w:rsid w:val="00917019"/>
    <w:rsid w:val="0091747B"/>
    <w:rsid w:val="00917AF0"/>
    <w:rsid w:val="00921510"/>
    <w:rsid w:val="00922324"/>
    <w:rsid w:val="009227B3"/>
    <w:rsid w:val="0092383F"/>
    <w:rsid w:val="00923AE5"/>
    <w:rsid w:val="00924C8C"/>
    <w:rsid w:val="00925609"/>
    <w:rsid w:val="00925BCC"/>
    <w:rsid w:val="009267E3"/>
    <w:rsid w:val="00926E3E"/>
    <w:rsid w:val="00927BE1"/>
    <w:rsid w:val="00927DE8"/>
    <w:rsid w:val="00930A07"/>
    <w:rsid w:val="00930AFB"/>
    <w:rsid w:val="00931065"/>
    <w:rsid w:val="00931347"/>
    <w:rsid w:val="00931B0D"/>
    <w:rsid w:val="009320E8"/>
    <w:rsid w:val="00932CD9"/>
    <w:rsid w:val="0093337B"/>
    <w:rsid w:val="00934191"/>
    <w:rsid w:val="009342C2"/>
    <w:rsid w:val="00934753"/>
    <w:rsid w:val="00935698"/>
    <w:rsid w:val="00935E71"/>
    <w:rsid w:val="00935FCD"/>
    <w:rsid w:val="00936D91"/>
    <w:rsid w:val="00936F4F"/>
    <w:rsid w:val="0093721C"/>
    <w:rsid w:val="00937392"/>
    <w:rsid w:val="0093773C"/>
    <w:rsid w:val="009402B9"/>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351"/>
    <w:rsid w:val="0095444F"/>
    <w:rsid w:val="00954BCC"/>
    <w:rsid w:val="00956AB6"/>
    <w:rsid w:val="009570F1"/>
    <w:rsid w:val="00957E9F"/>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6FA8"/>
    <w:rsid w:val="00987842"/>
    <w:rsid w:val="0099090C"/>
    <w:rsid w:val="00991A13"/>
    <w:rsid w:val="00992C1D"/>
    <w:rsid w:val="0099382D"/>
    <w:rsid w:val="009956EE"/>
    <w:rsid w:val="00995F4A"/>
    <w:rsid w:val="00996727"/>
    <w:rsid w:val="009968F4"/>
    <w:rsid w:val="009969D8"/>
    <w:rsid w:val="00996BC2"/>
    <w:rsid w:val="009972A7"/>
    <w:rsid w:val="00997DAE"/>
    <w:rsid w:val="009A10BE"/>
    <w:rsid w:val="009A264F"/>
    <w:rsid w:val="009A286B"/>
    <w:rsid w:val="009A2AB7"/>
    <w:rsid w:val="009A31BD"/>
    <w:rsid w:val="009A4FE5"/>
    <w:rsid w:val="009A5886"/>
    <w:rsid w:val="009A58B1"/>
    <w:rsid w:val="009A6A83"/>
    <w:rsid w:val="009A6DBB"/>
    <w:rsid w:val="009A6E55"/>
    <w:rsid w:val="009A7A2F"/>
    <w:rsid w:val="009A7A34"/>
    <w:rsid w:val="009A7D78"/>
    <w:rsid w:val="009A7F7D"/>
    <w:rsid w:val="009B0279"/>
    <w:rsid w:val="009B1211"/>
    <w:rsid w:val="009B14CE"/>
    <w:rsid w:val="009B256E"/>
    <w:rsid w:val="009B3DC8"/>
    <w:rsid w:val="009B42AF"/>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929"/>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0CA7"/>
    <w:rsid w:val="009F1149"/>
    <w:rsid w:val="009F14E8"/>
    <w:rsid w:val="009F1F21"/>
    <w:rsid w:val="009F2DE9"/>
    <w:rsid w:val="009F2F79"/>
    <w:rsid w:val="009F3094"/>
    <w:rsid w:val="009F3132"/>
    <w:rsid w:val="009F384E"/>
    <w:rsid w:val="009F40F3"/>
    <w:rsid w:val="009F494E"/>
    <w:rsid w:val="009F5613"/>
    <w:rsid w:val="009F5982"/>
    <w:rsid w:val="009F5EB4"/>
    <w:rsid w:val="009F6261"/>
    <w:rsid w:val="009F6DF8"/>
    <w:rsid w:val="009F78F8"/>
    <w:rsid w:val="009F7A63"/>
    <w:rsid w:val="00A0085F"/>
    <w:rsid w:val="00A01D0D"/>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15D1"/>
    <w:rsid w:val="00A120B2"/>
    <w:rsid w:val="00A12146"/>
    <w:rsid w:val="00A12A96"/>
    <w:rsid w:val="00A13ED0"/>
    <w:rsid w:val="00A14E37"/>
    <w:rsid w:val="00A1557C"/>
    <w:rsid w:val="00A155FA"/>
    <w:rsid w:val="00A15C8B"/>
    <w:rsid w:val="00A16886"/>
    <w:rsid w:val="00A202D0"/>
    <w:rsid w:val="00A20831"/>
    <w:rsid w:val="00A20FDE"/>
    <w:rsid w:val="00A21E48"/>
    <w:rsid w:val="00A2304C"/>
    <w:rsid w:val="00A23836"/>
    <w:rsid w:val="00A23E52"/>
    <w:rsid w:val="00A23F8D"/>
    <w:rsid w:val="00A24BAA"/>
    <w:rsid w:val="00A24EF6"/>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284C"/>
    <w:rsid w:val="00A43CB0"/>
    <w:rsid w:val="00A44A3C"/>
    <w:rsid w:val="00A44DE5"/>
    <w:rsid w:val="00A450C8"/>
    <w:rsid w:val="00A457AE"/>
    <w:rsid w:val="00A45D3B"/>
    <w:rsid w:val="00A47447"/>
    <w:rsid w:val="00A50977"/>
    <w:rsid w:val="00A50FA4"/>
    <w:rsid w:val="00A5152F"/>
    <w:rsid w:val="00A51D39"/>
    <w:rsid w:val="00A51EA4"/>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48C9"/>
    <w:rsid w:val="00A65065"/>
    <w:rsid w:val="00A65278"/>
    <w:rsid w:val="00A6533B"/>
    <w:rsid w:val="00A65D79"/>
    <w:rsid w:val="00A660F0"/>
    <w:rsid w:val="00A66338"/>
    <w:rsid w:val="00A6697E"/>
    <w:rsid w:val="00A66E76"/>
    <w:rsid w:val="00A67026"/>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06DD"/>
    <w:rsid w:val="00A91AB3"/>
    <w:rsid w:val="00A9242D"/>
    <w:rsid w:val="00A927B4"/>
    <w:rsid w:val="00A954D4"/>
    <w:rsid w:val="00A95A2D"/>
    <w:rsid w:val="00A968B3"/>
    <w:rsid w:val="00A96D1C"/>
    <w:rsid w:val="00A96FA3"/>
    <w:rsid w:val="00A97558"/>
    <w:rsid w:val="00AA0571"/>
    <w:rsid w:val="00AA077C"/>
    <w:rsid w:val="00AA08FD"/>
    <w:rsid w:val="00AA0C8B"/>
    <w:rsid w:val="00AA0F51"/>
    <w:rsid w:val="00AA1C1F"/>
    <w:rsid w:val="00AA3302"/>
    <w:rsid w:val="00AA7076"/>
    <w:rsid w:val="00AA783A"/>
    <w:rsid w:val="00AA7C3C"/>
    <w:rsid w:val="00AA7FA1"/>
    <w:rsid w:val="00AB1C08"/>
    <w:rsid w:val="00AB1C41"/>
    <w:rsid w:val="00AB21D7"/>
    <w:rsid w:val="00AB246F"/>
    <w:rsid w:val="00AB2D12"/>
    <w:rsid w:val="00AB4336"/>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598F"/>
    <w:rsid w:val="00AC6E43"/>
    <w:rsid w:val="00AC7D3F"/>
    <w:rsid w:val="00AC7F77"/>
    <w:rsid w:val="00AD00CA"/>
    <w:rsid w:val="00AD0AE7"/>
    <w:rsid w:val="00AD105A"/>
    <w:rsid w:val="00AD1621"/>
    <w:rsid w:val="00AD2FC6"/>
    <w:rsid w:val="00AD3181"/>
    <w:rsid w:val="00AD3BB9"/>
    <w:rsid w:val="00AD4EA7"/>
    <w:rsid w:val="00AD5C9E"/>
    <w:rsid w:val="00AE06AA"/>
    <w:rsid w:val="00AE16FA"/>
    <w:rsid w:val="00AE1CC8"/>
    <w:rsid w:val="00AE2794"/>
    <w:rsid w:val="00AE2CB9"/>
    <w:rsid w:val="00AE3854"/>
    <w:rsid w:val="00AE408C"/>
    <w:rsid w:val="00AE499C"/>
    <w:rsid w:val="00AE66BF"/>
    <w:rsid w:val="00AE675E"/>
    <w:rsid w:val="00AE6D55"/>
    <w:rsid w:val="00AE7B92"/>
    <w:rsid w:val="00AF08BD"/>
    <w:rsid w:val="00AF1B7B"/>
    <w:rsid w:val="00AF30A5"/>
    <w:rsid w:val="00AF35E7"/>
    <w:rsid w:val="00AF4996"/>
    <w:rsid w:val="00AF6A69"/>
    <w:rsid w:val="00AF6BAA"/>
    <w:rsid w:val="00AF78D8"/>
    <w:rsid w:val="00AF7D8A"/>
    <w:rsid w:val="00B01D05"/>
    <w:rsid w:val="00B02A41"/>
    <w:rsid w:val="00B03DDE"/>
    <w:rsid w:val="00B0460F"/>
    <w:rsid w:val="00B04754"/>
    <w:rsid w:val="00B0494F"/>
    <w:rsid w:val="00B0504C"/>
    <w:rsid w:val="00B053EF"/>
    <w:rsid w:val="00B054DF"/>
    <w:rsid w:val="00B0551E"/>
    <w:rsid w:val="00B055FA"/>
    <w:rsid w:val="00B05962"/>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6727"/>
    <w:rsid w:val="00B36EF1"/>
    <w:rsid w:val="00B3700E"/>
    <w:rsid w:val="00B370EF"/>
    <w:rsid w:val="00B4085C"/>
    <w:rsid w:val="00B411A7"/>
    <w:rsid w:val="00B41977"/>
    <w:rsid w:val="00B430E7"/>
    <w:rsid w:val="00B43360"/>
    <w:rsid w:val="00B44032"/>
    <w:rsid w:val="00B44DEE"/>
    <w:rsid w:val="00B45190"/>
    <w:rsid w:val="00B45283"/>
    <w:rsid w:val="00B45981"/>
    <w:rsid w:val="00B465BD"/>
    <w:rsid w:val="00B47E88"/>
    <w:rsid w:val="00B52F38"/>
    <w:rsid w:val="00B55077"/>
    <w:rsid w:val="00B553C3"/>
    <w:rsid w:val="00B55824"/>
    <w:rsid w:val="00B56A7E"/>
    <w:rsid w:val="00B57DCF"/>
    <w:rsid w:val="00B57DDC"/>
    <w:rsid w:val="00B636B6"/>
    <w:rsid w:val="00B63864"/>
    <w:rsid w:val="00B6426B"/>
    <w:rsid w:val="00B64865"/>
    <w:rsid w:val="00B65E77"/>
    <w:rsid w:val="00B674E1"/>
    <w:rsid w:val="00B67BE8"/>
    <w:rsid w:val="00B67DAF"/>
    <w:rsid w:val="00B67EF2"/>
    <w:rsid w:val="00B70FCC"/>
    <w:rsid w:val="00B7113B"/>
    <w:rsid w:val="00B71B88"/>
    <w:rsid w:val="00B71C8B"/>
    <w:rsid w:val="00B72629"/>
    <w:rsid w:val="00B726EB"/>
    <w:rsid w:val="00B736A3"/>
    <w:rsid w:val="00B7397A"/>
    <w:rsid w:val="00B73E12"/>
    <w:rsid w:val="00B748FC"/>
    <w:rsid w:val="00B74F98"/>
    <w:rsid w:val="00B75485"/>
    <w:rsid w:val="00B7607A"/>
    <w:rsid w:val="00B76F56"/>
    <w:rsid w:val="00B771F2"/>
    <w:rsid w:val="00B772DC"/>
    <w:rsid w:val="00B77495"/>
    <w:rsid w:val="00B77584"/>
    <w:rsid w:val="00B809ED"/>
    <w:rsid w:val="00B80A14"/>
    <w:rsid w:val="00B80D70"/>
    <w:rsid w:val="00B81433"/>
    <w:rsid w:val="00B81793"/>
    <w:rsid w:val="00B8196F"/>
    <w:rsid w:val="00B81A24"/>
    <w:rsid w:val="00B8225E"/>
    <w:rsid w:val="00B82710"/>
    <w:rsid w:val="00B82766"/>
    <w:rsid w:val="00B82D23"/>
    <w:rsid w:val="00B84E21"/>
    <w:rsid w:val="00B8636E"/>
    <w:rsid w:val="00B8669F"/>
    <w:rsid w:val="00B866CD"/>
    <w:rsid w:val="00B87008"/>
    <w:rsid w:val="00B876B5"/>
    <w:rsid w:val="00B876B6"/>
    <w:rsid w:val="00B877AC"/>
    <w:rsid w:val="00B877F7"/>
    <w:rsid w:val="00B90FDC"/>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414E"/>
    <w:rsid w:val="00BA46A6"/>
    <w:rsid w:val="00BA4DAC"/>
    <w:rsid w:val="00BA67A5"/>
    <w:rsid w:val="00BA7EF2"/>
    <w:rsid w:val="00BB0619"/>
    <w:rsid w:val="00BB09F8"/>
    <w:rsid w:val="00BB0B91"/>
    <w:rsid w:val="00BB23E5"/>
    <w:rsid w:val="00BB2D18"/>
    <w:rsid w:val="00BB46D3"/>
    <w:rsid w:val="00BB4AE7"/>
    <w:rsid w:val="00BB4F39"/>
    <w:rsid w:val="00BB4FB7"/>
    <w:rsid w:val="00BB5179"/>
    <w:rsid w:val="00BB544F"/>
    <w:rsid w:val="00BB6CC4"/>
    <w:rsid w:val="00BB71FF"/>
    <w:rsid w:val="00BC10BF"/>
    <w:rsid w:val="00BC4DBC"/>
    <w:rsid w:val="00BC59BD"/>
    <w:rsid w:val="00BC7181"/>
    <w:rsid w:val="00BC7ECA"/>
    <w:rsid w:val="00BD05EF"/>
    <w:rsid w:val="00BD07B0"/>
    <w:rsid w:val="00BD0B3B"/>
    <w:rsid w:val="00BD0D9C"/>
    <w:rsid w:val="00BD0FC2"/>
    <w:rsid w:val="00BD3F02"/>
    <w:rsid w:val="00BD4638"/>
    <w:rsid w:val="00BD486A"/>
    <w:rsid w:val="00BD4BB8"/>
    <w:rsid w:val="00BD4DE7"/>
    <w:rsid w:val="00BD5A9C"/>
    <w:rsid w:val="00BD772E"/>
    <w:rsid w:val="00BE0AF5"/>
    <w:rsid w:val="00BE0FCD"/>
    <w:rsid w:val="00BE2601"/>
    <w:rsid w:val="00BE304E"/>
    <w:rsid w:val="00BE36CD"/>
    <w:rsid w:val="00BE3C37"/>
    <w:rsid w:val="00BE3C45"/>
    <w:rsid w:val="00BE3C5B"/>
    <w:rsid w:val="00BE41F4"/>
    <w:rsid w:val="00BE47E9"/>
    <w:rsid w:val="00BE4C30"/>
    <w:rsid w:val="00BE5DA7"/>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14D"/>
    <w:rsid w:val="00C00C23"/>
    <w:rsid w:val="00C02B30"/>
    <w:rsid w:val="00C032E3"/>
    <w:rsid w:val="00C0428D"/>
    <w:rsid w:val="00C04C75"/>
    <w:rsid w:val="00C04F9E"/>
    <w:rsid w:val="00C06468"/>
    <w:rsid w:val="00C067BD"/>
    <w:rsid w:val="00C07169"/>
    <w:rsid w:val="00C076ED"/>
    <w:rsid w:val="00C10758"/>
    <w:rsid w:val="00C107FA"/>
    <w:rsid w:val="00C109B2"/>
    <w:rsid w:val="00C11963"/>
    <w:rsid w:val="00C1263B"/>
    <w:rsid w:val="00C13671"/>
    <w:rsid w:val="00C139D5"/>
    <w:rsid w:val="00C13C02"/>
    <w:rsid w:val="00C13C48"/>
    <w:rsid w:val="00C14321"/>
    <w:rsid w:val="00C1553E"/>
    <w:rsid w:val="00C16291"/>
    <w:rsid w:val="00C171B2"/>
    <w:rsid w:val="00C1765E"/>
    <w:rsid w:val="00C177E9"/>
    <w:rsid w:val="00C177F5"/>
    <w:rsid w:val="00C20625"/>
    <w:rsid w:val="00C20931"/>
    <w:rsid w:val="00C2097C"/>
    <w:rsid w:val="00C21A8A"/>
    <w:rsid w:val="00C21BAF"/>
    <w:rsid w:val="00C2283D"/>
    <w:rsid w:val="00C22B1A"/>
    <w:rsid w:val="00C22E02"/>
    <w:rsid w:val="00C23D27"/>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68A8"/>
    <w:rsid w:val="00C372DC"/>
    <w:rsid w:val="00C37CB0"/>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39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10A"/>
    <w:rsid w:val="00C729E5"/>
    <w:rsid w:val="00C73A63"/>
    <w:rsid w:val="00C73C4C"/>
    <w:rsid w:val="00C7451C"/>
    <w:rsid w:val="00C75204"/>
    <w:rsid w:val="00C75D68"/>
    <w:rsid w:val="00C765DA"/>
    <w:rsid w:val="00C80AF3"/>
    <w:rsid w:val="00C8105A"/>
    <w:rsid w:val="00C82979"/>
    <w:rsid w:val="00C82DAF"/>
    <w:rsid w:val="00C83EB0"/>
    <w:rsid w:val="00C8431F"/>
    <w:rsid w:val="00C84553"/>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4A3B"/>
    <w:rsid w:val="00C9543D"/>
    <w:rsid w:val="00C957B2"/>
    <w:rsid w:val="00C9609D"/>
    <w:rsid w:val="00C9637C"/>
    <w:rsid w:val="00C96692"/>
    <w:rsid w:val="00C976AA"/>
    <w:rsid w:val="00C97BE9"/>
    <w:rsid w:val="00C97BED"/>
    <w:rsid w:val="00CA2A0D"/>
    <w:rsid w:val="00CA3FE2"/>
    <w:rsid w:val="00CA42DB"/>
    <w:rsid w:val="00CA4C6D"/>
    <w:rsid w:val="00CA5EED"/>
    <w:rsid w:val="00CA6660"/>
    <w:rsid w:val="00CA6EBA"/>
    <w:rsid w:val="00CA7454"/>
    <w:rsid w:val="00CA77CA"/>
    <w:rsid w:val="00CB0669"/>
    <w:rsid w:val="00CB0978"/>
    <w:rsid w:val="00CB1DBD"/>
    <w:rsid w:val="00CB2742"/>
    <w:rsid w:val="00CB3DB8"/>
    <w:rsid w:val="00CB44D3"/>
    <w:rsid w:val="00CB5DB2"/>
    <w:rsid w:val="00CB5FE5"/>
    <w:rsid w:val="00CB61FE"/>
    <w:rsid w:val="00CB6411"/>
    <w:rsid w:val="00CB6E24"/>
    <w:rsid w:val="00CB6F46"/>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37F"/>
    <w:rsid w:val="00CC7753"/>
    <w:rsid w:val="00CD1201"/>
    <w:rsid w:val="00CD16D1"/>
    <w:rsid w:val="00CD19E2"/>
    <w:rsid w:val="00CD1E5A"/>
    <w:rsid w:val="00CD232F"/>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594"/>
    <w:rsid w:val="00CF1C61"/>
    <w:rsid w:val="00CF1E73"/>
    <w:rsid w:val="00CF269F"/>
    <w:rsid w:val="00CF2735"/>
    <w:rsid w:val="00CF28B5"/>
    <w:rsid w:val="00CF3309"/>
    <w:rsid w:val="00CF36CC"/>
    <w:rsid w:val="00CF3784"/>
    <w:rsid w:val="00CF5041"/>
    <w:rsid w:val="00CF6B92"/>
    <w:rsid w:val="00CF7667"/>
    <w:rsid w:val="00D00B45"/>
    <w:rsid w:val="00D01726"/>
    <w:rsid w:val="00D028EB"/>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495"/>
    <w:rsid w:val="00D1170B"/>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601A"/>
    <w:rsid w:val="00D3608D"/>
    <w:rsid w:val="00D36C25"/>
    <w:rsid w:val="00D3771F"/>
    <w:rsid w:val="00D379EF"/>
    <w:rsid w:val="00D37FAB"/>
    <w:rsid w:val="00D40709"/>
    <w:rsid w:val="00D40B40"/>
    <w:rsid w:val="00D41FCE"/>
    <w:rsid w:val="00D422C4"/>
    <w:rsid w:val="00D4283C"/>
    <w:rsid w:val="00D45076"/>
    <w:rsid w:val="00D46FC3"/>
    <w:rsid w:val="00D47749"/>
    <w:rsid w:val="00D47AFA"/>
    <w:rsid w:val="00D51887"/>
    <w:rsid w:val="00D51F1F"/>
    <w:rsid w:val="00D5262B"/>
    <w:rsid w:val="00D53368"/>
    <w:rsid w:val="00D535B9"/>
    <w:rsid w:val="00D53D55"/>
    <w:rsid w:val="00D551BB"/>
    <w:rsid w:val="00D551E3"/>
    <w:rsid w:val="00D55635"/>
    <w:rsid w:val="00D55B36"/>
    <w:rsid w:val="00D566F5"/>
    <w:rsid w:val="00D611E2"/>
    <w:rsid w:val="00D6121A"/>
    <w:rsid w:val="00D635EB"/>
    <w:rsid w:val="00D6489B"/>
    <w:rsid w:val="00D65582"/>
    <w:rsid w:val="00D65670"/>
    <w:rsid w:val="00D65737"/>
    <w:rsid w:val="00D658C0"/>
    <w:rsid w:val="00D65CE3"/>
    <w:rsid w:val="00D65EC3"/>
    <w:rsid w:val="00D66349"/>
    <w:rsid w:val="00D66466"/>
    <w:rsid w:val="00D67922"/>
    <w:rsid w:val="00D7177C"/>
    <w:rsid w:val="00D717A8"/>
    <w:rsid w:val="00D71D79"/>
    <w:rsid w:val="00D734A7"/>
    <w:rsid w:val="00D743C6"/>
    <w:rsid w:val="00D75552"/>
    <w:rsid w:val="00D75FAC"/>
    <w:rsid w:val="00D766E9"/>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86BCE"/>
    <w:rsid w:val="00D90F8C"/>
    <w:rsid w:val="00D90FBA"/>
    <w:rsid w:val="00D910C9"/>
    <w:rsid w:val="00D92603"/>
    <w:rsid w:val="00D92DEB"/>
    <w:rsid w:val="00D92E04"/>
    <w:rsid w:val="00D956FB"/>
    <w:rsid w:val="00D96050"/>
    <w:rsid w:val="00D963A1"/>
    <w:rsid w:val="00D96506"/>
    <w:rsid w:val="00D965DD"/>
    <w:rsid w:val="00D968EC"/>
    <w:rsid w:val="00D968FC"/>
    <w:rsid w:val="00D97234"/>
    <w:rsid w:val="00D97B43"/>
    <w:rsid w:val="00DA01B3"/>
    <w:rsid w:val="00DA0E28"/>
    <w:rsid w:val="00DA16B2"/>
    <w:rsid w:val="00DA1E29"/>
    <w:rsid w:val="00DA2F32"/>
    <w:rsid w:val="00DA325E"/>
    <w:rsid w:val="00DA3D2E"/>
    <w:rsid w:val="00DA3DAC"/>
    <w:rsid w:val="00DA57FC"/>
    <w:rsid w:val="00DA59CC"/>
    <w:rsid w:val="00DA5F54"/>
    <w:rsid w:val="00DA7EA2"/>
    <w:rsid w:val="00DB0999"/>
    <w:rsid w:val="00DB0FA2"/>
    <w:rsid w:val="00DB1771"/>
    <w:rsid w:val="00DB1D80"/>
    <w:rsid w:val="00DB1F56"/>
    <w:rsid w:val="00DB2204"/>
    <w:rsid w:val="00DB22EE"/>
    <w:rsid w:val="00DB272A"/>
    <w:rsid w:val="00DB3F2E"/>
    <w:rsid w:val="00DB429A"/>
    <w:rsid w:val="00DB50A4"/>
    <w:rsid w:val="00DB5713"/>
    <w:rsid w:val="00DB73F8"/>
    <w:rsid w:val="00DC0905"/>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4720"/>
    <w:rsid w:val="00DE4E18"/>
    <w:rsid w:val="00DE5090"/>
    <w:rsid w:val="00DE57B7"/>
    <w:rsid w:val="00DE5A6D"/>
    <w:rsid w:val="00DE628B"/>
    <w:rsid w:val="00DE6322"/>
    <w:rsid w:val="00DE6D58"/>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090"/>
    <w:rsid w:val="00E00466"/>
    <w:rsid w:val="00E00770"/>
    <w:rsid w:val="00E00CEC"/>
    <w:rsid w:val="00E00DB6"/>
    <w:rsid w:val="00E03677"/>
    <w:rsid w:val="00E03A2F"/>
    <w:rsid w:val="00E03F2E"/>
    <w:rsid w:val="00E0470C"/>
    <w:rsid w:val="00E04C10"/>
    <w:rsid w:val="00E04D2F"/>
    <w:rsid w:val="00E0621C"/>
    <w:rsid w:val="00E07AA6"/>
    <w:rsid w:val="00E07DD5"/>
    <w:rsid w:val="00E10B82"/>
    <w:rsid w:val="00E11B56"/>
    <w:rsid w:val="00E123CE"/>
    <w:rsid w:val="00E1317B"/>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71D"/>
    <w:rsid w:val="00E23843"/>
    <w:rsid w:val="00E239FF"/>
    <w:rsid w:val="00E23B66"/>
    <w:rsid w:val="00E23B69"/>
    <w:rsid w:val="00E243DC"/>
    <w:rsid w:val="00E24A75"/>
    <w:rsid w:val="00E24C21"/>
    <w:rsid w:val="00E24FAE"/>
    <w:rsid w:val="00E25177"/>
    <w:rsid w:val="00E25241"/>
    <w:rsid w:val="00E25DE4"/>
    <w:rsid w:val="00E265A3"/>
    <w:rsid w:val="00E27B48"/>
    <w:rsid w:val="00E30B03"/>
    <w:rsid w:val="00E312C1"/>
    <w:rsid w:val="00E315D4"/>
    <w:rsid w:val="00E31DC1"/>
    <w:rsid w:val="00E322C5"/>
    <w:rsid w:val="00E33381"/>
    <w:rsid w:val="00E33A82"/>
    <w:rsid w:val="00E33EBC"/>
    <w:rsid w:val="00E33ECD"/>
    <w:rsid w:val="00E34760"/>
    <w:rsid w:val="00E34B39"/>
    <w:rsid w:val="00E35344"/>
    <w:rsid w:val="00E35849"/>
    <w:rsid w:val="00E358E9"/>
    <w:rsid w:val="00E3707E"/>
    <w:rsid w:val="00E3727D"/>
    <w:rsid w:val="00E40213"/>
    <w:rsid w:val="00E4185B"/>
    <w:rsid w:val="00E41934"/>
    <w:rsid w:val="00E41AC6"/>
    <w:rsid w:val="00E423AA"/>
    <w:rsid w:val="00E42755"/>
    <w:rsid w:val="00E43424"/>
    <w:rsid w:val="00E436DA"/>
    <w:rsid w:val="00E43CF8"/>
    <w:rsid w:val="00E43EED"/>
    <w:rsid w:val="00E442AA"/>
    <w:rsid w:val="00E45BBE"/>
    <w:rsid w:val="00E46472"/>
    <w:rsid w:val="00E466A2"/>
    <w:rsid w:val="00E46D9D"/>
    <w:rsid w:val="00E47853"/>
    <w:rsid w:val="00E47EA0"/>
    <w:rsid w:val="00E516A1"/>
    <w:rsid w:val="00E51AB2"/>
    <w:rsid w:val="00E53724"/>
    <w:rsid w:val="00E53C8F"/>
    <w:rsid w:val="00E5438D"/>
    <w:rsid w:val="00E55A95"/>
    <w:rsid w:val="00E56110"/>
    <w:rsid w:val="00E568B5"/>
    <w:rsid w:val="00E56D1B"/>
    <w:rsid w:val="00E5779D"/>
    <w:rsid w:val="00E6010F"/>
    <w:rsid w:val="00E60795"/>
    <w:rsid w:val="00E60A51"/>
    <w:rsid w:val="00E61E1A"/>
    <w:rsid w:val="00E621A3"/>
    <w:rsid w:val="00E63118"/>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52C6"/>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6AD9"/>
    <w:rsid w:val="00E87283"/>
    <w:rsid w:val="00E87D9E"/>
    <w:rsid w:val="00E87F95"/>
    <w:rsid w:val="00E901D5"/>
    <w:rsid w:val="00E918D1"/>
    <w:rsid w:val="00E921AB"/>
    <w:rsid w:val="00E92447"/>
    <w:rsid w:val="00E9395F"/>
    <w:rsid w:val="00E93F0B"/>
    <w:rsid w:val="00E94E84"/>
    <w:rsid w:val="00E9502F"/>
    <w:rsid w:val="00E95439"/>
    <w:rsid w:val="00E96310"/>
    <w:rsid w:val="00E96582"/>
    <w:rsid w:val="00EA0374"/>
    <w:rsid w:val="00EA10C3"/>
    <w:rsid w:val="00EA1A62"/>
    <w:rsid w:val="00EA1F33"/>
    <w:rsid w:val="00EA2470"/>
    <w:rsid w:val="00EA3AF3"/>
    <w:rsid w:val="00EA3CE8"/>
    <w:rsid w:val="00EA4118"/>
    <w:rsid w:val="00EA479E"/>
    <w:rsid w:val="00EA71C2"/>
    <w:rsid w:val="00EA7517"/>
    <w:rsid w:val="00EA798D"/>
    <w:rsid w:val="00EA7B39"/>
    <w:rsid w:val="00EA7D10"/>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243"/>
    <w:rsid w:val="00EC17C9"/>
    <w:rsid w:val="00EC1F35"/>
    <w:rsid w:val="00EC3F68"/>
    <w:rsid w:val="00EC447E"/>
    <w:rsid w:val="00EC52CA"/>
    <w:rsid w:val="00EC5CDC"/>
    <w:rsid w:val="00EC5E09"/>
    <w:rsid w:val="00ED0181"/>
    <w:rsid w:val="00ED099E"/>
    <w:rsid w:val="00ED0A7C"/>
    <w:rsid w:val="00ED11FC"/>
    <w:rsid w:val="00ED2F51"/>
    <w:rsid w:val="00ED3825"/>
    <w:rsid w:val="00ED3B38"/>
    <w:rsid w:val="00ED4537"/>
    <w:rsid w:val="00ED528B"/>
    <w:rsid w:val="00ED5292"/>
    <w:rsid w:val="00ED5322"/>
    <w:rsid w:val="00ED5679"/>
    <w:rsid w:val="00ED5F98"/>
    <w:rsid w:val="00ED60D6"/>
    <w:rsid w:val="00ED62BD"/>
    <w:rsid w:val="00ED7C85"/>
    <w:rsid w:val="00EE0533"/>
    <w:rsid w:val="00EE2057"/>
    <w:rsid w:val="00EE250F"/>
    <w:rsid w:val="00EE2804"/>
    <w:rsid w:val="00EE2D3F"/>
    <w:rsid w:val="00EE2EEA"/>
    <w:rsid w:val="00EE3172"/>
    <w:rsid w:val="00EE37C0"/>
    <w:rsid w:val="00EE3835"/>
    <w:rsid w:val="00EE3958"/>
    <w:rsid w:val="00EE40DF"/>
    <w:rsid w:val="00EE44DE"/>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649"/>
    <w:rsid w:val="00EF3FB5"/>
    <w:rsid w:val="00EF5A20"/>
    <w:rsid w:val="00EF5FD9"/>
    <w:rsid w:val="00EF656E"/>
    <w:rsid w:val="00EF6B4D"/>
    <w:rsid w:val="00EF6E28"/>
    <w:rsid w:val="00EF709E"/>
    <w:rsid w:val="00EF797C"/>
    <w:rsid w:val="00F00549"/>
    <w:rsid w:val="00F013AE"/>
    <w:rsid w:val="00F01FAA"/>
    <w:rsid w:val="00F01FD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17EEC"/>
    <w:rsid w:val="00F212AD"/>
    <w:rsid w:val="00F21712"/>
    <w:rsid w:val="00F2184C"/>
    <w:rsid w:val="00F2389D"/>
    <w:rsid w:val="00F23BE7"/>
    <w:rsid w:val="00F23F5C"/>
    <w:rsid w:val="00F259B1"/>
    <w:rsid w:val="00F26945"/>
    <w:rsid w:val="00F318CF"/>
    <w:rsid w:val="00F31D01"/>
    <w:rsid w:val="00F3212D"/>
    <w:rsid w:val="00F32C3F"/>
    <w:rsid w:val="00F32D89"/>
    <w:rsid w:val="00F32EE9"/>
    <w:rsid w:val="00F33694"/>
    <w:rsid w:val="00F33DDC"/>
    <w:rsid w:val="00F34FEF"/>
    <w:rsid w:val="00F3561D"/>
    <w:rsid w:val="00F356CC"/>
    <w:rsid w:val="00F36763"/>
    <w:rsid w:val="00F36D68"/>
    <w:rsid w:val="00F370F5"/>
    <w:rsid w:val="00F37A2E"/>
    <w:rsid w:val="00F400C8"/>
    <w:rsid w:val="00F405F5"/>
    <w:rsid w:val="00F4154F"/>
    <w:rsid w:val="00F41935"/>
    <w:rsid w:val="00F42681"/>
    <w:rsid w:val="00F42B39"/>
    <w:rsid w:val="00F4315F"/>
    <w:rsid w:val="00F45029"/>
    <w:rsid w:val="00F45093"/>
    <w:rsid w:val="00F46411"/>
    <w:rsid w:val="00F46D01"/>
    <w:rsid w:val="00F46EC7"/>
    <w:rsid w:val="00F4770C"/>
    <w:rsid w:val="00F47BB4"/>
    <w:rsid w:val="00F47E16"/>
    <w:rsid w:val="00F51877"/>
    <w:rsid w:val="00F51D4A"/>
    <w:rsid w:val="00F51EBD"/>
    <w:rsid w:val="00F5211B"/>
    <w:rsid w:val="00F527DF"/>
    <w:rsid w:val="00F52C18"/>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67CDD"/>
    <w:rsid w:val="00F7049A"/>
    <w:rsid w:val="00F706BE"/>
    <w:rsid w:val="00F7097A"/>
    <w:rsid w:val="00F71409"/>
    <w:rsid w:val="00F71451"/>
    <w:rsid w:val="00F71526"/>
    <w:rsid w:val="00F72477"/>
    <w:rsid w:val="00F73403"/>
    <w:rsid w:val="00F742A4"/>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966B8"/>
    <w:rsid w:val="00F96C5B"/>
    <w:rsid w:val="00FA02B5"/>
    <w:rsid w:val="00FA1253"/>
    <w:rsid w:val="00FA174A"/>
    <w:rsid w:val="00FA181D"/>
    <w:rsid w:val="00FA18B1"/>
    <w:rsid w:val="00FA19E5"/>
    <w:rsid w:val="00FA2C7C"/>
    <w:rsid w:val="00FA2D8D"/>
    <w:rsid w:val="00FA4AD5"/>
    <w:rsid w:val="00FA59BB"/>
    <w:rsid w:val="00FA5C30"/>
    <w:rsid w:val="00FA6485"/>
    <w:rsid w:val="00FA6A90"/>
    <w:rsid w:val="00FA70BC"/>
    <w:rsid w:val="00FA7945"/>
    <w:rsid w:val="00FB01F3"/>
    <w:rsid w:val="00FB179C"/>
    <w:rsid w:val="00FB2640"/>
    <w:rsid w:val="00FB38F8"/>
    <w:rsid w:val="00FB3D8D"/>
    <w:rsid w:val="00FB5898"/>
    <w:rsid w:val="00FB5A2E"/>
    <w:rsid w:val="00FB5C28"/>
    <w:rsid w:val="00FB702A"/>
    <w:rsid w:val="00FB732E"/>
    <w:rsid w:val="00FB7412"/>
    <w:rsid w:val="00FB7893"/>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4416"/>
    <w:rsid w:val="00FD5CEE"/>
    <w:rsid w:val="00FD6073"/>
    <w:rsid w:val="00FD62A1"/>
    <w:rsid w:val="00FD6C22"/>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1C1"/>
    <w:rsid w:val="00FF4695"/>
    <w:rsid w:val="00FF48B5"/>
    <w:rsid w:val="00FF5C92"/>
    <w:rsid w:val="00FF5EC7"/>
    <w:rsid w:val="031D1788"/>
    <w:rsid w:val="04B3713D"/>
    <w:rsid w:val="07344D9F"/>
    <w:rsid w:val="087D4352"/>
    <w:rsid w:val="0A570F48"/>
    <w:rsid w:val="11214436"/>
    <w:rsid w:val="12B9547C"/>
    <w:rsid w:val="13C44AAE"/>
    <w:rsid w:val="161A1762"/>
    <w:rsid w:val="163870B3"/>
    <w:rsid w:val="16D0138B"/>
    <w:rsid w:val="16F50AAB"/>
    <w:rsid w:val="17437467"/>
    <w:rsid w:val="1BF8505C"/>
    <w:rsid w:val="1F2C1D07"/>
    <w:rsid w:val="21A24B03"/>
    <w:rsid w:val="285A4276"/>
    <w:rsid w:val="34F17FBE"/>
    <w:rsid w:val="385E2F8B"/>
    <w:rsid w:val="388568F9"/>
    <w:rsid w:val="3C3B4843"/>
    <w:rsid w:val="3C3B7AD4"/>
    <w:rsid w:val="3CFB60B9"/>
    <w:rsid w:val="40D030BC"/>
    <w:rsid w:val="42DE460F"/>
    <w:rsid w:val="486B6B1E"/>
    <w:rsid w:val="4AED27D7"/>
    <w:rsid w:val="4D790506"/>
    <w:rsid w:val="501449F9"/>
    <w:rsid w:val="54C00DBA"/>
    <w:rsid w:val="59531EF5"/>
    <w:rsid w:val="5A9A3585"/>
    <w:rsid w:val="5C512E67"/>
    <w:rsid w:val="5FC85F45"/>
    <w:rsid w:val="65B12CAF"/>
    <w:rsid w:val="6C940A22"/>
    <w:rsid w:val="6C9F0FB6"/>
    <w:rsid w:val="6F1F41F1"/>
    <w:rsid w:val="78E21A64"/>
    <w:rsid w:val="7B451751"/>
    <w:rsid w:val="7BCD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51"/>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Char"/>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Char"/>
    <w:link w:val="20"/>
    <w:qFormat/>
    <w:uiPriority w:val="99"/>
    <w:rPr>
      <w:kern w:val="2"/>
      <w:sz w:val="18"/>
    </w:rPr>
  </w:style>
  <w:style w:type="paragraph" w:customStyle="1" w:styleId="58">
    <w:name w:val="Char1"/>
    <w:basedOn w:val="1"/>
    <w:qFormat/>
    <w:uiPriority w:val="0"/>
  </w:style>
  <w:style w:type="character" w:customStyle="1" w:styleId="59">
    <w:name w:val="文档结构图 Char"/>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Char"/>
    <w:link w:val="17"/>
    <w:semiHidden/>
    <w:qFormat/>
    <w:uiPriority w:val="99"/>
    <w:rPr>
      <w:kern w:val="2"/>
      <w:sz w:val="21"/>
    </w:rPr>
  </w:style>
  <w:style w:type="character" w:customStyle="1" w:styleId="64">
    <w:name w:val="批注文字 字符1"/>
    <w:qFormat/>
    <w:uiPriority w:val="0"/>
    <w:rPr>
      <w:kern w:val="2"/>
      <w:sz w:val="21"/>
    </w:r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8F353-C9FE-44C1-8F43-F38F3EC060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95549</Words>
  <Characters>97782</Characters>
  <Lines>896</Lines>
  <Paragraphs>252</Paragraphs>
  <TotalTime>240</TotalTime>
  <ScaleCrop>false</ScaleCrop>
  <LinksUpToDate>false</LinksUpToDate>
  <CharactersWithSpaces>97864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2025-05-09T08:57:00Z</dcterms:created>
  <dc:creator>张敏峻</dc:creator>
  <cp:lastModifiedBy>guanjiachen</cp:lastModifiedBy>
  <cp:lastPrinted>2023-04-11T03:14:00Z</cp:lastPrinted>
  <dcterms:modified xsi:type="dcterms:W3CDTF">2025-08-21T08:19:02Z</dcterms:modified>
  <dc:title>招募说明书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24D5FFE5362546139BEBB46ECE43B796</vt:lpwstr>
  </property>
</Properties>
</file>