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8B829" w14:textId="77777777" w:rsidR="00CA59D4" w:rsidRDefault="00CA59D4">
      <w:pPr>
        <w:rPr>
          <w:sz w:val="32"/>
        </w:rPr>
      </w:pPr>
    </w:p>
    <w:p w14:paraId="4FEDE26C" w14:textId="77777777" w:rsidR="00CA59D4" w:rsidRDefault="00CA59D4">
      <w:pPr>
        <w:rPr>
          <w:sz w:val="32"/>
        </w:rPr>
      </w:pPr>
    </w:p>
    <w:p w14:paraId="741427CB" w14:textId="77777777" w:rsidR="00CA59D4" w:rsidRDefault="00CA59D4">
      <w:pPr>
        <w:rPr>
          <w:sz w:val="32"/>
        </w:rPr>
      </w:pPr>
    </w:p>
    <w:p w14:paraId="4447796D" w14:textId="77777777" w:rsidR="00CA59D4" w:rsidRDefault="006C2E2B">
      <w:pPr>
        <w:jc w:val="center"/>
        <w:rPr>
          <w:sz w:val="32"/>
        </w:rPr>
      </w:pPr>
      <w:r>
        <w:rPr>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cstate="print"/>
                    <a:srcRect/>
                    <a:stretch>
                      <a:fillRect/>
                    </a:stretch>
                  </pic:blipFill>
                  <pic:spPr>
                    <a:xfrm>
                      <a:off x="0" y="0"/>
                      <a:ext cx="4343400" cy="571500"/>
                    </a:xfrm>
                    <a:prstGeom prst="rect">
                      <a:avLst/>
                    </a:prstGeom>
                    <a:noFill/>
                    <a:ln w="9525">
                      <a:noFill/>
                      <a:miter lim="800000"/>
                      <a:headEnd/>
                      <a:tailEnd/>
                    </a:ln>
                  </pic:spPr>
                </pic:pic>
              </a:graphicData>
            </a:graphic>
          </wp:inline>
        </w:drawing>
      </w:r>
    </w:p>
    <w:p w14:paraId="050A2CFC" w14:textId="77777777" w:rsidR="00CA59D4" w:rsidRDefault="00CA59D4">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26C5F9D" w14:textId="77777777" w:rsidR="00CA59D4" w:rsidRDefault="00CA59D4">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429D0059" w14:textId="77777777" w:rsidR="00CA59D4" w:rsidRDefault="006C2E2B">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w:t>
      </w:r>
      <w:r>
        <w:rPr>
          <w:rFonts w:ascii="Times New Roman" w:hAnsi="Times New Roman"/>
          <w:b/>
          <w:spacing w:val="2"/>
          <w:w w:val="99"/>
          <w:kern w:val="0"/>
          <w:position w:val="-4"/>
          <w:sz w:val="44"/>
          <w:szCs w:val="44"/>
        </w:rPr>
        <w:t>120</w:t>
      </w:r>
      <w:r>
        <w:rPr>
          <w:rFonts w:ascii="Times New Roman" w:hAnsi="Times New Roman"/>
          <w:b/>
          <w:spacing w:val="2"/>
          <w:w w:val="99"/>
          <w:kern w:val="0"/>
          <w:position w:val="-4"/>
          <w:sz w:val="44"/>
          <w:szCs w:val="44"/>
        </w:rPr>
        <w:t>天滚动持有债券型证券投资基金</w:t>
      </w:r>
    </w:p>
    <w:p w14:paraId="1C2328FB" w14:textId="192CDAC4" w:rsidR="00CA59D4" w:rsidRDefault="006C2E2B">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w:t>
      </w:r>
    </w:p>
    <w:p w14:paraId="0BE7E613" w14:textId="77777777" w:rsidR="00CA59D4" w:rsidRDefault="006C2E2B">
      <w:pPr>
        <w:autoSpaceDE w:val="0"/>
        <w:autoSpaceDN w:val="0"/>
        <w:adjustRightInd w:val="0"/>
        <w:snapToGrid w:val="0"/>
        <w:spacing w:line="360" w:lineRule="auto"/>
        <w:ind w:rightChars="6" w:right="13"/>
        <w:jc w:val="center"/>
        <w:rPr>
          <w:rFonts w:ascii="宋体" w:hAnsi="宋体"/>
          <w:b/>
          <w:sz w:val="30"/>
          <w:szCs w:val="30"/>
        </w:rPr>
      </w:pPr>
      <w:r>
        <w:rPr>
          <w:rFonts w:ascii="宋体" w:hAnsi="宋体" w:hint="eastAsia"/>
          <w:b/>
          <w:sz w:val="30"/>
          <w:szCs w:val="30"/>
        </w:rPr>
        <w:t>【本基金暂不向金融机构自营账户销售（基金管理人自</w:t>
      </w:r>
    </w:p>
    <w:p w14:paraId="5A7225EA" w14:textId="77777777" w:rsidR="00CA59D4" w:rsidRDefault="006C2E2B">
      <w:pPr>
        <w:autoSpaceDE w:val="0"/>
        <w:autoSpaceDN w:val="0"/>
        <w:adjustRightInd w:val="0"/>
        <w:snapToGrid w:val="0"/>
        <w:spacing w:line="360" w:lineRule="auto"/>
        <w:ind w:rightChars="6" w:right="13"/>
        <w:jc w:val="center"/>
        <w:rPr>
          <w:rFonts w:ascii="宋体" w:hAnsi="宋体"/>
          <w:spacing w:val="2"/>
          <w:w w:val="99"/>
          <w:kern w:val="0"/>
          <w:sz w:val="32"/>
          <w:szCs w:val="32"/>
        </w:rPr>
      </w:pPr>
      <w:r>
        <w:rPr>
          <w:rFonts w:ascii="宋体" w:hAnsi="宋体" w:hint="eastAsia"/>
          <w:b/>
          <w:sz w:val="30"/>
          <w:szCs w:val="30"/>
        </w:rPr>
        <w:t>有资金除外）】</w:t>
      </w:r>
    </w:p>
    <w:p w14:paraId="682578FE" w14:textId="77777777" w:rsidR="00CA59D4" w:rsidRDefault="00CA59D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09F9333" w14:textId="77777777" w:rsidR="00CA59D4" w:rsidRDefault="00CA59D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4DEC6BA" w14:textId="77777777" w:rsidR="00CA59D4" w:rsidRDefault="00CA59D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17A6DB7" w14:textId="77777777" w:rsidR="00CA59D4" w:rsidRDefault="00CA59D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0CFE7E6" w14:textId="77777777" w:rsidR="00CA59D4" w:rsidRDefault="00CA59D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30011AF" w14:textId="77777777" w:rsidR="00CA59D4" w:rsidRDefault="006C2E2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74B34A14" w14:textId="77777777" w:rsidR="00CA59D4" w:rsidRDefault="006C2E2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w:t>
      </w:r>
      <w:r>
        <w:rPr>
          <w:rFonts w:ascii="宋体" w:hAnsi="宋体" w:hint="eastAsia"/>
          <w:b/>
          <w:spacing w:val="2"/>
          <w:w w:val="99"/>
          <w:kern w:val="0"/>
          <w:sz w:val="28"/>
          <w:szCs w:val="32"/>
        </w:rPr>
        <w:t>兴业银行股份有限公司</w:t>
      </w:r>
    </w:p>
    <w:p w14:paraId="1D2DCEF7" w14:textId="77777777" w:rsidR="00CA59D4" w:rsidRDefault="00CA59D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1698A37" w14:textId="77777777" w:rsidR="00CA59D4" w:rsidRDefault="00CA59D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8E80119" w14:textId="417ADF68" w:rsidR="00CA59D4" w:rsidRDefault="006C2E2B">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Pr>
          <w:rFonts w:ascii="Times New Roman" w:hAnsi="Times New Roman" w:hint="eastAsia"/>
          <w:b/>
          <w:spacing w:val="2"/>
          <w:w w:val="99"/>
          <w:kern w:val="0"/>
          <w:sz w:val="28"/>
          <w:szCs w:val="32"/>
        </w:rPr>
        <w:t>五</w:t>
      </w:r>
      <w:r>
        <w:rPr>
          <w:rFonts w:ascii="Times New Roman" w:hAnsi="Times New Roman"/>
          <w:b/>
          <w:spacing w:val="2"/>
          <w:w w:val="99"/>
          <w:kern w:val="0"/>
          <w:sz w:val="28"/>
          <w:szCs w:val="32"/>
        </w:rPr>
        <w:t>年</w:t>
      </w:r>
      <w:r>
        <w:rPr>
          <w:rFonts w:ascii="Times New Roman" w:hAnsi="Times New Roman" w:hint="eastAsia"/>
          <w:b/>
          <w:spacing w:val="2"/>
          <w:w w:val="99"/>
          <w:kern w:val="0"/>
          <w:sz w:val="28"/>
          <w:szCs w:val="32"/>
        </w:rPr>
        <w:t>八</w:t>
      </w:r>
      <w:r>
        <w:rPr>
          <w:rFonts w:ascii="Times New Roman" w:hAnsi="Times New Roman"/>
          <w:b/>
          <w:spacing w:val="2"/>
          <w:w w:val="99"/>
          <w:kern w:val="0"/>
          <w:sz w:val="28"/>
          <w:szCs w:val="32"/>
        </w:rPr>
        <w:t>月</w:t>
      </w:r>
    </w:p>
    <w:p w14:paraId="29B4596A" w14:textId="77777777" w:rsidR="00CA59D4" w:rsidRDefault="00CA59D4">
      <w:pPr>
        <w:autoSpaceDE w:val="0"/>
        <w:autoSpaceDN w:val="0"/>
        <w:adjustRightInd w:val="0"/>
        <w:snapToGrid w:val="0"/>
        <w:spacing w:line="360" w:lineRule="auto"/>
        <w:ind w:left="1347" w:rightChars="6" w:right="13"/>
        <w:rPr>
          <w:rFonts w:ascii="宋体" w:hAnsi="宋体"/>
          <w:kern w:val="0"/>
          <w:sz w:val="32"/>
          <w:szCs w:val="32"/>
        </w:rPr>
        <w:sectPr w:rsidR="00CA59D4">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06D70417" w14:textId="77777777" w:rsidR="00CA59D4" w:rsidRDefault="006C2E2B">
      <w:pPr>
        <w:pStyle w:val="1"/>
        <w:snapToGrid w:val="0"/>
        <w:spacing w:beforeLines="0" w:before="240" w:after="240"/>
        <w:rPr>
          <w:rFonts w:ascii="宋体" w:hAnsi="宋体"/>
          <w:kern w:val="0"/>
        </w:rPr>
      </w:pPr>
      <w:bookmarkStart w:id="0" w:name="_Toc496884613"/>
      <w:bookmarkStart w:id="1" w:name="_Toc324920538"/>
      <w:bookmarkStart w:id="2" w:name="_Toc104564183"/>
      <w:r>
        <w:rPr>
          <w:rFonts w:ascii="Times New Roman" w:hAnsi="Times New Roman"/>
          <w:kern w:val="0"/>
        </w:rPr>
        <w:lastRenderedPageBreak/>
        <w:t>重要提示</w:t>
      </w:r>
      <w:bookmarkEnd w:id="0"/>
      <w:bookmarkEnd w:id="1"/>
      <w:bookmarkEnd w:id="2"/>
    </w:p>
    <w:p w14:paraId="01C48BE6" w14:textId="40C6682D" w:rsidR="00CA59D4" w:rsidRDefault="006C2E2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w:t>
      </w:r>
      <w:r>
        <w:rPr>
          <w:rFonts w:ascii="Times New Roman" w:hAnsi="Times New Roman"/>
          <w:kern w:val="0"/>
          <w:sz w:val="24"/>
        </w:rPr>
        <w:t>120</w:t>
      </w:r>
      <w:r>
        <w:rPr>
          <w:rFonts w:ascii="Times New Roman" w:hAnsi="Times New Roman"/>
          <w:kern w:val="0"/>
          <w:sz w:val="24"/>
        </w:rPr>
        <w:t>天滚动持有债券型证券投资基金（以下简称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2025</w:t>
      </w:r>
      <w:r>
        <w:rPr>
          <w:rFonts w:ascii="Times New Roman" w:hAnsi="Times New Roman"/>
          <w:kern w:val="0"/>
          <w:sz w:val="24"/>
        </w:rPr>
        <w:t>年</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29</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2025</w:t>
      </w:r>
      <w:r>
        <w:rPr>
          <w:rFonts w:ascii="Times New Roman" w:hAnsi="Times New Roman"/>
          <w:kern w:val="0"/>
          <w:sz w:val="24"/>
        </w:rPr>
        <w:t>】</w:t>
      </w:r>
      <w:r>
        <w:rPr>
          <w:rFonts w:ascii="Times New Roman" w:hAnsi="Times New Roman"/>
          <w:kern w:val="0"/>
          <w:sz w:val="24"/>
        </w:rPr>
        <w:t>968</w:t>
      </w:r>
      <w:r>
        <w:rPr>
          <w:rFonts w:ascii="Times New Roman" w:hAnsi="Times New Roman"/>
          <w:kern w:val="0"/>
          <w:sz w:val="24"/>
        </w:rPr>
        <w:t>号文准予募集注册。</w:t>
      </w:r>
    </w:p>
    <w:p w14:paraId="6C37AA1A" w14:textId="77777777" w:rsidR="00CA59D4" w:rsidRDefault="006C2E2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2E85A674" w14:textId="77777777" w:rsidR="00CA59D4" w:rsidRDefault="006C2E2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w:t>
      </w:r>
      <w:r>
        <w:rPr>
          <w:rFonts w:ascii="Times New Roman" w:hAnsi="Times New Roman" w:hint="eastAsia"/>
          <w:kern w:val="0"/>
          <w:sz w:val="24"/>
        </w:rPr>
        <w:t>谨慎</w:t>
      </w:r>
      <w:r>
        <w:rPr>
          <w:rFonts w:ascii="Times New Roman" w:hAnsi="Times New Roman"/>
          <w:kern w:val="0"/>
          <w:sz w:val="24"/>
        </w:rPr>
        <w:t>勤勉的原则管理和运用基金财产，但不保证投资本基金一定盈利，也不保证基金份额持有人的最低收益；因基金价格可升可跌，亦不保证基金份额持有人能全数取回其原本投资。</w:t>
      </w:r>
    </w:p>
    <w:p w14:paraId="584F760C" w14:textId="77777777" w:rsidR="00CA59D4" w:rsidRDefault="006C2E2B">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w:t>
      </w:r>
      <w:r>
        <w:rPr>
          <w:rFonts w:ascii="Times New Roman" w:hAnsi="Times New Roman" w:hint="eastAsia"/>
          <w:kern w:val="0"/>
          <w:sz w:val="24"/>
        </w:rPr>
        <w:t>基金</w:t>
      </w:r>
      <w:r>
        <w:rPr>
          <w:rFonts w:ascii="Times New Roman" w:hAnsi="Times New Roman"/>
          <w:kern w:val="0"/>
          <w:sz w:val="24"/>
        </w:rPr>
        <w:t>份额享受基金的收益，但同时也需承担相应的投资风险。投资本基金可能遇到的风险包括：因受到经济因素、政治因素、投资心理和交易制度等各种因素的影响而引起的市场风险；基金管理人在基金管理</w:t>
      </w:r>
      <w:r>
        <w:rPr>
          <w:rFonts w:ascii="Times New Roman" w:hAnsi="Times New Roman" w:hint="eastAsia"/>
          <w:kern w:val="0"/>
          <w:sz w:val="24"/>
        </w:rPr>
        <w:t>运作</w:t>
      </w:r>
      <w:r>
        <w:rPr>
          <w:rFonts w:ascii="Times New Roman" w:hAnsi="Times New Roman"/>
          <w:kern w:val="0"/>
          <w:sz w:val="24"/>
        </w:rPr>
        <w:t>过程中产生的基金管理风险；流动性风险（包括实施侧袋机制时的特定风险）；交易对手违约风险；本基金的特有风险</w:t>
      </w:r>
      <w:r>
        <w:rPr>
          <w:rFonts w:ascii="Times New Roman" w:hAnsi="Times New Roman" w:hint="eastAsia"/>
          <w:kern w:val="0"/>
          <w:sz w:val="24"/>
        </w:rPr>
        <w:t>；</w:t>
      </w:r>
      <w:r>
        <w:rPr>
          <w:rFonts w:ascii="宋体" w:hAnsi="宋体" w:hint="eastAsia"/>
          <w:sz w:val="24"/>
        </w:rPr>
        <w:t>投资国债期货的特定风险；</w:t>
      </w:r>
      <w:r>
        <w:rPr>
          <w:rFonts w:ascii="Times New Roman" w:hAnsi="Times New Roman"/>
          <w:kern w:val="0"/>
          <w:sz w:val="24"/>
        </w:rPr>
        <w:t>投资资产支持证券的特定风险；</w:t>
      </w:r>
      <w:r>
        <w:rPr>
          <w:rFonts w:ascii="Times New Roman" w:hAnsi="Times New Roman" w:hint="eastAsia"/>
          <w:kern w:val="0"/>
          <w:sz w:val="24"/>
        </w:rPr>
        <w:t>信用衍生品投资风险；本基金法律文件风险收益特征表述与销售机构基金风险评价可能不一致的风险</w:t>
      </w:r>
      <w:r>
        <w:rPr>
          <w:rFonts w:ascii="Times New Roman" w:hAnsi="Times New Roman"/>
          <w:kern w:val="0"/>
          <w:sz w:val="24"/>
        </w:rPr>
        <w:t>；投资本基金的其他风险等等。</w:t>
      </w:r>
    </w:p>
    <w:p w14:paraId="7B709641" w14:textId="77777777" w:rsidR="00CA59D4" w:rsidRDefault="006C2E2B">
      <w:pPr>
        <w:autoSpaceDE w:val="0"/>
        <w:autoSpaceDN w:val="0"/>
        <w:adjustRightInd w:val="0"/>
        <w:snapToGrid w:val="0"/>
        <w:spacing w:line="360" w:lineRule="auto"/>
        <w:ind w:leftChars="50" w:left="105" w:firstLineChars="200" w:firstLine="480"/>
        <w:rPr>
          <w:rFonts w:ascii="宋体" w:hAnsi="宋体"/>
          <w:kern w:val="0"/>
          <w:sz w:val="24"/>
        </w:rPr>
      </w:pPr>
      <w:r>
        <w:rPr>
          <w:rFonts w:ascii="宋体" w:hAnsi="宋体" w:hint="eastAsia"/>
          <w:kern w:val="0"/>
          <w:sz w:val="24"/>
        </w:rPr>
        <w:t>本基金对每份基金份额设置120天的滚动运作期。对于每份基金份额，基金管理人仅在该基金份额的每个运作期到期日为基金份额持有人办理赎回。如果基金份额持有人在当期运作期到期日未申请赎回或赎回被确认失败，则该基金份额将在该运作期到期日次一日起自动进入下一个运作期；在下一个运作期到期日前，基金份额持有人不能赎回该基金份额。因此基金份额持有人面临在滚动运作期内不能赎回基金份额的风险。请投资者合理安排资金进行投资。</w:t>
      </w:r>
    </w:p>
    <w:p w14:paraId="29412B09" w14:textId="77777777" w:rsidR="00CA59D4" w:rsidRDefault="006C2E2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本基金可投资国债期货，国债期货的投资可能面临市场风险、基差风险、流动性风险。</w:t>
      </w:r>
    </w:p>
    <w:p w14:paraId="441CAFA4" w14:textId="77777777" w:rsidR="00CA59D4" w:rsidRDefault="006C2E2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1B8B0956" w14:textId="77777777" w:rsidR="00CA59D4" w:rsidRDefault="006C2E2B">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为对冲信用风险，本基金可能投资信用衍生品，信用衍生品的投资可能面临流动性风险、偿付风险和价格波动风险。</w:t>
      </w:r>
    </w:p>
    <w:p w14:paraId="3FF1EB27" w14:textId="77777777" w:rsidR="00CA59D4" w:rsidRDefault="006C2E2B">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基金合同提前终止风险。</w:t>
      </w:r>
      <w:r>
        <w:rPr>
          <w:rFonts w:ascii="宋体" w:hAnsi="宋体" w:hint="eastAsia"/>
          <w:sz w:val="24"/>
        </w:rPr>
        <w:t>《基金合同》生效后，</w:t>
      </w:r>
      <w:r>
        <w:rPr>
          <w:rFonts w:ascii="Times New Roman" w:hAnsi="Times New Roman" w:hint="eastAsia"/>
          <w:kern w:val="0"/>
          <w:sz w:val="24"/>
        </w:rPr>
        <w:t>连续</w:t>
      </w:r>
      <w:r>
        <w:rPr>
          <w:rFonts w:ascii="Times New Roman" w:hAnsi="Times New Roman" w:hint="eastAsia"/>
          <w:kern w:val="0"/>
          <w:sz w:val="24"/>
        </w:rPr>
        <w:t>50</w:t>
      </w:r>
      <w:r>
        <w:rPr>
          <w:rFonts w:ascii="Times New Roman" w:hAnsi="Times New Roman" w:hint="eastAsia"/>
          <w:kern w:val="0"/>
          <w:sz w:val="24"/>
        </w:rPr>
        <w:t>个工作日出现基金份额持有人数量不满</w:t>
      </w:r>
      <w:r>
        <w:rPr>
          <w:rFonts w:ascii="Times New Roman" w:hAnsi="Times New Roman" w:hint="eastAsia"/>
          <w:kern w:val="0"/>
          <w:sz w:val="24"/>
        </w:rPr>
        <w:t>200</w:t>
      </w:r>
      <w:r>
        <w:rPr>
          <w:rFonts w:ascii="Times New Roman" w:hAnsi="Times New Roman" w:hint="eastAsia"/>
          <w:kern w:val="0"/>
          <w:sz w:val="24"/>
        </w:rPr>
        <w:t>人或者基金资产净值低于</w:t>
      </w:r>
      <w:r>
        <w:rPr>
          <w:rFonts w:ascii="Times New Roman" w:hAnsi="Times New Roman" w:hint="eastAsia"/>
          <w:kern w:val="0"/>
          <w:sz w:val="24"/>
        </w:rPr>
        <w:t>5000</w:t>
      </w:r>
      <w:r>
        <w:rPr>
          <w:rFonts w:ascii="Times New Roman" w:hAnsi="Times New Roman" w:hint="eastAsia"/>
          <w:kern w:val="0"/>
          <w:sz w:val="24"/>
        </w:rPr>
        <w:t>万元情形的，基金合同终止，不需召开基金份额持有人大会。因此，投资者可能面临基金合同提前终止的风险。</w:t>
      </w:r>
    </w:p>
    <w:p w14:paraId="3ED718E0" w14:textId="77777777" w:rsidR="00CA59D4" w:rsidRDefault="006C2E2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w:t>
      </w:r>
      <w:r>
        <w:rPr>
          <w:rFonts w:ascii="Times New Roman" w:hAnsi="Times New Roman" w:hint="eastAsia"/>
          <w:kern w:val="0"/>
          <w:sz w:val="24"/>
        </w:rPr>
        <w:t>理论上</w:t>
      </w:r>
      <w:r>
        <w:rPr>
          <w:rFonts w:ascii="Times New Roman" w:hAnsi="Times New Roman"/>
          <w:kern w:val="0"/>
          <w:sz w:val="24"/>
        </w:rPr>
        <w:t>高于货币市场基金，低于混合型基金和股票型基金。</w:t>
      </w:r>
    </w:p>
    <w:p w14:paraId="5CE21DD1" w14:textId="77777777" w:rsidR="00CA59D4" w:rsidRDefault="006C2E2B">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投资有风险，投资人在投资本基金前应认真阅读本基金的招募说明书</w:t>
      </w:r>
      <w:r>
        <w:rPr>
          <w:rFonts w:ascii="Times New Roman" w:hAnsi="Times New Roman" w:hint="eastAsia"/>
          <w:kern w:val="0"/>
          <w:sz w:val="24"/>
        </w:rPr>
        <w:t>、</w:t>
      </w:r>
      <w:r>
        <w:rPr>
          <w:rFonts w:ascii="Times New Roman" w:hAnsi="Times New Roman"/>
          <w:kern w:val="0"/>
          <w:sz w:val="24"/>
        </w:rPr>
        <w:t>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699ECFF6" w14:textId="77777777" w:rsidR="00CA59D4" w:rsidRDefault="006C2E2B">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0C9D05EF" w14:textId="77777777" w:rsidR="00CA59D4" w:rsidRDefault="006C2E2B">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7EF95512" w14:textId="77777777" w:rsidR="00CA59D4" w:rsidRDefault="00CA59D4">
      <w:pPr>
        <w:autoSpaceDE w:val="0"/>
        <w:autoSpaceDN w:val="0"/>
        <w:adjustRightInd w:val="0"/>
        <w:snapToGrid w:val="0"/>
        <w:spacing w:line="360" w:lineRule="auto"/>
        <w:ind w:leftChars="50" w:left="105" w:firstLineChars="200" w:firstLine="480"/>
        <w:rPr>
          <w:rFonts w:ascii="Times New Roman" w:hAnsi="Times New Roman"/>
          <w:kern w:val="0"/>
          <w:sz w:val="24"/>
        </w:rPr>
      </w:pPr>
    </w:p>
    <w:p w14:paraId="3E419D08" w14:textId="77777777" w:rsidR="00CA59D4" w:rsidRDefault="00CA59D4">
      <w:pPr>
        <w:rPr>
          <w:rFonts w:ascii="Times New Roman" w:hAnsi="Times New Roman"/>
          <w:kern w:val="0"/>
          <w:sz w:val="24"/>
        </w:rPr>
      </w:pPr>
    </w:p>
    <w:p w14:paraId="5469D971" w14:textId="77777777" w:rsidR="00CA59D4" w:rsidRDefault="00CA59D4">
      <w:pPr>
        <w:rPr>
          <w:rFonts w:ascii="Times New Roman" w:hAnsi="Times New Roman"/>
          <w:kern w:val="0"/>
          <w:sz w:val="24"/>
        </w:rPr>
        <w:sectPr w:rsidR="00CA59D4">
          <w:headerReference w:type="default" r:id="rId13"/>
          <w:pgSz w:w="11920" w:h="16840"/>
          <w:pgMar w:top="1440" w:right="1680" w:bottom="280" w:left="1680" w:header="0" w:footer="1073" w:gutter="0"/>
          <w:pgNumType w:start="1"/>
          <w:cols w:space="720"/>
        </w:sectPr>
      </w:pPr>
    </w:p>
    <w:p w14:paraId="7BC7A827" w14:textId="77777777" w:rsidR="00CA59D4" w:rsidRDefault="006C2E2B">
      <w:pPr>
        <w:jc w:val="center"/>
        <w:rPr>
          <w:rFonts w:ascii="Times New Roman" w:hAnsi="Times New Roman"/>
          <w:kern w:val="0"/>
          <w:sz w:val="24"/>
        </w:rPr>
      </w:pPr>
      <w:r>
        <w:rPr>
          <w:rFonts w:ascii="Times New Roman" w:hAnsi="Times New Roman"/>
          <w:kern w:val="0"/>
          <w:sz w:val="24"/>
        </w:rPr>
        <w:lastRenderedPageBreak/>
        <w:t>目</w:t>
      </w:r>
      <w:r>
        <w:rPr>
          <w:rFonts w:ascii="Times New Roman" w:hAnsi="Times New Roman"/>
          <w:kern w:val="0"/>
          <w:sz w:val="24"/>
        </w:rPr>
        <w:tab/>
      </w:r>
      <w:r>
        <w:rPr>
          <w:rFonts w:ascii="Times New Roman" w:hAnsi="Times New Roman"/>
          <w:kern w:val="0"/>
          <w:sz w:val="24"/>
        </w:rPr>
        <w:t>录</w:t>
      </w:r>
    </w:p>
    <w:p w14:paraId="358AD3C9" w14:textId="77777777" w:rsidR="00CA59D4" w:rsidRDefault="006C2E2B">
      <w:pPr>
        <w:pStyle w:val="11"/>
        <w:tabs>
          <w:tab w:val="right" w:leader="dot" w:pos="8550"/>
        </w:tabs>
        <w:spacing w:line="360" w:lineRule="auto"/>
        <w:rPr>
          <w:rStyle w:val="af3"/>
          <w:rFonts w:ascii="宋体" w:hAnsi="宋体"/>
          <w:sz w:val="24"/>
        </w:rPr>
      </w:pPr>
      <w:r>
        <w:rPr>
          <w:rFonts w:ascii="Times New Roman" w:hAnsi="Times New Roman"/>
          <w:kern w:val="0"/>
          <w:sz w:val="24"/>
        </w:rPr>
        <w:fldChar w:fldCharType="begin"/>
      </w:r>
      <w:r>
        <w:rPr>
          <w:rFonts w:ascii="Times New Roman" w:hAnsi="Times New Roman"/>
          <w:kern w:val="0"/>
          <w:sz w:val="24"/>
        </w:rPr>
        <w:instrText xml:space="preserve"> TOC \o "1-3" \f - \h \t "-1" </w:instrText>
      </w:r>
      <w:r>
        <w:rPr>
          <w:rFonts w:ascii="Times New Roman" w:hAnsi="Times New Roman"/>
          <w:kern w:val="0"/>
          <w:sz w:val="24"/>
        </w:rPr>
        <w:fldChar w:fldCharType="separate"/>
      </w:r>
      <w:hyperlink w:anchor="_Toc104564183" w:history="1">
        <w:r>
          <w:rPr>
            <w:rStyle w:val="af3"/>
            <w:rFonts w:ascii="宋体" w:hAnsi="宋体"/>
            <w:sz w:val="24"/>
          </w:rPr>
          <w:t>重要提示</w:t>
        </w:r>
        <w:r>
          <w:rPr>
            <w:rStyle w:val="af3"/>
            <w:rFonts w:ascii="宋体" w:hAnsi="宋体"/>
            <w:sz w:val="24"/>
          </w:rPr>
          <w:tab/>
        </w:r>
        <w:r>
          <w:rPr>
            <w:rStyle w:val="af3"/>
            <w:rFonts w:ascii="宋体" w:hAnsi="宋体"/>
            <w:sz w:val="24"/>
          </w:rPr>
          <w:fldChar w:fldCharType="begin"/>
        </w:r>
        <w:r>
          <w:rPr>
            <w:rStyle w:val="af3"/>
            <w:rFonts w:ascii="宋体" w:hAnsi="宋体"/>
            <w:sz w:val="24"/>
          </w:rPr>
          <w:instrText xml:space="preserve"> PAGEREF _Toc104564183 \h </w:instrText>
        </w:r>
        <w:r>
          <w:rPr>
            <w:rStyle w:val="af3"/>
            <w:rFonts w:ascii="宋体" w:hAnsi="宋体"/>
            <w:sz w:val="24"/>
          </w:rPr>
        </w:r>
        <w:r>
          <w:rPr>
            <w:rStyle w:val="af3"/>
            <w:rFonts w:ascii="宋体" w:hAnsi="宋体"/>
            <w:sz w:val="24"/>
          </w:rPr>
          <w:fldChar w:fldCharType="separate"/>
        </w:r>
        <w:r>
          <w:rPr>
            <w:rStyle w:val="af3"/>
            <w:rFonts w:ascii="宋体" w:hAnsi="宋体"/>
            <w:sz w:val="24"/>
          </w:rPr>
          <w:t>1</w:t>
        </w:r>
        <w:r>
          <w:rPr>
            <w:rStyle w:val="af3"/>
            <w:rFonts w:ascii="宋体" w:hAnsi="宋体"/>
            <w:sz w:val="24"/>
          </w:rPr>
          <w:fldChar w:fldCharType="end"/>
        </w:r>
      </w:hyperlink>
    </w:p>
    <w:p w14:paraId="29EB83FD" w14:textId="77777777" w:rsidR="00CA59D4" w:rsidRDefault="000A186F">
      <w:pPr>
        <w:pStyle w:val="11"/>
        <w:tabs>
          <w:tab w:val="right" w:leader="dot" w:pos="8550"/>
        </w:tabs>
        <w:spacing w:line="360" w:lineRule="auto"/>
        <w:rPr>
          <w:rStyle w:val="af3"/>
          <w:rFonts w:ascii="宋体" w:hAnsi="宋体"/>
          <w:sz w:val="24"/>
        </w:rPr>
      </w:pPr>
      <w:hyperlink w:anchor="_Toc104564184" w:history="1">
        <w:r w:rsidR="006C2E2B">
          <w:rPr>
            <w:rStyle w:val="af3"/>
            <w:rFonts w:ascii="宋体" w:hAnsi="宋体"/>
            <w:sz w:val="24"/>
          </w:rPr>
          <w:t>一、绪言</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_Toc104564184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4</w:t>
        </w:r>
        <w:r w:rsidR="006C2E2B">
          <w:rPr>
            <w:rStyle w:val="af3"/>
            <w:rFonts w:ascii="宋体" w:hAnsi="宋体"/>
            <w:sz w:val="24"/>
          </w:rPr>
          <w:fldChar w:fldCharType="end"/>
        </w:r>
      </w:hyperlink>
    </w:p>
    <w:p w14:paraId="4B333CB4" w14:textId="77777777" w:rsidR="00CA59D4" w:rsidRDefault="000A186F">
      <w:pPr>
        <w:pStyle w:val="11"/>
        <w:tabs>
          <w:tab w:val="right" w:leader="dot" w:pos="8550"/>
        </w:tabs>
        <w:spacing w:line="360" w:lineRule="auto"/>
        <w:rPr>
          <w:rStyle w:val="af3"/>
          <w:rFonts w:ascii="宋体" w:hAnsi="宋体"/>
          <w:sz w:val="24"/>
        </w:rPr>
      </w:pPr>
      <w:hyperlink w:anchor="_Toc104564185" w:history="1">
        <w:r w:rsidR="006C2E2B">
          <w:rPr>
            <w:rStyle w:val="af3"/>
            <w:rFonts w:ascii="宋体" w:hAnsi="宋体"/>
            <w:sz w:val="24"/>
          </w:rPr>
          <w:t>二、释义</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_Toc104564185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5</w:t>
        </w:r>
        <w:r w:rsidR="006C2E2B">
          <w:rPr>
            <w:rStyle w:val="af3"/>
            <w:rFonts w:ascii="宋体" w:hAnsi="宋体"/>
            <w:sz w:val="24"/>
          </w:rPr>
          <w:fldChar w:fldCharType="end"/>
        </w:r>
      </w:hyperlink>
    </w:p>
    <w:p w14:paraId="07AC9D49" w14:textId="77777777" w:rsidR="00CA59D4" w:rsidRDefault="000A186F">
      <w:pPr>
        <w:pStyle w:val="11"/>
        <w:tabs>
          <w:tab w:val="right" w:leader="dot" w:pos="8550"/>
        </w:tabs>
        <w:spacing w:line="360" w:lineRule="auto"/>
        <w:rPr>
          <w:rStyle w:val="af3"/>
          <w:rFonts w:ascii="宋体" w:hAnsi="宋体"/>
          <w:sz w:val="24"/>
        </w:rPr>
      </w:pPr>
      <w:hyperlink w:anchor="_Toc104564186" w:history="1">
        <w:r w:rsidR="006C2E2B">
          <w:rPr>
            <w:rStyle w:val="af3"/>
            <w:rFonts w:ascii="宋体" w:hAnsi="宋体"/>
            <w:sz w:val="24"/>
          </w:rPr>
          <w:t>三、基金管理人</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_Toc104564186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10</w:t>
        </w:r>
        <w:r w:rsidR="006C2E2B">
          <w:rPr>
            <w:rStyle w:val="af3"/>
            <w:rFonts w:ascii="宋体" w:hAnsi="宋体"/>
            <w:sz w:val="24"/>
          </w:rPr>
          <w:fldChar w:fldCharType="end"/>
        </w:r>
      </w:hyperlink>
    </w:p>
    <w:p w14:paraId="041AAF79" w14:textId="77777777" w:rsidR="00CA59D4" w:rsidRDefault="000A186F">
      <w:pPr>
        <w:pStyle w:val="11"/>
        <w:tabs>
          <w:tab w:val="right" w:leader="dot" w:pos="8550"/>
        </w:tabs>
        <w:spacing w:line="360" w:lineRule="auto"/>
        <w:rPr>
          <w:rStyle w:val="af3"/>
          <w:rFonts w:ascii="宋体" w:hAnsi="宋体"/>
          <w:sz w:val="24"/>
        </w:rPr>
      </w:pPr>
      <w:hyperlink w:anchor="_Toc104564187" w:history="1">
        <w:r w:rsidR="006C2E2B">
          <w:rPr>
            <w:rStyle w:val="af3"/>
            <w:rFonts w:ascii="宋体" w:hAnsi="宋体"/>
            <w:sz w:val="24"/>
          </w:rPr>
          <w:t>四、基金托管人</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_Toc104564187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18</w:t>
        </w:r>
        <w:r w:rsidR="006C2E2B">
          <w:rPr>
            <w:rStyle w:val="af3"/>
            <w:rFonts w:ascii="宋体" w:hAnsi="宋体"/>
            <w:sz w:val="24"/>
          </w:rPr>
          <w:fldChar w:fldCharType="end"/>
        </w:r>
      </w:hyperlink>
    </w:p>
    <w:p w14:paraId="0ECA600B" w14:textId="77777777" w:rsidR="00CA59D4" w:rsidRDefault="000A186F">
      <w:pPr>
        <w:pStyle w:val="11"/>
        <w:tabs>
          <w:tab w:val="right" w:leader="dot" w:pos="8550"/>
        </w:tabs>
        <w:spacing w:line="360" w:lineRule="auto"/>
        <w:rPr>
          <w:rStyle w:val="af3"/>
          <w:rFonts w:ascii="宋体" w:hAnsi="宋体"/>
          <w:sz w:val="24"/>
        </w:rPr>
      </w:pPr>
      <w:hyperlink w:anchor="_Toc104564188" w:history="1">
        <w:r w:rsidR="006C2E2B">
          <w:rPr>
            <w:rStyle w:val="af3"/>
            <w:rFonts w:ascii="宋体" w:hAnsi="宋体"/>
            <w:sz w:val="24"/>
          </w:rPr>
          <w:t>五、相关服务机构</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_Toc104564188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22</w:t>
        </w:r>
        <w:r w:rsidR="006C2E2B">
          <w:rPr>
            <w:rStyle w:val="af3"/>
            <w:rFonts w:ascii="宋体" w:hAnsi="宋体"/>
            <w:sz w:val="24"/>
          </w:rPr>
          <w:fldChar w:fldCharType="end"/>
        </w:r>
      </w:hyperlink>
    </w:p>
    <w:p w14:paraId="04D34A7C" w14:textId="77777777" w:rsidR="00CA59D4" w:rsidRDefault="000A186F">
      <w:pPr>
        <w:pStyle w:val="11"/>
        <w:tabs>
          <w:tab w:val="right" w:leader="dot" w:pos="8550"/>
        </w:tabs>
        <w:spacing w:line="360" w:lineRule="auto"/>
        <w:rPr>
          <w:rStyle w:val="af3"/>
          <w:rFonts w:ascii="宋体" w:hAnsi="宋体"/>
          <w:sz w:val="24"/>
        </w:rPr>
      </w:pPr>
      <w:hyperlink w:anchor="_Toc104564189" w:history="1">
        <w:r w:rsidR="006C2E2B">
          <w:rPr>
            <w:rStyle w:val="af3"/>
            <w:rFonts w:ascii="宋体" w:hAnsi="宋体"/>
            <w:sz w:val="24"/>
          </w:rPr>
          <w:t>六、基金的募集</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_Toc104564189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25</w:t>
        </w:r>
        <w:r w:rsidR="006C2E2B">
          <w:rPr>
            <w:rStyle w:val="af3"/>
            <w:rFonts w:ascii="宋体" w:hAnsi="宋体"/>
            <w:sz w:val="24"/>
          </w:rPr>
          <w:fldChar w:fldCharType="end"/>
        </w:r>
      </w:hyperlink>
    </w:p>
    <w:p w14:paraId="38DD2B46" w14:textId="77777777" w:rsidR="00CA59D4" w:rsidRDefault="000A186F">
      <w:pPr>
        <w:pStyle w:val="11"/>
        <w:tabs>
          <w:tab w:val="right" w:leader="dot" w:pos="8550"/>
        </w:tabs>
        <w:spacing w:line="360" w:lineRule="auto"/>
        <w:rPr>
          <w:rStyle w:val="af3"/>
          <w:rFonts w:ascii="宋体" w:hAnsi="宋体"/>
          <w:sz w:val="24"/>
        </w:rPr>
      </w:pPr>
      <w:hyperlink w:anchor="_Toc104564190" w:history="1">
        <w:r w:rsidR="006C2E2B">
          <w:rPr>
            <w:rStyle w:val="af3"/>
            <w:rFonts w:ascii="宋体" w:hAnsi="宋体"/>
            <w:sz w:val="24"/>
          </w:rPr>
          <w:t>七、基金合同的生效</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_Toc104564190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31</w:t>
        </w:r>
        <w:r w:rsidR="006C2E2B">
          <w:rPr>
            <w:rStyle w:val="af3"/>
            <w:rFonts w:ascii="宋体" w:hAnsi="宋体"/>
            <w:sz w:val="24"/>
          </w:rPr>
          <w:fldChar w:fldCharType="end"/>
        </w:r>
      </w:hyperlink>
    </w:p>
    <w:p w14:paraId="17D1E710" w14:textId="77777777" w:rsidR="00CA59D4" w:rsidRDefault="000A186F">
      <w:pPr>
        <w:pStyle w:val="11"/>
        <w:tabs>
          <w:tab w:val="right" w:leader="dot" w:pos="8550"/>
        </w:tabs>
        <w:spacing w:line="360" w:lineRule="auto"/>
        <w:rPr>
          <w:rStyle w:val="af3"/>
          <w:rFonts w:ascii="宋体" w:hAnsi="宋体"/>
          <w:sz w:val="24"/>
        </w:rPr>
      </w:pPr>
      <w:hyperlink w:anchor="_Toc104564191" w:history="1">
        <w:r w:rsidR="006C2E2B">
          <w:rPr>
            <w:rStyle w:val="af3"/>
            <w:rFonts w:ascii="宋体" w:hAnsi="宋体"/>
            <w:sz w:val="24"/>
          </w:rPr>
          <w:t>八、基金份额的申购与赎回</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_Toc104564191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32</w:t>
        </w:r>
        <w:r w:rsidR="006C2E2B">
          <w:rPr>
            <w:rStyle w:val="af3"/>
            <w:rFonts w:ascii="宋体" w:hAnsi="宋体"/>
            <w:sz w:val="24"/>
          </w:rPr>
          <w:fldChar w:fldCharType="end"/>
        </w:r>
      </w:hyperlink>
    </w:p>
    <w:p w14:paraId="6A9A00FD" w14:textId="77777777" w:rsidR="00CA59D4" w:rsidRDefault="000A186F">
      <w:pPr>
        <w:pStyle w:val="11"/>
        <w:tabs>
          <w:tab w:val="right" w:leader="dot" w:pos="8550"/>
        </w:tabs>
        <w:spacing w:line="360" w:lineRule="auto"/>
        <w:rPr>
          <w:rStyle w:val="af3"/>
          <w:rFonts w:ascii="宋体" w:hAnsi="宋体"/>
          <w:sz w:val="24"/>
        </w:rPr>
      </w:pPr>
      <w:hyperlink w:anchor="_Toc104564192" w:history="1">
        <w:r w:rsidR="006C2E2B">
          <w:rPr>
            <w:rStyle w:val="af3"/>
            <w:rFonts w:ascii="宋体" w:hAnsi="宋体"/>
            <w:sz w:val="24"/>
          </w:rPr>
          <w:t>九、基金的投资</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_Toc104564192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45</w:t>
        </w:r>
        <w:r w:rsidR="006C2E2B">
          <w:rPr>
            <w:rStyle w:val="af3"/>
            <w:rFonts w:ascii="宋体" w:hAnsi="宋体"/>
            <w:sz w:val="24"/>
          </w:rPr>
          <w:fldChar w:fldCharType="end"/>
        </w:r>
      </w:hyperlink>
    </w:p>
    <w:p w14:paraId="3124E23F" w14:textId="77777777" w:rsidR="00CA59D4" w:rsidRDefault="000A186F">
      <w:pPr>
        <w:pStyle w:val="11"/>
        <w:tabs>
          <w:tab w:val="right" w:leader="dot" w:pos="8550"/>
        </w:tabs>
        <w:spacing w:line="360" w:lineRule="auto"/>
        <w:rPr>
          <w:rStyle w:val="af3"/>
          <w:rFonts w:ascii="宋体" w:hAnsi="宋体"/>
          <w:sz w:val="24"/>
        </w:rPr>
      </w:pPr>
      <w:hyperlink w:anchor="_Toc104564193" w:history="1">
        <w:r w:rsidR="006C2E2B">
          <w:rPr>
            <w:rStyle w:val="af3"/>
            <w:rFonts w:ascii="宋体" w:hAnsi="宋体"/>
            <w:sz w:val="24"/>
          </w:rPr>
          <w:t>十、基金的财产</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_Toc104564193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52</w:t>
        </w:r>
        <w:r w:rsidR="006C2E2B">
          <w:rPr>
            <w:rStyle w:val="af3"/>
            <w:rFonts w:ascii="宋体" w:hAnsi="宋体"/>
            <w:sz w:val="24"/>
          </w:rPr>
          <w:fldChar w:fldCharType="end"/>
        </w:r>
      </w:hyperlink>
    </w:p>
    <w:p w14:paraId="6F0859C9" w14:textId="77777777" w:rsidR="00CA59D4" w:rsidRDefault="000A186F">
      <w:pPr>
        <w:pStyle w:val="11"/>
        <w:tabs>
          <w:tab w:val="right" w:leader="dot" w:pos="8550"/>
        </w:tabs>
        <w:spacing w:line="360" w:lineRule="auto"/>
        <w:rPr>
          <w:rStyle w:val="af3"/>
          <w:rFonts w:ascii="宋体" w:hAnsi="宋体"/>
          <w:sz w:val="24"/>
        </w:rPr>
      </w:pPr>
      <w:hyperlink w:anchor="_Toc104564194" w:history="1">
        <w:r w:rsidR="006C2E2B">
          <w:rPr>
            <w:rStyle w:val="af3"/>
            <w:rFonts w:ascii="宋体" w:hAnsi="宋体"/>
            <w:sz w:val="24"/>
          </w:rPr>
          <w:t>十一、基金资产的估值</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_Toc104564194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53</w:t>
        </w:r>
        <w:r w:rsidR="006C2E2B">
          <w:rPr>
            <w:rStyle w:val="af3"/>
            <w:rFonts w:ascii="宋体" w:hAnsi="宋体"/>
            <w:sz w:val="24"/>
          </w:rPr>
          <w:fldChar w:fldCharType="end"/>
        </w:r>
      </w:hyperlink>
    </w:p>
    <w:p w14:paraId="2E695820" w14:textId="77777777" w:rsidR="00CA59D4" w:rsidRDefault="000A186F">
      <w:pPr>
        <w:pStyle w:val="11"/>
        <w:tabs>
          <w:tab w:val="right" w:leader="dot" w:pos="8550"/>
        </w:tabs>
        <w:spacing w:line="360" w:lineRule="auto"/>
        <w:rPr>
          <w:rStyle w:val="af3"/>
          <w:rFonts w:ascii="宋体" w:hAnsi="宋体"/>
          <w:sz w:val="24"/>
        </w:rPr>
      </w:pPr>
      <w:hyperlink w:anchor="_Toc104564195" w:history="1">
        <w:r w:rsidR="006C2E2B">
          <w:rPr>
            <w:rStyle w:val="af3"/>
            <w:rFonts w:ascii="宋体" w:hAnsi="宋体"/>
            <w:sz w:val="24"/>
          </w:rPr>
          <w:t>十二、基金收益与分配</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_Toc104564195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58</w:t>
        </w:r>
        <w:r w:rsidR="006C2E2B">
          <w:rPr>
            <w:rStyle w:val="af3"/>
            <w:rFonts w:ascii="宋体" w:hAnsi="宋体"/>
            <w:sz w:val="24"/>
          </w:rPr>
          <w:fldChar w:fldCharType="end"/>
        </w:r>
      </w:hyperlink>
    </w:p>
    <w:p w14:paraId="1A6690E1" w14:textId="77777777" w:rsidR="00CA59D4" w:rsidRDefault="000A186F">
      <w:pPr>
        <w:pStyle w:val="11"/>
        <w:tabs>
          <w:tab w:val="right" w:leader="dot" w:pos="8550"/>
        </w:tabs>
        <w:spacing w:line="360" w:lineRule="auto"/>
        <w:rPr>
          <w:rStyle w:val="af3"/>
          <w:rFonts w:ascii="宋体" w:hAnsi="宋体"/>
          <w:sz w:val="24"/>
        </w:rPr>
      </w:pPr>
      <w:hyperlink w:anchor="_Toc104564196" w:history="1">
        <w:r w:rsidR="006C2E2B">
          <w:rPr>
            <w:rStyle w:val="af3"/>
            <w:rFonts w:ascii="宋体" w:hAnsi="宋体"/>
            <w:sz w:val="24"/>
          </w:rPr>
          <w:t>十三、基金的费用与税收</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_Toc104564196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60</w:t>
        </w:r>
        <w:r w:rsidR="006C2E2B">
          <w:rPr>
            <w:rStyle w:val="af3"/>
            <w:rFonts w:ascii="宋体" w:hAnsi="宋体"/>
            <w:sz w:val="24"/>
          </w:rPr>
          <w:fldChar w:fldCharType="end"/>
        </w:r>
      </w:hyperlink>
    </w:p>
    <w:p w14:paraId="6BD0C5A0" w14:textId="77777777" w:rsidR="00CA59D4" w:rsidRDefault="000A186F">
      <w:pPr>
        <w:pStyle w:val="11"/>
        <w:tabs>
          <w:tab w:val="right" w:leader="dot" w:pos="8550"/>
        </w:tabs>
        <w:spacing w:line="360" w:lineRule="auto"/>
        <w:rPr>
          <w:rStyle w:val="af3"/>
          <w:rFonts w:ascii="宋体" w:hAnsi="宋体"/>
          <w:sz w:val="24"/>
        </w:rPr>
      </w:pPr>
      <w:hyperlink w:anchor="_Toc104564197" w:history="1">
        <w:r w:rsidR="006C2E2B">
          <w:rPr>
            <w:rStyle w:val="af3"/>
            <w:rFonts w:ascii="宋体" w:hAnsi="宋体"/>
            <w:sz w:val="24"/>
          </w:rPr>
          <w:t>十四、基金的会计与审计</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_Toc104564197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63</w:t>
        </w:r>
        <w:r w:rsidR="006C2E2B">
          <w:rPr>
            <w:rStyle w:val="af3"/>
            <w:rFonts w:ascii="宋体" w:hAnsi="宋体"/>
            <w:sz w:val="24"/>
          </w:rPr>
          <w:fldChar w:fldCharType="end"/>
        </w:r>
      </w:hyperlink>
    </w:p>
    <w:p w14:paraId="433A8CAD" w14:textId="77777777" w:rsidR="00CA59D4" w:rsidRDefault="000A186F">
      <w:pPr>
        <w:pStyle w:val="11"/>
        <w:tabs>
          <w:tab w:val="right" w:leader="dot" w:pos="8550"/>
        </w:tabs>
        <w:spacing w:line="360" w:lineRule="auto"/>
        <w:rPr>
          <w:rStyle w:val="af3"/>
          <w:rFonts w:ascii="宋体" w:hAnsi="宋体"/>
          <w:sz w:val="24"/>
        </w:rPr>
      </w:pPr>
      <w:hyperlink w:anchor="_Toc104564198" w:history="1">
        <w:r w:rsidR="006C2E2B">
          <w:rPr>
            <w:rStyle w:val="af3"/>
            <w:rFonts w:ascii="宋体" w:hAnsi="宋体"/>
            <w:sz w:val="24"/>
          </w:rPr>
          <w:t>十五、基金的信息披露</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_Toc104564198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64</w:t>
        </w:r>
        <w:r w:rsidR="006C2E2B">
          <w:rPr>
            <w:rStyle w:val="af3"/>
            <w:rFonts w:ascii="宋体" w:hAnsi="宋体"/>
            <w:sz w:val="24"/>
          </w:rPr>
          <w:fldChar w:fldCharType="end"/>
        </w:r>
      </w:hyperlink>
    </w:p>
    <w:p w14:paraId="3833A4EF" w14:textId="77777777" w:rsidR="00CA59D4" w:rsidRDefault="000A186F">
      <w:pPr>
        <w:pStyle w:val="11"/>
        <w:tabs>
          <w:tab w:val="right" w:leader="dot" w:pos="8550"/>
        </w:tabs>
        <w:spacing w:line="360" w:lineRule="auto"/>
        <w:rPr>
          <w:rStyle w:val="af3"/>
          <w:rFonts w:ascii="宋体" w:hAnsi="宋体"/>
          <w:sz w:val="24"/>
        </w:rPr>
      </w:pPr>
      <w:hyperlink w:anchor="_Toc104564199" w:history="1">
        <w:r w:rsidR="006C2E2B">
          <w:rPr>
            <w:rStyle w:val="af3"/>
            <w:rFonts w:ascii="宋体" w:hAnsi="宋体"/>
            <w:sz w:val="24"/>
          </w:rPr>
          <w:t>十六、侧袋机制</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_Toc104564199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71</w:t>
        </w:r>
        <w:r w:rsidR="006C2E2B">
          <w:rPr>
            <w:rStyle w:val="af3"/>
            <w:rFonts w:ascii="宋体" w:hAnsi="宋体"/>
            <w:sz w:val="24"/>
          </w:rPr>
          <w:fldChar w:fldCharType="end"/>
        </w:r>
      </w:hyperlink>
    </w:p>
    <w:p w14:paraId="304B47BB" w14:textId="77777777" w:rsidR="00CA59D4" w:rsidRDefault="000A186F">
      <w:pPr>
        <w:pStyle w:val="11"/>
        <w:tabs>
          <w:tab w:val="right" w:leader="dot" w:pos="8550"/>
        </w:tabs>
        <w:spacing w:line="360" w:lineRule="auto"/>
        <w:rPr>
          <w:rStyle w:val="af3"/>
          <w:rFonts w:ascii="宋体" w:hAnsi="宋体"/>
          <w:sz w:val="24"/>
        </w:rPr>
      </w:pPr>
      <w:hyperlink w:anchor="_Toc104564200" w:history="1">
        <w:r w:rsidR="006C2E2B">
          <w:rPr>
            <w:rStyle w:val="af3"/>
            <w:rFonts w:ascii="宋体" w:hAnsi="宋体"/>
            <w:sz w:val="24"/>
          </w:rPr>
          <w:t>十七、风险揭示</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_Toc104564200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74</w:t>
        </w:r>
        <w:r w:rsidR="006C2E2B">
          <w:rPr>
            <w:rStyle w:val="af3"/>
            <w:rFonts w:ascii="宋体" w:hAnsi="宋体"/>
            <w:sz w:val="24"/>
          </w:rPr>
          <w:fldChar w:fldCharType="end"/>
        </w:r>
      </w:hyperlink>
    </w:p>
    <w:p w14:paraId="530BA1C8" w14:textId="77777777" w:rsidR="00CA59D4" w:rsidRDefault="000A186F">
      <w:pPr>
        <w:pStyle w:val="11"/>
        <w:tabs>
          <w:tab w:val="right" w:leader="dot" w:pos="8550"/>
        </w:tabs>
        <w:spacing w:line="360" w:lineRule="auto"/>
        <w:rPr>
          <w:rStyle w:val="af3"/>
          <w:rFonts w:ascii="宋体" w:hAnsi="宋体"/>
          <w:sz w:val="24"/>
        </w:rPr>
      </w:pPr>
      <w:hyperlink w:anchor="_Toc104564201" w:history="1">
        <w:r w:rsidR="006C2E2B">
          <w:rPr>
            <w:rStyle w:val="af3"/>
            <w:rFonts w:ascii="宋体" w:hAnsi="宋体"/>
            <w:sz w:val="24"/>
          </w:rPr>
          <w:t>十八、基金合同的变更、终止与基金财产的清算</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_Toc104564201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82</w:t>
        </w:r>
        <w:r w:rsidR="006C2E2B">
          <w:rPr>
            <w:rStyle w:val="af3"/>
            <w:rFonts w:ascii="宋体" w:hAnsi="宋体"/>
            <w:sz w:val="24"/>
          </w:rPr>
          <w:fldChar w:fldCharType="end"/>
        </w:r>
      </w:hyperlink>
    </w:p>
    <w:p w14:paraId="004A4F20" w14:textId="77777777" w:rsidR="00CA59D4" w:rsidRDefault="000A186F">
      <w:pPr>
        <w:pStyle w:val="11"/>
        <w:tabs>
          <w:tab w:val="right" w:leader="dot" w:pos="8550"/>
        </w:tabs>
        <w:spacing w:line="360" w:lineRule="auto"/>
        <w:rPr>
          <w:rStyle w:val="af3"/>
          <w:rFonts w:ascii="宋体" w:hAnsi="宋体"/>
          <w:sz w:val="24"/>
        </w:rPr>
      </w:pPr>
      <w:hyperlink w:anchor="_Toc104564202" w:history="1">
        <w:r w:rsidR="006C2E2B">
          <w:rPr>
            <w:rStyle w:val="af3"/>
            <w:rFonts w:ascii="宋体" w:hAnsi="宋体"/>
            <w:sz w:val="24"/>
          </w:rPr>
          <w:t>十九、基金合同内容摘要</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_Toc104564202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84</w:t>
        </w:r>
        <w:r w:rsidR="006C2E2B">
          <w:rPr>
            <w:rStyle w:val="af3"/>
            <w:rFonts w:ascii="宋体" w:hAnsi="宋体"/>
            <w:sz w:val="24"/>
          </w:rPr>
          <w:fldChar w:fldCharType="end"/>
        </w:r>
      </w:hyperlink>
    </w:p>
    <w:p w14:paraId="3DCA2D75" w14:textId="77777777" w:rsidR="00CA59D4" w:rsidRDefault="000A186F">
      <w:pPr>
        <w:pStyle w:val="11"/>
        <w:tabs>
          <w:tab w:val="right" w:leader="dot" w:pos="8550"/>
        </w:tabs>
        <w:spacing w:line="360" w:lineRule="auto"/>
        <w:rPr>
          <w:rStyle w:val="af3"/>
          <w:rFonts w:ascii="宋体" w:hAnsi="宋体"/>
          <w:sz w:val="24"/>
        </w:rPr>
      </w:pPr>
      <w:hyperlink w:anchor="_Toc104564203" w:history="1">
        <w:r w:rsidR="006C2E2B">
          <w:rPr>
            <w:rStyle w:val="af3"/>
            <w:rFonts w:ascii="宋体" w:hAnsi="宋体"/>
            <w:sz w:val="24"/>
          </w:rPr>
          <w:t>二十、托管协议的内容摘要</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_Toc104564203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101</w:t>
        </w:r>
        <w:r w:rsidR="006C2E2B">
          <w:rPr>
            <w:rStyle w:val="af3"/>
            <w:rFonts w:ascii="宋体" w:hAnsi="宋体"/>
            <w:sz w:val="24"/>
          </w:rPr>
          <w:fldChar w:fldCharType="end"/>
        </w:r>
      </w:hyperlink>
    </w:p>
    <w:p w14:paraId="103EA924" w14:textId="77777777" w:rsidR="00CA59D4" w:rsidRDefault="000A186F">
      <w:pPr>
        <w:pStyle w:val="11"/>
        <w:tabs>
          <w:tab w:val="right" w:leader="dot" w:pos="8550"/>
        </w:tabs>
        <w:spacing w:line="360" w:lineRule="auto"/>
        <w:rPr>
          <w:rStyle w:val="af3"/>
          <w:rFonts w:ascii="宋体" w:hAnsi="宋体"/>
          <w:sz w:val="24"/>
        </w:rPr>
      </w:pPr>
      <w:hyperlink w:anchor="_Toc104564204" w:history="1">
        <w:r w:rsidR="006C2E2B">
          <w:rPr>
            <w:rStyle w:val="af3"/>
            <w:rFonts w:ascii="宋体" w:hAnsi="宋体"/>
            <w:sz w:val="24"/>
          </w:rPr>
          <w:t>二十一、对基金份额持有人的服务</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_Toc104564204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114</w:t>
        </w:r>
        <w:r w:rsidR="006C2E2B">
          <w:rPr>
            <w:rStyle w:val="af3"/>
            <w:rFonts w:ascii="宋体" w:hAnsi="宋体"/>
            <w:sz w:val="24"/>
          </w:rPr>
          <w:fldChar w:fldCharType="end"/>
        </w:r>
      </w:hyperlink>
    </w:p>
    <w:p w14:paraId="4EEB7E74" w14:textId="77777777" w:rsidR="00CA59D4" w:rsidRDefault="000A186F">
      <w:pPr>
        <w:pStyle w:val="11"/>
        <w:tabs>
          <w:tab w:val="right" w:leader="dot" w:pos="8550"/>
        </w:tabs>
        <w:spacing w:line="360" w:lineRule="auto"/>
        <w:rPr>
          <w:rStyle w:val="af3"/>
          <w:rFonts w:ascii="宋体" w:hAnsi="宋体"/>
          <w:sz w:val="24"/>
        </w:rPr>
      </w:pPr>
      <w:hyperlink w:anchor="_Toc104564205" w:history="1">
        <w:r w:rsidR="006C2E2B">
          <w:rPr>
            <w:rStyle w:val="af3"/>
            <w:rFonts w:ascii="宋体" w:hAnsi="宋体"/>
            <w:sz w:val="24"/>
          </w:rPr>
          <w:t>二十二、其他应披露事项</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_Toc104564205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116</w:t>
        </w:r>
        <w:r w:rsidR="006C2E2B">
          <w:rPr>
            <w:rStyle w:val="af3"/>
            <w:rFonts w:ascii="宋体" w:hAnsi="宋体"/>
            <w:sz w:val="24"/>
          </w:rPr>
          <w:fldChar w:fldCharType="end"/>
        </w:r>
      </w:hyperlink>
    </w:p>
    <w:p w14:paraId="3B5F00B5" w14:textId="77777777" w:rsidR="00CA59D4" w:rsidRDefault="000A186F">
      <w:pPr>
        <w:pStyle w:val="11"/>
        <w:tabs>
          <w:tab w:val="right" w:leader="dot" w:pos="8550"/>
        </w:tabs>
        <w:spacing w:line="360" w:lineRule="auto"/>
        <w:rPr>
          <w:rStyle w:val="af3"/>
          <w:rFonts w:ascii="宋体" w:hAnsi="宋体"/>
          <w:sz w:val="24"/>
        </w:rPr>
      </w:pPr>
      <w:hyperlink w:anchor="_Toc104564206" w:history="1">
        <w:r w:rsidR="006C2E2B">
          <w:rPr>
            <w:rStyle w:val="af3"/>
            <w:rFonts w:ascii="宋体" w:hAnsi="宋体"/>
            <w:sz w:val="24"/>
          </w:rPr>
          <w:t>二十三、招募说明书的存放及查阅方式</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_Toc104564206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117</w:t>
        </w:r>
        <w:r w:rsidR="006C2E2B">
          <w:rPr>
            <w:rStyle w:val="af3"/>
            <w:rFonts w:ascii="宋体" w:hAnsi="宋体"/>
            <w:sz w:val="24"/>
          </w:rPr>
          <w:fldChar w:fldCharType="end"/>
        </w:r>
      </w:hyperlink>
    </w:p>
    <w:p w14:paraId="46AAEE0E" w14:textId="77777777" w:rsidR="00CA59D4" w:rsidRDefault="000A186F">
      <w:pPr>
        <w:pStyle w:val="11"/>
        <w:tabs>
          <w:tab w:val="right" w:leader="dot" w:pos="8550"/>
        </w:tabs>
        <w:spacing w:line="360" w:lineRule="auto"/>
        <w:rPr>
          <w:rStyle w:val="af3"/>
          <w:rFonts w:ascii="宋体" w:hAnsi="宋体"/>
          <w:sz w:val="24"/>
        </w:rPr>
      </w:pPr>
      <w:hyperlink w:anchor="_Toc104564207" w:history="1">
        <w:r w:rsidR="006C2E2B">
          <w:rPr>
            <w:rStyle w:val="af3"/>
            <w:rFonts w:ascii="宋体" w:hAnsi="宋体"/>
            <w:sz w:val="24"/>
          </w:rPr>
          <w:t>二十四、备查文件</w:t>
        </w:r>
        <w:r w:rsidR="006C2E2B">
          <w:rPr>
            <w:rStyle w:val="af3"/>
            <w:rFonts w:ascii="宋体" w:hAnsi="宋体"/>
            <w:sz w:val="24"/>
          </w:rPr>
          <w:tab/>
        </w:r>
        <w:r w:rsidR="006C2E2B">
          <w:rPr>
            <w:rStyle w:val="af3"/>
            <w:rFonts w:ascii="宋体" w:hAnsi="宋体"/>
            <w:sz w:val="24"/>
          </w:rPr>
          <w:fldChar w:fldCharType="begin"/>
        </w:r>
        <w:r w:rsidR="006C2E2B">
          <w:rPr>
            <w:rStyle w:val="af3"/>
            <w:rFonts w:ascii="宋体" w:hAnsi="宋体"/>
            <w:sz w:val="24"/>
          </w:rPr>
          <w:instrText xml:space="preserve"> PAGEREF _Toc104564207 \h </w:instrText>
        </w:r>
        <w:r w:rsidR="006C2E2B">
          <w:rPr>
            <w:rStyle w:val="af3"/>
            <w:rFonts w:ascii="宋体" w:hAnsi="宋体"/>
            <w:sz w:val="24"/>
          </w:rPr>
        </w:r>
        <w:r w:rsidR="006C2E2B">
          <w:rPr>
            <w:rStyle w:val="af3"/>
            <w:rFonts w:ascii="宋体" w:hAnsi="宋体"/>
            <w:sz w:val="24"/>
          </w:rPr>
          <w:fldChar w:fldCharType="separate"/>
        </w:r>
        <w:r w:rsidR="006C2E2B">
          <w:rPr>
            <w:rStyle w:val="af3"/>
            <w:rFonts w:ascii="宋体" w:hAnsi="宋体"/>
            <w:sz w:val="24"/>
          </w:rPr>
          <w:t>118</w:t>
        </w:r>
        <w:r w:rsidR="006C2E2B">
          <w:rPr>
            <w:rStyle w:val="af3"/>
            <w:rFonts w:ascii="宋体" w:hAnsi="宋体"/>
            <w:sz w:val="24"/>
          </w:rPr>
          <w:fldChar w:fldCharType="end"/>
        </w:r>
      </w:hyperlink>
    </w:p>
    <w:p w14:paraId="267B61CF" w14:textId="77777777" w:rsidR="00CA59D4" w:rsidRDefault="006C2E2B">
      <w:pPr>
        <w:pStyle w:val="Style19"/>
        <w:snapToGrid w:val="0"/>
        <w:spacing w:after="240" w:line="360" w:lineRule="auto"/>
        <w:jc w:val="center"/>
        <w:rPr>
          <w:rFonts w:ascii="宋体" w:hAnsi="宋体"/>
          <w:color w:val="000000"/>
          <w:sz w:val="24"/>
        </w:rPr>
      </w:pPr>
      <w:r>
        <w:rPr>
          <w:rFonts w:ascii="宋体" w:hAnsi="宋体"/>
          <w:color w:val="000000"/>
          <w:position w:val="-4"/>
          <w:sz w:val="24"/>
          <w:szCs w:val="30"/>
        </w:rPr>
        <w:fldChar w:fldCharType="end"/>
      </w:r>
    </w:p>
    <w:p w14:paraId="66640A0E" w14:textId="77777777" w:rsidR="00CA59D4" w:rsidRDefault="00CA59D4">
      <w:pPr>
        <w:autoSpaceDE w:val="0"/>
        <w:autoSpaceDN w:val="0"/>
        <w:adjustRightInd w:val="0"/>
        <w:snapToGrid w:val="0"/>
        <w:spacing w:line="360" w:lineRule="auto"/>
        <w:ind w:left="120" w:rightChars="6" w:right="13"/>
        <w:rPr>
          <w:rFonts w:ascii="宋体" w:hAnsi="宋体"/>
          <w:kern w:val="0"/>
          <w:szCs w:val="24"/>
        </w:rPr>
        <w:sectPr w:rsidR="00CA59D4">
          <w:pgSz w:w="11920" w:h="16840"/>
          <w:pgMar w:top="1480" w:right="1680" w:bottom="280" w:left="1680" w:header="0" w:footer="1073" w:gutter="0"/>
          <w:cols w:space="720"/>
        </w:sectPr>
      </w:pPr>
    </w:p>
    <w:p w14:paraId="26E29C58" w14:textId="77777777" w:rsidR="00CA59D4" w:rsidRDefault="006C2E2B">
      <w:pPr>
        <w:pStyle w:val="1"/>
        <w:snapToGrid w:val="0"/>
        <w:spacing w:beforeLines="0" w:before="240" w:after="240"/>
        <w:rPr>
          <w:rFonts w:ascii="宋体" w:hAnsi="宋体"/>
          <w:szCs w:val="30"/>
        </w:rPr>
      </w:pPr>
      <w:bookmarkStart w:id="3" w:name="_Toc104564184"/>
      <w:r>
        <w:rPr>
          <w:rFonts w:ascii="Times New Roman" w:hAnsi="Times New Roman"/>
          <w:sz w:val="30"/>
        </w:rPr>
        <w:lastRenderedPageBreak/>
        <w:t>一、绪言</w:t>
      </w:r>
      <w:bookmarkEnd w:id="3"/>
    </w:p>
    <w:p w14:paraId="5E94ACF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120天滚动持有债券型证券投资基金招募说明书》（以下简称“本招募说明书”）依据《中华人民共和国证券投资基金法》（以下简称“《基金法》”）、《公开募集证券投资基金运作管理办法》（以下简称“《运作办法》”）、《</w:t>
      </w:r>
      <w:r>
        <w:rPr>
          <w:bCs/>
          <w:sz w:val="24"/>
        </w:rPr>
        <w:t>公开募集证券投资基金销售机构监督管理办法</w:t>
      </w:r>
      <w:r>
        <w:rPr>
          <w:rFonts w:ascii="宋体" w:hAnsi="宋体"/>
          <w:sz w:val="24"/>
        </w:rPr>
        <w:t>》（以下简称“《销售办法》”）、《公开募集证券投资基金信息披露管理办法》（以下简称“《信息披露办法》”）、《公开募集开放式证券投资基金流动性风险管理规定》（以下简称“《流动性风险管理规定》”）和其他相关法律法规的规定以及《交银施罗德120天滚动持有债券型证券投资基金基金合同》（以下简称“基金合同”）编写。</w:t>
      </w:r>
    </w:p>
    <w:p w14:paraId="08BC672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3ECD504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58E88B7" w14:textId="77777777" w:rsidR="00CA59D4" w:rsidRDefault="006C2E2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81FC027" w14:textId="77777777" w:rsidR="00CA59D4" w:rsidRDefault="006C2E2B">
      <w:pPr>
        <w:pStyle w:val="1"/>
        <w:snapToGrid w:val="0"/>
        <w:spacing w:beforeLines="0" w:before="240" w:after="240"/>
        <w:rPr>
          <w:rFonts w:ascii="宋体" w:hAnsi="宋体"/>
          <w:szCs w:val="30"/>
        </w:rPr>
      </w:pPr>
      <w:bookmarkStart w:id="4" w:name="_Toc104564185"/>
      <w:bookmarkStart w:id="5" w:name="_Hlk100954017"/>
      <w:r>
        <w:rPr>
          <w:rFonts w:ascii="Times New Roman" w:hAnsi="Times New Roman"/>
          <w:sz w:val="30"/>
        </w:rPr>
        <w:lastRenderedPageBreak/>
        <w:t>二、释义</w:t>
      </w:r>
      <w:bookmarkEnd w:id="4"/>
    </w:p>
    <w:p w14:paraId="651B72A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690B673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1、基金或本基金：指交银施罗德120天滚动持有债券型证券投资基金</w:t>
      </w:r>
    </w:p>
    <w:p w14:paraId="7584437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6E1CD77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w:t>
      </w:r>
      <w:r>
        <w:rPr>
          <w:rFonts w:ascii="宋体" w:hAnsi="宋体" w:hint="eastAsia"/>
          <w:sz w:val="24"/>
        </w:rPr>
        <w:t>兴业银行股份有限公司</w:t>
      </w:r>
    </w:p>
    <w:p w14:paraId="6382C2B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4、基金合同、《基金合同》：指《交银施罗德120天滚动持有债券型证券投资基金基金合同》及对基金合同的任何有效修订和补充</w:t>
      </w:r>
    </w:p>
    <w:p w14:paraId="2A7532F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5、托管协议：指基金管理人与基金托管人就本基金签订之《交银施罗德120天滚动持有债券型证券投资基金托管协议》及对该托管协议的任何有效修订和补充</w:t>
      </w:r>
    </w:p>
    <w:p w14:paraId="6D30D59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6、招募说明书、《招募说明书》或本招募说明书：指《交银施罗德120天滚动持有债券型证券投资基金招募说明书》及其更新</w:t>
      </w:r>
    </w:p>
    <w:p w14:paraId="057EF3F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7、基金产品资料概要：指《交银施罗德120天滚动持有债券型证券投资基金基金产品资料概要》及其更新</w:t>
      </w:r>
    </w:p>
    <w:p w14:paraId="7262638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8、基金份额发售公告：指《交银施罗德120天滚动持有债券型证券投资基金基金份额发售公告》</w:t>
      </w:r>
    </w:p>
    <w:p w14:paraId="43905A1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13DC81D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0D6CEC8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w:t>
      </w:r>
      <w:r>
        <w:rPr>
          <w:bCs/>
          <w:sz w:val="24"/>
        </w:rPr>
        <w:t>公开募集证券投资基金销售机构监督管理办法</w:t>
      </w:r>
      <w:r>
        <w:rPr>
          <w:rFonts w:ascii="宋体" w:hAnsi="宋体"/>
          <w:sz w:val="24"/>
        </w:rPr>
        <w:t>》及颁布机关对其不时做出的修订</w:t>
      </w:r>
    </w:p>
    <w:p w14:paraId="26BA69A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587331F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56516AF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14:paraId="0C82289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14:paraId="785C7AB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16、银行业监督管理机构：指中国人民银行和/或</w:t>
      </w:r>
      <w:r>
        <w:rPr>
          <w:rFonts w:ascii="宋体" w:hAnsi="宋体" w:hint="eastAsia"/>
          <w:sz w:val="24"/>
        </w:rPr>
        <w:t>国家金融监督管理总局</w:t>
      </w:r>
    </w:p>
    <w:p w14:paraId="0EDD292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17、基金合同当事人：指受基金合同约束，根据基金合同享有权利并承担义务的法律主体，包括基金管理人、基金托管人和基金份额持有人</w:t>
      </w:r>
    </w:p>
    <w:p w14:paraId="5580B97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14:paraId="46583DE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14:paraId="424BDD2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w:t>
      </w:r>
      <w:r>
        <w:rPr>
          <w:rFonts w:ascii="宋体" w:hAnsi="宋体" w:hint="eastAsia"/>
          <w:sz w:val="24"/>
        </w:rPr>
        <w:t>、</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736FDBE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21、投资人、投资者：指个人投资者、机构投资者、合格境外投资者以及法律法规或中国证监会允许购买证券投资基金的其他投资人的合称</w:t>
      </w:r>
    </w:p>
    <w:p w14:paraId="2554631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22、基金份额持有人：指依基金合同和招募说明书合法取得基金份额的投资人</w:t>
      </w:r>
    </w:p>
    <w:p w14:paraId="316972E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23、基金销售业务：指基金管理人或销售机构宣传推介基金，发售基金份额，办理基金份额的申购、赎回、转换、转托管及定期定额投资等业务</w:t>
      </w:r>
    </w:p>
    <w:p w14:paraId="35698E5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24、销售机构：指交银施罗德基金管理有限公司以及符合《销售办法》和中国证监会规定的其他条件，取得基金销售业务资格并与基金管理人签订了基金销售服务协议，办理基金销售业务的机构</w:t>
      </w:r>
    </w:p>
    <w:p w14:paraId="2D87511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B3EA7E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26、登记机构：指办理登记业务的机构。基金的登记机构为交银施罗德基金管理有限公司或接受交银施罗德基金管理有限公司委托代为办理登记业务的机构</w:t>
      </w:r>
    </w:p>
    <w:p w14:paraId="6DBB82B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27、基金账户：指登记机构为投资人开立的、记录其持有的、基金管理人所管理的基金份额余额及其变动情况的账户</w:t>
      </w:r>
    </w:p>
    <w:p w14:paraId="4D92526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28、基金交易账户：指销售机构为投资人开立的、记录投资人通过该销售机构办理认购、申购、赎回、转换及转托管等业务而引起的基金份额变动及结余情况的账户</w:t>
      </w:r>
    </w:p>
    <w:p w14:paraId="016F8AE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29、基金合同生效日：指基金募集达到法律法规规定及基金合同规定的条件，基金管理人向中国证监会办理基金备案手续完毕，并获得中国证监会书面确认的日</w:t>
      </w:r>
      <w:r>
        <w:rPr>
          <w:rFonts w:ascii="宋体" w:hAnsi="宋体"/>
          <w:sz w:val="24"/>
        </w:rPr>
        <w:lastRenderedPageBreak/>
        <w:t>期</w:t>
      </w:r>
    </w:p>
    <w:p w14:paraId="2F30080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30、基金合同终止日：指基金合同规定的基金合同终止事由出现后，基金财产清算完毕，清算结果报中国证监会备案并予以公告的日期</w:t>
      </w:r>
    </w:p>
    <w:p w14:paraId="60B094B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31、基金募集期：指自基金份额发售之日起至发售结束之日止的期间，最长不得超过3个月</w:t>
      </w:r>
    </w:p>
    <w:p w14:paraId="7145065A"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32、存续期：指基金合同生效至终止之间的不定期期限</w:t>
      </w:r>
    </w:p>
    <w:p w14:paraId="0011AE20" w14:textId="77777777" w:rsidR="00CA59D4" w:rsidRDefault="006C2E2B">
      <w:pPr>
        <w:spacing w:line="360" w:lineRule="auto"/>
        <w:ind w:firstLineChars="200" w:firstLine="480"/>
        <w:rPr>
          <w:bCs/>
          <w:sz w:val="24"/>
        </w:rPr>
      </w:pPr>
      <w:r>
        <w:rPr>
          <w:rFonts w:ascii="宋体" w:hAnsi="宋体"/>
          <w:sz w:val="24"/>
        </w:rPr>
        <w:t>33</w:t>
      </w:r>
      <w:r>
        <w:rPr>
          <w:rFonts w:ascii="宋体" w:hAnsi="宋体" w:hint="eastAsia"/>
          <w:sz w:val="24"/>
        </w:rPr>
        <w:t>、</w:t>
      </w:r>
      <w:r>
        <w:rPr>
          <w:bCs/>
          <w:sz w:val="24"/>
        </w:rPr>
        <w:t>运作期起始日：对于每份认购份额，第一个运作期起始日指基金合同</w:t>
      </w:r>
      <w:r>
        <w:rPr>
          <w:rFonts w:hint="eastAsia"/>
          <w:bCs/>
          <w:sz w:val="24"/>
        </w:rPr>
        <w:t>生效日；对于每份申购份额，第一个运作期起始日指该基金份额申购确认日；对于上一运作期到期日未赎回的每份基金份额，下一运作期起始日指该基金份额上一运作期到期日的次一日</w:t>
      </w:r>
    </w:p>
    <w:p w14:paraId="4151A5D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w:t>
      </w:r>
      <w:r>
        <w:rPr>
          <w:rFonts w:ascii="宋体" w:hAnsi="宋体" w:hint="eastAsia"/>
          <w:sz w:val="24"/>
        </w:rPr>
        <w:t>、运作期到期日：对于每份基金份额，第一个运作期到期日指基金合同生效日（对认购份额而言，下同）或基金份额申购申请日（对申购份额而言，下同）后的第</w:t>
      </w:r>
      <w:r>
        <w:rPr>
          <w:rFonts w:ascii="宋体" w:hAnsi="宋体"/>
          <w:sz w:val="24"/>
        </w:rPr>
        <w:t>120</w:t>
      </w:r>
      <w:r>
        <w:rPr>
          <w:rFonts w:ascii="宋体" w:hAnsi="宋体" w:hint="eastAsia"/>
          <w:sz w:val="24"/>
        </w:rPr>
        <w:t>天（如该日为非工作日，则顺延至下一工作日）。第二个运作期到期日指基金合同生效日或基金份额申购申请日后的第</w:t>
      </w:r>
      <w:r>
        <w:rPr>
          <w:rFonts w:ascii="宋体" w:hAnsi="宋体"/>
          <w:sz w:val="24"/>
        </w:rPr>
        <w:t>240</w:t>
      </w:r>
      <w:r>
        <w:rPr>
          <w:rFonts w:ascii="宋体" w:hAnsi="宋体" w:hint="eastAsia"/>
          <w:sz w:val="24"/>
        </w:rPr>
        <w:t>天（如该日为非工作日，则顺延至下一工作日），以此类推</w:t>
      </w:r>
      <w:r>
        <w:rPr>
          <w:rFonts w:ascii="宋体" w:hAnsi="宋体"/>
          <w:sz w:val="24"/>
        </w:rPr>
        <w:t>35、工作日：指上海证券交易所、深圳证券交易所的正常交易日</w:t>
      </w:r>
    </w:p>
    <w:p w14:paraId="7453128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36、T日：指销售机构在规定时间受理投资人申购、赎回或其他业务申请的开放日</w:t>
      </w:r>
    </w:p>
    <w:p w14:paraId="31F99C3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37、T+n日：指自T日起第n个工作日（不包含T日）</w:t>
      </w:r>
    </w:p>
    <w:p w14:paraId="4FEB544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38、开放日：指为投资人办理基金份额申购、赎回或其他业务的工作日</w:t>
      </w:r>
    </w:p>
    <w:p w14:paraId="120D27A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39、开放时间：指开放日基金接受申购、赎回或其他交易的时间段</w:t>
      </w:r>
    </w:p>
    <w:p w14:paraId="1DB5D3F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40、《业务规则》：指《交银施罗德基金管理有限公司开放式基金业务规则》</w:t>
      </w:r>
      <w:r>
        <w:rPr>
          <w:rFonts w:ascii="宋体" w:hAnsi="宋体" w:hint="eastAsia"/>
          <w:sz w:val="24"/>
        </w:rPr>
        <w:t>，</w:t>
      </w:r>
      <w:r>
        <w:rPr>
          <w:rFonts w:ascii="宋体" w:hAnsi="宋体"/>
          <w:sz w:val="24"/>
        </w:rPr>
        <w:t>是规范基金管理人所管理的开放式证券投资基金登记方面的业务规则，由基金管理人和投资人共同遵守</w:t>
      </w:r>
    </w:p>
    <w:p w14:paraId="639125A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41、认购：指在基金募集期内，投资人根据基金合同和招募说明书的规定申请购买基金份额的行为</w:t>
      </w:r>
    </w:p>
    <w:p w14:paraId="525DAA9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42、申购：指基金合同生效后，投资人根据基金合同和招募说明书的规定申请购买基金份额的行为</w:t>
      </w:r>
    </w:p>
    <w:p w14:paraId="6E655A0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43、赎回：指基金合同生效后，基金份额持有人按基金合同和招募说明书规定的条件要求将基金份额兑换为现金的行为</w:t>
      </w:r>
    </w:p>
    <w:p w14:paraId="413BF18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44、基金转换：指基金份额持有人按照基金合同和基金管理人届时有效公告规定的条件，申请将其持有基金管理人管理的、某一基金的基金份额转换为基金管理人管理的其他基金基金份额的行为</w:t>
      </w:r>
    </w:p>
    <w:p w14:paraId="33AE5F7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45、转托管：指基金份额持有人在本基金的不同销售机构之间实施的变更所持基金份额销售机构的操作</w:t>
      </w:r>
    </w:p>
    <w:p w14:paraId="4390A59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1F2D00B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1C80960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48、元：指人民币元</w:t>
      </w:r>
    </w:p>
    <w:p w14:paraId="0C07D9C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49、基金收益：指基金投资所得债券利息、买卖证券价差、银行存款利息、已实现的其他合法收入及因运用基金财产带来的成本和费用的节约</w:t>
      </w:r>
    </w:p>
    <w:p w14:paraId="243A048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50、基金资产总值：指基金拥有的各类有价证券、</w:t>
      </w:r>
      <w:r>
        <w:rPr>
          <w:rFonts w:hint="eastAsia"/>
          <w:bCs/>
          <w:sz w:val="24"/>
        </w:rPr>
        <w:t>国债期货合约、</w:t>
      </w:r>
      <w:r>
        <w:rPr>
          <w:rFonts w:ascii="宋体" w:hAnsi="宋体"/>
          <w:sz w:val="24"/>
        </w:rPr>
        <w:t>银行存款本息、基金应收款</w:t>
      </w:r>
      <w:r>
        <w:rPr>
          <w:rFonts w:ascii="宋体" w:hAnsi="宋体" w:hint="eastAsia"/>
          <w:sz w:val="24"/>
        </w:rPr>
        <w:t>项</w:t>
      </w:r>
      <w:r>
        <w:rPr>
          <w:rFonts w:ascii="宋体" w:hAnsi="宋体"/>
          <w:sz w:val="24"/>
        </w:rPr>
        <w:t>及其他资产的价值总和</w:t>
      </w:r>
    </w:p>
    <w:p w14:paraId="60CC7E1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51、基金资产净值：指基金资产总值减去基金负债后的价值</w:t>
      </w:r>
    </w:p>
    <w:p w14:paraId="200E2A6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52、基金份额净值：指计算日基金资产净值除以计算日基金份额总数</w:t>
      </w:r>
    </w:p>
    <w:p w14:paraId="5A7D501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53、基金资产估值：指计算评估基金资产和负债的价值，以确定基金资产净值和基金份额净值的过程</w:t>
      </w:r>
    </w:p>
    <w:p w14:paraId="14755AD2"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54、</w:t>
      </w:r>
      <w:r>
        <w:rPr>
          <w:rFonts w:ascii="宋体" w:hAnsi="宋体" w:hint="eastAsia"/>
          <w:sz w:val="24"/>
        </w:rPr>
        <w:t>规定媒介：指符合中国证监会规定条件的用以进行信息披露的全国性报刊及《信息披露办法》规定的互联网网站（包括基金管理人网站、基金托管人网站、中国证监会基金电子披露网站）等媒介</w:t>
      </w:r>
    </w:p>
    <w:p w14:paraId="7529D81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55、销售服务费：指从基金财产中计提的，用于本基金市场推广、销售以及基金份额持有人服务的费用</w:t>
      </w:r>
    </w:p>
    <w:p w14:paraId="615303B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56、A类基金份额：指在投资人认购/申购时收取认购/申购费用且不从本类别基金资产中计提销售服务费的基金份额</w:t>
      </w:r>
    </w:p>
    <w:p w14:paraId="48C1F039"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57、C类基金份额：指在投资人认购/申购时不收取认购/申购费用并从本类别基金资产中计提销售服务费的基金份额</w:t>
      </w:r>
    </w:p>
    <w:p w14:paraId="5329A0C2"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58、信用衍生品：指符合证券交易所或银行间市场相关业务规则，专门用于管</w:t>
      </w:r>
      <w:r>
        <w:rPr>
          <w:rFonts w:ascii="宋体" w:hAnsi="宋体"/>
          <w:sz w:val="24"/>
        </w:rPr>
        <w:lastRenderedPageBreak/>
        <w:t>理信用风险的信用衍生工具</w:t>
      </w:r>
    </w:p>
    <w:p w14:paraId="7F091B73"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59、信用保护买方：亦称信用保护购买方，指接受信用风险保护的一方</w:t>
      </w:r>
    </w:p>
    <w:p w14:paraId="1B6EF6FA"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60、信用保护卖方：亦称信用保护提供方，指提供信用风险保护的一方</w:t>
      </w:r>
    </w:p>
    <w:p w14:paraId="0B05936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61、名义本金：亦称交易名义本金，指为信用衍生品交易提供信用风险保护的金额，各项支付和结算以此金额为计算基准</w:t>
      </w:r>
    </w:p>
    <w:p w14:paraId="6FF40A2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0035E45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E86A32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E2E8B3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AA019C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66、不可抗力：指基金合同当事人不能预见、不能避免且不能克服的客观事件</w:t>
      </w:r>
    </w:p>
    <w:p w14:paraId="4B0A65F9" w14:textId="77777777" w:rsidR="00CA59D4" w:rsidRDefault="006C2E2B">
      <w:pPr>
        <w:autoSpaceDE w:val="0"/>
        <w:autoSpaceDN w:val="0"/>
        <w:adjustRightInd w:val="0"/>
        <w:spacing w:line="360" w:lineRule="auto"/>
        <w:ind w:firstLineChars="200" w:firstLine="480"/>
        <w:rPr>
          <w:rFonts w:ascii="宋体" w:hAnsi="宋体"/>
          <w:szCs w:val="24"/>
        </w:rPr>
      </w:pPr>
      <w:r>
        <w:rPr>
          <w:rFonts w:ascii="宋体" w:hAnsi="宋体"/>
          <w:sz w:val="24"/>
        </w:rPr>
        <w:br w:type="page"/>
      </w:r>
    </w:p>
    <w:bookmarkEnd w:id="5"/>
    <w:p w14:paraId="68F6EA81" w14:textId="77777777" w:rsidR="00CA59D4" w:rsidRDefault="006C2E2B">
      <w:pPr>
        <w:pStyle w:val="1"/>
        <w:tabs>
          <w:tab w:val="center" w:pos="4330"/>
          <w:tab w:val="right" w:pos="8660"/>
        </w:tabs>
        <w:snapToGrid w:val="0"/>
        <w:spacing w:beforeLines="0" w:before="240" w:after="240"/>
        <w:jc w:val="left"/>
        <w:rPr>
          <w:rFonts w:ascii="宋体" w:hAnsi="宋体"/>
          <w:szCs w:val="30"/>
        </w:rPr>
      </w:pPr>
      <w:r>
        <w:rPr>
          <w:rFonts w:ascii="Times New Roman" w:hAnsi="Times New Roman"/>
          <w:sz w:val="30"/>
        </w:rPr>
        <w:lastRenderedPageBreak/>
        <w:tab/>
      </w:r>
      <w:bookmarkStart w:id="6" w:name="_Toc104564186"/>
      <w:r>
        <w:rPr>
          <w:rFonts w:ascii="Times New Roman" w:hAnsi="Times New Roman"/>
          <w:sz w:val="30"/>
        </w:rPr>
        <w:t>三、基金管理人</w:t>
      </w:r>
      <w:bookmarkEnd w:id="6"/>
      <w:r>
        <w:rPr>
          <w:rFonts w:ascii="Times New Roman" w:hAnsi="Times New Roman"/>
          <w:sz w:val="30"/>
        </w:rPr>
        <w:tab/>
      </w:r>
    </w:p>
    <w:p w14:paraId="638F4A07"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（一）基金管理人概况</w:t>
      </w:r>
    </w:p>
    <w:p w14:paraId="0B17CF5B" w14:textId="77777777" w:rsidR="00CA59D4" w:rsidRDefault="006C2E2B">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名称：交银施罗德基金管理有限公司</w:t>
      </w:r>
    </w:p>
    <w:p w14:paraId="2B7A7D3F" w14:textId="77777777" w:rsidR="00CA59D4" w:rsidRDefault="006C2E2B">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住所：</w:t>
      </w:r>
      <w:r>
        <w:rPr>
          <w:rFonts w:ascii="Times New Roman" w:hAnsi="Times New Roman" w:hint="eastAsia"/>
          <w:kern w:val="0"/>
          <w:sz w:val="24"/>
        </w:rPr>
        <w:t>中国</w:t>
      </w:r>
      <w:r>
        <w:rPr>
          <w:rFonts w:ascii="Times New Roman" w:hAnsi="Times New Roman"/>
          <w:kern w:val="0"/>
          <w:sz w:val="24"/>
        </w:rPr>
        <w:t>（</w:t>
      </w:r>
      <w:r>
        <w:rPr>
          <w:rFonts w:ascii="Times New Roman" w:hAnsi="Times New Roman" w:hint="eastAsia"/>
          <w:kern w:val="0"/>
          <w:sz w:val="24"/>
        </w:rPr>
        <w:t>上海）自由</w:t>
      </w:r>
      <w:r>
        <w:rPr>
          <w:rFonts w:ascii="Times New Roman" w:hAnsi="Times New Roman"/>
          <w:kern w:val="0"/>
          <w:sz w:val="24"/>
        </w:rPr>
        <w:t>贸易试验区银城中路</w:t>
      </w:r>
      <w:r>
        <w:rPr>
          <w:rFonts w:ascii="Times New Roman" w:hAnsi="Times New Roman"/>
          <w:kern w:val="0"/>
          <w:sz w:val="24"/>
        </w:rPr>
        <w:t>188</w:t>
      </w:r>
      <w:r>
        <w:rPr>
          <w:rFonts w:ascii="Times New Roman" w:hAnsi="Times New Roman"/>
          <w:kern w:val="0"/>
          <w:sz w:val="24"/>
        </w:rPr>
        <w:t>号交通银行大楼二层（裙）</w:t>
      </w:r>
    </w:p>
    <w:p w14:paraId="1523B3A7" w14:textId="77777777" w:rsidR="00CA59D4" w:rsidRDefault="006C2E2B">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办公地址：</w:t>
      </w:r>
      <w:r>
        <w:rPr>
          <w:rFonts w:ascii="Times New Roman" w:hAnsi="Times New Roman" w:hint="eastAsia"/>
          <w:kern w:val="0"/>
          <w:sz w:val="24"/>
        </w:rPr>
        <w:t>上海市浦东</w:t>
      </w:r>
      <w:r>
        <w:rPr>
          <w:rFonts w:ascii="Times New Roman" w:hAnsi="Times New Roman"/>
          <w:kern w:val="0"/>
          <w:sz w:val="24"/>
        </w:rPr>
        <w:t>新区</w:t>
      </w:r>
      <w:r>
        <w:rPr>
          <w:rFonts w:ascii="Times New Roman" w:hAnsi="Times New Roman" w:hint="eastAsia"/>
          <w:kern w:val="0"/>
          <w:sz w:val="24"/>
        </w:rPr>
        <w:t>世纪大道</w:t>
      </w:r>
      <w:r>
        <w:rPr>
          <w:rFonts w:ascii="Times New Roman" w:hAnsi="Times New Roman"/>
          <w:kern w:val="0"/>
          <w:sz w:val="24"/>
        </w:rPr>
        <w:t>8</w:t>
      </w:r>
      <w:r>
        <w:rPr>
          <w:rFonts w:ascii="Times New Roman" w:hAnsi="Times New Roman" w:hint="eastAsia"/>
          <w:kern w:val="0"/>
          <w:sz w:val="24"/>
        </w:rPr>
        <w:t>号国金中心二期</w:t>
      </w:r>
      <w:r>
        <w:rPr>
          <w:rFonts w:ascii="Times New Roman" w:hAnsi="Times New Roman"/>
          <w:kern w:val="0"/>
          <w:sz w:val="24"/>
        </w:rPr>
        <w:t>21-22</w:t>
      </w:r>
      <w:r>
        <w:rPr>
          <w:rFonts w:ascii="Times New Roman" w:hAnsi="Times New Roman" w:hint="eastAsia"/>
          <w:kern w:val="0"/>
          <w:sz w:val="24"/>
        </w:rPr>
        <w:t>楼</w:t>
      </w:r>
    </w:p>
    <w:p w14:paraId="15AFD860" w14:textId="77777777" w:rsidR="00CA59D4" w:rsidRDefault="006C2E2B">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sz w:val="24"/>
        </w:rPr>
        <w:t>邮政编码：</w:t>
      </w:r>
      <w:r>
        <w:rPr>
          <w:rFonts w:ascii="Times New Roman" w:hAnsi="Times New Roman"/>
          <w:sz w:val="24"/>
        </w:rPr>
        <w:t>200120</w:t>
      </w:r>
    </w:p>
    <w:p w14:paraId="160C9206" w14:textId="77777777" w:rsidR="00CA59D4" w:rsidRDefault="006C2E2B">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法定代表人：</w:t>
      </w:r>
      <w:r>
        <w:rPr>
          <w:rFonts w:ascii="Times New Roman" w:hAnsi="Times New Roman" w:hint="eastAsia"/>
          <w:sz w:val="24"/>
        </w:rPr>
        <w:t>张宏良</w:t>
      </w:r>
    </w:p>
    <w:p w14:paraId="7B4ABE07" w14:textId="77777777" w:rsidR="00CA59D4" w:rsidRDefault="006C2E2B">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成立时间：</w:t>
      </w:r>
      <w:r>
        <w:rPr>
          <w:rFonts w:ascii="Times New Roman" w:hAnsi="Times New Roman"/>
          <w:kern w:val="0"/>
          <w:sz w:val="24"/>
        </w:rPr>
        <w:t>2005</w:t>
      </w:r>
      <w:r>
        <w:rPr>
          <w:rFonts w:ascii="Times New Roman" w:hAnsi="Times New Roman"/>
          <w:kern w:val="0"/>
          <w:sz w:val="24"/>
        </w:rPr>
        <w:t>年</w:t>
      </w:r>
      <w:r>
        <w:rPr>
          <w:rFonts w:ascii="Times New Roman" w:hAnsi="Times New Roman"/>
          <w:kern w:val="0"/>
          <w:sz w:val="24"/>
        </w:rPr>
        <w:t>8</w:t>
      </w:r>
      <w:r>
        <w:rPr>
          <w:rFonts w:ascii="Times New Roman" w:hAnsi="Times New Roman"/>
          <w:kern w:val="0"/>
          <w:sz w:val="24"/>
        </w:rPr>
        <w:t>月</w:t>
      </w:r>
      <w:r>
        <w:rPr>
          <w:rFonts w:ascii="Times New Roman" w:hAnsi="Times New Roman"/>
          <w:kern w:val="0"/>
          <w:sz w:val="24"/>
        </w:rPr>
        <w:t>4</w:t>
      </w:r>
      <w:r>
        <w:rPr>
          <w:rFonts w:ascii="Times New Roman" w:hAnsi="Times New Roman"/>
          <w:kern w:val="0"/>
          <w:sz w:val="24"/>
        </w:rPr>
        <w:t>日</w:t>
      </w:r>
    </w:p>
    <w:p w14:paraId="7D69082D" w14:textId="77777777" w:rsidR="00CA59D4" w:rsidRDefault="006C2E2B">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注册资本：</w:t>
      </w:r>
      <w:r>
        <w:rPr>
          <w:rFonts w:ascii="Times New Roman" w:hAnsi="Times New Roman"/>
          <w:kern w:val="0"/>
          <w:sz w:val="24"/>
        </w:rPr>
        <w:t>2</w:t>
      </w:r>
      <w:r>
        <w:rPr>
          <w:rFonts w:ascii="Times New Roman" w:hAnsi="Times New Roman"/>
          <w:kern w:val="0"/>
          <w:sz w:val="24"/>
        </w:rPr>
        <w:t>亿元人民币</w:t>
      </w:r>
    </w:p>
    <w:p w14:paraId="416BAD72" w14:textId="77777777" w:rsidR="00CA59D4" w:rsidRDefault="006C2E2B">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存续期间：持续经营</w:t>
      </w:r>
    </w:p>
    <w:p w14:paraId="5AE9B512" w14:textId="77777777" w:rsidR="00CA59D4" w:rsidRDefault="006C2E2B">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联系人：</w:t>
      </w:r>
      <w:r>
        <w:rPr>
          <w:rFonts w:ascii="Times New Roman" w:hAnsi="Times New Roman" w:hint="eastAsia"/>
          <w:sz w:val="24"/>
        </w:rPr>
        <w:t>何佳妮</w:t>
      </w:r>
    </w:p>
    <w:p w14:paraId="52D45864" w14:textId="77777777" w:rsidR="00CA59D4" w:rsidRDefault="006C2E2B">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电话：</w:t>
      </w:r>
      <w:r>
        <w:rPr>
          <w:rFonts w:ascii="Times New Roman" w:hAnsi="Times New Roman" w:hint="eastAsia"/>
          <w:kern w:val="0"/>
          <w:sz w:val="24"/>
        </w:rPr>
        <w:t>（</w:t>
      </w:r>
      <w:r>
        <w:rPr>
          <w:rFonts w:ascii="Times New Roman" w:hAnsi="Times New Roman"/>
          <w:kern w:val="0"/>
          <w:sz w:val="24"/>
        </w:rPr>
        <w:t>021</w:t>
      </w:r>
      <w:r>
        <w:rPr>
          <w:rFonts w:ascii="Times New Roman" w:hAnsi="Times New Roman" w:hint="eastAsia"/>
          <w:kern w:val="0"/>
          <w:sz w:val="24"/>
        </w:rPr>
        <w:t>）</w:t>
      </w:r>
      <w:r>
        <w:rPr>
          <w:rFonts w:ascii="Times New Roman" w:hAnsi="Times New Roman"/>
          <w:kern w:val="0"/>
          <w:sz w:val="24"/>
        </w:rPr>
        <w:t>61055050</w:t>
      </w:r>
    </w:p>
    <w:p w14:paraId="374FE0E6" w14:textId="77777777" w:rsidR="00CA59D4" w:rsidRDefault="006C2E2B">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传真：</w:t>
      </w:r>
      <w:r>
        <w:rPr>
          <w:rFonts w:ascii="Times New Roman" w:hAnsi="Times New Roman" w:hint="eastAsia"/>
          <w:kern w:val="0"/>
          <w:sz w:val="24"/>
        </w:rPr>
        <w:t>（</w:t>
      </w:r>
      <w:r>
        <w:rPr>
          <w:rFonts w:ascii="Times New Roman" w:hAnsi="Times New Roman"/>
          <w:kern w:val="0"/>
          <w:sz w:val="24"/>
        </w:rPr>
        <w:t>021</w:t>
      </w:r>
      <w:r>
        <w:rPr>
          <w:rFonts w:ascii="Times New Roman" w:hAnsi="Times New Roman" w:hint="eastAsia"/>
          <w:kern w:val="0"/>
          <w:sz w:val="24"/>
        </w:rPr>
        <w:t>）</w:t>
      </w:r>
      <w:r>
        <w:rPr>
          <w:rFonts w:ascii="Times New Roman" w:hAnsi="Times New Roman"/>
          <w:kern w:val="0"/>
          <w:sz w:val="24"/>
        </w:rPr>
        <w:t>61055034</w:t>
      </w:r>
    </w:p>
    <w:p w14:paraId="0E73B8F7" w14:textId="77777777" w:rsidR="00CA59D4" w:rsidRDefault="006C2E2B">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交银施罗德基金管理有限公司（以下简称</w:t>
      </w:r>
      <w:r>
        <w:rPr>
          <w:rFonts w:ascii="Times New Roman" w:hAnsi="Times New Roman" w:hint="eastAsia"/>
          <w:kern w:val="0"/>
          <w:sz w:val="24"/>
        </w:rPr>
        <w:t>“</w:t>
      </w:r>
      <w:r>
        <w:rPr>
          <w:rFonts w:ascii="Times New Roman" w:hAnsi="Times New Roman"/>
          <w:kern w:val="0"/>
          <w:sz w:val="24"/>
        </w:rPr>
        <w:t>公司</w:t>
      </w:r>
      <w:r>
        <w:rPr>
          <w:rFonts w:ascii="Times New Roman" w:hAnsi="Times New Roman" w:hint="eastAsia"/>
          <w:kern w:val="0"/>
          <w:sz w:val="24"/>
        </w:rPr>
        <w:t>”</w:t>
      </w:r>
      <w:r>
        <w:rPr>
          <w:rFonts w:ascii="Times New Roman" w:hAnsi="Times New Roman"/>
          <w:kern w:val="0"/>
          <w:sz w:val="24"/>
        </w:rPr>
        <w:t>）经中国证监会证监基金字</w:t>
      </w:r>
      <w:r>
        <w:rPr>
          <w:rFonts w:ascii="Times New Roman" w:hAnsi="Times New Roman"/>
          <w:kern w:val="0"/>
          <w:sz w:val="24"/>
        </w:rPr>
        <w:t>[2005]128</w:t>
      </w:r>
      <w:r>
        <w:rPr>
          <w:rFonts w:ascii="Times New Roman" w:hAnsi="Times New Roman"/>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CA59D4" w14:paraId="40613F0D" w14:textId="77777777">
        <w:trPr>
          <w:trHeight w:val="402"/>
        </w:trPr>
        <w:tc>
          <w:tcPr>
            <w:tcW w:w="5400" w:type="dxa"/>
          </w:tcPr>
          <w:p w14:paraId="088B944E" w14:textId="77777777" w:rsidR="00CA59D4" w:rsidRDefault="006C2E2B">
            <w:pPr>
              <w:widowControl/>
              <w:jc w:val="center"/>
              <w:rPr>
                <w:rFonts w:ascii="Times New Roman" w:hAnsi="Times New Roman"/>
                <w:kern w:val="0"/>
                <w:sz w:val="24"/>
              </w:rPr>
            </w:pPr>
            <w:r>
              <w:rPr>
                <w:rFonts w:ascii="Times New Roman" w:hAnsi="Times New Roman"/>
                <w:kern w:val="0"/>
                <w:sz w:val="24"/>
              </w:rPr>
              <w:t>股东名称</w:t>
            </w:r>
          </w:p>
        </w:tc>
        <w:tc>
          <w:tcPr>
            <w:tcW w:w="3060" w:type="dxa"/>
          </w:tcPr>
          <w:p w14:paraId="6DC52D21" w14:textId="77777777" w:rsidR="00CA59D4" w:rsidRDefault="006C2E2B">
            <w:pPr>
              <w:widowControl/>
              <w:jc w:val="center"/>
              <w:rPr>
                <w:rFonts w:ascii="Times New Roman" w:hAnsi="Times New Roman"/>
                <w:kern w:val="0"/>
                <w:sz w:val="24"/>
              </w:rPr>
            </w:pPr>
            <w:r>
              <w:rPr>
                <w:rFonts w:ascii="Times New Roman" w:hAnsi="Times New Roman"/>
                <w:kern w:val="0"/>
                <w:sz w:val="24"/>
              </w:rPr>
              <w:t>股权比例</w:t>
            </w:r>
          </w:p>
        </w:tc>
      </w:tr>
      <w:tr w:rsidR="00CA59D4" w14:paraId="3830A49A" w14:textId="77777777">
        <w:trPr>
          <w:trHeight w:val="579"/>
        </w:trPr>
        <w:tc>
          <w:tcPr>
            <w:tcW w:w="5400" w:type="dxa"/>
          </w:tcPr>
          <w:p w14:paraId="6DBCBD7F" w14:textId="77777777" w:rsidR="00CA59D4" w:rsidRDefault="006C2E2B">
            <w:pPr>
              <w:widowControl/>
              <w:rPr>
                <w:rFonts w:ascii="Times New Roman" w:hAnsi="Times New Roman"/>
                <w:kern w:val="0"/>
                <w:sz w:val="24"/>
              </w:rPr>
            </w:pPr>
            <w:r>
              <w:rPr>
                <w:rFonts w:ascii="Times New Roman" w:hAnsi="Times New Roman"/>
                <w:kern w:val="0"/>
                <w:sz w:val="24"/>
              </w:rPr>
              <w:t>交通银行股份有限公司（以下使用全称或其简称</w:t>
            </w:r>
            <w:r>
              <w:rPr>
                <w:rFonts w:ascii="Times New Roman" w:hAnsi="Times New Roman"/>
                <w:kern w:val="0"/>
                <w:sz w:val="24"/>
              </w:rPr>
              <w:t>“</w:t>
            </w:r>
            <w:r>
              <w:rPr>
                <w:rFonts w:ascii="Times New Roman" w:hAnsi="Times New Roman"/>
                <w:kern w:val="0"/>
                <w:sz w:val="24"/>
              </w:rPr>
              <w:t>交通银行</w:t>
            </w:r>
            <w:r>
              <w:rPr>
                <w:rFonts w:ascii="Times New Roman" w:hAnsi="Times New Roman"/>
                <w:kern w:val="0"/>
                <w:sz w:val="24"/>
              </w:rPr>
              <w:t>”</w:t>
            </w:r>
            <w:r>
              <w:rPr>
                <w:rFonts w:ascii="Times New Roman" w:hAnsi="Times New Roman"/>
                <w:kern w:val="0"/>
                <w:sz w:val="24"/>
              </w:rPr>
              <w:t>）</w:t>
            </w:r>
          </w:p>
        </w:tc>
        <w:tc>
          <w:tcPr>
            <w:tcW w:w="3060" w:type="dxa"/>
            <w:vAlign w:val="center"/>
          </w:tcPr>
          <w:p w14:paraId="7CBEA0ED" w14:textId="77777777" w:rsidR="00CA59D4" w:rsidRDefault="006C2E2B">
            <w:pPr>
              <w:widowControl/>
              <w:jc w:val="center"/>
              <w:rPr>
                <w:rFonts w:ascii="Times New Roman" w:hAnsi="Times New Roman"/>
                <w:kern w:val="0"/>
                <w:sz w:val="24"/>
              </w:rPr>
            </w:pPr>
            <w:r>
              <w:rPr>
                <w:rFonts w:ascii="Times New Roman" w:hAnsi="Times New Roman"/>
                <w:kern w:val="0"/>
                <w:sz w:val="24"/>
              </w:rPr>
              <w:t>65%</w:t>
            </w:r>
          </w:p>
        </w:tc>
      </w:tr>
      <w:tr w:rsidR="00CA59D4" w14:paraId="726B43CE" w14:textId="77777777">
        <w:tc>
          <w:tcPr>
            <w:tcW w:w="5400" w:type="dxa"/>
          </w:tcPr>
          <w:p w14:paraId="3D276F34" w14:textId="77777777" w:rsidR="00CA59D4" w:rsidRDefault="006C2E2B">
            <w:pPr>
              <w:widowControl/>
              <w:rPr>
                <w:rFonts w:ascii="Times New Roman" w:hAnsi="Times New Roman"/>
                <w:kern w:val="0"/>
                <w:sz w:val="24"/>
              </w:rPr>
            </w:pPr>
            <w:r>
              <w:rPr>
                <w:rFonts w:ascii="Times New Roman" w:hAnsi="Times New Roman"/>
                <w:kern w:val="0"/>
                <w:sz w:val="24"/>
              </w:rPr>
              <w:t>施罗德投资管理有限公司</w:t>
            </w:r>
          </w:p>
        </w:tc>
        <w:tc>
          <w:tcPr>
            <w:tcW w:w="3060" w:type="dxa"/>
            <w:vAlign w:val="center"/>
          </w:tcPr>
          <w:p w14:paraId="2CE1EDC4" w14:textId="77777777" w:rsidR="00CA59D4" w:rsidRDefault="006C2E2B">
            <w:pPr>
              <w:widowControl/>
              <w:jc w:val="center"/>
              <w:rPr>
                <w:rFonts w:ascii="Times New Roman" w:hAnsi="Times New Roman"/>
                <w:kern w:val="0"/>
                <w:sz w:val="24"/>
              </w:rPr>
            </w:pPr>
            <w:r>
              <w:rPr>
                <w:rFonts w:ascii="Times New Roman" w:hAnsi="Times New Roman"/>
                <w:kern w:val="0"/>
                <w:sz w:val="24"/>
              </w:rPr>
              <w:t>30%</w:t>
            </w:r>
          </w:p>
        </w:tc>
      </w:tr>
      <w:tr w:rsidR="00CA59D4" w14:paraId="1ACBE74B" w14:textId="77777777">
        <w:trPr>
          <w:trHeight w:val="58"/>
        </w:trPr>
        <w:tc>
          <w:tcPr>
            <w:tcW w:w="5400" w:type="dxa"/>
          </w:tcPr>
          <w:p w14:paraId="18151A3E" w14:textId="77777777" w:rsidR="00CA59D4" w:rsidRDefault="006C2E2B">
            <w:pPr>
              <w:widowControl/>
              <w:rPr>
                <w:rFonts w:ascii="Times New Roman" w:hAnsi="Times New Roman"/>
                <w:kern w:val="0"/>
                <w:sz w:val="24"/>
              </w:rPr>
            </w:pPr>
            <w:r>
              <w:rPr>
                <w:rFonts w:ascii="Times New Roman" w:hAnsi="Times New Roman"/>
                <w:kern w:val="0"/>
                <w:sz w:val="24"/>
              </w:rPr>
              <w:t>中国国际海运集装箱（集团）股份有限公司</w:t>
            </w:r>
          </w:p>
        </w:tc>
        <w:tc>
          <w:tcPr>
            <w:tcW w:w="3060" w:type="dxa"/>
            <w:vAlign w:val="center"/>
          </w:tcPr>
          <w:p w14:paraId="7C9C7F48" w14:textId="77777777" w:rsidR="00CA59D4" w:rsidRDefault="006C2E2B">
            <w:pPr>
              <w:widowControl/>
              <w:jc w:val="center"/>
              <w:rPr>
                <w:rFonts w:ascii="Times New Roman" w:hAnsi="Times New Roman"/>
                <w:kern w:val="0"/>
                <w:sz w:val="24"/>
              </w:rPr>
            </w:pPr>
            <w:r>
              <w:rPr>
                <w:rFonts w:ascii="Times New Roman" w:hAnsi="Times New Roman"/>
                <w:kern w:val="0"/>
                <w:sz w:val="24"/>
              </w:rPr>
              <w:t>5%</w:t>
            </w:r>
          </w:p>
        </w:tc>
      </w:tr>
    </w:tbl>
    <w:p w14:paraId="1B74DEB9" w14:textId="77777777" w:rsidR="00CA59D4" w:rsidRDefault="00CA59D4">
      <w:pPr>
        <w:adjustRightInd w:val="0"/>
        <w:snapToGrid w:val="0"/>
        <w:spacing w:line="360" w:lineRule="auto"/>
        <w:ind w:firstLineChars="200" w:firstLine="480"/>
        <w:rPr>
          <w:rFonts w:ascii="Times New Roman" w:hAnsi="Times New Roman"/>
          <w:kern w:val="0"/>
          <w:sz w:val="24"/>
        </w:rPr>
      </w:pPr>
    </w:p>
    <w:p w14:paraId="6D9114B4" w14:textId="77777777" w:rsidR="00CA59D4" w:rsidRDefault="006C2E2B">
      <w:pPr>
        <w:widowControl/>
        <w:adjustRightInd w:val="0"/>
        <w:snapToGrid w:val="0"/>
        <w:spacing w:line="360" w:lineRule="auto"/>
        <w:ind w:firstLineChars="200" w:firstLine="482"/>
        <w:rPr>
          <w:rFonts w:ascii="Times New Roman" w:hAnsi="Times New Roman"/>
          <w:b/>
          <w:kern w:val="0"/>
          <w:sz w:val="24"/>
        </w:rPr>
      </w:pPr>
      <w:r>
        <w:rPr>
          <w:rFonts w:ascii="Times New Roman" w:hAnsi="Times New Roman"/>
          <w:b/>
          <w:kern w:val="0"/>
          <w:sz w:val="24"/>
        </w:rPr>
        <w:t>（二）主要成员情况</w:t>
      </w:r>
    </w:p>
    <w:p w14:paraId="71D431C0"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1、基金管理人董事会成员</w:t>
      </w:r>
    </w:p>
    <w:p w14:paraId="74859665" w14:textId="77777777" w:rsidR="00CA59D4" w:rsidRDefault="006C2E2B">
      <w:pPr>
        <w:autoSpaceDE w:val="0"/>
        <w:autoSpaceDN w:val="0"/>
        <w:adjustRightInd w:val="0"/>
        <w:snapToGrid w:val="0"/>
        <w:spacing w:line="360" w:lineRule="auto"/>
        <w:ind w:firstLineChars="200" w:firstLine="480"/>
        <w:jc w:val="left"/>
        <w:rPr>
          <w:bCs/>
          <w:sz w:val="24"/>
        </w:rPr>
      </w:pPr>
      <w:r>
        <w:rPr>
          <w:rFonts w:hint="eastAsia"/>
          <w:bCs/>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14:paraId="43E7A670" w14:textId="77777777" w:rsidR="00CA59D4" w:rsidRDefault="006C2E2B">
      <w:pPr>
        <w:autoSpaceDE w:val="0"/>
        <w:autoSpaceDN w:val="0"/>
        <w:adjustRightInd w:val="0"/>
        <w:snapToGrid w:val="0"/>
        <w:spacing w:line="360" w:lineRule="auto"/>
        <w:ind w:firstLineChars="200" w:firstLine="480"/>
        <w:jc w:val="left"/>
        <w:rPr>
          <w:bCs/>
          <w:sz w:val="24"/>
        </w:rPr>
      </w:pPr>
      <w:r>
        <w:rPr>
          <w:rFonts w:hint="eastAsia"/>
          <w:bCs/>
          <w:sz w:val="24"/>
        </w:rPr>
        <w:t>袁庆伟女士，董事，总经理，硕士。历任交通银行乌鲁木齐分行财务会计处副处长、会计结算部高级经理，交通银行总行资产托管业务中心（资产托管部）副总裁、总裁，交通银行总行金融机构部总经理、资产管理业务中心总裁等职务。</w:t>
      </w:r>
    </w:p>
    <w:p w14:paraId="28E8F95F" w14:textId="77777777" w:rsidR="00CA59D4" w:rsidRDefault="006C2E2B">
      <w:pPr>
        <w:autoSpaceDE w:val="0"/>
        <w:autoSpaceDN w:val="0"/>
        <w:adjustRightInd w:val="0"/>
        <w:snapToGrid w:val="0"/>
        <w:spacing w:line="360" w:lineRule="auto"/>
        <w:ind w:firstLineChars="200" w:firstLine="480"/>
        <w:jc w:val="left"/>
        <w:rPr>
          <w:bCs/>
          <w:sz w:val="24"/>
        </w:rPr>
      </w:pPr>
      <w:r>
        <w:rPr>
          <w:rFonts w:hint="eastAsia"/>
          <w:bCs/>
          <w:sz w:val="24"/>
        </w:rPr>
        <w:t>夏华龙先生，董事，博士，现任交通银行选派子公司股权董事，历任交通银行</w:t>
      </w:r>
      <w:r>
        <w:rPr>
          <w:rFonts w:hint="eastAsia"/>
          <w:bCs/>
          <w:sz w:val="24"/>
        </w:rPr>
        <w:lastRenderedPageBreak/>
        <w:t>总行托管部基金业务部内控综合处副处长、资产委托高级经理、保险及养老金高级经理、资产托管部副总经理，交银施罗德基金管理有限公司党委委员、副总经理、首席信息官，交通银行总行养老金融部总经理。</w:t>
      </w:r>
    </w:p>
    <w:p w14:paraId="0CB36D75" w14:textId="77777777" w:rsidR="00CA59D4" w:rsidRDefault="006C2E2B">
      <w:pPr>
        <w:autoSpaceDE w:val="0"/>
        <w:autoSpaceDN w:val="0"/>
        <w:adjustRightInd w:val="0"/>
        <w:snapToGrid w:val="0"/>
        <w:spacing w:line="360" w:lineRule="auto"/>
        <w:ind w:firstLineChars="200" w:firstLine="480"/>
        <w:jc w:val="left"/>
        <w:rPr>
          <w:bCs/>
          <w:sz w:val="24"/>
        </w:rPr>
      </w:pPr>
      <w:r>
        <w:rPr>
          <w:rFonts w:hint="eastAsia"/>
          <w:bCs/>
          <w:sz w:val="24"/>
        </w:rPr>
        <w:t>胡晓晖女士，董事，学士，现任交通银行总行董事会办公室资深专家，历任交通银行总行授信管理部副处长、处长，苏州分行副行长、高级信贷执行官，总行授信管理部副总经理，监事会办公室副主任、资深专家。</w:t>
      </w:r>
    </w:p>
    <w:p w14:paraId="5A7AE0F8" w14:textId="77777777" w:rsidR="00CA59D4" w:rsidRDefault="006C2E2B">
      <w:pPr>
        <w:autoSpaceDE w:val="0"/>
        <w:autoSpaceDN w:val="0"/>
        <w:adjustRightInd w:val="0"/>
        <w:snapToGrid w:val="0"/>
        <w:spacing w:line="360" w:lineRule="auto"/>
        <w:ind w:firstLineChars="200" w:firstLine="480"/>
        <w:jc w:val="left"/>
        <w:rPr>
          <w:bCs/>
          <w:sz w:val="24"/>
        </w:rPr>
      </w:pPr>
      <w:r>
        <w:rPr>
          <w:rFonts w:hint="eastAsia"/>
          <w:bCs/>
          <w:sz w:val="24"/>
        </w:rPr>
        <w:t>杜伟麒（</w:t>
      </w:r>
      <w:r>
        <w:rPr>
          <w:rFonts w:hint="eastAsia"/>
          <w:bCs/>
          <w:sz w:val="24"/>
        </w:rPr>
        <w:t>Chris Durack</w:t>
      </w:r>
      <w:r>
        <w:rPr>
          <w:rFonts w:hint="eastAsia"/>
          <w:bCs/>
          <w:sz w:val="24"/>
        </w:rPr>
        <w:t>）先生，董事，硕士。现任施罗德投资亚太区行政总裁。历任施罗德投资澳大利亚董事兼产品及分销主管、香港行政总裁兼亚太区机构业务主管、澳大利亚行政总裁兼亚太区联席主管等职。</w:t>
      </w:r>
    </w:p>
    <w:p w14:paraId="37155E2A" w14:textId="77777777" w:rsidR="00CA59D4" w:rsidRDefault="006C2E2B">
      <w:pPr>
        <w:autoSpaceDE w:val="0"/>
        <w:autoSpaceDN w:val="0"/>
        <w:adjustRightInd w:val="0"/>
        <w:snapToGrid w:val="0"/>
        <w:spacing w:line="360" w:lineRule="auto"/>
        <w:ind w:firstLineChars="200" w:firstLine="480"/>
        <w:jc w:val="left"/>
        <w:rPr>
          <w:bCs/>
          <w:sz w:val="24"/>
        </w:rPr>
      </w:pPr>
      <w:r>
        <w:rPr>
          <w:rFonts w:hint="eastAsia"/>
          <w:bCs/>
          <w:sz w:val="24"/>
        </w:rPr>
        <w:t>章骏翔先生，副董事长，硕士，美国特许金融分析师</w:t>
      </w:r>
      <w:r>
        <w:rPr>
          <w:rFonts w:hint="eastAsia"/>
          <w:bCs/>
          <w:sz w:val="24"/>
        </w:rPr>
        <w:t>(CFA)</w:t>
      </w:r>
      <w:r>
        <w:rPr>
          <w:rFonts w:hint="eastAsia"/>
          <w:bCs/>
          <w:sz w:val="24"/>
        </w:rPr>
        <w:t>持证人。现任施罗德投资管理</w:t>
      </w:r>
      <w:r>
        <w:rPr>
          <w:rFonts w:hint="eastAsia"/>
          <w:bCs/>
          <w:sz w:val="24"/>
        </w:rPr>
        <w:t>(</w:t>
      </w:r>
      <w:r>
        <w:rPr>
          <w:rFonts w:hint="eastAsia"/>
          <w:bCs/>
          <w:sz w:val="24"/>
        </w:rPr>
        <w:t>香港</w:t>
      </w:r>
      <w:r>
        <w:rPr>
          <w:rFonts w:hint="eastAsia"/>
          <w:bCs/>
          <w:sz w:val="24"/>
        </w:rPr>
        <w:t>)</w:t>
      </w:r>
      <w:r>
        <w:rPr>
          <w:rFonts w:hint="eastAsia"/>
          <w:bCs/>
          <w:sz w:val="24"/>
        </w:rPr>
        <w:t>有限公司亚洲投资风险主管。历任渣打银行（香港）交易风险监控，华宝兴业基金管理有限公司风险管理部总经理，法国安盛投资管理（香港）有限公司亚洲风险经理等职。</w:t>
      </w:r>
    </w:p>
    <w:p w14:paraId="49CA4374" w14:textId="77777777" w:rsidR="00CA59D4" w:rsidRDefault="006C2E2B">
      <w:pPr>
        <w:autoSpaceDE w:val="0"/>
        <w:autoSpaceDN w:val="0"/>
        <w:adjustRightInd w:val="0"/>
        <w:snapToGrid w:val="0"/>
        <w:spacing w:line="360" w:lineRule="auto"/>
        <w:ind w:firstLineChars="200" w:firstLine="480"/>
        <w:jc w:val="left"/>
        <w:rPr>
          <w:bCs/>
          <w:sz w:val="24"/>
        </w:rPr>
      </w:pPr>
      <w:r>
        <w:rPr>
          <w:rFonts w:hint="eastAsia"/>
          <w:bCs/>
          <w:sz w:val="24"/>
        </w:rPr>
        <w:t>郝爱群女士，独立董事，学士。历任人民银行稽核司副处长、处长，合作司调研员，非银司副巡视员、副司长，银监会非银部副主任，银行监管一部副主任、巡视员，汇金公司派出董事。</w:t>
      </w:r>
    </w:p>
    <w:p w14:paraId="6F8A9CF1" w14:textId="77777777" w:rsidR="00CA59D4" w:rsidRDefault="006C2E2B">
      <w:pPr>
        <w:autoSpaceDE w:val="0"/>
        <w:autoSpaceDN w:val="0"/>
        <w:adjustRightInd w:val="0"/>
        <w:snapToGrid w:val="0"/>
        <w:spacing w:line="360" w:lineRule="auto"/>
        <w:ind w:firstLineChars="200" w:firstLine="480"/>
        <w:jc w:val="left"/>
        <w:rPr>
          <w:bCs/>
          <w:sz w:val="24"/>
        </w:rPr>
      </w:pPr>
      <w:r>
        <w:rPr>
          <w:rFonts w:hint="eastAsia"/>
          <w:bCs/>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3B3C7A8" w14:textId="77777777" w:rsidR="00CA59D4" w:rsidRDefault="006C2E2B">
      <w:pPr>
        <w:autoSpaceDE w:val="0"/>
        <w:autoSpaceDN w:val="0"/>
        <w:adjustRightInd w:val="0"/>
        <w:snapToGrid w:val="0"/>
        <w:spacing w:line="360" w:lineRule="auto"/>
        <w:ind w:firstLineChars="200" w:firstLine="480"/>
        <w:jc w:val="left"/>
        <w:rPr>
          <w:bCs/>
          <w:sz w:val="24"/>
        </w:rPr>
      </w:pPr>
      <w:r>
        <w:rPr>
          <w:rFonts w:hint="eastAsia"/>
          <w:bCs/>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12FF467C" w14:textId="77777777" w:rsidR="00CA59D4" w:rsidRDefault="006C2E2B">
      <w:pPr>
        <w:autoSpaceDE w:val="0"/>
        <w:autoSpaceDN w:val="0"/>
        <w:adjustRightInd w:val="0"/>
        <w:snapToGrid w:val="0"/>
        <w:spacing w:line="360" w:lineRule="auto"/>
        <w:ind w:firstLineChars="200" w:firstLine="480"/>
        <w:jc w:val="left"/>
        <w:rPr>
          <w:bCs/>
          <w:sz w:val="24"/>
        </w:rPr>
      </w:pPr>
      <w:r>
        <w:rPr>
          <w:rFonts w:ascii="宋体" w:hAnsi="宋体" w:hint="eastAsia"/>
          <w:sz w:val="24"/>
        </w:rPr>
        <w:t>2、</w:t>
      </w:r>
      <w:r>
        <w:rPr>
          <w:rFonts w:hint="eastAsia"/>
          <w:bCs/>
          <w:sz w:val="24"/>
        </w:rPr>
        <w:t>基金管理人高级管理人员</w:t>
      </w:r>
    </w:p>
    <w:p w14:paraId="663FBD57" w14:textId="77777777" w:rsidR="00CA59D4" w:rsidRDefault="006C2E2B">
      <w:pPr>
        <w:autoSpaceDE w:val="0"/>
        <w:autoSpaceDN w:val="0"/>
        <w:adjustRightInd w:val="0"/>
        <w:snapToGrid w:val="0"/>
        <w:spacing w:line="360" w:lineRule="auto"/>
        <w:ind w:firstLineChars="200" w:firstLine="480"/>
        <w:jc w:val="left"/>
        <w:rPr>
          <w:bCs/>
          <w:sz w:val="24"/>
        </w:rPr>
      </w:pPr>
      <w:r>
        <w:rPr>
          <w:rFonts w:hint="eastAsia"/>
          <w:bCs/>
          <w:sz w:val="24"/>
        </w:rPr>
        <w:t>袁庆伟女士，总经理。简历同上。</w:t>
      </w:r>
    </w:p>
    <w:p w14:paraId="364F9895" w14:textId="77777777" w:rsidR="00CA59D4" w:rsidRDefault="006C2E2B">
      <w:pPr>
        <w:autoSpaceDE w:val="0"/>
        <w:autoSpaceDN w:val="0"/>
        <w:adjustRightInd w:val="0"/>
        <w:snapToGrid w:val="0"/>
        <w:spacing w:line="360" w:lineRule="auto"/>
        <w:ind w:firstLineChars="200" w:firstLine="480"/>
        <w:jc w:val="left"/>
        <w:rPr>
          <w:bCs/>
          <w:sz w:val="24"/>
        </w:rPr>
      </w:pPr>
      <w:r>
        <w:rPr>
          <w:rFonts w:hint="eastAsia"/>
          <w:bCs/>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269D6E23" w14:textId="77777777" w:rsidR="00CA59D4" w:rsidRDefault="006C2E2B">
      <w:pPr>
        <w:autoSpaceDE w:val="0"/>
        <w:autoSpaceDN w:val="0"/>
        <w:adjustRightInd w:val="0"/>
        <w:snapToGrid w:val="0"/>
        <w:spacing w:line="360" w:lineRule="auto"/>
        <w:ind w:firstLineChars="200" w:firstLine="480"/>
        <w:jc w:val="left"/>
        <w:rPr>
          <w:bCs/>
          <w:sz w:val="24"/>
        </w:rPr>
      </w:pPr>
      <w:r>
        <w:rPr>
          <w:rFonts w:hint="eastAsia"/>
          <w:bCs/>
          <w:sz w:val="24"/>
        </w:rPr>
        <w:lastRenderedPageBreak/>
        <w:t>马俊先生，副总经理，硕士。历任交通银行总行投资管理部高级投资分析、副高级经理，交银施罗德基金管理有限公司总裁办公室总经理、研究部副总经理、研究总监、综合管理部总经理。</w:t>
      </w:r>
    </w:p>
    <w:p w14:paraId="59C3C8D1" w14:textId="21AAB0B7" w:rsidR="00CA59D4" w:rsidRDefault="006C2E2B" w:rsidP="00493194">
      <w:pPr>
        <w:widowControl/>
        <w:adjustRightInd w:val="0"/>
        <w:snapToGrid w:val="0"/>
        <w:spacing w:line="360" w:lineRule="auto"/>
        <w:ind w:firstLineChars="200" w:firstLine="480"/>
        <w:rPr>
          <w:rFonts w:ascii="宋体" w:hAnsi="宋体"/>
          <w:szCs w:val="24"/>
        </w:rPr>
      </w:pPr>
      <w:r>
        <w:rPr>
          <w:rFonts w:hint="eastAsia"/>
          <w:bCs/>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r>
        <w:rPr>
          <w:rFonts w:ascii="宋体" w:hAnsi="宋体"/>
          <w:sz w:val="24"/>
        </w:rPr>
        <w:t>4、本基金基金经理</w:t>
      </w:r>
    </w:p>
    <w:p w14:paraId="46FBCD8C" w14:textId="211116D9"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姬静女士：基金经理。北京大学经济学硕士、对外经济贸易大学经济学学士。</w:t>
      </w:r>
      <w:r w:rsidR="00FB1B3D">
        <w:rPr>
          <w:rFonts w:ascii="宋体" w:hAnsi="宋体"/>
          <w:sz w:val="24"/>
        </w:rPr>
        <w:t>12</w:t>
      </w:r>
      <w:r>
        <w:rPr>
          <w:rFonts w:ascii="宋体" w:hAnsi="宋体" w:hint="eastAsia"/>
          <w:sz w:val="24"/>
        </w:rPr>
        <w:t>年证券投资相关工作经验。2013年至2015年任中国工商银行总行资产管理部投资经理，2015年至2016年任法国巴黎银行（中国）有限公司全球市场部信用分析师。2016年加入交银施罗德基金管理有限公司，曾任固定收益部高级研究员、基金经理助理，现任固定收益部基金经理。曾任交银施罗德裕盈纯债债券型证券投资基金（2022年11月12日至2</w:t>
      </w:r>
      <w:r>
        <w:rPr>
          <w:rFonts w:ascii="宋体" w:hAnsi="宋体"/>
          <w:sz w:val="24"/>
        </w:rPr>
        <w:t>025</w:t>
      </w:r>
      <w:r>
        <w:rPr>
          <w:rFonts w:ascii="宋体" w:hAnsi="宋体" w:hint="eastAsia"/>
          <w:sz w:val="24"/>
        </w:rPr>
        <w:t>年1月1</w:t>
      </w:r>
      <w:r>
        <w:rPr>
          <w:rFonts w:ascii="宋体" w:hAnsi="宋体"/>
          <w:sz w:val="24"/>
        </w:rPr>
        <w:t>5</w:t>
      </w:r>
      <w:r>
        <w:rPr>
          <w:rFonts w:ascii="宋体" w:hAnsi="宋体" w:hint="eastAsia"/>
          <w:sz w:val="24"/>
        </w:rPr>
        <w:t>日）的基金经理。现任交银施罗德稳鑫短债债券型证券投资基金(2022年08月20日至今)、交银施罗德境尚收益债券型证券投资基金(2022年08月20日至今)、交银施罗德60天滚动持有债券型证券投资基金（2023年1月9日至今）、交银施罗德</w:t>
      </w:r>
      <w:r>
        <w:rPr>
          <w:rFonts w:ascii="宋体" w:hAnsi="宋体"/>
          <w:sz w:val="24"/>
        </w:rPr>
        <w:t>90</w:t>
      </w:r>
      <w:r>
        <w:rPr>
          <w:rFonts w:ascii="宋体" w:hAnsi="宋体" w:hint="eastAsia"/>
          <w:sz w:val="24"/>
        </w:rPr>
        <w:t>天持有期债券型证券投资基金（2023年</w:t>
      </w:r>
      <w:r>
        <w:rPr>
          <w:rFonts w:ascii="宋体" w:hAnsi="宋体"/>
          <w:sz w:val="24"/>
        </w:rPr>
        <w:t>4</w:t>
      </w:r>
      <w:r>
        <w:rPr>
          <w:rFonts w:ascii="宋体" w:hAnsi="宋体" w:hint="eastAsia"/>
          <w:sz w:val="24"/>
        </w:rPr>
        <w:t>月</w:t>
      </w:r>
      <w:r>
        <w:rPr>
          <w:rFonts w:ascii="宋体" w:hAnsi="宋体"/>
          <w:sz w:val="24"/>
        </w:rPr>
        <w:t>25</w:t>
      </w:r>
      <w:r>
        <w:rPr>
          <w:rFonts w:ascii="宋体" w:hAnsi="宋体" w:hint="eastAsia"/>
          <w:sz w:val="24"/>
        </w:rPr>
        <w:t>日至今）的基金经理。</w:t>
      </w:r>
    </w:p>
    <w:p w14:paraId="4509429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0F4D30D8" w14:textId="77777777" w:rsidR="00CA59D4" w:rsidRDefault="006C2E2B">
      <w:pPr>
        <w:widowControl/>
        <w:adjustRightInd w:val="0"/>
        <w:snapToGrid w:val="0"/>
        <w:spacing w:line="360" w:lineRule="auto"/>
        <w:ind w:firstLineChars="200" w:firstLine="480"/>
        <w:rPr>
          <w:rFonts w:hAnsi="宋体"/>
          <w:kern w:val="0"/>
          <w:sz w:val="24"/>
        </w:rPr>
      </w:pPr>
      <w:r>
        <w:rPr>
          <w:rFonts w:ascii="宋体" w:hAnsi="宋体"/>
          <w:sz w:val="24"/>
        </w:rPr>
        <w:t>委员：</w:t>
      </w:r>
      <w:r>
        <w:rPr>
          <w:rFonts w:hAnsi="宋体" w:hint="eastAsia"/>
          <w:kern w:val="0"/>
          <w:sz w:val="24"/>
        </w:rPr>
        <w:t>袁庆伟（总经理）</w:t>
      </w:r>
    </w:p>
    <w:p w14:paraId="1F577D9A" w14:textId="77777777" w:rsidR="00CA59D4" w:rsidRDefault="006C2E2B">
      <w:pPr>
        <w:widowControl/>
        <w:adjustRightInd w:val="0"/>
        <w:snapToGrid w:val="0"/>
        <w:spacing w:line="360" w:lineRule="auto"/>
        <w:ind w:firstLineChars="500" w:firstLine="1200"/>
        <w:rPr>
          <w:rFonts w:hAnsi="宋体"/>
          <w:kern w:val="0"/>
          <w:sz w:val="24"/>
        </w:rPr>
      </w:pPr>
      <w:r>
        <w:rPr>
          <w:rFonts w:hAnsi="宋体" w:hint="eastAsia"/>
          <w:kern w:val="0"/>
          <w:sz w:val="24"/>
        </w:rPr>
        <w:t>马俊（副总经理）</w:t>
      </w:r>
    </w:p>
    <w:p w14:paraId="7A7A3A15" w14:textId="77777777" w:rsidR="00CA59D4" w:rsidRDefault="006C2E2B">
      <w:pPr>
        <w:widowControl/>
        <w:adjustRightInd w:val="0"/>
        <w:snapToGrid w:val="0"/>
        <w:spacing w:line="360" w:lineRule="auto"/>
        <w:ind w:firstLineChars="500" w:firstLine="1200"/>
        <w:rPr>
          <w:rFonts w:hAnsi="宋体"/>
          <w:kern w:val="0"/>
          <w:sz w:val="24"/>
        </w:rPr>
      </w:pPr>
      <w:r>
        <w:rPr>
          <w:rFonts w:hAnsi="宋体" w:hint="eastAsia"/>
          <w:kern w:val="0"/>
          <w:sz w:val="24"/>
        </w:rPr>
        <w:t>于海颖（混合资产投资总监兼多元资产管理总监、基金经理）</w:t>
      </w:r>
    </w:p>
    <w:p w14:paraId="3E134039" w14:textId="77777777" w:rsidR="00CA59D4" w:rsidRDefault="006C2E2B">
      <w:pPr>
        <w:widowControl/>
        <w:adjustRightInd w:val="0"/>
        <w:snapToGrid w:val="0"/>
        <w:spacing w:line="360" w:lineRule="auto"/>
        <w:ind w:firstLineChars="500" w:firstLine="1200"/>
        <w:rPr>
          <w:rFonts w:hAnsi="宋体"/>
          <w:kern w:val="0"/>
          <w:sz w:val="24"/>
        </w:rPr>
      </w:pPr>
      <w:r>
        <w:rPr>
          <w:rFonts w:hAnsi="宋体" w:hint="eastAsia"/>
          <w:kern w:val="0"/>
          <w:sz w:val="24"/>
        </w:rPr>
        <w:t>王崇（权益投资副总监、权益部一级专家、基金经理）</w:t>
      </w:r>
    </w:p>
    <w:p w14:paraId="0393A9A5" w14:textId="77777777" w:rsidR="00CA59D4" w:rsidRDefault="006C2E2B">
      <w:pPr>
        <w:autoSpaceDE w:val="0"/>
        <w:autoSpaceDN w:val="0"/>
        <w:adjustRightInd w:val="0"/>
        <w:snapToGrid w:val="0"/>
        <w:spacing w:line="360" w:lineRule="auto"/>
        <w:ind w:firstLineChars="500" w:firstLine="1200"/>
        <w:jc w:val="left"/>
        <w:rPr>
          <w:rFonts w:ascii="宋体" w:hAnsi="宋体"/>
          <w:szCs w:val="24"/>
        </w:rPr>
      </w:pPr>
      <w:r>
        <w:rPr>
          <w:rFonts w:hAnsi="宋体" w:hint="eastAsia"/>
          <w:kern w:val="0"/>
          <w:sz w:val="24"/>
        </w:rPr>
        <w:t>马韬（研究总监）</w:t>
      </w:r>
    </w:p>
    <w:p w14:paraId="392EE46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6、</w:t>
      </w:r>
      <w:r>
        <w:rPr>
          <w:rFonts w:ascii="宋体" w:hAnsi="宋体"/>
          <w:sz w:val="24"/>
        </w:rPr>
        <w:t>上述人员之间不存在近亲属关系。</w:t>
      </w:r>
    </w:p>
    <w:p w14:paraId="56FDCFA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62146AB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444F1D5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2A2650A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1AF1D92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w:t>
      </w:r>
      <w:r>
        <w:rPr>
          <w:rFonts w:ascii="宋体" w:hAnsi="宋体"/>
          <w:sz w:val="24"/>
        </w:rPr>
        <w:lastRenderedPageBreak/>
        <w:t>收益；</w:t>
      </w:r>
    </w:p>
    <w:p w14:paraId="4B24CB5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5D99B37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6C8643B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75E1278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59B795D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72FCC49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660F442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72B7527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7DE4143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31E98D8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67E7496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2EF7308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5C0DBBE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15ED84D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540E581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455558D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763E3A0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4C45C78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2C0593B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6CFF9F8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2596E62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2908AC0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4CBD63E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2、不利用职务之便为自己、受雇人或任何第三者谋取利益；</w:t>
      </w:r>
    </w:p>
    <w:p w14:paraId="18AEBEC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02D9D00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790E806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3C618DF2"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、内部控制的原则</w:t>
      </w:r>
    </w:p>
    <w:p w14:paraId="058F5E40"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）健全性原则</w:t>
      </w:r>
    </w:p>
    <w:p w14:paraId="681F6EDA"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内部控制应当包括公司的各项业务、各个部门或机构和各级人员</w:t>
      </w:r>
      <w:r>
        <w:rPr>
          <w:rFonts w:ascii="Times New Roman" w:hAnsi="Times New Roman" w:hint="eastAsia"/>
          <w:sz w:val="24"/>
        </w:rPr>
        <w:t xml:space="preserve">, </w:t>
      </w:r>
      <w:r>
        <w:rPr>
          <w:rFonts w:ascii="Times New Roman" w:hAnsi="Times New Roman" w:hint="eastAsia"/>
          <w:sz w:val="24"/>
        </w:rPr>
        <w:t>并涵盖到决策、执行、监督、反馈等各个环节。</w:t>
      </w:r>
    </w:p>
    <w:p w14:paraId="18EC847A"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）有效性原则</w:t>
      </w:r>
    </w:p>
    <w:p w14:paraId="44A309A5"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通过科学的内控手段和方法，建立合理的内控程序，维护内控制度的有效执行。</w:t>
      </w:r>
    </w:p>
    <w:p w14:paraId="3DB5EA2A"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）独立性原则</w:t>
      </w:r>
    </w:p>
    <w:p w14:paraId="06E52454"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公司各机构、部门和岗位职责应当保持相对独立，除非法律法规另有规定，公司基金资产、自有资产、其他资产的运作应当分离。</w:t>
      </w:r>
    </w:p>
    <w:p w14:paraId="1FAF608B"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）相互制约原则</w:t>
      </w:r>
    </w:p>
    <w:p w14:paraId="2617668D"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公司内部部门和岗位的设置应当体现权责分明、相互制衡。</w:t>
      </w:r>
    </w:p>
    <w:p w14:paraId="6AC5EF95"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）成本效益原则</w:t>
      </w:r>
    </w:p>
    <w:p w14:paraId="46852874"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公司运用科学化的经营管理方法降低运作成本，提高经济效益，力争以合理的控制成本达到最佳的内部控制效果。</w:t>
      </w:r>
    </w:p>
    <w:p w14:paraId="7D6DD7C2"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、风险管理和内部风险控制体系结构</w:t>
      </w:r>
    </w:p>
    <w:p w14:paraId="79FB23B6"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公司的风险管理体系结构是一个分工明确、相互牵制的组织结构，由董事会对风险管理负最终责任，各个业务部门负责本部门的风险评估和监控，风险管理部负责监察公司的风险管理措施的执行。具体而言，包括如下组成部分：</w:t>
      </w:r>
    </w:p>
    <w:p w14:paraId="3295EF3C"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）董事会</w:t>
      </w:r>
    </w:p>
    <w:p w14:paraId="3D079CD9"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负责制定公司风险偏好（含风险容忍度）、风险管理和内部控制政策，审议并通过与公司内部风险管理和合规有关的重大事项。</w:t>
      </w:r>
    </w:p>
    <w:p w14:paraId="681918AE"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）合规风险及审计委员会</w:t>
      </w:r>
    </w:p>
    <w:p w14:paraId="25D4C1F9"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作为董事会下的专业委员会之一，负责对公司在经营管理和基金业务运作的合</w:t>
      </w:r>
      <w:r>
        <w:rPr>
          <w:rFonts w:ascii="Times New Roman" w:hAnsi="Times New Roman" w:hint="eastAsia"/>
          <w:sz w:val="24"/>
        </w:rPr>
        <w:lastRenderedPageBreak/>
        <w:t>法性、合规性和风险状况进行检查和评估，对公司监察稽核制度的有效性进行评价，监督检查公司财务状况，审计公司的财务报表，评估公司的财务表现，保证公司的财务运作符合法律的要求和通行的会计标准。</w:t>
      </w:r>
    </w:p>
    <w:p w14:paraId="6E224379"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）风险控制委员会</w:t>
      </w:r>
    </w:p>
    <w:p w14:paraId="338366E1"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作为总经理下设的专业委员会之一，风险控制委员会负责评估与公司战略发展和经营运作相关的主要风险；评估公司各方面运行状况是否合规有序，审查有无存在与公司业务有关的重大风险；审议或听取由公司制度规定的需要向风险控制委员会报告的其他情形等。</w:t>
      </w:r>
    </w:p>
    <w:p w14:paraId="530E8B32"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）督察长</w:t>
      </w:r>
    </w:p>
    <w:p w14:paraId="6FFEE59D"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独立行使督察权利；直接对董事会负责；就内部控制制度和执行情况独立地履行检查、评价、报告、建议职能；定期和不定期地向董事会报告公司内部控制执行情况。</w:t>
      </w:r>
    </w:p>
    <w:p w14:paraId="20BB99D2"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）风险管理部</w:t>
      </w:r>
    </w:p>
    <w:p w14:paraId="5808C269"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风险管理部负责制定公司风险管理政策和防范及控制措施，汇总公司业务所有的风险信息，独立识别、评估各类风险，提出风险控制建议，使公司在一种风险管理和控制的环境中实现业务目标。</w:t>
      </w:r>
    </w:p>
    <w:p w14:paraId="63172E07"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）审计部</w:t>
      </w:r>
    </w:p>
    <w:p w14:paraId="0B4DB45D"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F0D03E4"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）内控合规及法律事务部</w:t>
      </w:r>
    </w:p>
    <w:p w14:paraId="715B0CD4"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内控合规及法律事务部负责公司的法律、内控合规事务及协调实施信息披露事务，依法维护公司合法权益，评估并处理公司运营中发生的法律、内控合规及信息披露相关问题，及时向公司管理层及全体员工传达法规及监管要求。</w:t>
      </w:r>
    </w:p>
    <w:p w14:paraId="4D081A66"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8</w:t>
      </w:r>
      <w:r>
        <w:rPr>
          <w:rFonts w:ascii="Times New Roman" w:hAnsi="Times New Roman" w:hint="eastAsia"/>
          <w:sz w:val="24"/>
        </w:rPr>
        <w:t>）业务部门</w:t>
      </w:r>
    </w:p>
    <w:p w14:paraId="4AE99EC9"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风险管理是每一个业务部门首要的责任。部门负责人对本部门的风险负全部责任，负责履行公司的风险管理程序，负责本部门的风险管理系统的开发、执行和维护，用于识别、监控和降低风险。</w:t>
      </w:r>
    </w:p>
    <w:p w14:paraId="7F7D55CA"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、风险管理和内部风险控制的措施</w:t>
      </w:r>
    </w:p>
    <w:p w14:paraId="06511F3F"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）建立内控体系，完善内控制度</w:t>
      </w:r>
    </w:p>
    <w:p w14:paraId="712866E9"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公司建立、健全了内控体系，通过高管人员关于内控的明确分工，确保各项业务活动有恰当的组织和授权，确保监察活动独立，并得到高管人员的支持，同时置备操作手册，并定期更新。</w:t>
      </w:r>
    </w:p>
    <w:p w14:paraId="3600ED3C"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）建立相互分离、相互制衡的内控机制</w:t>
      </w:r>
    </w:p>
    <w:p w14:paraId="5C99E28C"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建立、健全了各项制度，做到基金经理分开，投资决策分开，基金交易集中，形成不同部门、不同岗位之间的制衡机制，从制度上减少和防范风险。</w:t>
      </w:r>
    </w:p>
    <w:p w14:paraId="16950734"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）建立、健全岗位责任制</w:t>
      </w:r>
    </w:p>
    <w:p w14:paraId="6E421068"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建立、健全了岗位责任制，使每个员工都明确自己的任务、职责，并及时将各自工作领域中的风险隐患上报，以防范和减少风险。</w:t>
      </w:r>
    </w:p>
    <w:p w14:paraId="777C60A9"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）建立风险分类、识别、评估、报告、提示程序</w:t>
      </w:r>
    </w:p>
    <w:p w14:paraId="79952F66"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6B484D92"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）建立有效的内部监控系统</w:t>
      </w:r>
    </w:p>
    <w:p w14:paraId="4FD4BB12"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建立了足够、有效的内部监控系统，对可能出现的各种风险进行全面和实时的监控。</w:t>
      </w:r>
    </w:p>
    <w:p w14:paraId="2F198412"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）使用数量化的风险管理手段</w:t>
      </w:r>
    </w:p>
    <w:p w14:paraId="00EC7AEA"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采取数量化、技术化的风险控制手段，建立数量化的风险管理模型，用以提示指数趋势、行业及个券的风险，以便公司及时采取有效的措施，对风险进行分散、控制和规避，尽可能地减少损失。</w:t>
      </w:r>
    </w:p>
    <w:p w14:paraId="0B34045B"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）提供足够的培训</w:t>
      </w:r>
    </w:p>
    <w:p w14:paraId="715620AC" w14:textId="601C8BD5"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hint="eastAsia"/>
          <w:sz w:val="24"/>
        </w:rPr>
        <w:t>制定了完整的培训计划，为所有员工提供足够和适当的培训，使员工明确其职责所在，控制风险。</w:t>
      </w:r>
    </w:p>
    <w:p w14:paraId="10305F1F" w14:textId="77777777" w:rsidR="00CA59D4" w:rsidRDefault="006C2E2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ABDECD3" w14:textId="77777777" w:rsidR="00CA59D4" w:rsidRDefault="006C2E2B">
      <w:pPr>
        <w:pStyle w:val="1"/>
        <w:snapToGrid w:val="0"/>
        <w:spacing w:beforeLines="0" w:before="240" w:after="240"/>
        <w:rPr>
          <w:rFonts w:ascii="宋体" w:hAnsi="宋体"/>
          <w:szCs w:val="30"/>
        </w:rPr>
      </w:pPr>
      <w:bookmarkStart w:id="7" w:name="_Toc104564187"/>
      <w:r>
        <w:rPr>
          <w:rFonts w:ascii="Times New Roman" w:hAnsi="Times New Roman"/>
          <w:sz w:val="30"/>
        </w:rPr>
        <w:lastRenderedPageBreak/>
        <w:t>四、基金托管人</w:t>
      </w:r>
      <w:bookmarkEnd w:id="7"/>
    </w:p>
    <w:p w14:paraId="684C9C85" w14:textId="77777777" w:rsidR="00CA59D4" w:rsidRDefault="006C2E2B">
      <w:pPr>
        <w:adjustRightInd w:val="0"/>
        <w:snapToGrid w:val="0"/>
        <w:spacing w:line="360" w:lineRule="auto"/>
        <w:ind w:firstLineChars="200" w:firstLine="482"/>
        <w:rPr>
          <w:b/>
          <w:sz w:val="24"/>
          <w:szCs w:val="24"/>
        </w:rPr>
      </w:pPr>
      <w:r>
        <w:rPr>
          <w:rFonts w:hint="eastAsia"/>
          <w:b/>
          <w:sz w:val="24"/>
          <w:szCs w:val="24"/>
        </w:rPr>
        <w:t>（</w:t>
      </w:r>
      <w:r>
        <w:rPr>
          <w:rFonts w:hAnsi="宋体"/>
          <w:b/>
          <w:sz w:val="24"/>
          <w:szCs w:val="24"/>
        </w:rPr>
        <w:t>一</w:t>
      </w:r>
      <w:r>
        <w:rPr>
          <w:rFonts w:hint="eastAsia"/>
          <w:b/>
          <w:sz w:val="24"/>
          <w:szCs w:val="24"/>
        </w:rPr>
        <w:t>）</w:t>
      </w:r>
      <w:r>
        <w:rPr>
          <w:rFonts w:hAnsi="宋体"/>
          <w:b/>
          <w:sz w:val="24"/>
          <w:szCs w:val="24"/>
        </w:rPr>
        <w:t>基金托管人情况</w:t>
      </w:r>
    </w:p>
    <w:p w14:paraId="5E1D8F2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2F08C5A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名称：兴业银行股份有限公司</w:t>
      </w:r>
      <w:r>
        <w:rPr>
          <w:rFonts w:ascii="宋体" w:hAnsi="宋体" w:hint="eastAsia"/>
          <w:sz w:val="24"/>
        </w:rPr>
        <w:t>（简称“兴业银行”）</w:t>
      </w:r>
    </w:p>
    <w:p w14:paraId="7E9330E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注册地址：福建省福州市台江区江滨中大道398号兴业银行大厦</w:t>
      </w:r>
    </w:p>
    <w:p w14:paraId="6FC8896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w:t>
      </w:r>
      <w:r>
        <w:rPr>
          <w:rFonts w:ascii="宋体" w:hAnsi="宋体" w:hint="eastAsia"/>
          <w:sz w:val="24"/>
        </w:rPr>
        <w:t>上海市银城路167号</w:t>
      </w:r>
    </w:p>
    <w:p w14:paraId="7B4B183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0AEBF46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190CF7B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成立日期：1988年8月22日</w:t>
      </w:r>
    </w:p>
    <w:p w14:paraId="218782C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批准设立机关和批准设立文号：中国人民银行总行，银复[1988]347号</w:t>
      </w:r>
    </w:p>
    <w:p w14:paraId="66B072E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基金托管业务批准文号：中国证监会证监基金字[2005]74号</w:t>
      </w:r>
    </w:p>
    <w:p w14:paraId="1A347EE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6AF62BB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注册资本：207.74亿元人民币</w:t>
      </w:r>
    </w:p>
    <w:p w14:paraId="00F8726A"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存续期间：持续经营</w:t>
      </w:r>
    </w:p>
    <w:p w14:paraId="5649F91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2、发展概况及财务状况</w:t>
      </w:r>
    </w:p>
    <w:p w14:paraId="6EE5C41E" w14:textId="29A8EC6C"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兴业银行成立于1988年8月，是经国务院、中国人民银行批准成立的首批股份制商业银行之一，总行设在福建省福州市，2007年2月5日正式在上海证券交易所挂牌上市（股票代码：601166），注册资本207.74亿元。</w:t>
      </w:r>
      <w:r>
        <w:rPr>
          <w:rFonts w:ascii="宋体" w:hAnsi="宋体" w:hint="eastAsia"/>
          <w:sz w:val="24"/>
        </w:rPr>
        <w:t>截至2024年12月31日，兴业银行资产总额达10.51万亿元，实现营业收入2122.26亿元，同比增长0.66%，实现归属于母公司股东的净利润772.05亿元。</w:t>
      </w:r>
    </w:p>
    <w:p w14:paraId="7FA1934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开业三十多年来，兴业银行始终坚持“真诚服务，相伴成长”的经营理念，致力于为客户提供全面、优质、高效的金融服务。</w:t>
      </w:r>
    </w:p>
    <w:p w14:paraId="749B153A" w14:textId="77777777" w:rsidR="00CA59D4" w:rsidRDefault="006C2E2B">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（二）托管业务部部门设置及员工情况</w:t>
      </w:r>
    </w:p>
    <w:p w14:paraId="7C8A5292" w14:textId="1FF6311C"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兴业银行股份有限公司总行设资产托管部，下设综合管理处、证券基金处、信托保险处、理财私募处、需求支持处、稽核监察处、投资监督处、运行管理处，共有员工100余人，业务岗位人员均具有基金从业资格。</w:t>
      </w:r>
    </w:p>
    <w:p w14:paraId="618E98A8" w14:textId="77777777" w:rsidR="00CA59D4" w:rsidRDefault="006C2E2B">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（三）基金托管业务经营情况</w:t>
      </w:r>
    </w:p>
    <w:p w14:paraId="36835B58" w14:textId="0A4F060E"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兴业银行于2005年4月26日取得基金托管资格。基金托管业务批准文号：证监基金字[2005]74号。截至2025年6月30日，兴业银行共托管证券投资基金809只，托</w:t>
      </w:r>
      <w:r>
        <w:rPr>
          <w:rFonts w:ascii="宋体" w:hAnsi="宋体" w:hint="eastAsia"/>
          <w:sz w:val="24"/>
        </w:rPr>
        <w:lastRenderedPageBreak/>
        <w:t>管基金的基金资产净值合计27790.02亿元，基金份额合计25239.73亿份。</w:t>
      </w:r>
    </w:p>
    <w:p w14:paraId="6854118A" w14:textId="77777777" w:rsidR="00CA59D4" w:rsidRDefault="006C2E2B">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（四）基金托管人的内部控制制度</w:t>
      </w:r>
    </w:p>
    <w:p w14:paraId="7C31BB6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1AEFBB0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p>
    <w:p w14:paraId="79E60BF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14:paraId="09663DE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兴业银行基金托管业务内部控制组织架构由总行内部控制委员会、总行风险管理部门、总行审计部、总行资产托管部、总行运营管理部及分行托管运营机构共同组成。各级内部控制组织依照</w:t>
      </w:r>
      <w:r>
        <w:rPr>
          <w:rFonts w:ascii="宋体" w:hAnsi="宋体" w:hint="eastAsia"/>
          <w:sz w:val="24"/>
        </w:rPr>
        <w:t>兴业银行</w:t>
      </w:r>
      <w:r>
        <w:rPr>
          <w:rFonts w:ascii="宋体" w:hAnsi="宋体"/>
          <w:sz w:val="24"/>
        </w:rPr>
        <w:t>相关制度对</w:t>
      </w:r>
      <w:r>
        <w:rPr>
          <w:rFonts w:ascii="宋体" w:hAnsi="宋体" w:hint="eastAsia"/>
          <w:sz w:val="24"/>
        </w:rPr>
        <w:t>兴业银行</w:t>
      </w:r>
      <w:r>
        <w:rPr>
          <w:rFonts w:ascii="宋体" w:hAnsi="宋体"/>
          <w:sz w:val="24"/>
        </w:rPr>
        <w:t>托管业务风险管理和内部控制实施管理。</w:t>
      </w:r>
    </w:p>
    <w:p w14:paraId="326196D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3、内部控制原则</w:t>
      </w:r>
    </w:p>
    <w:p w14:paraId="64E5953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（1）全面性原则：内部控制贯穿资产托管业务的全过程，覆盖各项业务和产品，以及从事资产托管业务的各机构和从业人员；</w:t>
      </w:r>
    </w:p>
    <w:p w14:paraId="569A65A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（2）重要性原则：内部控制应当在全面控制的基础上，关注重要业务事项和高风险领域；</w:t>
      </w:r>
    </w:p>
    <w:p w14:paraId="7C39949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（3）独立性原则：开展托管业务的部门和岗位的设置应权责分明、相对独立、相互制衡；</w:t>
      </w:r>
    </w:p>
    <w:p w14:paraId="48078E5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（4）审慎性原则：内控与风险管理必须以防范风险，保证托管资产的安全与完整为出发点，“内控优先”，“制度优先”，审慎发展资产托管业务；</w:t>
      </w:r>
    </w:p>
    <w:p w14:paraId="64EDC10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（5）制衡性原则：内部控制应当在治理结构、机构设置及权责分配、业务流程等方面形成相互制约、相互监督，同时兼顾运营效率；</w:t>
      </w:r>
    </w:p>
    <w:p w14:paraId="101326A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适应性原则：内部控制体系应同所处的环境相适应，以合理的成本实现内控目标，内部制度的制订应当具有前瞻性，并应当根据国家政策、法律及经营管理的需要，适时进行相应修改和完善；内部控制存在的问题应当能够得到及时反馈和纠正；</w:t>
      </w:r>
    </w:p>
    <w:p w14:paraId="49BF7B5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（7）成本效益原则：内部控制应当权衡实施成本与预期效益，以适当的成本实现有效控制。</w:t>
      </w:r>
    </w:p>
    <w:p w14:paraId="51EC615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4、内部控制制度及措施</w:t>
      </w:r>
    </w:p>
    <w:p w14:paraId="745E6C0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（1）制度建设：建立了明确的岗位职责、科学的业务流程、详细的操作手</w:t>
      </w:r>
      <w:r>
        <w:rPr>
          <w:rFonts w:ascii="宋体" w:hAnsi="宋体"/>
          <w:sz w:val="24"/>
        </w:rPr>
        <w:lastRenderedPageBreak/>
        <w:t>册、严格的人员行为规范等一系列规章制度。</w:t>
      </w:r>
    </w:p>
    <w:p w14:paraId="6562BE8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（2）建立健全的组织管理结构：前后台分离，不同部门、岗位相互牵制。</w:t>
      </w:r>
    </w:p>
    <w:p w14:paraId="183327D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（3）风险识别与评估：稽核监察处指导业务处室进行风险识别、评估，制定并实施风险控制措施。</w:t>
      </w:r>
    </w:p>
    <w:p w14:paraId="7D8B454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（4）相对独立的业务操作空间：业务操作区相对独立，实施门禁管理和音像监控。</w:t>
      </w:r>
    </w:p>
    <w:p w14:paraId="62EEAD0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（5）人员管理：进行定期的业务与职业道德培训，使员工树立风险防范与控制理念，并签订承诺书。</w:t>
      </w:r>
    </w:p>
    <w:p w14:paraId="7970005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（6）应急预案：制定完备的《应急预案》，并组织员工定期演练；建立异地灾备中心，保证业务不中断。</w:t>
      </w:r>
    </w:p>
    <w:p w14:paraId="58C8EE0E" w14:textId="77777777" w:rsidR="00CA59D4" w:rsidRDefault="006C2E2B">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（五）基金托管人对基金管理人运作基金进行监督的方法和程序</w:t>
      </w:r>
    </w:p>
    <w:p w14:paraId="2F6165A1"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托管人负有对基金管理人的投资运作行使监督权的职责。根据《基金法》、《运作办法》、基金合同及其他有关规定，基金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4684A376"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基金托管人发现基金管理人有重大违规行为，立即报告中国证监会，同时，通知基金管理人限期纠正，并将纠正结果报告中国证监会。</w:t>
      </w:r>
    </w:p>
    <w:p w14:paraId="697FB4C4"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基金托管人发现基金管理人的指令违反法律、行政法规和其他有关规定，或者违反基金合同约定的，应当拒绝执行，立即通知基金管理人，并及时向中国证监会报告。</w:t>
      </w:r>
    </w:p>
    <w:p w14:paraId="6346A74E" w14:textId="77777777" w:rsidR="00CA59D4" w:rsidRDefault="006C2E2B">
      <w:pPr>
        <w:adjustRightInd w:val="0"/>
        <w:snapToGrid w:val="0"/>
        <w:spacing w:line="360" w:lineRule="auto"/>
        <w:ind w:firstLineChars="200" w:firstLine="480"/>
        <w:rPr>
          <w:color w:val="000000"/>
          <w:sz w:val="24"/>
          <w:szCs w:val="24"/>
        </w:rPr>
      </w:pPr>
      <w:r>
        <w:rPr>
          <w:rFonts w:ascii="宋体" w:hAnsi="宋体" w:hint="eastAsia"/>
          <w:sz w:val="24"/>
        </w:rPr>
        <w:t>基金托管人发现基金管理人依据交易程序已经生效的投资指令违反法律、行政法规和其他有关规定，或者违反基金合同约定的，应当立即通知基金管理人，并及时向中国证监会报告。</w:t>
      </w:r>
    </w:p>
    <w:p w14:paraId="2926D098" w14:textId="14A7F0AD" w:rsidR="00CA59D4" w:rsidRDefault="00CA59D4" w:rsidP="00493194">
      <w:pPr>
        <w:autoSpaceDE w:val="0"/>
        <w:autoSpaceDN w:val="0"/>
        <w:adjustRightInd w:val="0"/>
        <w:spacing w:line="360" w:lineRule="auto"/>
        <w:rPr>
          <w:rFonts w:ascii="宋体" w:hAnsi="宋体"/>
          <w:szCs w:val="24"/>
        </w:rPr>
      </w:pPr>
    </w:p>
    <w:p w14:paraId="511D333B" w14:textId="77777777" w:rsidR="00CA59D4" w:rsidRDefault="006C2E2B">
      <w:pPr>
        <w:pStyle w:val="1"/>
        <w:snapToGrid w:val="0"/>
        <w:spacing w:beforeLines="0" w:before="240" w:after="240"/>
        <w:rPr>
          <w:rFonts w:ascii="宋体" w:hAnsi="宋体"/>
          <w:szCs w:val="30"/>
        </w:rPr>
      </w:pPr>
      <w:bookmarkStart w:id="8" w:name="_Toc104564188"/>
      <w:r>
        <w:rPr>
          <w:rFonts w:ascii="Times New Roman" w:hAnsi="Times New Roman"/>
          <w:sz w:val="30"/>
        </w:rPr>
        <w:lastRenderedPageBreak/>
        <w:t>五、相关服务机构</w:t>
      </w:r>
      <w:bookmarkEnd w:id="8"/>
    </w:p>
    <w:p w14:paraId="68433A5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7623237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3D14FEC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w:t>
      </w:r>
      <w:r>
        <w:rPr>
          <w:rFonts w:ascii="宋体" w:hAnsi="宋体" w:hint="eastAsia"/>
          <w:sz w:val="24"/>
        </w:rPr>
        <w:t>基金管理人</w:t>
      </w:r>
      <w:r>
        <w:rPr>
          <w:rFonts w:ascii="宋体" w:hAnsi="宋体"/>
          <w:sz w:val="24"/>
        </w:rPr>
        <w:t>直销柜台以及</w:t>
      </w:r>
      <w:r>
        <w:rPr>
          <w:rFonts w:ascii="宋体" w:hAnsi="宋体" w:hint="eastAsia"/>
          <w:sz w:val="24"/>
        </w:rPr>
        <w:t>基金管理人</w:t>
      </w:r>
      <w:r>
        <w:rPr>
          <w:rFonts w:ascii="宋体" w:hAnsi="宋体"/>
          <w:sz w:val="24"/>
        </w:rPr>
        <w:t>的网上直销交易平台（网站及APP，下同）。</w:t>
      </w:r>
    </w:p>
    <w:p w14:paraId="697ECAB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033D80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1FF4311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760BBB9B" w14:textId="23425BAD"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hint="eastAsia"/>
          <w:sz w:val="24"/>
        </w:rPr>
        <w:t>张宏良</w:t>
      </w:r>
    </w:p>
    <w:p w14:paraId="3B29265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34B19DC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1CFE5C3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6523A48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236BE25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7CD7749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70A0427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w:t>
      </w:r>
      <w:r>
        <w:rPr>
          <w:rFonts w:ascii="宋体" w:hAnsi="宋体" w:hint="eastAsia"/>
          <w:sz w:val="24"/>
        </w:rPr>
        <w:t>认购、</w:t>
      </w:r>
      <w:r>
        <w:rPr>
          <w:rFonts w:ascii="宋体" w:hAnsi="宋体"/>
          <w:sz w:val="24"/>
        </w:rPr>
        <w:t>申购、赎回等业务，具体交易细则请参阅基金管理人网站。</w:t>
      </w:r>
    </w:p>
    <w:p w14:paraId="4F22638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7551614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Times New Roman" w:hAnsi="Times New Roman" w:hint="eastAsia"/>
          <w:sz w:val="24"/>
        </w:rPr>
        <w:t>除</w:t>
      </w:r>
      <w:r>
        <w:rPr>
          <w:rFonts w:ascii="Times New Roman" w:hAnsi="Times New Roman"/>
          <w:sz w:val="24"/>
        </w:rPr>
        <w:t>基金管理人之外的</w:t>
      </w:r>
      <w:r>
        <w:rPr>
          <w:rFonts w:ascii="宋体" w:hAnsi="宋体"/>
          <w:sz w:val="24"/>
        </w:rPr>
        <w:t>其他销售机构</w:t>
      </w:r>
    </w:p>
    <w:p w14:paraId="216A46D4" w14:textId="77777777" w:rsidR="00CA59D4" w:rsidRDefault="006C2E2B">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）兴业银行股份有限公司</w:t>
      </w:r>
    </w:p>
    <w:p w14:paraId="052BEDEA" w14:textId="77777777" w:rsidR="00CA59D4" w:rsidRDefault="006C2E2B">
      <w:pPr>
        <w:adjustRightInd w:val="0"/>
        <w:snapToGrid w:val="0"/>
        <w:spacing w:line="360" w:lineRule="auto"/>
        <w:ind w:firstLineChars="200" w:firstLine="480"/>
        <w:rPr>
          <w:rFonts w:hAnsi="宋体"/>
          <w:kern w:val="0"/>
          <w:sz w:val="24"/>
        </w:rPr>
      </w:pPr>
      <w:r>
        <w:rPr>
          <w:rFonts w:hAnsi="宋体" w:hint="eastAsia"/>
          <w:kern w:val="0"/>
          <w:sz w:val="24"/>
        </w:rPr>
        <w:t>注册地址：福建省福州市台江区江滨中大道</w:t>
      </w:r>
      <w:r>
        <w:rPr>
          <w:rFonts w:hAnsi="宋体" w:hint="eastAsia"/>
          <w:kern w:val="0"/>
          <w:sz w:val="24"/>
        </w:rPr>
        <w:t>398</w:t>
      </w:r>
      <w:r>
        <w:rPr>
          <w:rFonts w:hAnsi="宋体" w:hint="eastAsia"/>
          <w:kern w:val="0"/>
          <w:sz w:val="24"/>
        </w:rPr>
        <w:t>号兴业银行大厦</w:t>
      </w:r>
    </w:p>
    <w:p w14:paraId="0152D4A5" w14:textId="77777777" w:rsidR="00CA59D4" w:rsidRDefault="006C2E2B">
      <w:pPr>
        <w:adjustRightInd w:val="0"/>
        <w:snapToGrid w:val="0"/>
        <w:spacing w:line="360" w:lineRule="auto"/>
        <w:ind w:firstLineChars="200" w:firstLine="480"/>
        <w:rPr>
          <w:rFonts w:hAnsi="宋体"/>
          <w:kern w:val="0"/>
          <w:sz w:val="24"/>
        </w:rPr>
      </w:pPr>
      <w:r>
        <w:rPr>
          <w:rFonts w:hAnsi="宋体" w:hint="eastAsia"/>
          <w:kern w:val="0"/>
          <w:sz w:val="24"/>
        </w:rPr>
        <w:t>办公地址：上海市浦东新区银城路</w:t>
      </w:r>
      <w:r>
        <w:rPr>
          <w:rFonts w:hAnsi="宋体" w:hint="eastAsia"/>
          <w:kern w:val="0"/>
          <w:sz w:val="24"/>
        </w:rPr>
        <w:t xml:space="preserve"> 167 </w:t>
      </w:r>
      <w:r>
        <w:rPr>
          <w:rFonts w:hAnsi="宋体" w:hint="eastAsia"/>
          <w:kern w:val="0"/>
          <w:sz w:val="24"/>
        </w:rPr>
        <w:t>号兴业银行大厦</w:t>
      </w:r>
    </w:p>
    <w:p w14:paraId="61B47EFA" w14:textId="77777777" w:rsidR="00CA59D4" w:rsidRDefault="006C2E2B">
      <w:pPr>
        <w:adjustRightInd w:val="0"/>
        <w:snapToGrid w:val="0"/>
        <w:spacing w:line="360" w:lineRule="auto"/>
        <w:ind w:firstLineChars="200" w:firstLine="480"/>
        <w:rPr>
          <w:rFonts w:hAnsi="宋体"/>
          <w:kern w:val="0"/>
          <w:sz w:val="24"/>
        </w:rPr>
      </w:pPr>
      <w:r>
        <w:rPr>
          <w:rFonts w:hAnsi="宋体" w:hint="eastAsia"/>
          <w:kern w:val="0"/>
          <w:sz w:val="24"/>
        </w:rPr>
        <w:t>法定代表人：吕家进</w:t>
      </w:r>
    </w:p>
    <w:p w14:paraId="64783022" w14:textId="77777777" w:rsidR="00CA59D4" w:rsidRDefault="006C2E2B">
      <w:pPr>
        <w:adjustRightInd w:val="0"/>
        <w:snapToGrid w:val="0"/>
        <w:spacing w:line="360" w:lineRule="auto"/>
        <w:ind w:firstLineChars="200" w:firstLine="480"/>
        <w:rPr>
          <w:rFonts w:hAnsi="宋体"/>
          <w:kern w:val="0"/>
          <w:sz w:val="24"/>
        </w:rPr>
      </w:pPr>
      <w:r>
        <w:rPr>
          <w:rFonts w:hAnsi="宋体" w:hint="eastAsia"/>
          <w:kern w:val="0"/>
          <w:sz w:val="24"/>
        </w:rPr>
        <w:t>联系人：蔡宣铭</w:t>
      </w:r>
    </w:p>
    <w:p w14:paraId="71DB828F" w14:textId="77777777" w:rsidR="00CA59D4" w:rsidRDefault="006C2E2B">
      <w:pPr>
        <w:adjustRightInd w:val="0"/>
        <w:snapToGrid w:val="0"/>
        <w:spacing w:line="360" w:lineRule="auto"/>
        <w:ind w:firstLineChars="200" w:firstLine="480"/>
        <w:rPr>
          <w:rFonts w:hAnsi="宋体"/>
          <w:kern w:val="0"/>
          <w:sz w:val="24"/>
        </w:rPr>
      </w:pPr>
      <w:r>
        <w:rPr>
          <w:rFonts w:hAnsi="宋体" w:hint="eastAsia"/>
          <w:kern w:val="0"/>
          <w:sz w:val="24"/>
        </w:rPr>
        <w:t>联系电话：</w:t>
      </w:r>
      <w:r>
        <w:rPr>
          <w:rFonts w:hAnsi="宋体" w:hint="eastAsia"/>
          <w:kern w:val="0"/>
          <w:sz w:val="24"/>
        </w:rPr>
        <w:t>021-52629999</w:t>
      </w:r>
    </w:p>
    <w:p w14:paraId="0D2C8B9B" w14:textId="77777777" w:rsidR="00CA59D4" w:rsidRDefault="006C2E2B">
      <w:pPr>
        <w:adjustRightInd w:val="0"/>
        <w:snapToGrid w:val="0"/>
        <w:spacing w:line="360" w:lineRule="auto"/>
        <w:ind w:firstLineChars="200" w:firstLine="480"/>
        <w:rPr>
          <w:rFonts w:hAnsi="宋体"/>
          <w:kern w:val="0"/>
          <w:sz w:val="24"/>
        </w:rPr>
      </w:pPr>
      <w:r>
        <w:rPr>
          <w:rFonts w:hAnsi="宋体" w:hint="eastAsia"/>
          <w:kern w:val="0"/>
          <w:sz w:val="24"/>
        </w:rPr>
        <w:t>客服热线：</w:t>
      </w:r>
      <w:r>
        <w:rPr>
          <w:rFonts w:hAnsi="宋体" w:hint="eastAsia"/>
          <w:kern w:val="0"/>
          <w:sz w:val="24"/>
        </w:rPr>
        <w:t>95561</w:t>
      </w:r>
    </w:p>
    <w:p w14:paraId="00F48344" w14:textId="77777777" w:rsidR="00CA59D4" w:rsidRDefault="006C2E2B">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hint="eastAsia"/>
          <w:kern w:val="0"/>
          <w:sz w:val="24"/>
        </w:rPr>
        <w:t>www.cib.com.cn</w:t>
      </w:r>
    </w:p>
    <w:p w14:paraId="3F5C85E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（2）名称：交通银行股份有限公司</w:t>
      </w:r>
    </w:p>
    <w:p w14:paraId="5B8972E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43096BD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办公地址：上海市浦东新区银城中路188号</w:t>
      </w:r>
    </w:p>
    <w:p w14:paraId="5B7A2CB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7911F84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416F153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5D8E7D6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3E6ECE9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3BF914D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5DA1FBC2" w14:textId="77777777" w:rsidR="00CA59D4" w:rsidRDefault="006C2E2B">
      <w:pPr>
        <w:adjustRightInd w:val="0"/>
        <w:snapToGrid w:val="0"/>
        <w:spacing w:line="360" w:lineRule="auto"/>
        <w:ind w:firstLineChars="200" w:firstLine="480"/>
        <w:rPr>
          <w:rFonts w:hAnsi="宋体"/>
          <w:kern w:val="0"/>
          <w:sz w:val="24"/>
        </w:rPr>
      </w:pPr>
      <w:r>
        <w:rPr>
          <w:rFonts w:ascii="宋体" w:hAnsi="宋体" w:hint="eastAsia"/>
          <w:sz w:val="24"/>
        </w:rPr>
        <w:t>基金管理人可根据有关法律法规的要求，选择其它符合要求的机构销售本基金，并在基金管理人网站公示。</w:t>
      </w:r>
    </w:p>
    <w:p w14:paraId="2A443864" w14:textId="77777777" w:rsidR="00CA59D4" w:rsidRDefault="006C2E2B">
      <w:pPr>
        <w:adjustRightInd w:val="0"/>
        <w:snapToGrid w:val="0"/>
        <w:spacing w:line="360" w:lineRule="auto"/>
        <w:ind w:firstLineChars="200" w:firstLine="480"/>
        <w:rPr>
          <w:rFonts w:ascii="宋体" w:hAnsi="宋体"/>
          <w:szCs w:val="24"/>
        </w:rPr>
      </w:pPr>
      <w:r>
        <w:rPr>
          <w:rFonts w:ascii="宋体" w:hAnsi="宋体"/>
          <w:sz w:val="24"/>
        </w:rPr>
        <w:t>（二）登记机构</w:t>
      </w:r>
    </w:p>
    <w:p w14:paraId="163411EC" w14:textId="77777777" w:rsidR="00CA59D4" w:rsidRDefault="006C2E2B">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r>
        <w:rPr>
          <w:rFonts w:hint="eastAsia"/>
          <w:kern w:val="0"/>
          <w:sz w:val="24"/>
        </w:rPr>
        <w:t xml:space="preserve"> </w:t>
      </w:r>
    </w:p>
    <w:p w14:paraId="66A04A0C" w14:textId="77777777" w:rsidR="00CA59D4" w:rsidRDefault="006C2E2B">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rFonts w:hint="eastAsia"/>
          <w:kern w:val="0"/>
          <w:sz w:val="24"/>
        </w:rPr>
        <w:t>188</w:t>
      </w:r>
      <w:r>
        <w:rPr>
          <w:rFonts w:hint="eastAsia"/>
          <w:kern w:val="0"/>
          <w:sz w:val="24"/>
        </w:rPr>
        <w:t>号交通银行大楼二层（裙）</w:t>
      </w:r>
    </w:p>
    <w:p w14:paraId="2E459ADB" w14:textId="77777777" w:rsidR="00CA59D4" w:rsidRDefault="006C2E2B">
      <w:pPr>
        <w:widowControl/>
        <w:adjustRightInd w:val="0"/>
        <w:snapToGrid w:val="0"/>
        <w:spacing w:line="360" w:lineRule="auto"/>
        <w:ind w:firstLineChars="200" w:firstLine="480"/>
        <w:rPr>
          <w:kern w:val="0"/>
          <w:sz w:val="24"/>
        </w:rPr>
      </w:pPr>
      <w:r>
        <w:rPr>
          <w:rFonts w:hint="eastAsia"/>
          <w:kern w:val="0"/>
          <w:sz w:val="24"/>
        </w:rPr>
        <w:t>办公地址：上海市浦东新区世纪大道</w:t>
      </w:r>
      <w:r>
        <w:rPr>
          <w:rFonts w:hint="eastAsia"/>
          <w:kern w:val="0"/>
          <w:sz w:val="24"/>
        </w:rPr>
        <w:t>8</w:t>
      </w:r>
      <w:r>
        <w:rPr>
          <w:rFonts w:hint="eastAsia"/>
          <w:kern w:val="0"/>
          <w:sz w:val="24"/>
        </w:rPr>
        <w:t>号国金中心二期</w:t>
      </w:r>
      <w:r>
        <w:rPr>
          <w:rFonts w:hint="eastAsia"/>
          <w:kern w:val="0"/>
          <w:sz w:val="24"/>
        </w:rPr>
        <w:t>21-22</w:t>
      </w:r>
      <w:r>
        <w:rPr>
          <w:rFonts w:hint="eastAsia"/>
          <w:kern w:val="0"/>
          <w:sz w:val="24"/>
        </w:rPr>
        <w:t>楼</w:t>
      </w:r>
    </w:p>
    <w:p w14:paraId="3F529DFF" w14:textId="77777777" w:rsidR="00CA59D4" w:rsidRDefault="006C2E2B">
      <w:pPr>
        <w:widowControl/>
        <w:adjustRightInd w:val="0"/>
        <w:snapToGrid w:val="0"/>
        <w:spacing w:line="360" w:lineRule="auto"/>
        <w:ind w:firstLineChars="200" w:firstLine="480"/>
        <w:rPr>
          <w:kern w:val="0"/>
          <w:sz w:val="24"/>
        </w:rPr>
      </w:pPr>
      <w:r>
        <w:rPr>
          <w:rFonts w:hint="eastAsia"/>
          <w:kern w:val="0"/>
          <w:sz w:val="24"/>
        </w:rPr>
        <w:t>法定代表人：张宏良</w:t>
      </w:r>
      <w:r>
        <w:rPr>
          <w:rFonts w:hint="eastAsia"/>
          <w:sz w:val="24"/>
        </w:rPr>
        <w:t xml:space="preserve"> </w:t>
      </w:r>
    </w:p>
    <w:p w14:paraId="5F8422B1" w14:textId="77777777" w:rsidR="00CA59D4" w:rsidRDefault="006C2E2B">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hint="eastAsia"/>
          <w:kern w:val="0"/>
          <w:sz w:val="24"/>
        </w:rPr>
        <w:t>021</w:t>
      </w:r>
      <w:r>
        <w:rPr>
          <w:rFonts w:hAnsi="宋体" w:hint="eastAsia"/>
          <w:kern w:val="0"/>
          <w:sz w:val="24"/>
        </w:rPr>
        <w:t>）</w:t>
      </w:r>
      <w:r>
        <w:rPr>
          <w:rFonts w:hAnsi="宋体" w:hint="eastAsia"/>
          <w:kern w:val="0"/>
          <w:sz w:val="24"/>
        </w:rPr>
        <w:t>61055461</w:t>
      </w:r>
    </w:p>
    <w:p w14:paraId="6B33BF15" w14:textId="77777777" w:rsidR="00CA59D4" w:rsidRDefault="006C2E2B">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61055064</w:t>
      </w:r>
    </w:p>
    <w:p w14:paraId="3B36803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hAnsi="宋体" w:hint="eastAsia"/>
          <w:kern w:val="0"/>
          <w:sz w:val="24"/>
        </w:rPr>
        <w:t>联系人：陈方强</w:t>
      </w:r>
    </w:p>
    <w:p w14:paraId="34E193E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4CF4ABA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616B487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6BC6F82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办公地址：上海市银城中路68号时代金融中心18-20楼</w:t>
      </w:r>
    </w:p>
    <w:p w14:paraId="4B2AFFF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4BAA235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591B539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0862B987" w14:textId="77777777" w:rsidR="00CA59D4" w:rsidRDefault="006C2E2B">
      <w:pPr>
        <w:widowControl/>
        <w:adjustRightInd w:val="0"/>
        <w:snapToGrid w:val="0"/>
        <w:spacing w:line="360" w:lineRule="auto"/>
        <w:ind w:firstLineChars="200" w:firstLine="480"/>
        <w:rPr>
          <w:rFonts w:hAnsi="宋体"/>
          <w:kern w:val="0"/>
          <w:sz w:val="24"/>
        </w:rPr>
      </w:pPr>
      <w:r>
        <w:rPr>
          <w:rFonts w:hAnsi="宋体" w:hint="eastAsia"/>
          <w:kern w:val="0"/>
          <w:sz w:val="24"/>
        </w:rPr>
        <w:t>联系人：丁媛</w:t>
      </w:r>
    </w:p>
    <w:p w14:paraId="4E74123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hAnsi="宋体"/>
          <w:kern w:val="0"/>
          <w:sz w:val="24"/>
        </w:rPr>
        <w:t>经办律师：</w:t>
      </w:r>
      <w:r>
        <w:rPr>
          <w:rFonts w:hAnsi="宋体" w:hint="eastAsia"/>
          <w:kern w:val="0"/>
          <w:sz w:val="24"/>
        </w:rPr>
        <w:t>丁媛、李晓露</w:t>
      </w:r>
    </w:p>
    <w:p w14:paraId="18EF0F3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27DC5F9F"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名称：毕马威华振会计师事务所(特殊普通合伙)</w:t>
      </w:r>
    </w:p>
    <w:p w14:paraId="4C4D213D"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住所：北京市东城区东长安街1 号东方广场 2 座办公楼 8 层</w:t>
      </w:r>
    </w:p>
    <w:p w14:paraId="46011021"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办公地址：中国上海南京西路1266号恒隆广场2期25楼</w:t>
      </w:r>
    </w:p>
    <w:p w14:paraId="31D49C34"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执行事务合伙人：邹俊</w:t>
      </w:r>
    </w:p>
    <w:p w14:paraId="4479450A"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电话：+86 (21) 2212 2888</w:t>
      </w:r>
    </w:p>
    <w:p w14:paraId="7B5A7BC7"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传真：+86 (21) 6288 1889</w:t>
      </w:r>
    </w:p>
    <w:p w14:paraId="594B77C1"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联系人：侯雯</w:t>
      </w:r>
    </w:p>
    <w:p w14:paraId="5C45606F" w14:textId="0BE66A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经办注册会计师：王国蓓、侯雯</w:t>
      </w:r>
    </w:p>
    <w:p w14:paraId="6C915DF6" w14:textId="77777777" w:rsidR="00CA59D4" w:rsidRDefault="00CA59D4">
      <w:pPr>
        <w:autoSpaceDE w:val="0"/>
        <w:autoSpaceDN w:val="0"/>
        <w:adjustRightInd w:val="0"/>
        <w:snapToGrid w:val="0"/>
        <w:spacing w:line="360" w:lineRule="auto"/>
        <w:ind w:firstLineChars="200" w:firstLine="420"/>
        <w:jc w:val="left"/>
        <w:rPr>
          <w:rFonts w:ascii="宋体" w:hAnsi="宋体"/>
          <w:szCs w:val="24"/>
        </w:rPr>
      </w:pPr>
    </w:p>
    <w:p w14:paraId="1FCE85D4" w14:textId="77777777" w:rsidR="00CA59D4" w:rsidRDefault="006C2E2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0F0D960" w14:textId="77777777" w:rsidR="00CA59D4" w:rsidRDefault="006C2E2B">
      <w:pPr>
        <w:pStyle w:val="1"/>
        <w:snapToGrid w:val="0"/>
        <w:spacing w:beforeLines="0" w:before="240" w:after="240"/>
        <w:rPr>
          <w:rFonts w:ascii="宋体" w:hAnsi="宋体"/>
          <w:szCs w:val="30"/>
        </w:rPr>
      </w:pPr>
      <w:bookmarkStart w:id="9" w:name="_Toc104564189"/>
      <w:bookmarkStart w:id="10" w:name="_GoBack"/>
      <w:bookmarkEnd w:id="10"/>
      <w:r>
        <w:rPr>
          <w:rFonts w:ascii="Times New Roman" w:hAnsi="Times New Roman"/>
          <w:sz w:val="30"/>
        </w:rPr>
        <w:lastRenderedPageBreak/>
        <w:t>六、基金的募集</w:t>
      </w:r>
      <w:bookmarkEnd w:id="9"/>
    </w:p>
    <w:p w14:paraId="42D01D07" w14:textId="77777777" w:rsidR="00CA59D4" w:rsidRDefault="006C2E2B">
      <w:pPr>
        <w:adjustRightInd w:val="0"/>
        <w:snapToGrid w:val="0"/>
        <w:spacing w:line="360" w:lineRule="auto"/>
        <w:ind w:firstLineChars="200" w:firstLine="482"/>
        <w:rPr>
          <w:rFonts w:ascii="Times New Roman" w:hAnsi="Times New Roman"/>
          <w:b/>
          <w:kern w:val="0"/>
          <w:sz w:val="24"/>
          <w:szCs w:val="24"/>
        </w:rPr>
      </w:pPr>
      <w:r>
        <w:rPr>
          <w:rFonts w:ascii="Times New Roman" w:hAnsi="Times New Roman" w:hint="eastAsia"/>
          <w:b/>
          <w:kern w:val="0"/>
          <w:sz w:val="24"/>
          <w:szCs w:val="24"/>
        </w:rPr>
        <w:t>（一）基金募集的依据</w:t>
      </w:r>
    </w:p>
    <w:p w14:paraId="44F677A0" w14:textId="36B8C5CE"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本基金由基金管理人依照《基金法》、《运作办法》、《销售办法》、基金合同及其他有关规定，并经中国证监</w:t>
      </w:r>
      <w:r>
        <w:rPr>
          <w:rFonts w:ascii="Times New Roman" w:hAnsi="Times New Roman" w:hint="eastAsia"/>
          <w:kern w:val="0"/>
          <w:sz w:val="24"/>
        </w:rPr>
        <w:t>会</w:t>
      </w:r>
      <w:r>
        <w:rPr>
          <w:rFonts w:ascii="Times New Roman" w:hAnsi="Times New Roman"/>
          <w:kern w:val="0"/>
          <w:sz w:val="24"/>
        </w:rPr>
        <w:t>2025</w:t>
      </w:r>
      <w:r>
        <w:rPr>
          <w:rFonts w:ascii="Times New Roman" w:hAnsi="Times New Roman" w:hint="eastAsia"/>
          <w:kern w:val="0"/>
          <w:sz w:val="24"/>
        </w:rPr>
        <w:t>年</w:t>
      </w:r>
      <w:r>
        <w:rPr>
          <w:rFonts w:ascii="Times New Roman" w:hAnsi="Times New Roman"/>
          <w:kern w:val="0"/>
          <w:sz w:val="24"/>
        </w:rPr>
        <w:t>4</w:t>
      </w:r>
      <w:r>
        <w:rPr>
          <w:rFonts w:ascii="Times New Roman" w:hAnsi="Times New Roman" w:hint="eastAsia"/>
          <w:kern w:val="0"/>
          <w:sz w:val="24"/>
        </w:rPr>
        <w:t>月</w:t>
      </w:r>
      <w:r>
        <w:rPr>
          <w:rFonts w:ascii="Times New Roman" w:hAnsi="Times New Roman"/>
          <w:kern w:val="0"/>
          <w:sz w:val="24"/>
        </w:rPr>
        <w:t>29</w:t>
      </w:r>
      <w:r>
        <w:rPr>
          <w:rFonts w:ascii="Times New Roman" w:hAnsi="Times New Roman" w:hint="eastAsia"/>
          <w:kern w:val="0"/>
          <w:sz w:val="24"/>
        </w:rPr>
        <w:t>日证监许可【</w:t>
      </w:r>
      <w:r>
        <w:rPr>
          <w:rFonts w:ascii="Times New Roman" w:hAnsi="Times New Roman"/>
          <w:kern w:val="0"/>
          <w:sz w:val="24"/>
        </w:rPr>
        <w:t>2025</w:t>
      </w:r>
      <w:r>
        <w:rPr>
          <w:rFonts w:ascii="Times New Roman" w:hAnsi="Times New Roman" w:hint="eastAsia"/>
          <w:kern w:val="0"/>
          <w:sz w:val="24"/>
        </w:rPr>
        <w:t>】</w:t>
      </w:r>
      <w:r>
        <w:rPr>
          <w:rFonts w:ascii="Times New Roman" w:hAnsi="Times New Roman"/>
          <w:kern w:val="0"/>
          <w:sz w:val="24"/>
        </w:rPr>
        <w:t>968</w:t>
      </w:r>
      <w:r>
        <w:rPr>
          <w:rFonts w:ascii="Times New Roman" w:hAnsi="Times New Roman" w:hint="eastAsia"/>
          <w:kern w:val="0"/>
          <w:sz w:val="24"/>
        </w:rPr>
        <w:t>号文准予募</w:t>
      </w:r>
      <w:r>
        <w:rPr>
          <w:rFonts w:ascii="Times New Roman" w:hAnsi="Times New Roman" w:hint="eastAsia"/>
          <w:color w:val="000000"/>
          <w:kern w:val="0"/>
          <w:sz w:val="24"/>
        </w:rPr>
        <w:t>集注册。</w:t>
      </w:r>
    </w:p>
    <w:p w14:paraId="3E58060C" w14:textId="77777777" w:rsidR="00CA59D4" w:rsidRDefault="006C2E2B">
      <w:pPr>
        <w:adjustRightInd w:val="0"/>
        <w:snapToGrid w:val="0"/>
        <w:spacing w:line="360" w:lineRule="auto"/>
        <w:ind w:firstLineChars="200" w:firstLine="482"/>
        <w:rPr>
          <w:rFonts w:ascii="Times New Roman" w:hAnsi="Times New Roman"/>
          <w:b/>
          <w:kern w:val="0"/>
          <w:sz w:val="24"/>
          <w:szCs w:val="24"/>
        </w:rPr>
      </w:pPr>
      <w:r>
        <w:rPr>
          <w:rFonts w:ascii="Times New Roman" w:hAnsi="Times New Roman" w:hint="eastAsia"/>
          <w:b/>
          <w:kern w:val="0"/>
          <w:sz w:val="24"/>
          <w:szCs w:val="24"/>
        </w:rPr>
        <w:t>（二）基金类别</w:t>
      </w:r>
    </w:p>
    <w:p w14:paraId="51ECDACB" w14:textId="77777777" w:rsidR="00CA59D4" w:rsidRDefault="006C2E2B">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color w:val="000000"/>
          <w:kern w:val="0"/>
          <w:sz w:val="24"/>
        </w:rPr>
        <w:t>债券型证券投资基金</w:t>
      </w:r>
    </w:p>
    <w:p w14:paraId="06926ED3" w14:textId="77777777" w:rsidR="00CA59D4" w:rsidRDefault="006C2E2B">
      <w:pPr>
        <w:adjustRightInd w:val="0"/>
        <w:snapToGrid w:val="0"/>
        <w:spacing w:line="360" w:lineRule="auto"/>
        <w:ind w:firstLineChars="200" w:firstLine="482"/>
        <w:rPr>
          <w:rFonts w:ascii="Times New Roman" w:hAnsi="Times New Roman"/>
          <w:b/>
          <w:kern w:val="0"/>
          <w:sz w:val="24"/>
          <w:szCs w:val="24"/>
        </w:rPr>
      </w:pPr>
      <w:r>
        <w:rPr>
          <w:rFonts w:ascii="Times New Roman" w:hAnsi="Times New Roman" w:hint="eastAsia"/>
          <w:b/>
          <w:kern w:val="0"/>
          <w:sz w:val="24"/>
          <w:szCs w:val="24"/>
        </w:rPr>
        <w:t>（三）基金运作方式</w:t>
      </w:r>
    </w:p>
    <w:p w14:paraId="3AB2364C"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契约型开放式</w:t>
      </w:r>
    </w:p>
    <w:p w14:paraId="61D9CA70" w14:textId="77777777" w:rsidR="00CA59D4" w:rsidRDefault="006C2E2B">
      <w:pPr>
        <w:widowControl/>
        <w:adjustRightInd w:val="0"/>
        <w:snapToGrid w:val="0"/>
        <w:spacing w:line="360" w:lineRule="auto"/>
        <w:ind w:firstLineChars="200" w:firstLine="480"/>
        <w:rPr>
          <w:bCs/>
          <w:sz w:val="24"/>
          <w:szCs w:val="20"/>
        </w:rPr>
      </w:pPr>
      <w:r>
        <w:rPr>
          <w:rFonts w:hint="eastAsia"/>
          <w:bCs/>
          <w:sz w:val="24"/>
          <w:szCs w:val="20"/>
        </w:rPr>
        <w:t>1</w:t>
      </w:r>
      <w:r>
        <w:rPr>
          <w:rFonts w:hint="eastAsia"/>
          <w:bCs/>
          <w:sz w:val="24"/>
          <w:szCs w:val="20"/>
        </w:rPr>
        <w:t>、每个运作期到期日前，基金份额持有人不能提出赎回申请</w:t>
      </w:r>
    </w:p>
    <w:p w14:paraId="7B3819CE" w14:textId="77777777" w:rsidR="00CA59D4" w:rsidRDefault="006C2E2B">
      <w:pPr>
        <w:widowControl/>
        <w:adjustRightInd w:val="0"/>
        <w:snapToGrid w:val="0"/>
        <w:spacing w:line="360" w:lineRule="auto"/>
        <w:ind w:firstLineChars="200" w:firstLine="480"/>
        <w:rPr>
          <w:bCs/>
          <w:sz w:val="24"/>
          <w:szCs w:val="20"/>
        </w:rPr>
      </w:pPr>
      <w:r>
        <w:rPr>
          <w:rFonts w:hint="eastAsia"/>
          <w:bCs/>
          <w:sz w:val="24"/>
          <w:szCs w:val="20"/>
        </w:rPr>
        <w:t>在每份基金份额的每个运作期到期日前，基金份额持有人不能提出赎回申请。对于每份基金份额，第一个运作期指基金合同生效日（对认购份额而言，下同）或基金份额申购确认日（对申购份额而言，下同）起（即第一个运作期起始日），至基金合同生效日或基金份额申购申请日后的第</w:t>
      </w:r>
      <w:r>
        <w:rPr>
          <w:rFonts w:hint="eastAsia"/>
          <w:bCs/>
          <w:sz w:val="24"/>
          <w:szCs w:val="20"/>
        </w:rPr>
        <w:t>120</w:t>
      </w:r>
      <w:r>
        <w:rPr>
          <w:rFonts w:hint="eastAsia"/>
          <w:bCs/>
          <w:sz w:val="24"/>
          <w:szCs w:val="20"/>
        </w:rPr>
        <w:t>天（即第一个运作期到期日，如该日为非工作日，则顺延至下一工作日）止。第二个运作期指第一个运作期到期日的次一日起，至基金合同生效日或基金份额申购申请日后的第</w:t>
      </w:r>
      <w:r>
        <w:rPr>
          <w:rFonts w:hint="eastAsia"/>
          <w:bCs/>
          <w:sz w:val="24"/>
          <w:szCs w:val="20"/>
        </w:rPr>
        <w:t>240</w:t>
      </w:r>
      <w:r>
        <w:rPr>
          <w:rFonts w:hint="eastAsia"/>
          <w:bCs/>
          <w:sz w:val="24"/>
          <w:szCs w:val="20"/>
        </w:rPr>
        <w:t>天（如该日为非工作日，则顺延至下一工作日）止。以此类推。</w:t>
      </w:r>
    </w:p>
    <w:p w14:paraId="3242DBFD" w14:textId="77777777" w:rsidR="00CA59D4" w:rsidRDefault="006C2E2B">
      <w:pPr>
        <w:widowControl/>
        <w:adjustRightInd w:val="0"/>
        <w:snapToGrid w:val="0"/>
        <w:spacing w:line="360" w:lineRule="auto"/>
        <w:ind w:firstLineChars="200" w:firstLine="480"/>
        <w:rPr>
          <w:bCs/>
          <w:sz w:val="24"/>
          <w:szCs w:val="20"/>
        </w:rPr>
      </w:pPr>
      <w:r>
        <w:rPr>
          <w:rFonts w:hint="eastAsia"/>
          <w:bCs/>
          <w:sz w:val="24"/>
          <w:szCs w:val="20"/>
        </w:rPr>
        <w:t>2</w:t>
      </w:r>
      <w:r>
        <w:rPr>
          <w:rFonts w:hint="eastAsia"/>
          <w:bCs/>
          <w:sz w:val="24"/>
          <w:szCs w:val="20"/>
        </w:rPr>
        <w:t>、每个运作期到期日，基金份额持有人可提出赎回申请</w:t>
      </w:r>
    </w:p>
    <w:p w14:paraId="49FE3EF8"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hint="eastAsia"/>
          <w:bCs/>
          <w:sz w:val="24"/>
          <w:szCs w:val="20"/>
        </w:rPr>
        <w:t>在每份基金份额的每个运作期到期日，基金份额持有人可提出赎回申请。如果基金份额持有人在当期运作期到期日未申请赎回或赎回被确认失败，则该基金份额将自该运作期到期日次一日起自动进入下一个运作期。</w:t>
      </w:r>
    </w:p>
    <w:p w14:paraId="39C28391" w14:textId="77777777" w:rsidR="00CA59D4" w:rsidRDefault="006C2E2B">
      <w:pPr>
        <w:adjustRightInd w:val="0"/>
        <w:snapToGrid w:val="0"/>
        <w:spacing w:line="360" w:lineRule="auto"/>
        <w:ind w:firstLineChars="200" w:firstLine="482"/>
        <w:rPr>
          <w:rFonts w:ascii="Times New Roman" w:hAnsi="Times New Roman"/>
          <w:b/>
          <w:kern w:val="0"/>
          <w:sz w:val="24"/>
          <w:szCs w:val="24"/>
        </w:rPr>
      </w:pPr>
      <w:r>
        <w:rPr>
          <w:rFonts w:ascii="Times New Roman" w:hAnsi="Times New Roman" w:hint="eastAsia"/>
          <w:b/>
          <w:kern w:val="0"/>
          <w:sz w:val="24"/>
          <w:szCs w:val="24"/>
        </w:rPr>
        <w:t>（四）基金存续期限</w:t>
      </w:r>
    </w:p>
    <w:p w14:paraId="763E127C"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不定期</w:t>
      </w:r>
    </w:p>
    <w:p w14:paraId="465823D2" w14:textId="77777777" w:rsidR="00CA59D4" w:rsidRDefault="006C2E2B">
      <w:pPr>
        <w:adjustRightInd w:val="0"/>
        <w:snapToGrid w:val="0"/>
        <w:spacing w:line="360" w:lineRule="auto"/>
        <w:ind w:firstLineChars="200" w:firstLine="482"/>
        <w:rPr>
          <w:rFonts w:ascii="Times New Roman" w:hAnsi="Times New Roman"/>
          <w:b/>
          <w:kern w:val="0"/>
          <w:sz w:val="24"/>
          <w:szCs w:val="24"/>
        </w:rPr>
      </w:pPr>
      <w:r>
        <w:rPr>
          <w:rFonts w:ascii="Times New Roman" w:hAnsi="Times New Roman" w:hint="eastAsia"/>
          <w:b/>
          <w:kern w:val="0"/>
          <w:sz w:val="24"/>
          <w:szCs w:val="24"/>
        </w:rPr>
        <w:t>（五）基金份额类别</w:t>
      </w:r>
    </w:p>
    <w:p w14:paraId="3E630409" w14:textId="77777777" w:rsidR="00CA59D4" w:rsidRDefault="006C2E2B">
      <w:pPr>
        <w:widowControl/>
        <w:adjustRightInd w:val="0"/>
        <w:snapToGrid w:val="0"/>
        <w:spacing w:line="360" w:lineRule="auto"/>
        <w:ind w:firstLineChars="200" w:firstLine="480"/>
        <w:rPr>
          <w:rFonts w:ascii="Times New Roman" w:hAnsi="Times New Roman"/>
          <w:color w:val="000000"/>
          <w:sz w:val="24"/>
        </w:rPr>
      </w:pPr>
      <w:r>
        <w:rPr>
          <w:rFonts w:ascii="Times New Roman" w:hAnsi="Times New Roman" w:hint="eastAsia"/>
          <w:color w:val="000000"/>
          <w:sz w:val="24"/>
        </w:rPr>
        <w:t>本基金根据认购</w:t>
      </w:r>
      <w:r>
        <w:rPr>
          <w:rFonts w:ascii="Times New Roman" w:hAnsi="Times New Roman"/>
          <w:color w:val="000000"/>
          <w:sz w:val="24"/>
        </w:rPr>
        <w:t>/</w:t>
      </w:r>
      <w:r>
        <w:rPr>
          <w:rFonts w:ascii="Times New Roman" w:hAnsi="Times New Roman" w:hint="eastAsia"/>
          <w:color w:val="000000"/>
          <w:sz w:val="24"/>
        </w:rPr>
        <w:t>申购费用、销售服务费收取方式的不同，将基金份额分为不同的类别。在投资人认购</w:t>
      </w:r>
      <w:r>
        <w:rPr>
          <w:rFonts w:ascii="Times New Roman" w:hAnsi="Times New Roman"/>
          <w:color w:val="000000"/>
          <w:sz w:val="24"/>
        </w:rPr>
        <w:t>/</w:t>
      </w:r>
      <w:r>
        <w:rPr>
          <w:rFonts w:ascii="Times New Roman" w:hAnsi="Times New Roman" w:hint="eastAsia"/>
          <w:color w:val="000000"/>
          <w:sz w:val="24"/>
        </w:rPr>
        <w:t>申购时收取认购</w:t>
      </w:r>
      <w:r>
        <w:rPr>
          <w:rFonts w:ascii="Times New Roman" w:hAnsi="Times New Roman"/>
          <w:color w:val="000000"/>
          <w:sz w:val="24"/>
        </w:rPr>
        <w:t>/</w:t>
      </w:r>
      <w:r>
        <w:rPr>
          <w:rFonts w:ascii="Times New Roman" w:hAnsi="Times New Roman" w:hint="eastAsia"/>
          <w:color w:val="000000"/>
          <w:sz w:val="24"/>
        </w:rPr>
        <w:t>申购费用且不从本类别基金资产中计提销售服务费的，称为</w:t>
      </w:r>
      <w:r>
        <w:rPr>
          <w:rFonts w:ascii="Times New Roman" w:hAnsi="Times New Roman"/>
          <w:color w:val="000000"/>
          <w:sz w:val="24"/>
        </w:rPr>
        <w:t>A</w:t>
      </w:r>
      <w:r>
        <w:rPr>
          <w:rFonts w:ascii="Times New Roman" w:hAnsi="Times New Roman" w:hint="eastAsia"/>
          <w:color w:val="000000"/>
          <w:sz w:val="24"/>
        </w:rPr>
        <w:t>类基金份额；在投资人认购</w:t>
      </w:r>
      <w:r>
        <w:rPr>
          <w:rFonts w:ascii="Times New Roman" w:hAnsi="Times New Roman"/>
          <w:color w:val="000000"/>
          <w:sz w:val="24"/>
        </w:rPr>
        <w:t>/</w:t>
      </w:r>
      <w:r>
        <w:rPr>
          <w:rFonts w:ascii="Times New Roman" w:hAnsi="Times New Roman" w:hint="eastAsia"/>
          <w:color w:val="000000"/>
          <w:sz w:val="24"/>
        </w:rPr>
        <w:t>申购时不收取认购</w:t>
      </w:r>
      <w:r>
        <w:rPr>
          <w:rFonts w:ascii="Times New Roman" w:hAnsi="Times New Roman"/>
          <w:color w:val="000000"/>
          <w:sz w:val="24"/>
        </w:rPr>
        <w:t>/</w:t>
      </w:r>
      <w:r>
        <w:rPr>
          <w:rFonts w:ascii="Times New Roman" w:hAnsi="Times New Roman" w:hint="eastAsia"/>
          <w:color w:val="000000"/>
          <w:sz w:val="24"/>
        </w:rPr>
        <w:t>申购费用，并从本类别基金资产中计提销售服务费的，称为</w:t>
      </w:r>
      <w:r>
        <w:rPr>
          <w:rFonts w:ascii="Times New Roman" w:hAnsi="Times New Roman"/>
          <w:color w:val="000000"/>
          <w:sz w:val="24"/>
        </w:rPr>
        <w:t>C</w:t>
      </w:r>
      <w:r>
        <w:rPr>
          <w:rFonts w:ascii="Times New Roman" w:hAnsi="Times New Roman" w:hint="eastAsia"/>
          <w:color w:val="000000"/>
          <w:sz w:val="24"/>
        </w:rPr>
        <w:t>类基金份额。</w:t>
      </w:r>
    </w:p>
    <w:p w14:paraId="779E9174" w14:textId="77777777" w:rsidR="00CA59D4" w:rsidRDefault="006C2E2B">
      <w:pPr>
        <w:widowControl/>
        <w:adjustRightInd w:val="0"/>
        <w:snapToGrid w:val="0"/>
        <w:spacing w:line="360" w:lineRule="auto"/>
        <w:ind w:firstLineChars="200" w:firstLine="480"/>
        <w:rPr>
          <w:rFonts w:ascii="Times New Roman" w:hAnsi="Times New Roman"/>
          <w:color w:val="000000"/>
          <w:sz w:val="24"/>
        </w:rPr>
      </w:pPr>
      <w:r>
        <w:rPr>
          <w:rFonts w:ascii="Times New Roman" w:hAnsi="Times New Roman" w:hint="eastAsia"/>
          <w:color w:val="000000"/>
          <w:sz w:val="24"/>
        </w:rPr>
        <w:lastRenderedPageBreak/>
        <w:t>本基金</w:t>
      </w:r>
      <w:r>
        <w:rPr>
          <w:rFonts w:ascii="Times New Roman" w:hAnsi="Times New Roman"/>
          <w:color w:val="000000"/>
          <w:sz w:val="24"/>
        </w:rPr>
        <w:t>A</w:t>
      </w:r>
      <w:r>
        <w:rPr>
          <w:rFonts w:ascii="Times New Roman" w:hAnsi="Times New Roman" w:hint="eastAsia"/>
          <w:color w:val="000000"/>
          <w:sz w:val="24"/>
        </w:rPr>
        <w:t>类基金份额和</w:t>
      </w:r>
      <w:r>
        <w:rPr>
          <w:rFonts w:ascii="Times New Roman" w:hAnsi="Times New Roman"/>
          <w:color w:val="000000"/>
          <w:sz w:val="24"/>
        </w:rPr>
        <w:t>C</w:t>
      </w:r>
      <w:r>
        <w:rPr>
          <w:rFonts w:ascii="Times New Roman" w:hAnsi="Times New Roman" w:hint="eastAsia"/>
          <w:color w:val="000000"/>
          <w:sz w:val="24"/>
        </w:rPr>
        <w:t>类基金份额分别设置基金代码。由于基金费用的不同，本基金</w:t>
      </w:r>
      <w:r>
        <w:rPr>
          <w:rFonts w:ascii="Times New Roman" w:hAnsi="Times New Roman"/>
          <w:color w:val="000000"/>
          <w:sz w:val="24"/>
        </w:rPr>
        <w:t>A</w:t>
      </w:r>
      <w:r>
        <w:rPr>
          <w:rFonts w:ascii="Times New Roman" w:hAnsi="Times New Roman" w:hint="eastAsia"/>
          <w:color w:val="000000"/>
          <w:sz w:val="24"/>
        </w:rPr>
        <w:t>类基金份额和</w:t>
      </w:r>
      <w:r>
        <w:rPr>
          <w:rFonts w:ascii="Times New Roman" w:hAnsi="Times New Roman"/>
          <w:color w:val="000000"/>
          <w:sz w:val="24"/>
        </w:rPr>
        <w:t>C</w:t>
      </w:r>
      <w:r>
        <w:rPr>
          <w:rFonts w:ascii="Times New Roman" w:hAnsi="Times New Roman" w:hint="eastAsia"/>
          <w:color w:val="000000"/>
          <w:sz w:val="24"/>
        </w:rPr>
        <w:t>类基金份额将分别计算基金份额净值并单独公告。投资者可自行选择认购</w:t>
      </w:r>
      <w:r>
        <w:rPr>
          <w:rFonts w:ascii="Times New Roman" w:hAnsi="Times New Roman"/>
          <w:color w:val="000000"/>
          <w:sz w:val="24"/>
        </w:rPr>
        <w:t>/</w:t>
      </w:r>
      <w:r>
        <w:rPr>
          <w:rFonts w:ascii="Times New Roman" w:hAnsi="Times New Roman" w:hint="eastAsia"/>
          <w:color w:val="000000"/>
          <w:sz w:val="24"/>
        </w:rPr>
        <w:t>申购的基金份额类别。</w:t>
      </w:r>
      <w:r>
        <w:rPr>
          <w:rFonts w:hint="eastAsia"/>
          <w:bCs/>
          <w:sz w:val="24"/>
        </w:rPr>
        <w:t>本基金不同基金份额类别之间暂不开通互相转换业务。如后续开通此项业务的，无需召开基金份额持有人大会审议，但调整前基金管理人需及时公告。</w:t>
      </w:r>
    </w:p>
    <w:p w14:paraId="193EF439" w14:textId="77777777" w:rsidR="00CA59D4" w:rsidRDefault="006C2E2B">
      <w:pPr>
        <w:widowControl/>
        <w:adjustRightInd w:val="0"/>
        <w:snapToGrid w:val="0"/>
        <w:spacing w:line="360" w:lineRule="auto"/>
        <w:ind w:firstLineChars="200" w:firstLine="480"/>
        <w:rPr>
          <w:rFonts w:ascii="Times New Roman" w:hAnsi="Times New Roman"/>
          <w:color w:val="000000"/>
          <w:sz w:val="24"/>
        </w:rPr>
      </w:pPr>
      <w:r>
        <w:rPr>
          <w:rFonts w:ascii="Times New Roman" w:hAnsi="Times New Roman" w:hint="eastAsia"/>
          <w:color w:val="000000"/>
          <w:sz w:val="24"/>
        </w:rPr>
        <w:t>在不违反法律法规、基金合同的约定以及对基金份额持有人利益无实质性不利影响的情况下，根据基金实际运作情况，基金管理人可增加或调整基金份额类别设置、停止现有基金份额的销售、对基金份额分类办法及规则进行调整并在调整实施前依照《信息披露办法》的有关规定在规定媒介上公告，而无需召开基金份额持有人大会。</w:t>
      </w:r>
    </w:p>
    <w:p w14:paraId="1F2BE389" w14:textId="77777777" w:rsidR="00CA59D4" w:rsidRDefault="006C2E2B">
      <w:pPr>
        <w:widowControl/>
        <w:adjustRightInd w:val="0"/>
        <w:snapToGrid w:val="0"/>
        <w:spacing w:line="360" w:lineRule="auto"/>
        <w:ind w:firstLineChars="150" w:firstLine="361"/>
        <w:rPr>
          <w:rFonts w:ascii="Times New Roman" w:hAnsi="Times New Roman"/>
          <w:b/>
          <w:color w:val="000000"/>
          <w:kern w:val="0"/>
          <w:sz w:val="24"/>
        </w:rPr>
      </w:pPr>
      <w:r>
        <w:rPr>
          <w:rFonts w:ascii="Times New Roman" w:hAnsi="Times New Roman" w:hint="eastAsia"/>
          <w:b/>
          <w:color w:val="000000"/>
          <w:kern w:val="0"/>
          <w:sz w:val="24"/>
        </w:rPr>
        <w:t>（六）基金份额的认购</w:t>
      </w:r>
    </w:p>
    <w:p w14:paraId="71C4B46A" w14:textId="77777777" w:rsidR="00CA59D4" w:rsidRDefault="006C2E2B">
      <w:pPr>
        <w:adjustRightInd w:val="0"/>
        <w:snapToGrid w:val="0"/>
        <w:spacing w:line="360" w:lineRule="auto"/>
        <w:ind w:firstLineChars="200" w:firstLine="480"/>
        <w:rPr>
          <w:rFonts w:ascii="Times New Roman" w:hAnsi="Times New Roman"/>
          <w:color w:val="000000"/>
          <w:sz w:val="24"/>
        </w:rPr>
      </w:pPr>
      <w:r>
        <w:rPr>
          <w:rFonts w:ascii="Times New Roman" w:hAnsi="Times New Roman" w:hint="eastAsia"/>
          <w:color w:val="000000"/>
          <w:sz w:val="24"/>
        </w:rPr>
        <w:t>基金募集期内，基金份额通过各销售机构向投资人公开发售</w:t>
      </w:r>
      <w:r>
        <w:rPr>
          <w:rFonts w:ascii="Times New Roman" w:hAnsi="Times New Roman"/>
          <w:bCs/>
          <w:sz w:val="24"/>
        </w:rPr>
        <w:t>，各销售机构的具体名单见基金份额发售公告以及基金管理人</w:t>
      </w:r>
      <w:r>
        <w:rPr>
          <w:rFonts w:ascii="Times New Roman" w:hAnsi="Times New Roman" w:hint="eastAsia"/>
          <w:bCs/>
          <w:sz w:val="24"/>
        </w:rPr>
        <w:t>网站</w:t>
      </w:r>
      <w:r>
        <w:rPr>
          <w:rFonts w:ascii="Times New Roman" w:hAnsi="Times New Roman" w:hint="eastAsia"/>
          <w:sz w:val="24"/>
        </w:rPr>
        <w:t>。募集期间个人投资者可以通过基金管理人网上直销交易平台办理开户和本基金的认购业务，</w:t>
      </w:r>
      <w:r>
        <w:rPr>
          <w:rFonts w:ascii="Times New Roman" w:hAnsi="Times New Roman"/>
          <w:sz w:val="24"/>
        </w:rPr>
        <w:t>具体</w:t>
      </w:r>
      <w:r>
        <w:rPr>
          <w:rFonts w:ascii="Times New Roman" w:hAnsi="Times New Roman"/>
          <w:bCs/>
          <w:sz w:val="24"/>
        </w:rPr>
        <w:t>见基金份额发售公告以及基金管理人</w:t>
      </w:r>
      <w:r>
        <w:rPr>
          <w:rFonts w:ascii="Times New Roman" w:hAnsi="Times New Roman" w:hint="eastAsia"/>
          <w:bCs/>
          <w:sz w:val="24"/>
        </w:rPr>
        <w:t>网站</w:t>
      </w:r>
      <w:r>
        <w:rPr>
          <w:rFonts w:ascii="Times New Roman" w:hAnsi="Times New Roman" w:hint="eastAsia"/>
          <w:sz w:val="24"/>
        </w:rPr>
        <w:t>。</w:t>
      </w:r>
      <w:r>
        <w:rPr>
          <w:rFonts w:ascii="Times New Roman" w:hAnsi="Times New Roman" w:hint="eastAsia"/>
          <w:color w:val="000000"/>
          <w:sz w:val="24"/>
        </w:rPr>
        <w:t>除法律法规或中国证监会另有规定外，任何与基金份额发售有关的当事人不得预留和提前发售基金份额。</w:t>
      </w:r>
    </w:p>
    <w:p w14:paraId="224A48CF"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hint="eastAsia"/>
          <w:color w:val="000000"/>
          <w:kern w:val="0"/>
          <w:sz w:val="24"/>
        </w:rPr>
        <w:t>、基金份额的发售时间、方式和对象</w:t>
      </w:r>
    </w:p>
    <w:p w14:paraId="16D8023F" w14:textId="5C120712"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1</w:t>
      </w:r>
      <w:r>
        <w:rPr>
          <w:rFonts w:ascii="Times New Roman" w:hAnsi="Times New Roman" w:hint="eastAsia"/>
          <w:color w:val="000000"/>
          <w:kern w:val="0"/>
          <w:sz w:val="24"/>
        </w:rPr>
        <w:t>）募集期限：自基金份额发售之日起不超过</w:t>
      </w:r>
      <w:r>
        <w:rPr>
          <w:rFonts w:ascii="Times New Roman" w:hAnsi="Times New Roman"/>
          <w:color w:val="000000"/>
          <w:kern w:val="0"/>
          <w:sz w:val="24"/>
        </w:rPr>
        <w:t>3</w:t>
      </w:r>
      <w:r>
        <w:rPr>
          <w:rFonts w:ascii="Times New Roman" w:hAnsi="Times New Roman" w:hint="eastAsia"/>
          <w:color w:val="000000"/>
          <w:kern w:val="0"/>
          <w:sz w:val="24"/>
        </w:rPr>
        <w:t>个月。本</w:t>
      </w:r>
      <w:r>
        <w:rPr>
          <w:rFonts w:ascii="Times New Roman" w:hAnsi="Times New Roman"/>
          <w:color w:val="000000"/>
          <w:kern w:val="0"/>
          <w:sz w:val="24"/>
        </w:rPr>
        <w:t>基金自</w:t>
      </w:r>
      <w:r>
        <w:rPr>
          <w:rFonts w:ascii="Times New Roman" w:hAnsi="Times New Roman"/>
          <w:color w:val="000000"/>
          <w:kern w:val="0"/>
          <w:sz w:val="24"/>
        </w:rPr>
        <w:t>2025</w:t>
      </w:r>
      <w:r>
        <w:rPr>
          <w:rFonts w:ascii="Times New Roman" w:hAnsi="Times New Roman"/>
          <w:color w:val="000000"/>
          <w:kern w:val="0"/>
          <w:sz w:val="24"/>
        </w:rPr>
        <w:t>年</w:t>
      </w:r>
      <w:r>
        <w:rPr>
          <w:rFonts w:ascii="Times New Roman" w:hAnsi="Times New Roman"/>
          <w:color w:val="000000"/>
          <w:kern w:val="0"/>
          <w:sz w:val="24"/>
        </w:rPr>
        <w:t>8</w:t>
      </w:r>
      <w:r>
        <w:rPr>
          <w:rFonts w:ascii="Times New Roman" w:hAnsi="Times New Roman"/>
          <w:color w:val="000000"/>
          <w:kern w:val="0"/>
          <w:sz w:val="24"/>
        </w:rPr>
        <w:t>月</w:t>
      </w:r>
      <w:r w:rsidR="00D93E3A">
        <w:rPr>
          <w:rFonts w:ascii="Times New Roman" w:hAnsi="Times New Roman"/>
          <w:color w:val="000000"/>
          <w:kern w:val="0"/>
          <w:sz w:val="24"/>
        </w:rPr>
        <w:t>25</w:t>
      </w:r>
      <w:r>
        <w:rPr>
          <w:rFonts w:ascii="Times New Roman" w:hAnsi="Times New Roman"/>
          <w:color w:val="000000"/>
          <w:kern w:val="0"/>
          <w:sz w:val="24"/>
        </w:rPr>
        <w:t>日起至</w:t>
      </w:r>
      <w:r>
        <w:rPr>
          <w:rFonts w:ascii="Times New Roman" w:hAnsi="Times New Roman"/>
          <w:color w:val="000000"/>
          <w:kern w:val="0"/>
          <w:sz w:val="24"/>
        </w:rPr>
        <w:t>2025</w:t>
      </w:r>
      <w:r>
        <w:rPr>
          <w:rFonts w:ascii="Times New Roman" w:hAnsi="Times New Roman"/>
          <w:color w:val="000000"/>
          <w:kern w:val="0"/>
          <w:sz w:val="24"/>
        </w:rPr>
        <w:t>年</w:t>
      </w:r>
      <w:r w:rsidR="00D93E3A">
        <w:rPr>
          <w:rFonts w:ascii="Times New Roman" w:hAnsi="Times New Roman"/>
          <w:color w:val="000000"/>
          <w:kern w:val="0"/>
          <w:sz w:val="24"/>
        </w:rPr>
        <w:t>9</w:t>
      </w:r>
      <w:r>
        <w:rPr>
          <w:rFonts w:ascii="Times New Roman" w:hAnsi="Times New Roman"/>
          <w:color w:val="000000"/>
          <w:kern w:val="0"/>
          <w:sz w:val="24"/>
        </w:rPr>
        <w:t>月</w:t>
      </w:r>
      <w:r w:rsidR="00D93E3A">
        <w:rPr>
          <w:rFonts w:ascii="Times New Roman" w:hAnsi="Times New Roman"/>
          <w:color w:val="000000"/>
          <w:kern w:val="0"/>
          <w:sz w:val="24"/>
        </w:rPr>
        <w:t>5</w:t>
      </w:r>
      <w:r>
        <w:rPr>
          <w:rFonts w:ascii="Times New Roman" w:hAnsi="Times New Roman"/>
          <w:color w:val="000000"/>
          <w:kern w:val="0"/>
          <w:sz w:val="24"/>
        </w:rPr>
        <w:t>日</w:t>
      </w:r>
      <w:r>
        <w:rPr>
          <w:rFonts w:ascii="Times New Roman" w:hAnsi="Times New Roman" w:hint="eastAsia"/>
          <w:color w:val="000000"/>
          <w:kern w:val="0"/>
          <w:sz w:val="24"/>
        </w:rPr>
        <w:t>止通过销售机构公开发售（详见基金份额发售公告及销售机构相关公告）。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14:paraId="237FFCBA" w14:textId="77777777" w:rsidR="00CA59D4" w:rsidRDefault="006C2E2B">
      <w:pPr>
        <w:widowControl/>
        <w:adjustRightInd w:val="0"/>
        <w:snapToGrid w:val="0"/>
        <w:spacing w:line="360" w:lineRule="auto"/>
        <w:ind w:firstLineChars="200" w:firstLine="480"/>
        <w:rPr>
          <w:rStyle w:val="af3"/>
          <w:rFonts w:ascii="Times New Roman" w:hAnsi="Times New Roman"/>
          <w:color w:val="FF0000"/>
          <w:kern w:val="0"/>
          <w:sz w:val="24"/>
        </w:rPr>
      </w:pPr>
      <w:r>
        <w:rPr>
          <w:rFonts w:ascii="Times New Roman" w:hAnsi="Times New Roman" w:hint="eastAsia"/>
          <w:color w:val="000000"/>
          <w:kern w:val="0"/>
          <w:sz w:val="24"/>
        </w:rPr>
        <w:t>（</w:t>
      </w:r>
      <w:r>
        <w:rPr>
          <w:rFonts w:ascii="Times New Roman" w:hAnsi="Times New Roman"/>
          <w:color w:val="000000"/>
          <w:kern w:val="0"/>
          <w:sz w:val="24"/>
        </w:rPr>
        <w:t>2</w:t>
      </w:r>
      <w:r>
        <w:rPr>
          <w:rFonts w:ascii="Times New Roman" w:hAnsi="Times New Roman" w:hint="eastAsia"/>
          <w:color w:val="000000"/>
          <w:kern w:val="0"/>
          <w:sz w:val="24"/>
        </w:rPr>
        <w:t>）销售渠道：</w:t>
      </w:r>
      <w:r>
        <w:rPr>
          <w:rFonts w:ascii="Times New Roman" w:hAnsi="Times New Roman" w:hint="eastAsia"/>
          <w:kern w:val="0"/>
          <w:sz w:val="24"/>
        </w:rPr>
        <w:t>销售机构</w:t>
      </w:r>
      <w:r>
        <w:rPr>
          <w:rFonts w:ascii="Times New Roman" w:hAnsi="Times New Roman" w:hint="eastAsia"/>
          <w:color w:val="000000"/>
          <w:kern w:val="0"/>
          <w:sz w:val="24"/>
        </w:rPr>
        <w:t>具体名单见基金份额发售公告以及基金管理人网站</w:t>
      </w:r>
      <w:r>
        <w:rPr>
          <w:rStyle w:val="af3"/>
          <w:rFonts w:ascii="Times New Roman" w:hAnsi="Times New Roman" w:hint="eastAsia"/>
          <w:color w:val="auto"/>
          <w:kern w:val="0"/>
          <w:sz w:val="24"/>
          <w:u w:val="none"/>
        </w:rPr>
        <w:t>。</w:t>
      </w:r>
    </w:p>
    <w:p w14:paraId="000F21E6"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3</w:t>
      </w:r>
      <w:r>
        <w:rPr>
          <w:rFonts w:ascii="Times New Roman" w:hAnsi="Times New Roman" w:hint="eastAsia"/>
          <w:color w:val="000000"/>
          <w:kern w:val="0"/>
          <w:sz w:val="24"/>
        </w:rPr>
        <w:t>）销售对象：符合法律法规规定的可投资于证券投资基金的个人投资者、机构投资者、合格境外投资者以及法律法规或中国证监会允许购买证券投资基金的其他投资人。</w:t>
      </w:r>
    </w:p>
    <w:p w14:paraId="5F941C1D"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本基金暂不向金融机构自营账户销售（基金管理人自有资金除外），如未来本基金开放向金融机构自营账户公开销售或对销售对象的范围予以进一步限定，基金管理人将另行公告。</w:t>
      </w:r>
    </w:p>
    <w:p w14:paraId="50078124" w14:textId="77777777" w:rsidR="00CA59D4" w:rsidRDefault="006C2E2B">
      <w:pPr>
        <w:adjustRightInd w:val="0"/>
        <w:snapToGrid w:val="0"/>
        <w:spacing w:line="360" w:lineRule="auto"/>
        <w:ind w:firstLineChars="200" w:firstLine="480"/>
        <w:rPr>
          <w:rFonts w:ascii="Times New Roman" w:hAnsi="Times New Roman"/>
          <w:kern w:val="0"/>
          <w:sz w:val="24"/>
          <w:szCs w:val="20"/>
        </w:rPr>
      </w:pPr>
      <w:r>
        <w:rPr>
          <w:rFonts w:ascii="Times New Roman" w:hAnsi="Times New Roman" w:hint="eastAsia"/>
          <w:color w:val="000000"/>
          <w:kern w:val="0"/>
          <w:sz w:val="24"/>
        </w:rPr>
        <w:lastRenderedPageBreak/>
        <w:t>本基金单一投资者单日认购金额不超过</w:t>
      </w:r>
      <w:r>
        <w:rPr>
          <w:rFonts w:ascii="Times New Roman" w:hAnsi="Times New Roman" w:hint="eastAsia"/>
          <w:color w:val="000000"/>
          <w:kern w:val="0"/>
          <w:sz w:val="24"/>
        </w:rPr>
        <w:t>1000</w:t>
      </w:r>
      <w:r>
        <w:rPr>
          <w:rFonts w:ascii="Times New Roman" w:hAnsi="Times New Roman" w:hint="eastAsia"/>
          <w:color w:val="000000"/>
          <w:kern w:val="0"/>
          <w:sz w:val="24"/>
        </w:rPr>
        <w:t>万元（个人投资者、公募资产管理产品、职业年金计划、企业年金计划和基金管理人自有资金除外）。基金管理人可以调整单一投资者单日认购金额上限，具体规定请参见更新的招募说明书或相关公告</w:t>
      </w:r>
      <w:r>
        <w:rPr>
          <w:rFonts w:ascii="Times New Roman" w:hAnsi="Times New Roman" w:hint="eastAsia"/>
          <w:kern w:val="0"/>
          <w:sz w:val="24"/>
          <w:szCs w:val="20"/>
        </w:rPr>
        <w:t>。</w:t>
      </w:r>
    </w:p>
    <w:p w14:paraId="4AF22C2D" w14:textId="77777777" w:rsidR="00CA59D4" w:rsidRDefault="006C2E2B">
      <w:pPr>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hint="eastAsia"/>
          <w:color w:val="000000"/>
          <w:kern w:val="0"/>
          <w:sz w:val="24"/>
        </w:rPr>
        <w:t>、基金份额的认购和持有限制</w:t>
      </w:r>
    </w:p>
    <w:p w14:paraId="47959BFB"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1</w:t>
      </w:r>
      <w:r>
        <w:rPr>
          <w:rFonts w:ascii="Times New Roman" w:hAnsi="Times New Roman" w:hint="eastAsia"/>
          <w:color w:val="000000"/>
          <w:kern w:val="0"/>
          <w:sz w:val="24"/>
        </w:rPr>
        <w:t>）</w:t>
      </w:r>
      <w:r>
        <w:rPr>
          <w:rFonts w:ascii="Times New Roman" w:hAnsi="Times New Roman" w:hint="eastAsia"/>
          <w:color w:val="000000"/>
          <w:sz w:val="24"/>
          <w:szCs w:val="21"/>
        </w:rPr>
        <w:t>基金份额的认购</w:t>
      </w:r>
      <w:r>
        <w:rPr>
          <w:rFonts w:ascii="Times New Roman" w:hAnsi="Times New Roman" w:hint="eastAsia"/>
          <w:color w:val="000000"/>
          <w:kern w:val="0"/>
          <w:sz w:val="24"/>
        </w:rPr>
        <w:t>采用金额认购方式。</w:t>
      </w:r>
    </w:p>
    <w:p w14:paraId="518DB9A9"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2</w:t>
      </w:r>
      <w:r>
        <w:rPr>
          <w:rFonts w:ascii="Times New Roman" w:hAnsi="Times New Roman" w:hint="eastAsia"/>
          <w:color w:val="000000"/>
          <w:kern w:val="0"/>
          <w:sz w:val="24"/>
        </w:rPr>
        <w:t>）投资人认购基金份额采用全额缴款的认购方式。</w:t>
      </w:r>
      <w:r>
        <w:rPr>
          <w:rFonts w:ascii="Times New Roman" w:hAnsi="Times New Roman" w:hint="eastAsia"/>
          <w:color w:val="000000"/>
          <w:sz w:val="24"/>
          <w:szCs w:val="21"/>
        </w:rPr>
        <w:t>投资人认购时，需按销售机构规定的方式备足认购的金额。</w:t>
      </w:r>
    </w:p>
    <w:p w14:paraId="45185B31"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3</w:t>
      </w:r>
      <w:r>
        <w:rPr>
          <w:rFonts w:ascii="Times New Roman" w:hAnsi="Times New Roman" w:hint="eastAsia"/>
          <w:color w:val="000000"/>
          <w:kern w:val="0"/>
          <w:sz w:val="24"/>
        </w:rPr>
        <w:t>）投资人在募集期内可以多次认购基金份额，认购申请一经登记机构受理不得撤销。</w:t>
      </w:r>
    </w:p>
    <w:p w14:paraId="526F35A0"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4</w:t>
      </w:r>
      <w:r>
        <w:rPr>
          <w:rFonts w:ascii="Times New Roman" w:hAnsi="Times New Roman" w:hint="eastAsia"/>
          <w:color w:val="000000"/>
          <w:kern w:val="0"/>
          <w:sz w:val="24"/>
        </w:rPr>
        <w:t>）直销机构接受首次认购申请的最低金额为单笔</w:t>
      </w:r>
      <w:r>
        <w:rPr>
          <w:rFonts w:ascii="Times New Roman" w:hAnsi="Times New Roman"/>
          <w:color w:val="000000"/>
          <w:kern w:val="0"/>
          <w:sz w:val="24"/>
        </w:rPr>
        <w:t>100</w:t>
      </w:r>
      <w:r>
        <w:rPr>
          <w:rFonts w:ascii="Times New Roman" w:hAnsi="Times New Roman" w:hint="eastAsia"/>
          <w:color w:val="000000"/>
          <w:kern w:val="0"/>
          <w:sz w:val="24"/>
        </w:rPr>
        <w:t>万元，追加认购的最低金额为单笔</w:t>
      </w:r>
      <w:r>
        <w:rPr>
          <w:rFonts w:ascii="Times New Roman" w:hAnsi="Times New Roman"/>
          <w:color w:val="000000"/>
          <w:kern w:val="0"/>
          <w:sz w:val="24"/>
        </w:rPr>
        <w:t>10</w:t>
      </w:r>
      <w:r>
        <w:rPr>
          <w:rFonts w:ascii="Times New Roman" w:hAnsi="Times New Roman"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rFonts w:ascii="Times New Roman" w:hAnsi="Times New Roman"/>
          <w:color w:val="000000"/>
          <w:kern w:val="0"/>
          <w:sz w:val="24"/>
        </w:rPr>
        <w:t>1</w:t>
      </w:r>
      <w:r>
        <w:rPr>
          <w:rFonts w:ascii="Times New Roman" w:hAnsi="Times New Roman" w:hint="eastAsia"/>
          <w:color w:val="000000"/>
          <w:kern w:val="0"/>
          <w:sz w:val="24"/>
        </w:rPr>
        <w:t>元。本基金直销机构单笔认购最低金额可由基金管理人酌情调整。其他销售机构接受认购申请的最低金额为单笔</w:t>
      </w:r>
      <w:r>
        <w:rPr>
          <w:rFonts w:ascii="Times New Roman" w:hAnsi="Times New Roman"/>
          <w:color w:val="000000"/>
          <w:kern w:val="0"/>
          <w:sz w:val="24"/>
        </w:rPr>
        <w:t>1</w:t>
      </w:r>
      <w:r>
        <w:rPr>
          <w:rFonts w:ascii="Times New Roman" w:hAnsi="Times New Roman" w:hint="eastAsia"/>
          <w:color w:val="000000"/>
          <w:kern w:val="0"/>
          <w:sz w:val="24"/>
        </w:rPr>
        <w:t>元，如果销售机构业务规则规定的最低单笔认购金额高于</w:t>
      </w:r>
      <w:r>
        <w:rPr>
          <w:rFonts w:ascii="Times New Roman" w:hAnsi="Times New Roman"/>
          <w:color w:val="000000"/>
          <w:kern w:val="0"/>
          <w:sz w:val="24"/>
        </w:rPr>
        <w:t>1</w:t>
      </w:r>
      <w:r>
        <w:rPr>
          <w:rFonts w:ascii="Times New Roman" w:hAnsi="Times New Roman" w:hint="eastAsia"/>
          <w:color w:val="000000"/>
          <w:kern w:val="0"/>
          <w:sz w:val="24"/>
        </w:rPr>
        <w:t>元，以该销售机构的规定为准。</w:t>
      </w:r>
    </w:p>
    <w:p w14:paraId="0F691844"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hint="eastAsia"/>
          <w:color w:val="000000"/>
          <w:kern w:val="0"/>
          <w:sz w:val="24"/>
        </w:rPr>
        <w:t>5</w:t>
      </w:r>
      <w:r>
        <w:rPr>
          <w:rFonts w:ascii="Times New Roman" w:hAnsi="Times New Roman" w:hint="eastAsia"/>
          <w:color w:val="000000"/>
          <w:kern w:val="0"/>
          <w:sz w:val="24"/>
        </w:rPr>
        <w:t>）基金管理人可以对募集期间的单个投资人的累计认购金额进行限制，具体限制和处理方法请参看相关公告。</w:t>
      </w:r>
    </w:p>
    <w:p w14:paraId="4DD493B6"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6</w:t>
      </w:r>
      <w:r>
        <w:rPr>
          <w:rFonts w:ascii="Times New Roman" w:hAnsi="Times New Roman" w:hint="eastAsia"/>
          <w:color w:val="000000"/>
          <w:kern w:val="0"/>
          <w:sz w:val="24"/>
        </w:rPr>
        <w:t>）</w:t>
      </w:r>
      <w:r>
        <w:rPr>
          <w:rFonts w:hint="eastAsia"/>
          <w:bCs/>
          <w:sz w:val="24"/>
        </w:rPr>
        <w:t>基金管理人可以对募集期间的本基金募集规模设置上限。募集期内超过募集规模上限时，基金管理人可以采用比例确认或其他方式进行确认，具体办法参见基金份额发售公告。</w:t>
      </w:r>
    </w:p>
    <w:p w14:paraId="6F3390FE"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7</w:t>
      </w:r>
      <w:r>
        <w:rPr>
          <w:rFonts w:ascii="Times New Roman" w:hAnsi="Times New Roman" w:hint="eastAsia"/>
          <w:color w:val="000000"/>
          <w:kern w:val="0"/>
          <w:sz w:val="24"/>
        </w:rPr>
        <w:t>）如本基金单个投资人累计认购的基金份额数超过基金总份额的</w:t>
      </w:r>
      <w:r>
        <w:rPr>
          <w:rFonts w:ascii="Times New Roman" w:hAnsi="Times New Roman"/>
          <w:color w:val="000000"/>
          <w:kern w:val="0"/>
          <w:sz w:val="24"/>
        </w:rPr>
        <w:t>50%</w:t>
      </w:r>
      <w:r>
        <w:rPr>
          <w:rFonts w:ascii="Times New Roman" w:hAnsi="Times New Roman" w:hint="eastAsia"/>
          <w:color w:val="000000"/>
          <w:kern w:val="0"/>
          <w:sz w:val="24"/>
        </w:rPr>
        <w:t>，基金管理人可以采取比例确认等方式对该投资人的认购申请进行限制。基金管理人接受某笔或者某些认购申请有可能导致投资者变相规避前述</w:t>
      </w:r>
      <w:r>
        <w:rPr>
          <w:rFonts w:ascii="Times New Roman" w:hAnsi="Times New Roman"/>
          <w:color w:val="000000"/>
          <w:kern w:val="0"/>
          <w:sz w:val="24"/>
        </w:rPr>
        <w:t>50%</w:t>
      </w:r>
      <w:r>
        <w:rPr>
          <w:rFonts w:ascii="Times New Roman" w:hAnsi="Times New Roman" w:hint="eastAsia"/>
          <w:color w:val="000000"/>
          <w:kern w:val="0"/>
          <w:sz w:val="24"/>
        </w:rPr>
        <w:t>比例要求的，基金管理人有权拒绝该等全部或者部分认购申请。投资人认购的基金份额数以基金合同生效后登记机构的确认为准。</w:t>
      </w:r>
    </w:p>
    <w:p w14:paraId="284E6559"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color w:val="000000"/>
          <w:kern w:val="0"/>
          <w:sz w:val="24"/>
        </w:rPr>
        <w:t>3</w:t>
      </w:r>
      <w:r>
        <w:rPr>
          <w:rFonts w:ascii="Times New Roman" w:hAnsi="Times New Roman" w:hint="eastAsia"/>
          <w:color w:val="000000"/>
          <w:kern w:val="0"/>
          <w:sz w:val="24"/>
        </w:rPr>
        <w:t>、基金份额的面值、认购费用、认购价格及认购份额的计算公式</w:t>
      </w:r>
    </w:p>
    <w:p w14:paraId="6292D196"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1</w:t>
      </w:r>
      <w:r>
        <w:rPr>
          <w:rFonts w:ascii="Times New Roman" w:hAnsi="Times New Roman" w:hint="eastAsia"/>
          <w:color w:val="000000"/>
          <w:kern w:val="0"/>
          <w:sz w:val="24"/>
        </w:rPr>
        <w:t>）面值、认购价格：本基金基金份额的初始面值、认购价</w:t>
      </w:r>
      <w:r>
        <w:rPr>
          <w:rFonts w:ascii="Times New Roman" w:hAnsi="Times New Roman" w:hint="eastAsia"/>
          <w:color w:val="000000"/>
          <w:sz w:val="24"/>
        </w:rPr>
        <w:t>格为</w:t>
      </w:r>
      <w:r>
        <w:rPr>
          <w:rFonts w:ascii="Times New Roman" w:hAnsi="Times New Roman"/>
          <w:color w:val="000000"/>
          <w:sz w:val="24"/>
        </w:rPr>
        <w:t>1.00</w:t>
      </w:r>
      <w:r>
        <w:rPr>
          <w:rFonts w:ascii="Times New Roman" w:hAnsi="Times New Roman" w:hint="eastAsia"/>
          <w:color w:val="000000"/>
          <w:sz w:val="24"/>
        </w:rPr>
        <w:t>元</w:t>
      </w:r>
      <w:r>
        <w:rPr>
          <w:rFonts w:ascii="Times New Roman" w:hAnsi="Times New Roman"/>
          <w:color w:val="000000"/>
          <w:sz w:val="24"/>
        </w:rPr>
        <w:t>/</w:t>
      </w:r>
      <w:r>
        <w:rPr>
          <w:rFonts w:ascii="Times New Roman" w:hAnsi="Times New Roman" w:hint="eastAsia"/>
          <w:color w:val="000000"/>
          <w:kern w:val="0"/>
          <w:sz w:val="24"/>
        </w:rPr>
        <w:t>份。</w:t>
      </w:r>
    </w:p>
    <w:p w14:paraId="357F418F"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2</w:t>
      </w:r>
      <w:r>
        <w:rPr>
          <w:rFonts w:ascii="Times New Roman" w:hAnsi="Times New Roman" w:hint="eastAsia"/>
          <w:color w:val="000000"/>
          <w:kern w:val="0"/>
          <w:sz w:val="24"/>
        </w:rPr>
        <w:t>）认购费率：</w:t>
      </w:r>
    </w:p>
    <w:p w14:paraId="6E02CB29"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lastRenderedPageBreak/>
        <w:t>募集期内投资人可以多次认购本基金，</w:t>
      </w:r>
      <w:r>
        <w:rPr>
          <w:rFonts w:ascii="Times New Roman" w:hAnsi="Times New Roman" w:hint="eastAsia"/>
          <w:color w:val="000000"/>
          <w:kern w:val="0"/>
          <w:sz w:val="24"/>
        </w:rPr>
        <w:t>A</w:t>
      </w:r>
      <w:r>
        <w:rPr>
          <w:rFonts w:ascii="Times New Roman" w:hAnsi="Times New Roman" w:hint="eastAsia"/>
          <w:color w:val="000000"/>
          <w:kern w:val="0"/>
          <w:sz w:val="24"/>
        </w:rPr>
        <w:t>类基金份额的认购费用按</w:t>
      </w:r>
      <w:r>
        <w:rPr>
          <w:rFonts w:ascii="Times New Roman" w:hAnsi="Times New Roman" w:hint="eastAsia"/>
          <w:color w:val="000000"/>
          <w:kern w:val="0"/>
          <w:sz w:val="24"/>
        </w:rPr>
        <w:t>A</w:t>
      </w:r>
      <w:r>
        <w:rPr>
          <w:rFonts w:ascii="Times New Roman" w:hAnsi="Times New Roman" w:hint="eastAsia"/>
          <w:color w:val="000000"/>
          <w:kern w:val="0"/>
          <w:sz w:val="24"/>
        </w:rPr>
        <w:t>类基金份额的每笔认购申请单独计算。基金投资者认购</w:t>
      </w:r>
      <w:r>
        <w:rPr>
          <w:rFonts w:ascii="Times New Roman" w:hAnsi="Times New Roman"/>
          <w:color w:val="000000"/>
          <w:kern w:val="0"/>
          <w:sz w:val="24"/>
        </w:rPr>
        <w:t>A</w:t>
      </w:r>
      <w:r>
        <w:rPr>
          <w:rFonts w:ascii="Times New Roman" w:hAnsi="Times New Roman" w:hint="eastAsia"/>
          <w:color w:val="000000"/>
          <w:kern w:val="0"/>
          <w:sz w:val="24"/>
        </w:rPr>
        <w:t>类基金份额收取认购费用，即在认购时支付认购费用。基金投资者认购</w:t>
      </w:r>
      <w:r>
        <w:rPr>
          <w:rFonts w:ascii="Times New Roman" w:hAnsi="Times New Roman"/>
          <w:color w:val="000000"/>
          <w:kern w:val="0"/>
          <w:sz w:val="24"/>
        </w:rPr>
        <w:t>C</w:t>
      </w:r>
      <w:r>
        <w:rPr>
          <w:rFonts w:ascii="Times New Roman" w:hAnsi="Times New Roman" w:hint="eastAsia"/>
          <w:color w:val="000000"/>
          <w:kern w:val="0"/>
          <w:sz w:val="24"/>
        </w:rPr>
        <w:t>类基金份额不收取认购费用，而是从该类别基金资产中计提销售服务费。</w:t>
      </w:r>
    </w:p>
    <w:p w14:paraId="7C38D748"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本基金</w:t>
      </w:r>
      <w:r>
        <w:rPr>
          <w:rFonts w:ascii="Times New Roman" w:hAnsi="Times New Roman"/>
          <w:color w:val="000000"/>
          <w:kern w:val="0"/>
          <w:sz w:val="24"/>
        </w:rPr>
        <w:t>A</w:t>
      </w:r>
      <w:r>
        <w:rPr>
          <w:rFonts w:ascii="Times New Roman" w:hAnsi="Times New Roman" w:hint="eastAsia"/>
          <w:color w:val="000000"/>
          <w:kern w:val="0"/>
          <w:sz w:val="24"/>
        </w:rPr>
        <w:t>类基金份额（非养老金客户）的认购费率如下：</w:t>
      </w:r>
    </w:p>
    <w:tbl>
      <w:tblPr>
        <w:tblW w:w="76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106"/>
        <w:gridCol w:w="3544"/>
      </w:tblGrid>
      <w:tr w:rsidR="00CA59D4" w14:paraId="2E21854A" w14:textId="77777777">
        <w:trPr>
          <w:cantSplit/>
          <w:trHeight w:val="481"/>
        </w:trPr>
        <w:tc>
          <w:tcPr>
            <w:tcW w:w="4106" w:type="dxa"/>
            <w:shd w:val="clear" w:color="auto" w:fill="FFFFFF"/>
            <w:vAlign w:val="center"/>
          </w:tcPr>
          <w:p w14:paraId="2BA7DADF" w14:textId="77777777" w:rsidR="00CA59D4" w:rsidRDefault="006C2E2B">
            <w:pPr>
              <w:widowControl/>
              <w:adjustRightInd w:val="0"/>
              <w:snapToGrid w:val="0"/>
              <w:ind w:firstLineChars="200" w:firstLine="482"/>
              <w:rPr>
                <w:rFonts w:ascii="Times New Roman" w:hAnsi="Times New Roman"/>
                <w:b/>
                <w:color w:val="000000"/>
                <w:kern w:val="0"/>
                <w:sz w:val="24"/>
              </w:rPr>
            </w:pPr>
            <w:r>
              <w:rPr>
                <w:rFonts w:ascii="Times New Roman" w:hAnsi="Times New Roman" w:hint="eastAsia"/>
                <w:b/>
                <w:color w:val="000000"/>
                <w:kern w:val="0"/>
                <w:sz w:val="24"/>
              </w:rPr>
              <w:t>认购金额（含认购费）</w:t>
            </w:r>
          </w:p>
        </w:tc>
        <w:tc>
          <w:tcPr>
            <w:tcW w:w="3544" w:type="dxa"/>
            <w:shd w:val="clear" w:color="auto" w:fill="FFFFFF"/>
            <w:vAlign w:val="center"/>
          </w:tcPr>
          <w:p w14:paraId="61845E46" w14:textId="77777777" w:rsidR="00CA59D4" w:rsidRDefault="006C2E2B">
            <w:pPr>
              <w:widowControl/>
              <w:adjustRightInd w:val="0"/>
              <w:snapToGrid w:val="0"/>
              <w:ind w:firstLineChars="200" w:firstLine="482"/>
              <w:jc w:val="center"/>
              <w:rPr>
                <w:rFonts w:ascii="Times New Roman" w:hAnsi="Times New Roman"/>
                <w:b/>
                <w:color w:val="000000"/>
                <w:kern w:val="0"/>
                <w:sz w:val="24"/>
              </w:rPr>
            </w:pPr>
            <w:r>
              <w:rPr>
                <w:rFonts w:ascii="Times New Roman" w:hAnsi="Times New Roman"/>
                <w:b/>
                <w:color w:val="000000"/>
                <w:kern w:val="0"/>
                <w:sz w:val="24"/>
              </w:rPr>
              <w:t>A</w:t>
            </w:r>
            <w:r>
              <w:rPr>
                <w:rFonts w:ascii="Times New Roman" w:hAnsi="Times New Roman" w:hint="eastAsia"/>
                <w:b/>
                <w:color w:val="000000"/>
                <w:kern w:val="0"/>
                <w:sz w:val="24"/>
              </w:rPr>
              <w:t>类基金份额认购费率</w:t>
            </w:r>
          </w:p>
        </w:tc>
      </w:tr>
      <w:tr w:rsidR="00CA59D4" w14:paraId="43771BA5" w14:textId="77777777">
        <w:trPr>
          <w:cantSplit/>
          <w:trHeight w:val="275"/>
        </w:trPr>
        <w:tc>
          <w:tcPr>
            <w:tcW w:w="4106" w:type="dxa"/>
            <w:vAlign w:val="center"/>
          </w:tcPr>
          <w:p w14:paraId="570323E6" w14:textId="77777777" w:rsidR="00CA59D4" w:rsidRDefault="006C2E2B">
            <w:pPr>
              <w:widowControl/>
              <w:adjustRightInd w:val="0"/>
              <w:snapToGrid w:val="0"/>
              <w:ind w:firstLineChars="200" w:firstLine="480"/>
              <w:rPr>
                <w:rFonts w:ascii="Times New Roman" w:hAnsi="Times New Roman"/>
                <w:kern w:val="0"/>
                <w:sz w:val="24"/>
                <w:szCs w:val="24"/>
              </w:rPr>
            </w:pPr>
            <w:r>
              <w:rPr>
                <w:rFonts w:ascii="Times New Roman" w:hAnsi="Times New Roman"/>
                <w:kern w:val="0"/>
                <w:sz w:val="24"/>
                <w:szCs w:val="24"/>
              </w:rPr>
              <w:t>1000</w:t>
            </w:r>
            <w:r>
              <w:rPr>
                <w:rFonts w:ascii="Times New Roman" w:hAnsi="Times New Roman" w:hint="eastAsia"/>
                <w:kern w:val="0"/>
                <w:sz w:val="24"/>
                <w:szCs w:val="24"/>
              </w:rPr>
              <w:t>万元以下</w:t>
            </w:r>
          </w:p>
        </w:tc>
        <w:tc>
          <w:tcPr>
            <w:tcW w:w="3544" w:type="dxa"/>
            <w:vAlign w:val="center"/>
          </w:tcPr>
          <w:p w14:paraId="2E851B5A" w14:textId="77777777" w:rsidR="00CA59D4" w:rsidRDefault="006C2E2B">
            <w:pPr>
              <w:widowControl/>
              <w:adjustRightInd w:val="0"/>
              <w:snapToGrid w:val="0"/>
              <w:ind w:firstLineChars="200" w:firstLine="480"/>
              <w:jc w:val="center"/>
              <w:rPr>
                <w:rFonts w:ascii="Times New Roman" w:hAnsi="Times New Roman"/>
                <w:kern w:val="0"/>
                <w:sz w:val="24"/>
                <w:szCs w:val="24"/>
              </w:rPr>
            </w:pPr>
            <w:r>
              <w:rPr>
                <w:rFonts w:ascii="Times New Roman" w:hAnsi="Times New Roman"/>
                <w:kern w:val="0"/>
                <w:sz w:val="24"/>
                <w:szCs w:val="24"/>
              </w:rPr>
              <w:t>0.2%</w:t>
            </w:r>
          </w:p>
        </w:tc>
      </w:tr>
      <w:tr w:rsidR="00CA59D4" w14:paraId="6565A482" w14:textId="77777777">
        <w:trPr>
          <w:cantSplit/>
          <w:trHeight w:val="317"/>
        </w:trPr>
        <w:tc>
          <w:tcPr>
            <w:tcW w:w="4106" w:type="dxa"/>
            <w:vAlign w:val="center"/>
          </w:tcPr>
          <w:p w14:paraId="4B6C5B83" w14:textId="77777777" w:rsidR="00CA59D4" w:rsidRDefault="006C2E2B">
            <w:pPr>
              <w:widowControl/>
              <w:adjustRightInd w:val="0"/>
              <w:snapToGrid w:val="0"/>
              <w:ind w:firstLineChars="200" w:firstLine="480"/>
              <w:rPr>
                <w:rFonts w:ascii="Times New Roman" w:hAnsi="Times New Roman"/>
                <w:kern w:val="0"/>
                <w:sz w:val="24"/>
                <w:szCs w:val="24"/>
              </w:rPr>
            </w:pPr>
            <w:r>
              <w:rPr>
                <w:rFonts w:ascii="Times New Roman" w:hAnsi="Times New Roman"/>
                <w:kern w:val="0"/>
                <w:sz w:val="24"/>
                <w:szCs w:val="24"/>
              </w:rPr>
              <w:t>1000</w:t>
            </w:r>
            <w:r>
              <w:rPr>
                <w:rFonts w:ascii="Times New Roman" w:hAnsi="Times New Roman" w:hint="eastAsia"/>
                <w:kern w:val="0"/>
                <w:sz w:val="24"/>
                <w:szCs w:val="24"/>
              </w:rPr>
              <w:t>万元以上（含</w:t>
            </w:r>
            <w:r>
              <w:rPr>
                <w:rFonts w:ascii="Times New Roman" w:hAnsi="Times New Roman"/>
                <w:kern w:val="0"/>
                <w:sz w:val="24"/>
                <w:szCs w:val="24"/>
              </w:rPr>
              <w:t>1000</w:t>
            </w:r>
            <w:r>
              <w:rPr>
                <w:rFonts w:ascii="Times New Roman" w:hAnsi="Times New Roman" w:hint="eastAsia"/>
                <w:kern w:val="0"/>
                <w:sz w:val="24"/>
                <w:szCs w:val="24"/>
              </w:rPr>
              <w:t>万元）</w:t>
            </w:r>
          </w:p>
        </w:tc>
        <w:tc>
          <w:tcPr>
            <w:tcW w:w="3544" w:type="dxa"/>
            <w:vAlign w:val="center"/>
          </w:tcPr>
          <w:p w14:paraId="16FF90E0" w14:textId="77777777" w:rsidR="00CA59D4" w:rsidRDefault="006C2E2B">
            <w:pPr>
              <w:widowControl/>
              <w:adjustRightInd w:val="0"/>
              <w:snapToGrid w:val="0"/>
              <w:ind w:firstLineChars="200" w:firstLine="480"/>
              <w:jc w:val="center"/>
              <w:rPr>
                <w:rFonts w:ascii="Times New Roman" w:hAnsi="Times New Roman"/>
                <w:kern w:val="0"/>
                <w:sz w:val="24"/>
                <w:szCs w:val="24"/>
              </w:rPr>
            </w:pPr>
            <w:r>
              <w:rPr>
                <w:rFonts w:ascii="Times New Roman" w:hAnsi="Times New Roman" w:hint="eastAsia"/>
                <w:kern w:val="0"/>
                <w:sz w:val="24"/>
                <w:szCs w:val="24"/>
              </w:rPr>
              <w:t>每笔交易</w:t>
            </w:r>
            <w:r>
              <w:rPr>
                <w:rFonts w:ascii="Times New Roman" w:hAnsi="Times New Roman"/>
                <w:kern w:val="0"/>
                <w:sz w:val="24"/>
                <w:szCs w:val="24"/>
              </w:rPr>
              <w:t>1000</w:t>
            </w:r>
            <w:r>
              <w:rPr>
                <w:rFonts w:ascii="Times New Roman" w:hAnsi="Times New Roman" w:hint="eastAsia"/>
                <w:kern w:val="0"/>
                <w:sz w:val="24"/>
                <w:szCs w:val="24"/>
              </w:rPr>
              <w:t>元</w:t>
            </w:r>
          </w:p>
        </w:tc>
      </w:tr>
    </w:tbl>
    <w:p w14:paraId="076505D8" w14:textId="77777777" w:rsidR="00CA59D4" w:rsidRDefault="006C2E2B">
      <w:pPr>
        <w:widowControl/>
        <w:adjustRightInd w:val="0"/>
        <w:snapToGrid w:val="0"/>
        <w:spacing w:beforeLines="50" w:before="120" w:line="360" w:lineRule="auto"/>
        <w:ind w:firstLineChars="200" w:firstLine="480"/>
        <w:rPr>
          <w:rFonts w:ascii="Times New Roman" w:hAnsi="Times New Roman"/>
          <w:kern w:val="0"/>
          <w:sz w:val="24"/>
          <w:szCs w:val="24"/>
        </w:rPr>
      </w:pPr>
      <w:r>
        <w:rPr>
          <w:rFonts w:ascii="Times New Roman" w:hAnsi="Times New Roman"/>
          <w:kern w:val="0"/>
          <w:sz w:val="24"/>
          <w:szCs w:val="24"/>
        </w:rPr>
        <w:t>本基金对通过基金管理人直销柜台</w:t>
      </w:r>
      <w:r>
        <w:rPr>
          <w:rFonts w:ascii="Times New Roman" w:hAnsi="Times New Roman" w:hint="eastAsia"/>
          <w:kern w:val="0"/>
          <w:sz w:val="24"/>
          <w:szCs w:val="24"/>
        </w:rPr>
        <w:t>认</w:t>
      </w:r>
      <w:r>
        <w:rPr>
          <w:rFonts w:ascii="Times New Roman" w:hAnsi="Times New Roman"/>
          <w:kern w:val="0"/>
          <w:sz w:val="24"/>
          <w:szCs w:val="24"/>
        </w:rPr>
        <w:t>购</w:t>
      </w:r>
      <w:r>
        <w:rPr>
          <w:rFonts w:ascii="Times New Roman" w:hAnsi="Times New Roman"/>
          <w:kern w:val="0"/>
          <w:sz w:val="24"/>
          <w:szCs w:val="24"/>
        </w:rPr>
        <w:t>A</w:t>
      </w:r>
      <w:r>
        <w:rPr>
          <w:rFonts w:ascii="Times New Roman" w:hAnsi="Times New Roman" w:hint="eastAsia"/>
          <w:kern w:val="0"/>
          <w:sz w:val="24"/>
          <w:szCs w:val="24"/>
        </w:rPr>
        <w:t>类基金份额</w:t>
      </w:r>
      <w:r>
        <w:rPr>
          <w:rFonts w:ascii="Times New Roman" w:hAnsi="Times New Roman"/>
          <w:kern w:val="0"/>
          <w:sz w:val="24"/>
          <w:szCs w:val="24"/>
        </w:rPr>
        <w:t>的养老金客户</w:t>
      </w:r>
      <w:r>
        <w:rPr>
          <w:rFonts w:ascii="Times New Roman" w:hAnsi="Times New Roman" w:hint="eastAsia"/>
          <w:kern w:val="0"/>
          <w:sz w:val="24"/>
          <w:szCs w:val="24"/>
        </w:rPr>
        <w:t>与除此之外的其他投资者</w:t>
      </w:r>
      <w:r>
        <w:rPr>
          <w:rFonts w:ascii="Times New Roman" w:hAnsi="Times New Roman"/>
          <w:kern w:val="0"/>
          <w:sz w:val="24"/>
          <w:szCs w:val="24"/>
        </w:rPr>
        <w:t>实施</w:t>
      </w:r>
      <w:r>
        <w:rPr>
          <w:rFonts w:ascii="Times New Roman" w:hAnsi="Times New Roman" w:hint="eastAsia"/>
          <w:kern w:val="0"/>
          <w:sz w:val="24"/>
          <w:szCs w:val="24"/>
        </w:rPr>
        <w:t>差别的认购费率</w:t>
      </w:r>
      <w:r>
        <w:rPr>
          <w:rFonts w:ascii="Times New Roman" w:hAnsi="Times New Roman" w:hint="eastAsia"/>
        </w:rPr>
        <w:t>。</w:t>
      </w:r>
      <w:r>
        <w:rPr>
          <w:rFonts w:ascii="Times New Roman" w:hAnsi="Times New Roman"/>
          <w:kern w:val="0"/>
          <w:sz w:val="24"/>
          <w:szCs w:val="24"/>
        </w:rPr>
        <w:t>养老金客户包括基本养老基金与依法成立的养老计划筹集的资金及其投资运营收益形成的补充养老基金等，具体包括：</w:t>
      </w:r>
    </w:p>
    <w:p w14:paraId="499DD130" w14:textId="77777777" w:rsidR="00CA59D4" w:rsidRDefault="006C2E2B">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hint="eastAsia"/>
          <w:kern w:val="0"/>
          <w:sz w:val="24"/>
          <w:szCs w:val="24"/>
        </w:rPr>
        <w:t>）</w:t>
      </w:r>
      <w:r>
        <w:rPr>
          <w:rFonts w:ascii="Times New Roman" w:hAnsi="Times New Roman"/>
          <w:kern w:val="0"/>
          <w:sz w:val="24"/>
          <w:szCs w:val="24"/>
        </w:rPr>
        <w:t>全国社会保障基金；</w:t>
      </w:r>
    </w:p>
    <w:p w14:paraId="466EEE3C" w14:textId="77777777" w:rsidR="00CA59D4" w:rsidRDefault="006C2E2B">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hint="eastAsia"/>
          <w:kern w:val="0"/>
          <w:sz w:val="24"/>
          <w:szCs w:val="24"/>
        </w:rPr>
        <w:t>）</w:t>
      </w:r>
      <w:r>
        <w:rPr>
          <w:rFonts w:ascii="Times New Roman" w:hAnsi="Times New Roman"/>
          <w:kern w:val="0"/>
          <w:sz w:val="24"/>
          <w:szCs w:val="24"/>
        </w:rPr>
        <w:t>可以投资基金的地方社会保障基金；</w:t>
      </w:r>
    </w:p>
    <w:p w14:paraId="28B65ECC" w14:textId="77777777" w:rsidR="00CA59D4" w:rsidRDefault="006C2E2B">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rPr>
        <w:t>3</w:t>
      </w:r>
      <w:r>
        <w:rPr>
          <w:rFonts w:ascii="Times New Roman" w:hAnsi="Times New Roman" w:hint="eastAsia"/>
          <w:kern w:val="0"/>
          <w:sz w:val="24"/>
        </w:rPr>
        <w:t>）</w:t>
      </w:r>
      <w:r>
        <w:rPr>
          <w:rFonts w:ascii="Times New Roman" w:hAnsi="Times New Roman"/>
          <w:kern w:val="0"/>
          <w:sz w:val="24"/>
          <w:szCs w:val="24"/>
        </w:rPr>
        <w:t>企业年金单一计划以及集合计划</w:t>
      </w:r>
      <w:r>
        <w:rPr>
          <w:rFonts w:ascii="Times New Roman" w:hAnsi="Times New Roman" w:hint="eastAsia"/>
          <w:kern w:val="0"/>
          <w:sz w:val="24"/>
          <w:szCs w:val="24"/>
        </w:rPr>
        <w:t>；</w:t>
      </w:r>
    </w:p>
    <w:p w14:paraId="775F7A45" w14:textId="77777777" w:rsidR="00CA59D4" w:rsidRDefault="006C2E2B">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4</w:t>
      </w:r>
      <w:r>
        <w:rPr>
          <w:rFonts w:ascii="Times New Roman" w:hAnsi="Times New Roman" w:hint="eastAsia"/>
          <w:kern w:val="0"/>
          <w:sz w:val="24"/>
          <w:szCs w:val="24"/>
        </w:rPr>
        <w:t>）企业年金理事会委托的特定客户资产管理计划；</w:t>
      </w:r>
    </w:p>
    <w:p w14:paraId="24E291D1" w14:textId="77777777" w:rsidR="00CA59D4" w:rsidRDefault="006C2E2B">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5</w:t>
      </w:r>
      <w:r>
        <w:rPr>
          <w:rFonts w:ascii="Times New Roman" w:hAnsi="Times New Roman" w:hint="eastAsia"/>
          <w:kern w:val="0"/>
          <w:sz w:val="24"/>
          <w:szCs w:val="24"/>
        </w:rPr>
        <w:t>）企业年金养老金产品。</w:t>
      </w:r>
    </w:p>
    <w:p w14:paraId="2300D65F" w14:textId="77777777" w:rsidR="00CA59D4" w:rsidRDefault="006C2E2B">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如将来出现经养老基金监管部门认可的新的养老基金类型，</w:t>
      </w:r>
      <w:r>
        <w:rPr>
          <w:rFonts w:ascii="Times New Roman" w:hAnsi="Times New Roman" w:hint="eastAsia"/>
          <w:kern w:val="0"/>
          <w:sz w:val="24"/>
          <w:szCs w:val="24"/>
        </w:rPr>
        <w:t>基金管理人可在招募说明书更新或</w:t>
      </w:r>
      <w:r>
        <w:rPr>
          <w:rFonts w:ascii="Times New Roman" w:hAnsi="Times New Roman"/>
          <w:kern w:val="0"/>
          <w:sz w:val="24"/>
          <w:szCs w:val="24"/>
        </w:rPr>
        <w:t>发布临时公告将其纳入养老金客户范围。</w:t>
      </w:r>
    </w:p>
    <w:p w14:paraId="722CAD03"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通过基金管理人直销柜台认购本基金</w:t>
      </w:r>
      <w:r>
        <w:rPr>
          <w:rFonts w:ascii="Times New Roman" w:hAnsi="Times New Roman"/>
          <w:color w:val="000000"/>
          <w:kern w:val="0"/>
          <w:sz w:val="24"/>
        </w:rPr>
        <w:t>A</w:t>
      </w:r>
      <w:r>
        <w:rPr>
          <w:rFonts w:ascii="Times New Roman" w:hAnsi="Times New Roman" w:hint="eastAsia"/>
          <w:color w:val="000000"/>
          <w:kern w:val="0"/>
          <w:sz w:val="24"/>
        </w:rPr>
        <w:t>类基金份额的养老金客户特定认购费率如下表：</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106"/>
        <w:gridCol w:w="3646"/>
      </w:tblGrid>
      <w:tr w:rsidR="00CA59D4" w14:paraId="11A416C8" w14:textId="77777777">
        <w:trPr>
          <w:cantSplit/>
          <w:trHeight w:val="614"/>
          <w:jc w:val="center"/>
        </w:trPr>
        <w:tc>
          <w:tcPr>
            <w:tcW w:w="4106" w:type="dxa"/>
            <w:shd w:val="clear" w:color="auto" w:fill="FFFFFF"/>
            <w:vAlign w:val="center"/>
          </w:tcPr>
          <w:p w14:paraId="36F63644" w14:textId="77777777" w:rsidR="00CA59D4" w:rsidRDefault="006C2E2B">
            <w:pPr>
              <w:widowControl/>
              <w:adjustRightInd w:val="0"/>
              <w:snapToGrid w:val="0"/>
              <w:ind w:firstLineChars="200" w:firstLine="482"/>
              <w:jc w:val="left"/>
              <w:rPr>
                <w:rFonts w:ascii="Times New Roman" w:hAnsi="Times New Roman"/>
                <w:b/>
                <w:color w:val="000000"/>
                <w:kern w:val="0"/>
                <w:sz w:val="24"/>
              </w:rPr>
            </w:pPr>
            <w:r>
              <w:rPr>
                <w:rFonts w:ascii="Times New Roman" w:hAnsi="Times New Roman" w:hint="eastAsia"/>
                <w:b/>
                <w:color w:val="000000"/>
                <w:kern w:val="0"/>
                <w:sz w:val="24"/>
              </w:rPr>
              <w:t>认购金额（含认购费）</w:t>
            </w:r>
          </w:p>
        </w:tc>
        <w:tc>
          <w:tcPr>
            <w:tcW w:w="3646" w:type="dxa"/>
            <w:shd w:val="clear" w:color="auto" w:fill="FFFFFF"/>
            <w:vAlign w:val="center"/>
          </w:tcPr>
          <w:p w14:paraId="1E8C9104" w14:textId="77777777" w:rsidR="00CA59D4" w:rsidRDefault="006C2E2B">
            <w:pPr>
              <w:widowControl/>
              <w:adjustRightInd w:val="0"/>
              <w:snapToGrid w:val="0"/>
              <w:ind w:firstLineChars="200" w:firstLine="482"/>
              <w:jc w:val="center"/>
              <w:rPr>
                <w:rFonts w:ascii="Times New Roman" w:hAnsi="Times New Roman"/>
                <w:b/>
                <w:color w:val="000000"/>
                <w:kern w:val="0"/>
                <w:sz w:val="24"/>
              </w:rPr>
            </w:pPr>
            <w:r>
              <w:rPr>
                <w:rFonts w:ascii="Times New Roman" w:hAnsi="Times New Roman"/>
                <w:b/>
                <w:color w:val="000000"/>
                <w:kern w:val="0"/>
                <w:sz w:val="24"/>
              </w:rPr>
              <w:t>A</w:t>
            </w:r>
            <w:r>
              <w:rPr>
                <w:rFonts w:ascii="Times New Roman" w:hAnsi="Times New Roman" w:hint="eastAsia"/>
                <w:b/>
                <w:color w:val="000000"/>
                <w:kern w:val="0"/>
                <w:sz w:val="24"/>
              </w:rPr>
              <w:t>类基金份额特定认购费率</w:t>
            </w:r>
          </w:p>
        </w:tc>
      </w:tr>
      <w:tr w:rsidR="00CA59D4" w14:paraId="6691AB50" w14:textId="77777777">
        <w:trPr>
          <w:cantSplit/>
          <w:trHeight w:val="131"/>
          <w:jc w:val="center"/>
        </w:trPr>
        <w:tc>
          <w:tcPr>
            <w:tcW w:w="4106" w:type="dxa"/>
            <w:vAlign w:val="center"/>
          </w:tcPr>
          <w:p w14:paraId="5F0A9F57" w14:textId="77777777" w:rsidR="00CA59D4" w:rsidRDefault="006C2E2B">
            <w:pPr>
              <w:widowControl/>
              <w:adjustRightInd w:val="0"/>
              <w:snapToGrid w:val="0"/>
              <w:ind w:firstLineChars="200" w:firstLine="480"/>
              <w:jc w:val="left"/>
              <w:rPr>
                <w:rFonts w:ascii="Times New Roman" w:hAnsi="Times New Roman"/>
                <w:color w:val="000000"/>
                <w:kern w:val="0"/>
                <w:sz w:val="24"/>
              </w:rPr>
            </w:pPr>
            <w:r>
              <w:rPr>
                <w:rFonts w:ascii="Times New Roman" w:hAnsi="Times New Roman" w:hint="eastAsia"/>
                <w:kern w:val="0"/>
                <w:sz w:val="24"/>
                <w:szCs w:val="24"/>
              </w:rPr>
              <w:t>100</w:t>
            </w:r>
            <w:r>
              <w:rPr>
                <w:rFonts w:ascii="Times New Roman" w:hAnsi="Times New Roman"/>
                <w:kern w:val="0"/>
                <w:sz w:val="24"/>
                <w:szCs w:val="24"/>
              </w:rPr>
              <w:t>0</w:t>
            </w:r>
            <w:r>
              <w:rPr>
                <w:rFonts w:ascii="Times New Roman" w:hAnsi="Times New Roman" w:hint="eastAsia"/>
                <w:kern w:val="0"/>
                <w:sz w:val="24"/>
                <w:szCs w:val="24"/>
              </w:rPr>
              <w:t>万元以下</w:t>
            </w:r>
          </w:p>
        </w:tc>
        <w:tc>
          <w:tcPr>
            <w:tcW w:w="3646" w:type="dxa"/>
            <w:vAlign w:val="center"/>
          </w:tcPr>
          <w:p w14:paraId="358FBEA6" w14:textId="77777777" w:rsidR="00CA59D4" w:rsidRDefault="006C2E2B">
            <w:pPr>
              <w:widowControl/>
              <w:adjustRightInd w:val="0"/>
              <w:snapToGrid w:val="0"/>
              <w:ind w:firstLineChars="200" w:firstLine="480"/>
              <w:jc w:val="center"/>
              <w:rPr>
                <w:rFonts w:ascii="Times New Roman" w:hAnsi="Times New Roman"/>
                <w:color w:val="000000"/>
                <w:kern w:val="0"/>
                <w:sz w:val="24"/>
              </w:rPr>
            </w:pPr>
            <w:r>
              <w:rPr>
                <w:rFonts w:ascii="Times New Roman" w:hAnsi="Times New Roman"/>
                <w:color w:val="000000"/>
                <w:kern w:val="0"/>
                <w:sz w:val="24"/>
              </w:rPr>
              <w:t>0.08%</w:t>
            </w:r>
          </w:p>
        </w:tc>
      </w:tr>
      <w:tr w:rsidR="00CA59D4" w14:paraId="3AC2CC08" w14:textId="77777777">
        <w:trPr>
          <w:cantSplit/>
          <w:trHeight w:val="187"/>
          <w:jc w:val="center"/>
        </w:trPr>
        <w:tc>
          <w:tcPr>
            <w:tcW w:w="4106" w:type="dxa"/>
            <w:vAlign w:val="center"/>
          </w:tcPr>
          <w:p w14:paraId="7D660110" w14:textId="77777777" w:rsidR="00CA59D4" w:rsidRDefault="006C2E2B">
            <w:pPr>
              <w:widowControl/>
              <w:adjustRightInd w:val="0"/>
              <w:snapToGrid w:val="0"/>
              <w:ind w:firstLineChars="200" w:firstLine="480"/>
              <w:jc w:val="left"/>
              <w:rPr>
                <w:rFonts w:ascii="Times New Roman" w:hAnsi="Times New Roman"/>
                <w:color w:val="000000"/>
                <w:kern w:val="0"/>
                <w:sz w:val="24"/>
              </w:rPr>
            </w:pPr>
            <w:r>
              <w:rPr>
                <w:rFonts w:ascii="Times New Roman" w:hAnsi="Times New Roman"/>
                <w:kern w:val="0"/>
                <w:sz w:val="24"/>
                <w:szCs w:val="24"/>
              </w:rPr>
              <w:t>1000</w:t>
            </w:r>
            <w:r>
              <w:rPr>
                <w:rFonts w:ascii="Times New Roman" w:hAnsi="Times New Roman" w:hint="eastAsia"/>
                <w:kern w:val="0"/>
                <w:sz w:val="24"/>
                <w:szCs w:val="24"/>
              </w:rPr>
              <w:t>万元以上（含</w:t>
            </w:r>
            <w:r>
              <w:rPr>
                <w:rFonts w:ascii="Times New Roman" w:hAnsi="Times New Roman"/>
                <w:kern w:val="0"/>
                <w:sz w:val="24"/>
                <w:szCs w:val="24"/>
              </w:rPr>
              <w:t>10</w:t>
            </w:r>
            <w:r>
              <w:rPr>
                <w:rFonts w:ascii="Times New Roman" w:hAnsi="Times New Roman" w:hint="eastAsia"/>
                <w:kern w:val="0"/>
                <w:sz w:val="24"/>
                <w:szCs w:val="24"/>
              </w:rPr>
              <w:t>00</w:t>
            </w:r>
            <w:r>
              <w:rPr>
                <w:rFonts w:ascii="Times New Roman" w:hAnsi="Times New Roman" w:hint="eastAsia"/>
                <w:kern w:val="0"/>
                <w:sz w:val="24"/>
                <w:szCs w:val="24"/>
              </w:rPr>
              <w:t>万元）</w:t>
            </w:r>
          </w:p>
        </w:tc>
        <w:tc>
          <w:tcPr>
            <w:tcW w:w="3646" w:type="dxa"/>
            <w:vAlign w:val="center"/>
          </w:tcPr>
          <w:p w14:paraId="4D43BD52" w14:textId="77777777" w:rsidR="00CA59D4" w:rsidRDefault="006C2E2B">
            <w:pPr>
              <w:widowControl/>
              <w:adjustRightInd w:val="0"/>
              <w:snapToGrid w:val="0"/>
              <w:ind w:firstLineChars="200" w:firstLine="480"/>
              <w:jc w:val="center"/>
              <w:rPr>
                <w:rFonts w:ascii="Times New Roman" w:hAnsi="Times New Roman"/>
                <w:color w:val="000000"/>
                <w:kern w:val="0"/>
                <w:sz w:val="24"/>
              </w:rPr>
            </w:pPr>
            <w:r>
              <w:rPr>
                <w:rFonts w:ascii="Times New Roman" w:hAnsi="Times New Roman" w:hint="eastAsia"/>
                <w:color w:val="000000"/>
                <w:kern w:val="0"/>
                <w:sz w:val="24"/>
              </w:rPr>
              <w:t>每笔交易</w:t>
            </w:r>
            <w:r>
              <w:rPr>
                <w:rFonts w:ascii="Times New Roman" w:hAnsi="Times New Roman"/>
                <w:color w:val="000000"/>
                <w:kern w:val="0"/>
                <w:sz w:val="24"/>
              </w:rPr>
              <w:t>1000</w:t>
            </w:r>
            <w:r>
              <w:rPr>
                <w:rFonts w:ascii="Times New Roman" w:hAnsi="Times New Roman" w:hint="eastAsia"/>
                <w:color w:val="000000"/>
                <w:kern w:val="0"/>
                <w:sz w:val="24"/>
              </w:rPr>
              <w:t>元</w:t>
            </w:r>
          </w:p>
        </w:tc>
      </w:tr>
    </w:tbl>
    <w:p w14:paraId="5E1A0F31"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本基金</w:t>
      </w:r>
      <w:r>
        <w:rPr>
          <w:rFonts w:ascii="Times New Roman" w:hAnsi="Times New Roman"/>
          <w:color w:val="000000"/>
          <w:kern w:val="0"/>
          <w:sz w:val="24"/>
        </w:rPr>
        <w:t>A</w:t>
      </w:r>
      <w:r>
        <w:rPr>
          <w:rFonts w:ascii="Times New Roman" w:hAnsi="Times New Roman" w:hint="eastAsia"/>
          <w:color w:val="000000"/>
          <w:kern w:val="0"/>
          <w:sz w:val="24"/>
        </w:rPr>
        <w:t>类基金份额的认购费用由认购</w:t>
      </w:r>
      <w:r>
        <w:rPr>
          <w:rFonts w:ascii="Times New Roman" w:hAnsi="Times New Roman"/>
          <w:color w:val="000000"/>
          <w:kern w:val="0"/>
          <w:sz w:val="24"/>
        </w:rPr>
        <w:t>A</w:t>
      </w:r>
      <w:r>
        <w:rPr>
          <w:rFonts w:ascii="Times New Roman" w:hAnsi="Times New Roman" w:hint="eastAsia"/>
          <w:color w:val="000000"/>
          <w:kern w:val="0"/>
          <w:sz w:val="24"/>
        </w:rPr>
        <w:t>类基金份额的投资人承担，认购费用不列入基金财产，主要用于基金的市场推广、销售、登记等募集期间发生的各项费用。</w:t>
      </w:r>
    </w:p>
    <w:p w14:paraId="28C5C529" w14:textId="77777777" w:rsidR="00CA59D4" w:rsidRDefault="006C2E2B">
      <w:pPr>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3</w:t>
      </w:r>
      <w:r>
        <w:rPr>
          <w:rFonts w:ascii="Times New Roman" w:hAnsi="Times New Roman" w:hint="eastAsia"/>
          <w:color w:val="000000"/>
          <w:kern w:val="0"/>
          <w:sz w:val="24"/>
        </w:rPr>
        <w:t>）认购份额的计算</w:t>
      </w:r>
    </w:p>
    <w:p w14:paraId="4629811F"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基金认购采用金额认购的方式。</w:t>
      </w:r>
    </w:p>
    <w:p w14:paraId="414B6A30"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hint="eastAsia"/>
          <w:color w:val="000000"/>
          <w:kern w:val="0"/>
          <w:sz w:val="24"/>
        </w:rPr>
        <w:t>）</w:t>
      </w:r>
      <w:r>
        <w:rPr>
          <w:rFonts w:ascii="Times New Roman" w:hAnsi="Times New Roman"/>
          <w:color w:val="000000"/>
          <w:kern w:val="0"/>
          <w:sz w:val="24"/>
        </w:rPr>
        <w:t>A</w:t>
      </w:r>
      <w:r>
        <w:rPr>
          <w:rFonts w:ascii="Times New Roman" w:hAnsi="Times New Roman" w:hint="eastAsia"/>
          <w:color w:val="000000"/>
          <w:kern w:val="0"/>
          <w:sz w:val="24"/>
        </w:rPr>
        <w:t>类基金份额的认购</w:t>
      </w:r>
    </w:p>
    <w:p w14:paraId="05358ACF"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基金的认购金额包括认购费用和净认购金额。计算公式为：</w:t>
      </w:r>
    </w:p>
    <w:p w14:paraId="721AD2BB"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认购总金额</w:t>
      </w:r>
      <w:r>
        <w:rPr>
          <w:rFonts w:ascii="Times New Roman" w:hAnsi="Times New Roman"/>
          <w:color w:val="000000"/>
          <w:kern w:val="0"/>
          <w:sz w:val="24"/>
        </w:rPr>
        <w:t>=</w:t>
      </w:r>
      <w:r>
        <w:rPr>
          <w:rFonts w:ascii="Times New Roman" w:hAnsi="Times New Roman" w:hint="eastAsia"/>
          <w:color w:val="000000"/>
          <w:kern w:val="0"/>
          <w:sz w:val="24"/>
        </w:rPr>
        <w:t>申请总金额</w:t>
      </w:r>
    </w:p>
    <w:p w14:paraId="0A133E3B"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lastRenderedPageBreak/>
        <w:t>净认购金额</w:t>
      </w:r>
      <w:r>
        <w:rPr>
          <w:rFonts w:ascii="Times New Roman" w:hAnsi="Times New Roman"/>
          <w:color w:val="000000"/>
          <w:kern w:val="0"/>
          <w:sz w:val="24"/>
        </w:rPr>
        <w:t>=</w:t>
      </w:r>
      <w:r>
        <w:rPr>
          <w:rFonts w:ascii="Times New Roman" w:hAnsi="Times New Roman" w:hint="eastAsia"/>
          <w:color w:val="000000"/>
          <w:kern w:val="0"/>
          <w:sz w:val="24"/>
        </w:rPr>
        <w:t>认购总金额</w:t>
      </w:r>
      <w:r>
        <w:rPr>
          <w:rFonts w:ascii="Times New Roman" w:hAnsi="Times New Roman"/>
          <w:color w:val="000000"/>
          <w:kern w:val="0"/>
          <w:sz w:val="24"/>
        </w:rPr>
        <w:t>/</w:t>
      </w:r>
      <w:r>
        <w:rPr>
          <w:rFonts w:ascii="Times New Roman" w:hAnsi="Times New Roman" w:hint="eastAsia"/>
          <w:color w:val="000000"/>
          <w:kern w:val="0"/>
          <w:sz w:val="24"/>
        </w:rPr>
        <w:t>（</w:t>
      </w:r>
      <w:r>
        <w:rPr>
          <w:rFonts w:ascii="Times New Roman" w:hAnsi="Times New Roman"/>
          <w:color w:val="000000"/>
          <w:kern w:val="0"/>
          <w:sz w:val="24"/>
        </w:rPr>
        <w:t>1</w:t>
      </w:r>
      <w:r>
        <w:rPr>
          <w:rFonts w:ascii="Times New Roman" w:hAnsi="Times New Roman" w:hint="eastAsia"/>
          <w:color w:val="000000"/>
          <w:kern w:val="0"/>
          <w:sz w:val="24"/>
        </w:rPr>
        <w:t>＋认购费率）</w:t>
      </w:r>
    </w:p>
    <w:p w14:paraId="1F471F4C"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（注：对于适用固定金额认购费用的认购，净认购金额＝认购总金额－固定认购费用金额）</w:t>
      </w:r>
    </w:p>
    <w:p w14:paraId="0688737D"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认购费用</w:t>
      </w:r>
      <w:r>
        <w:rPr>
          <w:rFonts w:ascii="Times New Roman" w:hAnsi="Times New Roman"/>
          <w:color w:val="000000"/>
          <w:kern w:val="0"/>
          <w:sz w:val="24"/>
        </w:rPr>
        <w:t>=</w:t>
      </w:r>
      <w:r>
        <w:rPr>
          <w:rFonts w:ascii="Times New Roman" w:hAnsi="Times New Roman" w:hint="eastAsia"/>
          <w:color w:val="000000"/>
          <w:kern w:val="0"/>
          <w:sz w:val="24"/>
        </w:rPr>
        <w:t>认购总金额</w:t>
      </w:r>
      <w:r>
        <w:rPr>
          <w:rFonts w:ascii="Times New Roman" w:hAnsi="Times New Roman"/>
          <w:color w:val="000000"/>
          <w:kern w:val="0"/>
          <w:sz w:val="24"/>
        </w:rPr>
        <w:t>-</w:t>
      </w:r>
      <w:r>
        <w:rPr>
          <w:rFonts w:ascii="Times New Roman" w:hAnsi="Times New Roman" w:hint="eastAsia"/>
          <w:color w:val="000000"/>
          <w:kern w:val="0"/>
          <w:sz w:val="24"/>
        </w:rPr>
        <w:t>净认购金额</w:t>
      </w:r>
    </w:p>
    <w:p w14:paraId="3BC343D3"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（注：对于适用固定金额认购费用的认购，认购费用＝固定认购费用金额）</w:t>
      </w:r>
    </w:p>
    <w:p w14:paraId="4D0DBF15"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认购份额</w:t>
      </w:r>
      <w:r>
        <w:rPr>
          <w:rFonts w:ascii="Times New Roman" w:hAnsi="Times New Roman"/>
          <w:color w:val="000000"/>
          <w:kern w:val="0"/>
          <w:sz w:val="24"/>
        </w:rPr>
        <w:t>=</w:t>
      </w:r>
      <w:r>
        <w:rPr>
          <w:rFonts w:ascii="Times New Roman" w:hAnsi="Times New Roman" w:hint="eastAsia"/>
          <w:color w:val="000000"/>
          <w:kern w:val="0"/>
          <w:sz w:val="24"/>
        </w:rPr>
        <w:t>净认购金额</w:t>
      </w:r>
      <w:r>
        <w:rPr>
          <w:rFonts w:ascii="Times New Roman" w:hAnsi="Times New Roman"/>
          <w:color w:val="000000"/>
          <w:kern w:val="0"/>
          <w:sz w:val="24"/>
        </w:rPr>
        <w:t>/</w:t>
      </w:r>
      <w:r>
        <w:rPr>
          <w:rFonts w:ascii="Times New Roman" w:hAnsi="Times New Roman" w:hint="eastAsia"/>
          <w:color w:val="000000"/>
          <w:kern w:val="0"/>
          <w:sz w:val="24"/>
        </w:rPr>
        <w:t>基金份额初始面值＋认购利息</w:t>
      </w:r>
      <w:r>
        <w:rPr>
          <w:rFonts w:ascii="Times New Roman" w:hAnsi="Times New Roman"/>
          <w:color w:val="000000"/>
          <w:kern w:val="0"/>
          <w:sz w:val="24"/>
        </w:rPr>
        <w:t>/</w:t>
      </w:r>
      <w:r>
        <w:rPr>
          <w:rFonts w:ascii="Times New Roman" w:hAnsi="Times New Roman" w:hint="eastAsia"/>
          <w:color w:val="000000"/>
          <w:kern w:val="0"/>
          <w:sz w:val="24"/>
        </w:rPr>
        <w:t>基金份额初始面值</w:t>
      </w:r>
    </w:p>
    <w:p w14:paraId="236862C5"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认购份额计算结果保留到小数点后</w:t>
      </w:r>
      <w:r>
        <w:rPr>
          <w:rFonts w:ascii="Times New Roman" w:hAnsi="Times New Roman"/>
          <w:color w:val="000000"/>
          <w:kern w:val="0"/>
          <w:sz w:val="24"/>
        </w:rPr>
        <w:t>2</w:t>
      </w:r>
      <w:r>
        <w:rPr>
          <w:rFonts w:ascii="Times New Roman" w:hAnsi="Times New Roman" w:hint="eastAsia"/>
          <w:color w:val="000000"/>
          <w:kern w:val="0"/>
          <w:sz w:val="24"/>
        </w:rPr>
        <w:t>位，小数点</w:t>
      </w:r>
      <w:r>
        <w:rPr>
          <w:rFonts w:ascii="Times New Roman" w:hAnsi="Times New Roman"/>
          <w:color w:val="000000"/>
          <w:kern w:val="0"/>
          <w:sz w:val="24"/>
        </w:rPr>
        <w:t>2</w:t>
      </w:r>
      <w:r>
        <w:rPr>
          <w:rFonts w:ascii="Times New Roman" w:hAnsi="Times New Roman" w:hint="eastAsia"/>
          <w:color w:val="000000"/>
          <w:kern w:val="0"/>
          <w:sz w:val="24"/>
        </w:rPr>
        <w:t>位以后的部分四舍五入，由此误差产生的损失由基金财产承担，产生的收益归基金财产所有。</w:t>
      </w:r>
    </w:p>
    <w:p w14:paraId="76A1E6BF"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例一：某投资者（非养老金客户）认购本基金</w:t>
      </w:r>
      <w:r>
        <w:rPr>
          <w:rFonts w:ascii="Times New Roman" w:hAnsi="Times New Roman"/>
          <w:color w:val="000000"/>
          <w:kern w:val="0"/>
          <w:sz w:val="24"/>
        </w:rPr>
        <w:t>A</w:t>
      </w:r>
      <w:r>
        <w:rPr>
          <w:rFonts w:ascii="Times New Roman" w:hAnsi="Times New Roman" w:hint="eastAsia"/>
          <w:color w:val="000000"/>
          <w:kern w:val="0"/>
          <w:sz w:val="24"/>
        </w:rPr>
        <w:t>类基金份额</w:t>
      </w:r>
      <w:r>
        <w:rPr>
          <w:rFonts w:ascii="Times New Roman" w:hAnsi="Times New Roman"/>
          <w:color w:val="000000"/>
          <w:kern w:val="0"/>
          <w:sz w:val="24"/>
        </w:rPr>
        <w:t>100,000.00</w:t>
      </w:r>
      <w:r>
        <w:rPr>
          <w:rFonts w:ascii="Times New Roman" w:hAnsi="Times New Roman" w:hint="eastAsia"/>
          <w:color w:val="000000"/>
          <w:kern w:val="0"/>
          <w:sz w:val="24"/>
        </w:rPr>
        <w:t>元，且该认购申请被全额确认，所对应的认购费率为</w:t>
      </w:r>
      <w:r>
        <w:rPr>
          <w:rFonts w:ascii="Times New Roman" w:hAnsi="Times New Roman"/>
          <w:color w:val="000000"/>
          <w:kern w:val="0"/>
          <w:sz w:val="24"/>
        </w:rPr>
        <w:t>0.2%</w:t>
      </w:r>
      <w:r>
        <w:rPr>
          <w:rFonts w:ascii="Times New Roman" w:hAnsi="Times New Roman" w:hint="eastAsia"/>
          <w:color w:val="000000"/>
          <w:kern w:val="0"/>
          <w:sz w:val="24"/>
        </w:rPr>
        <w:t>。假定该笔认购金额产生利息</w:t>
      </w:r>
      <w:r>
        <w:rPr>
          <w:rFonts w:ascii="Times New Roman" w:hAnsi="Times New Roman"/>
          <w:color w:val="000000"/>
          <w:kern w:val="0"/>
          <w:sz w:val="24"/>
        </w:rPr>
        <w:t>50.00</w:t>
      </w:r>
      <w:r>
        <w:rPr>
          <w:rFonts w:ascii="Times New Roman" w:hAnsi="Times New Roman" w:hint="eastAsia"/>
          <w:color w:val="000000"/>
          <w:kern w:val="0"/>
          <w:sz w:val="24"/>
        </w:rPr>
        <w:t>元。则认购份额为：</w:t>
      </w:r>
    </w:p>
    <w:p w14:paraId="3C1E1CA8"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认购总金额＝</w:t>
      </w:r>
      <w:r>
        <w:rPr>
          <w:rFonts w:ascii="Times New Roman" w:hAnsi="Times New Roman"/>
          <w:color w:val="000000"/>
          <w:kern w:val="0"/>
          <w:sz w:val="24"/>
        </w:rPr>
        <w:t>100,000.00</w:t>
      </w:r>
      <w:r>
        <w:rPr>
          <w:rFonts w:ascii="Times New Roman" w:hAnsi="Times New Roman" w:hint="eastAsia"/>
          <w:color w:val="000000"/>
          <w:kern w:val="0"/>
          <w:sz w:val="24"/>
        </w:rPr>
        <w:t>元</w:t>
      </w:r>
    </w:p>
    <w:p w14:paraId="6A3E28D4"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净认购金额＝</w:t>
      </w:r>
      <w:r>
        <w:rPr>
          <w:rFonts w:ascii="Times New Roman" w:hAnsi="Times New Roman"/>
          <w:color w:val="000000"/>
          <w:kern w:val="0"/>
          <w:sz w:val="24"/>
        </w:rPr>
        <w:t>100,000.00/</w:t>
      </w:r>
      <w:r>
        <w:rPr>
          <w:rFonts w:ascii="Times New Roman" w:hAnsi="Times New Roman" w:hint="eastAsia"/>
          <w:color w:val="000000"/>
          <w:kern w:val="0"/>
          <w:sz w:val="24"/>
        </w:rPr>
        <w:t>（</w:t>
      </w:r>
      <w:r>
        <w:rPr>
          <w:rFonts w:ascii="Times New Roman" w:hAnsi="Times New Roman"/>
          <w:color w:val="000000"/>
          <w:kern w:val="0"/>
          <w:sz w:val="24"/>
        </w:rPr>
        <w:t>1</w:t>
      </w:r>
      <w:r>
        <w:rPr>
          <w:rFonts w:ascii="Times New Roman" w:hAnsi="Times New Roman" w:hint="eastAsia"/>
          <w:color w:val="000000"/>
          <w:kern w:val="0"/>
          <w:sz w:val="24"/>
        </w:rPr>
        <w:t>＋</w:t>
      </w:r>
      <w:r>
        <w:rPr>
          <w:rFonts w:ascii="Times New Roman" w:hAnsi="Times New Roman"/>
          <w:color w:val="000000"/>
          <w:kern w:val="0"/>
          <w:sz w:val="24"/>
        </w:rPr>
        <w:t>0.2%</w:t>
      </w:r>
      <w:r>
        <w:rPr>
          <w:rFonts w:ascii="Times New Roman" w:hAnsi="Times New Roman" w:hint="eastAsia"/>
          <w:color w:val="000000"/>
          <w:kern w:val="0"/>
          <w:sz w:val="24"/>
        </w:rPr>
        <w:t>）＝</w:t>
      </w:r>
      <w:r>
        <w:rPr>
          <w:rFonts w:ascii="Times New Roman" w:hAnsi="Times New Roman"/>
          <w:color w:val="000000"/>
          <w:kern w:val="0"/>
          <w:sz w:val="24"/>
        </w:rPr>
        <w:t>99,800.40</w:t>
      </w:r>
      <w:r>
        <w:rPr>
          <w:rFonts w:ascii="Times New Roman" w:hAnsi="Times New Roman" w:hint="eastAsia"/>
          <w:color w:val="000000"/>
          <w:kern w:val="0"/>
          <w:sz w:val="24"/>
        </w:rPr>
        <w:t>元</w:t>
      </w:r>
    </w:p>
    <w:p w14:paraId="6DB13803"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认购费用＝</w:t>
      </w:r>
      <w:r>
        <w:rPr>
          <w:rFonts w:ascii="Times New Roman" w:hAnsi="Times New Roman"/>
          <w:color w:val="000000"/>
          <w:kern w:val="0"/>
          <w:sz w:val="24"/>
        </w:rPr>
        <w:t>100,000.00</w:t>
      </w:r>
      <w:r>
        <w:rPr>
          <w:rFonts w:ascii="Times New Roman" w:hAnsi="Times New Roman" w:hint="eastAsia"/>
          <w:color w:val="000000"/>
          <w:kern w:val="0"/>
          <w:sz w:val="24"/>
        </w:rPr>
        <w:t>－</w:t>
      </w:r>
      <w:r>
        <w:rPr>
          <w:rFonts w:ascii="Times New Roman" w:hAnsi="Times New Roman"/>
          <w:color w:val="000000"/>
          <w:kern w:val="0"/>
          <w:sz w:val="24"/>
        </w:rPr>
        <w:t>99,800.40</w:t>
      </w:r>
      <w:r>
        <w:rPr>
          <w:rFonts w:ascii="Times New Roman" w:hAnsi="Times New Roman" w:hint="eastAsia"/>
          <w:color w:val="000000"/>
          <w:kern w:val="0"/>
          <w:sz w:val="24"/>
        </w:rPr>
        <w:t>＝</w:t>
      </w:r>
      <w:r>
        <w:rPr>
          <w:rFonts w:ascii="Times New Roman" w:hAnsi="Times New Roman"/>
          <w:color w:val="000000"/>
          <w:kern w:val="0"/>
          <w:sz w:val="24"/>
        </w:rPr>
        <w:t>199.60</w:t>
      </w:r>
      <w:r>
        <w:rPr>
          <w:rFonts w:ascii="Times New Roman" w:hAnsi="Times New Roman" w:hint="eastAsia"/>
          <w:color w:val="000000"/>
          <w:kern w:val="0"/>
          <w:sz w:val="24"/>
        </w:rPr>
        <w:t>元</w:t>
      </w:r>
    </w:p>
    <w:p w14:paraId="42BEB39D"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认购份额＝</w:t>
      </w:r>
      <w:r>
        <w:rPr>
          <w:rFonts w:ascii="Times New Roman" w:hAnsi="Times New Roman"/>
          <w:color w:val="000000"/>
          <w:kern w:val="0"/>
          <w:sz w:val="24"/>
        </w:rPr>
        <w:t>99,800.40/1.00</w:t>
      </w:r>
      <w:r>
        <w:rPr>
          <w:rFonts w:ascii="Times New Roman" w:hAnsi="Times New Roman" w:hint="eastAsia"/>
          <w:color w:val="000000"/>
          <w:kern w:val="0"/>
          <w:sz w:val="24"/>
        </w:rPr>
        <w:t>＋</w:t>
      </w:r>
      <w:r>
        <w:rPr>
          <w:rFonts w:ascii="Times New Roman" w:hAnsi="Times New Roman"/>
          <w:color w:val="000000"/>
          <w:kern w:val="0"/>
          <w:sz w:val="24"/>
        </w:rPr>
        <w:t>50.00/1.00</w:t>
      </w:r>
      <w:r>
        <w:rPr>
          <w:rFonts w:ascii="Times New Roman" w:hAnsi="Times New Roman" w:hint="eastAsia"/>
          <w:color w:val="000000"/>
          <w:kern w:val="0"/>
          <w:sz w:val="24"/>
        </w:rPr>
        <w:t>＝</w:t>
      </w:r>
      <w:r>
        <w:rPr>
          <w:rFonts w:ascii="Times New Roman" w:hAnsi="Times New Roman"/>
          <w:color w:val="000000"/>
          <w:kern w:val="0"/>
          <w:sz w:val="24"/>
        </w:rPr>
        <w:t>99,850.40</w:t>
      </w:r>
      <w:r>
        <w:rPr>
          <w:rFonts w:ascii="Times New Roman" w:hAnsi="Times New Roman" w:hint="eastAsia"/>
          <w:color w:val="000000"/>
          <w:kern w:val="0"/>
          <w:sz w:val="24"/>
        </w:rPr>
        <w:t>份</w:t>
      </w:r>
    </w:p>
    <w:p w14:paraId="28FD76DD"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即：若该投资者（非养老金客户）选择投资</w:t>
      </w:r>
      <w:r>
        <w:rPr>
          <w:rFonts w:ascii="Times New Roman" w:hAnsi="Times New Roman"/>
          <w:color w:val="000000"/>
          <w:kern w:val="0"/>
          <w:sz w:val="24"/>
        </w:rPr>
        <w:t>100,000.00</w:t>
      </w:r>
      <w:r>
        <w:rPr>
          <w:rFonts w:ascii="Times New Roman" w:hAnsi="Times New Roman" w:hint="eastAsia"/>
          <w:color w:val="000000"/>
          <w:kern w:val="0"/>
          <w:sz w:val="24"/>
        </w:rPr>
        <w:t>元认购</w:t>
      </w:r>
      <w:r>
        <w:rPr>
          <w:rFonts w:ascii="Times New Roman" w:hAnsi="Times New Roman"/>
          <w:color w:val="000000"/>
          <w:kern w:val="0"/>
          <w:sz w:val="24"/>
        </w:rPr>
        <w:t>A</w:t>
      </w:r>
      <w:r>
        <w:rPr>
          <w:rFonts w:ascii="Times New Roman" w:hAnsi="Times New Roman" w:hint="eastAsia"/>
          <w:color w:val="000000"/>
          <w:kern w:val="0"/>
          <w:sz w:val="24"/>
        </w:rPr>
        <w:t>类基金份额，假定该笔认购金额产生利息</w:t>
      </w:r>
      <w:r>
        <w:rPr>
          <w:rFonts w:ascii="Times New Roman" w:hAnsi="Times New Roman"/>
          <w:color w:val="000000"/>
          <w:kern w:val="0"/>
          <w:sz w:val="24"/>
        </w:rPr>
        <w:t>50.00</w:t>
      </w:r>
      <w:r>
        <w:rPr>
          <w:rFonts w:ascii="Times New Roman" w:hAnsi="Times New Roman" w:hint="eastAsia"/>
          <w:color w:val="000000"/>
          <w:kern w:val="0"/>
          <w:sz w:val="24"/>
        </w:rPr>
        <w:t>元，可得到</w:t>
      </w:r>
      <w:r>
        <w:rPr>
          <w:rFonts w:ascii="Times New Roman" w:hAnsi="Times New Roman"/>
          <w:color w:val="000000"/>
          <w:kern w:val="0"/>
          <w:sz w:val="24"/>
        </w:rPr>
        <w:t>99,850.40</w:t>
      </w:r>
      <w:r>
        <w:rPr>
          <w:rFonts w:ascii="Times New Roman" w:hAnsi="Times New Roman" w:hint="eastAsia"/>
          <w:color w:val="000000"/>
          <w:kern w:val="0"/>
          <w:sz w:val="24"/>
        </w:rPr>
        <w:t>份</w:t>
      </w:r>
      <w:r>
        <w:rPr>
          <w:rFonts w:ascii="Times New Roman" w:hAnsi="Times New Roman"/>
          <w:color w:val="000000"/>
          <w:kern w:val="0"/>
          <w:sz w:val="24"/>
        </w:rPr>
        <w:t>A</w:t>
      </w:r>
      <w:r>
        <w:rPr>
          <w:rFonts w:ascii="Times New Roman" w:hAnsi="Times New Roman" w:hint="eastAsia"/>
          <w:color w:val="000000"/>
          <w:kern w:val="0"/>
          <w:sz w:val="24"/>
        </w:rPr>
        <w:t>类基金份额。</w:t>
      </w:r>
    </w:p>
    <w:p w14:paraId="1EC5B42F"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例二：某养老金客户通过基金管理人的直销柜台认购本基金</w:t>
      </w:r>
      <w:r>
        <w:rPr>
          <w:rFonts w:ascii="Times New Roman" w:hAnsi="Times New Roman"/>
          <w:color w:val="000000"/>
          <w:kern w:val="0"/>
          <w:sz w:val="24"/>
        </w:rPr>
        <w:t>A</w:t>
      </w:r>
      <w:r>
        <w:rPr>
          <w:rFonts w:ascii="Times New Roman" w:hAnsi="Times New Roman" w:hint="eastAsia"/>
          <w:color w:val="000000"/>
          <w:kern w:val="0"/>
          <w:sz w:val="24"/>
        </w:rPr>
        <w:t>类基金份额</w:t>
      </w:r>
      <w:r>
        <w:rPr>
          <w:rFonts w:ascii="Times New Roman" w:hAnsi="Times New Roman"/>
          <w:color w:val="000000"/>
          <w:kern w:val="0"/>
          <w:sz w:val="24"/>
        </w:rPr>
        <w:t>1</w:t>
      </w:r>
      <w:r>
        <w:rPr>
          <w:rFonts w:ascii="Times New Roman" w:hAnsi="Times New Roman" w:hint="eastAsia"/>
          <w:color w:val="000000"/>
          <w:kern w:val="0"/>
          <w:sz w:val="24"/>
        </w:rPr>
        <w:t>,</w:t>
      </w:r>
      <w:r>
        <w:rPr>
          <w:rFonts w:ascii="Times New Roman" w:hAnsi="Times New Roman"/>
          <w:color w:val="000000"/>
          <w:kern w:val="0"/>
          <w:sz w:val="24"/>
        </w:rPr>
        <w:t>000,000.00</w:t>
      </w:r>
      <w:r>
        <w:rPr>
          <w:rFonts w:ascii="Times New Roman" w:hAnsi="Times New Roman" w:hint="eastAsia"/>
          <w:color w:val="000000"/>
          <w:kern w:val="0"/>
          <w:sz w:val="24"/>
        </w:rPr>
        <w:t>元，且该认购申请被全额确认，所对应的认购费率为</w:t>
      </w:r>
      <w:r>
        <w:rPr>
          <w:rFonts w:ascii="Times New Roman" w:hAnsi="Times New Roman"/>
          <w:color w:val="000000"/>
          <w:kern w:val="0"/>
          <w:sz w:val="24"/>
        </w:rPr>
        <w:t>0.08%</w:t>
      </w:r>
      <w:r>
        <w:rPr>
          <w:rFonts w:ascii="Times New Roman" w:hAnsi="Times New Roman" w:hint="eastAsia"/>
          <w:color w:val="000000"/>
          <w:kern w:val="0"/>
          <w:sz w:val="24"/>
        </w:rPr>
        <w:t>。假定该笔认购金额产生利息</w:t>
      </w:r>
      <w:r>
        <w:rPr>
          <w:rFonts w:ascii="Times New Roman" w:hAnsi="Times New Roman"/>
          <w:color w:val="000000"/>
          <w:kern w:val="0"/>
          <w:sz w:val="24"/>
        </w:rPr>
        <w:t>50.00</w:t>
      </w:r>
      <w:r>
        <w:rPr>
          <w:rFonts w:ascii="Times New Roman" w:hAnsi="Times New Roman" w:hint="eastAsia"/>
          <w:color w:val="000000"/>
          <w:kern w:val="0"/>
          <w:sz w:val="24"/>
        </w:rPr>
        <w:t>元。则认购份额为：</w:t>
      </w:r>
    </w:p>
    <w:p w14:paraId="219E35E2"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认购总金额＝</w:t>
      </w:r>
      <w:r>
        <w:rPr>
          <w:rFonts w:ascii="Times New Roman" w:hAnsi="Times New Roman"/>
          <w:color w:val="000000"/>
          <w:kern w:val="0"/>
          <w:sz w:val="24"/>
        </w:rPr>
        <w:t>1,000,000.00</w:t>
      </w:r>
      <w:r>
        <w:rPr>
          <w:rFonts w:ascii="Times New Roman" w:hAnsi="Times New Roman" w:hint="eastAsia"/>
          <w:color w:val="000000"/>
          <w:kern w:val="0"/>
          <w:sz w:val="24"/>
        </w:rPr>
        <w:t>元</w:t>
      </w:r>
    </w:p>
    <w:p w14:paraId="4D85EB87"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净认购金额＝</w:t>
      </w:r>
      <w:r>
        <w:rPr>
          <w:rFonts w:ascii="Times New Roman" w:hAnsi="Times New Roman"/>
          <w:color w:val="000000"/>
          <w:kern w:val="0"/>
          <w:sz w:val="24"/>
        </w:rPr>
        <w:t>1,000,000.00/</w:t>
      </w:r>
      <w:r>
        <w:rPr>
          <w:rFonts w:ascii="Times New Roman" w:hAnsi="Times New Roman" w:hint="eastAsia"/>
          <w:color w:val="000000"/>
          <w:kern w:val="0"/>
          <w:sz w:val="24"/>
        </w:rPr>
        <w:t>（</w:t>
      </w:r>
      <w:r>
        <w:rPr>
          <w:rFonts w:ascii="Times New Roman" w:hAnsi="Times New Roman"/>
          <w:color w:val="000000"/>
          <w:kern w:val="0"/>
          <w:sz w:val="24"/>
        </w:rPr>
        <w:t>1</w:t>
      </w:r>
      <w:r>
        <w:rPr>
          <w:rFonts w:ascii="Times New Roman" w:hAnsi="Times New Roman" w:hint="eastAsia"/>
          <w:color w:val="000000"/>
          <w:kern w:val="0"/>
          <w:sz w:val="24"/>
        </w:rPr>
        <w:t>＋</w:t>
      </w:r>
      <w:r>
        <w:rPr>
          <w:rFonts w:ascii="Times New Roman" w:hAnsi="Times New Roman"/>
          <w:color w:val="000000"/>
          <w:kern w:val="0"/>
          <w:sz w:val="24"/>
        </w:rPr>
        <w:t>0.08%</w:t>
      </w:r>
      <w:r>
        <w:rPr>
          <w:rFonts w:ascii="Times New Roman" w:hAnsi="Times New Roman" w:hint="eastAsia"/>
          <w:color w:val="000000"/>
          <w:kern w:val="0"/>
          <w:sz w:val="24"/>
        </w:rPr>
        <w:t>）＝</w:t>
      </w:r>
      <w:r>
        <w:rPr>
          <w:rFonts w:ascii="Times New Roman" w:hAnsi="Times New Roman"/>
          <w:color w:val="000000"/>
          <w:kern w:val="0"/>
          <w:sz w:val="24"/>
        </w:rPr>
        <w:t>999,200.64</w:t>
      </w:r>
      <w:r>
        <w:rPr>
          <w:rFonts w:ascii="Times New Roman" w:hAnsi="Times New Roman" w:hint="eastAsia"/>
          <w:color w:val="000000"/>
          <w:kern w:val="0"/>
          <w:sz w:val="24"/>
        </w:rPr>
        <w:t>元</w:t>
      </w:r>
    </w:p>
    <w:p w14:paraId="25A97E60"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认购费用＝</w:t>
      </w:r>
      <w:r>
        <w:rPr>
          <w:rFonts w:ascii="Times New Roman" w:hAnsi="Times New Roman"/>
          <w:color w:val="000000"/>
          <w:kern w:val="0"/>
          <w:sz w:val="24"/>
        </w:rPr>
        <w:t>1,000,000</w:t>
      </w:r>
      <w:r>
        <w:rPr>
          <w:rFonts w:ascii="Times New Roman" w:hAnsi="Times New Roman" w:hint="eastAsia"/>
          <w:color w:val="000000"/>
          <w:kern w:val="0"/>
          <w:sz w:val="24"/>
        </w:rPr>
        <w:t>.</w:t>
      </w:r>
      <w:r>
        <w:rPr>
          <w:rFonts w:ascii="Times New Roman" w:hAnsi="Times New Roman"/>
          <w:color w:val="000000"/>
          <w:kern w:val="0"/>
          <w:sz w:val="24"/>
        </w:rPr>
        <w:t>00</w:t>
      </w:r>
      <w:r>
        <w:rPr>
          <w:rFonts w:ascii="Times New Roman" w:hAnsi="Times New Roman" w:hint="eastAsia"/>
          <w:color w:val="000000"/>
          <w:kern w:val="0"/>
          <w:sz w:val="24"/>
        </w:rPr>
        <w:t>－</w:t>
      </w:r>
      <w:r>
        <w:rPr>
          <w:rFonts w:ascii="Times New Roman" w:hAnsi="Times New Roman"/>
          <w:color w:val="000000"/>
          <w:kern w:val="0"/>
          <w:sz w:val="24"/>
        </w:rPr>
        <w:t>999,200.64</w:t>
      </w:r>
      <w:r>
        <w:rPr>
          <w:rFonts w:ascii="Times New Roman" w:hAnsi="Times New Roman" w:hint="eastAsia"/>
          <w:color w:val="000000"/>
          <w:kern w:val="0"/>
          <w:sz w:val="24"/>
        </w:rPr>
        <w:t>＝</w:t>
      </w:r>
      <w:r>
        <w:rPr>
          <w:rFonts w:ascii="Times New Roman" w:hAnsi="Times New Roman"/>
          <w:color w:val="000000"/>
          <w:kern w:val="0"/>
          <w:sz w:val="24"/>
        </w:rPr>
        <w:t>799.36</w:t>
      </w:r>
      <w:r>
        <w:rPr>
          <w:rFonts w:ascii="Times New Roman" w:hAnsi="Times New Roman" w:hint="eastAsia"/>
          <w:color w:val="000000"/>
          <w:kern w:val="0"/>
          <w:sz w:val="24"/>
        </w:rPr>
        <w:t>元</w:t>
      </w:r>
    </w:p>
    <w:p w14:paraId="7261E4AA"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认购份额＝</w:t>
      </w:r>
      <w:r>
        <w:rPr>
          <w:rFonts w:ascii="Times New Roman" w:hAnsi="Times New Roman"/>
          <w:color w:val="000000"/>
          <w:kern w:val="0"/>
          <w:sz w:val="24"/>
        </w:rPr>
        <w:t>999,200.64/1.00</w:t>
      </w:r>
      <w:r>
        <w:rPr>
          <w:rFonts w:ascii="Times New Roman" w:hAnsi="Times New Roman" w:hint="eastAsia"/>
          <w:color w:val="000000"/>
          <w:kern w:val="0"/>
          <w:sz w:val="24"/>
        </w:rPr>
        <w:t>＋</w:t>
      </w:r>
      <w:r>
        <w:rPr>
          <w:rFonts w:ascii="Times New Roman" w:hAnsi="Times New Roman"/>
          <w:color w:val="000000"/>
          <w:kern w:val="0"/>
          <w:sz w:val="24"/>
        </w:rPr>
        <w:t>50.00/1.00</w:t>
      </w:r>
      <w:r>
        <w:rPr>
          <w:rFonts w:ascii="Times New Roman" w:hAnsi="Times New Roman" w:hint="eastAsia"/>
          <w:color w:val="000000"/>
          <w:kern w:val="0"/>
          <w:sz w:val="24"/>
        </w:rPr>
        <w:t>＝</w:t>
      </w:r>
      <w:r>
        <w:rPr>
          <w:rFonts w:ascii="Times New Roman" w:hAnsi="Times New Roman"/>
          <w:color w:val="000000"/>
          <w:kern w:val="0"/>
          <w:sz w:val="24"/>
        </w:rPr>
        <w:t>999,250.64</w:t>
      </w:r>
      <w:r>
        <w:rPr>
          <w:rFonts w:ascii="Times New Roman" w:hAnsi="Times New Roman" w:hint="eastAsia"/>
          <w:color w:val="000000"/>
          <w:kern w:val="0"/>
          <w:sz w:val="24"/>
        </w:rPr>
        <w:t>份</w:t>
      </w:r>
    </w:p>
    <w:p w14:paraId="308E4C03"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即：若该养老金客户投资</w:t>
      </w:r>
      <w:r>
        <w:rPr>
          <w:rFonts w:ascii="Times New Roman" w:hAnsi="Times New Roman"/>
          <w:color w:val="000000"/>
          <w:kern w:val="0"/>
          <w:sz w:val="24"/>
        </w:rPr>
        <w:t>1,000,000.00</w:t>
      </w:r>
      <w:r>
        <w:rPr>
          <w:rFonts w:ascii="Times New Roman" w:hAnsi="Times New Roman" w:hint="eastAsia"/>
          <w:color w:val="000000"/>
          <w:kern w:val="0"/>
          <w:sz w:val="24"/>
        </w:rPr>
        <w:t>元通过基金管理人的直销柜台认购</w:t>
      </w:r>
      <w:r>
        <w:rPr>
          <w:rFonts w:ascii="Times New Roman" w:hAnsi="Times New Roman"/>
          <w:color w:val="000000"/>
          <w:kern w:val="0"/>
          <w:sz w:val="24"/>
        </w:rPr>
        <w:t>A</w:t>
      </w:r>
      <w:r>
        <w:rPr>
          <w:rFonts w:ascii="Times New Roman" w:hAnsi="Times New Roman" w:hint="eastAsia"/>
          <w:color w:val="000000"/>
          <w:kern w:val="0"/>
          <w:sz w:val="24"/>
        </w:rPr>
        <w:t>类基金份额，假定该笔认购金额产生的利息为</w:t>
      </w:r>
      <w:r>
        <w:rPr>
          <w:rFonts w:ascii="Times New Roman" w:hAnsi="Times New Roman"/>
          <w:color w:val="000000"/>
          <w:kern w:val="0"/>
          <w:sz w:val="24"/>
        </w:rPr>
        <w:t>50.00</w:t>
      </w:r>
      <w:r>
        <w:rPr>
          <w:rFonts w:ascii="Times New Roman" w:hAnsi="Times New Roman" w:hint="eastAsia"/>
          <w:color w:val="000000"/>
          <w:kern w:val="0"/>
          <w:sz w:val="24"/>
        </w:rPr>
        <w:t>元，可得到</w:t>
      </w:r>
      <w:r>
        <w:rPr>
          <w:rFonts w:ascii="Times New Roman" w:hAnsi="Times New Roman"/>
          <w:color w:val="000000"/>
          <w:kern w:val="0"/>
          <w:sz w:val="24"/>
        </w:rPr>
        <w:t>999,250.64</w:t>
      </w:r>
      <w:r>
        <w:rPr>
          <w:rFonts w:ascii="Times New Roman" w:hAnsi="Times New Roman" w:hint="eastAsia"/>
          <w:color w:val="000000"/>
          <w:kern w:val="0"/>
          <w:sz w:val="24"/>
        </w:rPr>
        <w:t>份</w:t>
      </w:r>
      <w:r>
        <w:rPr>
          <w:rFonts w:ascii="Times New Roman" w:hAnsi="Times New Roman"/>
          <w:color w:val="000000"/>
          <w:kern w:val="0"/>
          <w:sz w:val="24"/>
        </w:rPr>
        <w:t>A</w:t>
      </w:r>
      <w:r>
        <w:rPr>
          <w:rFonts w:ascii="Times New Roman" w:hAnsi="Times New Roman" w:hint="eastAsia"/>
          <w:color w:val="000000"/>
          <w:kern w:val="0"/>
          <w:sz w:val="24"/>
        </w:rPr>
        <w:t>类基金份额。</w:t>
      </w:r>
    </w:p>
    <w:p w14:paraId="5E06EB7A"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hint="eastAsia"/>
          <w:color w:val="000000"/>
          <w:kern w:val="0"/>
          <w:sz w:val="24"/>
        </w:rPr>
        <w:t>）</w:t>
      </w:r>
      <w:r>
        <w:rPr>
          <w:rFonts w:ascii="Times New Roman" w:hAnsi="Times New Roman"/>
          <w:color w:val="000000"/>
          <w:kern w:val="0"/>
          <w:sz w:val="24"/>
        </w:rPr>
        <w:t>C</w:t>
      </w:r>
      <w:r>
        <w:rPr>
          <w:rFonts w:ascii="Times New Roman" w:hAnsi="Times New Roman" w:hint="eastAsia"/>
          <w:color w:val="000000"/>
          <w:kern w:val="0"/>
          <w:sz w:val="24"/>
        </w:rPr>
        <w:t>类基金份额的认购</w:t>
      </w:r>
    </w:p>
    <w:p w14:paraId="4A847FBC"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如果投资者选择认购本基金的</w:t>
      </w:r>
      <w:r>
        <w:rPr>
          <w:rFonts w:ascii="Times New Roman" w:hAnsi="Times New Roman"/>
          <w:color w:val="000000"/>
          <w:kern w:val="0"/>
          <w:sz w:val="24"/>
        </w:rPr>
        <w:t>C</w:t>
      </w:r>
      <w:r>
        <w:rPr>
          <w:rFonts w:ascii="Times New Roman" w:hAnsi="Times New Roman" w:hint="eastAsia"/>
          <w:color w:val="000000"/>
          <w:kern w:val="0"/>
          <w:sz w:val="24"/>
        </w:rPr>
        <w:t>类基金份额，则认购份额的计算方式如下：</w:t>
      </w:r>
    </w:p>
    <w:p w14:paraId="58253606"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认购总金额</w:t>
      </w:r>
      <w:r>
        <w:rPr>
          <w:rFonts w:ascii="Times New Roman" w:hAnsi="Times New Roman"/>
          <w:color w:val="000000"/>
          <w:kern w:val="0"/>
          <w:sz w:val="24"/>
        </w:rPr>
        <w:t>=</w:t>
      </w:r>
      <w:r>
        <w:rPr>
          <w:rFonts w:ascii="Times New Roman" w:hAnsi="Times New Roman" w:hint="eastAsia"/>
          <w:color w:val="000000"/>
          <w:kern w:val="0"/>
          <w:sz w:val="24"/>
        </w:rPr>
        <w:t>申请总金额</w:t>
      </w:r>
    </w:p>
    <w:p w14:paraId="26965F25"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lastRenderedPageBreak/>
        <w:t>认购份额</w:t>
      </w:r>
      <w:r>
        <w:rPr>
          <w:rFonts w:ascii="Times New Roman" w:hAnsi="Times New Roman"/>
          <w:color w:val="000000"/>
          <w:kern w:val="0"/>
          <w:sz w:val="24"/>
        </w:rPr>
        <w:t>=</w:t>
      </w:r>
      <w:r>
        <w:rPr>
          <w:rFonts w:ascii="Times New Roman" w:hAnsi="Times New Roman" w:hint="eastAsia"/>
          <w:color w:val="000000"/>
          <w:kern w:val="0"/>
          <w:sz w:val="24"/>
        </w:rPr>
        <w:t>认购总金额</w:t>
      </w:r>
      <w:r>
        <w:rPr>
          <w:rFonts w:ascii="Times New Roman" w:hAnsi="Times New Roman"/>
          <w:color w:val="000000"/>
          <w:kern w:val="0"/>
          <w:sz w:val="24"/>
        </w:rPr>
        <w:t>/</w:t>
      </w:r>
      <w:r>
        <w:rPr>
          <w:rFonts w:ascii="Times New Roman" w:hAnsi="Times New Roman" w:hint="eastAsia"/>
          <w:color w:val="000000"/>
          <w:kern w:val="0"/>
          <w:sz w:val="24"/>
        </w:rPr>
        <w:t>基金份额初始面值＋认购利息</w:t>
      </w:r>
      <w:r>
        <w:rPr>
          <w:rFonts w:ascii="Times New Roman" w:hAnsi="Times New Roman"/>
          <w:color w:val="000000"/>
          <w:kern w:val="0"/>
          <w:sz w:val="24"/>
        </w:rPr>
        <w:t>/</w:t>
      </w:r>
      <w:r>
        <w:rPr>
          <w:rFonts w:ascii="Times New Roman" w:hAnsi="Times New Roman" w:hint="eastAsia"/>
          <w:color w:val="000000"/>
          <w:kern w:val="0"/>
          <w:sz w:val="24"/>
        </w:rPr>
        <w:t>基金份额初始面值。</w:t>
      </w:r>
    </w:p>
    <w:p w14:paraId="71CCD58C" w14:textId="77777777" w:rsidR="00CA59D4" w:rsidRDefault="006C2E2B">
      <w:pPr>
        <w:widowControl/>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认购份额计算结果保留到小数点后</w:t>
      </w:r>
      <w:r>
        <w:rPr>
          <w:rFonts w:ascii="Times New Roman" w:hAnsi="Times New Roman"/>
          <w:sz w:val="24"/>
        </w:rPr>
        <w:t>2</w:t>
      </w:r>
      <w:r>
        <w:rPr>
          <w:rFonts w:ascii="Times New Roman" w:hAnsi="Times New Roman" w:hint="eastAsia"/>
          <w:sz w:val="24"/>
        </w:rPr>
        <w:t>位，小数点</w:t>
      </w:r>
      <w:r>
        <w:rPr>
          <w:rFonts w:ascii="Times New Roman" w:hAnsi="Times New Roman"/>
          <w:sz w:val="24"/>
        </w:rPr>
        <w:t>2</w:t>
      </w:r>
      <w:r>
        <w:rPr>
          <w:rFonts w:ascii="Times New Roman" w:hAnsi="Times New Roman" w:hint="eastAsia"/>
          <w:sz w:val="24"/>
        </w:rPr>
        <w:t>位以后的部分四舍五入，由此误差产生的损失由基金财产承担，产生的收益归基金财产所有。</w:t>
      </w:r>
    </w:p>
    <w:p w14:paraId="5A294429" w14:textId="77777777" w:rsidR="00CA59D4" w:rsidRDefault="006C2E2B">
      <w:pPr>
        <w:widowControl/>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例三：某投资者认购本基金</w:t>
      </w:r>
      <w:r>
        <w:rPr>
          <w:rFonts w:ascii="Times New Roman" w:hAnsi="Times New Roman"/>
          <w:sz w:val="24"/>
        </w:rPr>
        <w:t>C</w:t>
      </w:r>
      <w:r>
        <w:rPr>
          <w:rFonts w:ascii="Times New Roman" w:hAnsi="Times New Roman" w:hint="eastAsia"/>
          <w:sz w:val="24"/>
        </w:rPr>
        <w:t>类基金份额</w:t>
      </w:r>
      <w:r>
        <w:rPr>
          <w:rFonts w:ascii="Times New Roman" w:hAnsi="Times New Roman"/>
          <w:sz w:val="24"/>
        </w:rPr>
        <w:t>100,000.00</w:t>
      </w:r>
      <w:r>
        <w:rPr>
          <w:rFonts w:ascii="Times New Roman" w:hAnsi="Times New Roman" w:hint="eastAsia"/>
          <w:sz w:val="24"/>
        </w:rPr>
        <w:t>元，且该认购申请被全额确认。假定该笔认购金额产生利息</w:t>
      </w:r>
      <w:r>
        <w:rPr>
          <w:rFonts w:ascii="Times New Roman" w:hAnsi="Times New Roman"/>
          <w:sz w:val="24"/>
        </w:rPr>
        <w:t>50.00</w:t>
      </w:r>
      <w:r>
        <w:rPr>
          <w:rFonts w:ascii="Times New Roman" w:hAnsi="Times New Roman" w:hint="eastAsia"/>
          <w:sz w:val="24"/>
        </w:rPr>
        <w:t>元。则认购份额为：</w:t>
      </w:r>
    </w:p>
    <w:p w14:paraId="7C28ACBC" w14:textId="77777777" w:rsidR="00CA59D4" w:rsidRDefault="006C2E2B">
      <w:pPr>
        <w:widowControl/>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认购总金额</w:t>
      </w:r>
      <w:r>
        <w:rPr>
          <w:rFonts w:ascii="Times New Roman" w:hAnsi="Times New Roman" w:hint="eastAsia"/>
          <w:sz w:val="24"/>
        </w:rPr>
        <w:t>=</w:t>
      </w:r>
      <w:r>
        <w:rPr>
          <w:rFonts w:ascii="Times New Roman" w:hAnsi="Times New Roman"/>
          <w:sz w:val="24"/>
        </w:rPr>
        <w:t>100</w:t>
      </w:r>
      <w:r>
        <w:rPr>
          <w:rFonts w:ascii="Times New Roman" w:hAnsi="Times New Roman" w:hint="eastAsia"/>
          <w:sz w:val="24"/>
        </w:rPr>
        <w:t>,</w:t>
      </w:r>
      <w:r>
        <w:rPr>
          <w:rFonts w:ascii="Times New Roman" w:hAnsi="Times New Roman"/>
          <w:sz w:val="24"/>
        </w:rPr>
        <w:t>000.00</w:t>
      </w:r>
      <w:r>
        <w:rPr>
          <w:rFonts w:ascii="Times New Roman" w:hAnsi="Times New Roman" w:hint="eastAsia"/>
          <w:sz w:val="24"/>
        </w:rPr>
        <w:t>元</w:t>
      </w:r>
    </w:p>
    <w:p w14:paraId="3F77B251" w14:textId="77777777" w:rsidR="00CA59D4" w:rsidRDefault="006C2E2B">
      <w:pPr>
        <w:widowControl/>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认购份额＝</w:t>
      </w:r>
      <w:r>
        <w:rPr>
          <w:rFonts w:ascii="Times New Roman" w:hAnsi="Times New Roman"/>
          <w:sz w:val="24"/>
        </w:rPr>
        <w:t>100,000.00/1.00</w:t>
      </w:r>
      <w:r>
        <w:rPr>
          <w:rFonts w:ascii="Times New Roman" w:hAnsi="Times New Roman" w:hint="eastAsia"/>
          <w:sz w:val="24"/>
        </w:rPr>
        <w:t>＋</w:t>
      </w:r>
      <w:r>
        <w:rPr>
          <w:rFonts w:ascii="Times New Roman" w:hAnsi="Times New Roman"/>
          <w:sz w:val="24"/>
        </w:rPr>
        <w:t>50.00/1.00</w:t>
      </w:r>
      <w:r>
        <w:rPr>
          <w:rFonts w:ascii="Times New Roman" w:hAnsi="Times New Roman" w:hint="eastAsia"/>
          <w:sz w:val="24"/>
        </w:rPr>
        <w:t>＝</w:t>
      </w:r>
      <w:r>
        <w:rPr>
          <w:rFonts w:ascii="Times New Roman" w:hAnsi="Times New Roman"/>
          <w:sz w:val="24"/>
        </w:rPr>
        <w:t>100,050.00</w:t>
      </w:r>
      <w:r>
        <w:rPr>
          <w:rFonts w:ascii="Times New Roman" w:hAnsi="Times New Roman" w:hint="eastAsia"/>
          <w:sz w:val="24"/>
        </w:rPr>
        <w:t>份</w:t>
      </w:r>
    </w:p>
    <w:p w14:paraId="6E009761" w14:textId="77777777" w:rsidR="00CA59D4" w:rsidRDefault="006C2E2B">
      <w:pPr>
        <w:widowControl/>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即：若该投资者投资</w:t>
      </w:r>
      <w:r>
        <w:rPr>
          <w:rFonts w:ascii="Times New Roman" w:hAnsi="Times New Roman"/>
          <w:sz w:val="24"/>
        </w:rPr>
        <w:t>100,000.00</w:t>
      </w:r>
      <w:r>
        <w:rPr>
          <w:rFonts w:ascii="Times New Roman" w:hAnsi="Times New Roman" w:hint="eastAsia"/>
          <w:sz w:val="24"/>
        </w:rPr>
        <w:t>元认购</w:t>
      </w:r>
      <w:r>
        <w:rPr>
          <w:rFonts w:ascii="Times New Roman" w:hAnsi="Times New Roman"/>
          <w:sz w:val="24"/>
        </w:rPr>
        <w:t>C</w:t>
      </w:r>
      <w:r>
        <w:rPr>
          <w:rFonts w:ascii="Times New Roman" w:hAnsi="Times New Roman" w:hint="eastAsia"/>
          <w:sz w:val="24"/>
        </w:rPr>
        <w:t>类基金份额，假定该笔认购金额产生利息</w:t>
      </w:r>
      <w:r>
        <w:rPr>
          <w:rFonts w:ascii="Times New Roman" w:hAnsi="Times New Roman"/>
          <w:sz w:val="24"/>
        </w:rPr>
        <w:t>50.00</w:t>
      </w:r>
      <w:r>
        <w:rPr>
          <w:rFonts w:ascii="Times New Roman" w:hAnsi="Times New Roman" w:hint="eastAsia"/>
          <w:sz w:val="24"/>
        </w:rPr>
        <w:t>元，可得到</w:t>
      </w:r>
      <w:r>
        <w:rPr>
          <w:rFonts w:ascii="Times New Roman" w:hAnsi="Times New Roman"/>
          <w:sz w:val="24"/>
        </w:rPr>
        <w:t>100,050.00</w:t>
      </w:r>
      <w:r>
        <w:rPr>
          <w:rFonts w:ascii="Times New Roman" w:hAnsi="Times New Roman" w:hint="eastAsia"/>
          <w:sz w:val="24"/>
        </w:rPr>
        <w:t>份</w:t>
      </w:r>
      <w:r>
        <w:rPr>
          <w:rFonts w:ascii="Times New Roman" w:hAnsi="Times New Roman"/>
          <w:sz w:val="24"/>
        </w:rPr>
        <w:t>C</w:t>
      </w:r>
      <w:r>
        <w:rPr>
          <w:rFonts w:ascii="Times New Roman" w:hAnsi="Times New Roman" w:hint="eastAsia"/>
          <w:sz w:val="24"/>
        </w:rPr>
        <w:t>类基金份额。</w:t>
      </w:r>
    </w:p>
    <w:p w14:paraId="27BC48CB" w14:textId="77777777" w:rsidR="00CA59D4" w:rsidRDefault="006C2E2B">
      <w:pPr>
        <w:widowControl/>
        <w:adjustRightInd w:val="0"/>
        <w:snapToGrid w:val="0"/>
        <w:spacing w:line="360" w:lineRule="auto"/>
        <w:ind w:firstLineChars="200" w:firstLine="480"/>
        <w:rPr>
          <w:rFonts w:ascii="Times New Roman" w:hAnsi="Times New Roman"/>
          <w:color w:val="000000"/>
          <w:sz w:val="24"/>
          <w:szCs w:val="21"/>
        </w:rPr>
      </w:pPr>
      <w:r>
        <w:rPr>
          <w:rFonts w:ascii="Times New Roman" w:hAnsi="Times New Roman"/>
          <w:color w:val="000000"/>
          <w:sz w:val="24"/>
          <w:szCs w:val="21"/>
        </w:rPr>
        <w:t>4</w:t>
      </w:r>
      <w:r>
        <w:rPr>
          <w:rFonts w:ascii="Times New Roman" w:hAnsi="Times New Roman" w:hint="eastAsia"/>
          <w:color w:val="000000"/>
          <w:sz w:val="24"/>
          <w:szCs w:val="21"/>
        </w:rPr>
        <w:t>、认购的程序</w:t>
      </w:r>
    </w:p>
    <w:p w14:paraId="7D416497" w14:textId="77777777" w:rsidR="00CA59D4" w:rsidRDefault="006C2E2B">
      <w:pPr>
        <w:widowControl/>
        <w:adjustRightInd w:val="0"/>
        <w:snapToGrid w:val="0"/>
        <w:spacing w:line="360" w:lineRule="auto"/>
        <w:ind w:firstLineChars="200" w:firstLine="480"/>
        <w:rPr>
          <w:rFonts w:ascii="Times New Roman" w:hAnsi="Times New Roman"/>
          <w:color w:val="000000"/>
          <w:sz w:val="24"/>
          <w:szCs w:val="21"/>
        </w:rPr>
      </w:pPr>
      <w:r>
        <w:rPr>
          <w:rFonts w:ascii="Times New Roman" w:hAnsi="Times New Roman" w:hint="eastAsia"/>
          <w:color w:val="000000"/>
          <w:sz w:val="24"/>
          <w:szCs w:val="21"/>
        </w:rPr>
        <w:t>（</w:t>
      </w:r>
      <w:r>
        <w:rPr>
          <w:rFonts w:ascii="Times New Roman" w:hAnsi="Times New Roman"/>
          <w:color w:val="000000"/>
          <w:sz w:val="24"/>
          <w:szCs w:val="21"/>
        </w:rPr>
        <w:t>1</w:t>
      </w:r>
      <w:r>
        <w:rPr>
          <w:rFonts w:ascii="Times New Roman" w:hAnsi="Times New Roman" w:hint="eastAsia"/>
          <w:color w:val="000000"/>
          <w:sz w:val="24"/>
          <w:szCs w:val="21"/>
        </w:rPr>
        <w:t>）申请方式：书面申请或基金管理人公告的其他方式。</w:t>
      </w:r>
    </w:p>
    <w:p w14:paraId="50BCF4AF" w14:textId="77777777" w:rsidR="00CA59D4" w:rsidRDefault="006C2E2B">
      <w:pPr>
        <w:widowControl/>
        <w:adjustRightInd w:val="0"/>
        <w:snapToGrid w:val="0"/>
        <w:spacing w:line="360" w:lineRule="auto"/>
        <w:ind w:firstLineChars="200" w:firstLine="480"/>
        <w:rPr>
          <w:rFonts w:ascii="Times New Roman" w:hAnsi="Times New Roman"/>
          <w:color w:val="000000"/>
          <w:sz w:val="24"/>
          <w:szCs w:val="21"/>
        </w:rPr>
      </w:pPr>
      <w:r>
        <w:rPr>
          <w:rFonts w:ascii="Times New Roman" w:hAnsi="Times New Roman" w:hint="eastAsia"/>
          <w:color w:val="000000"/>
          <w:sz w:val="24"/>
          <w:szCs w:val="21"/>
        </w:rPr>
        <w:t>（</w:t>
      </w:r>
      <w:r>
        <w:rPr>
          <w:rFonts w:ascii="Times New Roman" w:hAnsi="Times New Roman"/>
          <w:color w:val="000000"/>
          <w:sz w:val="24"/>
          <w:szCs w:val="21"/>
        </w:rPr>
        <w:t>2</w:t>
      </w:r>
      <w:r>
        <w:rPr>
          <w:rFonts w:ascii="Times New Roman" w:hAnsi="Times New Roman" w:hint="eastAsia"/>
          <w:color w:val="000000"/>
          <w:sz w:val="24"/>
          <w:szCs w:val="21"/>
        </w:rPr>
        <w:t>）认购款项支付：投资人认购时，采用全额缴款方式。</w:t>
      </w:r>
    </w:p>
    <w:p w14:paraId="7C03B2EA" w14:textId="77777777" w:rsidR="00CA59D4" w:rsidRDefault="006C2E2B">
      <w:pPr>
        <w:widowControl/>
        <w:adjustRightInd w:val="0"/>
        <w:snapToGrid w:val="0"/>
        <w:spacing w:line="360" w:lineRule="auto"/>
        <w:ind w:firstLineChars="200" w:firstLine="480"/>
        <w:rPr>
          <w:rFonts w:ascii="Times New Roman" w:hAnsi="Times New Roman"/>
          <w:color w:val="000000"/>
          <w:sz w:val="24"/>
          <w:szCs w:val="21"/>
        </w:rPr>
      </w:pPr>
      <w:r>
        <w:rPr>
          <w:rFonts w:ascii="Times New Roman" w:hAnsi="Times New Roman"/>
          <w:color w:val="000000"/>
          <w:sz w:val="24"/>
          <w:szCs w:val="21"/>
        </w:rPr>
        <w:t>5</w:t>
      </w:r>
      <w:r>
        <w:rPr>
          <w:rFonts w:ascii="Times New Roman" w:hAnsi="Times New Roman" w:hint="eastAsia"/>
          <w:color w:val="000000"/>
          <w:sz w:val="24"/>
          <w:szCs w:val="21"/>
        </w:rPr>
        <w:t>、认购的确认</w:t>
      </w:r>
    </w:p>
    <w:p w14:paraId="34F3B6F1" w14:textId="77777777" w:rsidR="00CA59D4" w:rsidRDefault="006C2E2B">
      <w:pPr>
        <w:widowControl/>
        <w:adjustRightInd w:val="0"/>
        <w:snapToGrid w:val="0"/>
        <w:spacing w:line="360" w:lineRule="auto"/>
        <w:ind w:firstLineChars="200" w:firstLine="480"/>
        <w:rPr>
          <w:rFonts w:ascii="Times New Roman" w:hAnsi="Times New Roman"/>
          <w:color w:val="000000"/>
          <w:sz w:val="24"/>
          <w:szCs w:val="21"/>
        </w:rPr>
      </w:pPr>
      <w:r>
        <w:rPr>
          <w:rFonts w:ascii="Times New Roman" w:hAnsi="Times New Roman" w:hint="eastAsia"/>
          <w:color w:val="000000"/>
          <w:sz w:val="24"/>
          <w:szCs w:val="21"/>
        </w:rPr>
        <w:t>当日（</w:t>
      </w:r>
      <w:r>
        <w:rPr>
          <w:rFonts w:ascii="Times New Roman" w:hAnsi="Times New Roman"/>
          <w:color w:val="000000"/>
          <w:sz w:val="24"/>
          <w:szCs w:val="21"/>
        </w:rPr>
        <w:t>T</w:t>
      </w:r>
      <w:r>
        <w:rPr>
          <w:rFonts w:ascii="Times New Roman" w:hAnsi="Times New Roman" w:hint="eastAsia"/>
          <w:color w:val="000000"/>
          <w:sz w:val="24"/>
          <w:szCs w:val="21"/>
        </w:rPr>
        <w:t>日）在规定时间内提交的申请，投资人通常可在</w:t>
      </w:r>
      <w:r>
        <w:rPr>
          <w:rFonts w:ascii="Times New Roman" w:hAnsi="Times New Roman"/>
          <w:color w:val="000000"/>
          <w:sz w:val="24"/>
          <w:szCs w:val="21"/>
        </w:rPr>
        <w:t>T+2</w:t>
      </w:r>
      <w:r>
        <w:rPr>
          <w:rFonts w:ascii="Times New Roman" w:hAnsi="Times New Roman" w:hint="eastAsia"/>
          <w:color w:val="000000"/>
          <w:sz w:val="24"/>
          <w:szCs w:val="21"/>
        </w:rPr>
        <w:t>日后（包括该日）到销售网点查询交易情况。销售机构对认购申请的受理并不代表该申请一定成功，而仅代表销售机构确实接收到认购申请。申请的成功确认应以基金合同生效后、登记机构的确认登记为准。</w:t>
      </w:r>
      <w:r>
        <w:rPr>
          <w:rFonts w:ascii="Times New Roman" w:hAnsi="Times New Roman"/>
          <w:sz w:val="24"/>
        </w:rPr>
        <w:t>对于认购申请及认购份额的确认情况，投资人应及时查询。</w:t>
      </w:r>
      <w:r>
        <w:rPr>
          <w:rFonts w:ascii="Times New Roman" w:hAnsi="Times New Roman" w:hint="eastAsia"/>
          <w:color w:val="000000"/>
          <w:sz w:val="24"/>
          <w:szCs w:val="21"/>
        </w:rPr>
        <w:t>投资人可以在基金合同生效后到原认购网点打印认购成交确认凭证。</w:t>
      </w:r>
    </w:p>
    <w:p w14:paraId="04BDFFD0" w14:textId="77777777" w:rsidR="00CA59D4" w:rsidRDefault="006C2E2B">
      <w:pPr>
        <w:widowControl/>
        <w:adjustRightInd w:val="0"/>
        <w:snapToGrid w:val="0"/>
        <w:spacing w:line="360" w:lineRule="auto"/>
        <w:ind w:firstLineChars="200" w:firstLine="480"/>
        <w:rPr>
          <w:rFonts w:ascii="Times New Roman" w:hAnsi="Times New Roman"/>
          <w:color w:val="000000"/>
          <w:sz w:val="24"/>
          <w:szCs w:val="21"/>
        </w:rPr>
      </w:pPr>
      <w:r>
        <w:rPr>
          <w:rFonts w:ascii="Times New Roman" w:hAnsi="Times New Roman" w:hint="eastAsia"/>
          <w:color w:val="000000"/>
          <w:sz w:val="24"/>
          <w:szCs w:val="21"/>
        </w:rPr>
        <w:t>投资人开户和认购所需提交的文件和办理的具体程序，请参阅基金份额发售公告。</w:t>
      </w:r>
    </w:p>
    <w:p w14:paraId="080B9440" w14:textId="77777777" w:rsidR="00CA59D4" w:rsidRDefault="006C2E2B">
      <w:pPr>
        <w:widowControl/>
        <w:adjustRightInd w:val="0"/>
        <w:snapToGrid w:val="0"/>
        <w:spacing w:line="360" w:lineRule="auto"/>
        <w:ind w:firstLineChars="200" w:firstLine="480"/>
        <w:rPr>
          <w:rFonts w:ascii="Times New Roman" w:hAnsi="Times New Roman"/>
          <w:color w:val="000000"/>
          <w:sz w:val="24"/>
          <w:szCs w:val="21"/>
        </w:rPr>
      </w:pPr>
      <w:r>
        <w:rPr>
          <w:rFonts w:ascii="Times New Roman" w:hAnsi="Times New Roman"/>
          <w:color w:val="000000"/>
          <w:sz w:val="24"/>
          <w:szCs w:val="21"/>
        </w:rPr>
        <w:t>6</w:t>
      </w:r>
      <w:r>
        <w:rPr>
          <w:rFonts w:ascii="Times New Roman" w:hAnsi="Times New Roman" w:hint="eastAsia"/>
          <w:color w:val="000000"/>
          <w:sz w:val="24"/>
          <w:szCs w:val="21"/>
        </w:rPr>
        <w:t>、募集期利息的处理方式</w:t>
      </w:r>
    </w:p>
    <w:p w14:paraId="3F430BE1" w14:textId="77777777" w:rsidR="00CA59D4" w:rsidRDefault="006C2E2B">
      <w:pPr>
        <w:widowControl/>
        <w:adjustRightInd w:val="0"/>
        <w:snapToGrid w:val="0"/>
        <w:spacing w:line="360" w:lineRule="auto"/>
        <w:ind w:firstLineChars="200" w:firstLine="480"/>
        <w:rPr>
          <w:rFonts w:ascii="Times New Roman" w:hAnsi="Times New Roman"/>
          <w:color w:val="000000"/>
          <w:sz w:val="24"/>
          <w:szCs w:val="21"/>
        </w:rPr>
      </w:pPr>
      <w:r>
        <w:rPr>
          <w:rFonts w:ascii="Times New Roman" w:hAnsi="Times New Roman" w:hint="eastAsia"/>
          <w:color w:val="000000"/>
          <w:sz w:val="24"/>
          <w:szCs w:val="21"/>
        </w:rPr>
        <w:t>本基金基金合同生效前，投资人的有效认购款项只能存入专门账户，任何人不得动用。有效认购款项在募集期间产生的利息将折算为基金份额归基金份额持有人所有。</w:t>
      </w:r>
    </w:p>
    <w:p w14:paraId="0A2B8C2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hint="eastAsia"/>
          <w:sz w:val="24"/>
          <w:szCs w:val="21"/>
        </w:rPr>
        <w:t>认购利息折算的基金份额精确到小数点后两位，小数点两位以后的部分截位，由此误差产生的收益或损失由基金财产承担，其中有效认购资金的利息及利息折算的基金份额以登记机构的记录为准</w:t>
      </w:r>
      <w:bookmarkStart w:id="11" w:name="_Hlt91148053"/>
      <w:bookmarkStart w:id="12" w:name="_Hlt90455312"/>
      <w:bookmarkStart w:id="13" w:name="_Hlt91264078"/>
      <w:bookmarkStart w:id="14" w:name="_Hlt90801570"/>
      <w:bookmarkStart w:id="15" w:name="_Hlt91264042"/>
      <w:bookmarkEnd w:id="11"/>
      <w:bookmarkEnd w:id="12"/>
      <w:bookmarkEnd w:id="13"/>
      <w:bookmarkEnd w:id="14"/>
      <w:bookmarkEnd w:id="15"/>
      <w:r>
        <w:rPr>
          <w:rFonts w:ascii="Times New Roman" w:hAnsi="Times New Roman" w:hint="eastAsia"/>
          <w:sz w:val="24"/>
          <w:szCs w:val="21"/>
        </w:rPr>
        <w:t>。</w:t>
      </w:r>
    </w:p>
    <w:p w14:paraId="43ACB711" w14:textId="77777777" w:rsidR="00CA59D4" w:rsidRDefault="006C2E2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3F7ED87" w14:textId="77777777" w:rsidR="00CA59D4" w:rsidRDefault="006C2E2B">
      <w:pPr>
        <w:pStyle w:val="1"/>
        <w:tabs>
          <w:tab w:val="center" w:pos="4330"/>
          <w:tab w:val="right" w:pos="8660"/>
        </w:tabs>
        <w:snapToGrid w:val="0"/>
        <w:spacing w:beforeLines="0" w:before="240" w:after="240"/>
        <w:jc w:val="left"/>
        <w:rPr>
          <w:rFonts w:ascii="宋体" w:hAnsi="宋体"/>
          <w:szCs w:val="30"/>
        </w:rPr>
      </w:pPr>
      <w:bookmarkStart w:id="16" w:name="_Toc104564190"/>
      <w:r>
        <w:rPr>
          <w:rFonts w:ascii="Times New Roman" w:hAnsi="Times New Roman"/>
          <w:sz w:val="30"/>
        </w:rPr>
        <w:lastRenderedPageBreak/>
        <w:tab/>
      </w:r>
      <w:r>
        <w:rPr>
          <w:rFonts w:ascii="Times New Roman" w:hAnsi="Times New Roman"/>
          <w:sz w:val="30"/>
        </w:rPr>
        <w:t>七、基金合同的生效</w:t>
      </w:r>
      <w:bookmarkEnd w:id="16"/>
      <w:r>
        <w:rPr>
          <w:rFonts w:ascii="Times New Roman" w:hAnsi="Times New Roman"/>
          <w:sz w:val="30"/>
        </w:rPr>
        <w:tab/>
      </w:r>
    </w:p>
    <w:p w14:paraId="69603286" w14:textId="77777777" w:rsidR="00CA59D4" w:rsidRDefault="006C2E2B">
      <w:pPr>
        <w:pStyle w:val="a3"/>
        <w:autoSpaceDE w:val="0"/>
        <w:autoSpaceDN w:val="0"/>
        <w:adjustRightInd w:val="0"/>
        <w:snapToGrid w:val="0"/>
        <w:spacing w:line="360" w:lineRule="auto"/>
        <w:ind w:firstLine="482"/>
        <w:rPr>
          <w:b/>
          <w:sz w:val="24"/>
        </w:rPr>
      </w:pPr>
      <w:bookmarkStart w:id="17" w:name="_Toc57530272"/>
      <w:bookmarkStart w:id="18" w:name="_Toc79392603"/>
      <w:bookmarkStart w:id="19" w:name="_Toc15118260"/>
      <w:r>
        <w:rPr>
          <w:rFonts w:hAnsi="宋体"/>
          <w:b/>
          <w:sz w:val="24"/>
        </w:rPr>
        <w:t>（一）基金备案的条件</w:t>
      </w:r>
    </w:p>
    <w:p w14:paraId="2A7F40C2" w14:textId="77777777" w:rsidR="00CA59D4" w:rsidRDefault="006C2E2B">
      <w:pPr>
        <w:pStyle w:val="a3"/>
        <w:autoSpaceDE w:val="0"/>
        <w:autoSpaceDN w:val="0"/>
        <w:adjustRightInd w:val="0"/>
        <w:snapToGrid w:val="0"/>
        <w:spacing w:line="360" w:lineRule="auto"/>
        <w:ind w:firstLine="480"/>
        <w:rPr>
          <w:color w:val="000000"/>
          <w:sz w:val="24"/>
          <w:szCs w:val="21"/>
        </w:rPr>
      </w:pPr>
      <w:r>
        <w:rPr>
          <w:rFonts w:hint="eastAsia"/>
          <w:color w:val="000000"/>
          <w:sz w:val="24"/>
          <w:szCs w:val="21"/>
        </w:rPr>
        <w:t>本基金自基金份额发售之日起</w:t>
      </w:r>
      <w:r>
        <w:rPr>
          <w:rFonts w:hint="eastAsia"/>
          <w:color w:val="000000"/>
          <w:sz w:val="24"/>
          <w:szCs w:val="21"/>
        </w:rPr>
        <w:t>3</w:t>
      </w:r>
      <w:r>
        <w:rPr>
          <w:rFonts w:hint="eastAsia"/>
          <w:color w:val="000000"/>
          <w:sz w:val="24"/>
          <w:szCs w:val="21"/>
        </w:rPr>
        <w:t>个月内，在基金募集份额总额不少于</w:t>
      </w:r>
      <w:r>
        <w:rPr>
          <w:rFonts w:hint="eastAsia"/>
          <w:color w:val="000000"/>
          <w:sz w:val="24"/>
          <w:szCs w:val="21"/>
        </w:rPr>
        <w:t>2</w:t>
      </w:r>
      <w:r>
        <w:rPr>
          <w:rFonts w:hint="eastAsia"/>
          <w:color w:val="000000"/>
          <w:sz w:val="24"/>
          <w:szCs w:val="21"/>
        </w:rPr>
        <w:t>亿份，基金募集金额不少于</w:t>
      </w:r>
      <w:r>
        <w:rPr>
          <w:rFonts w:hint="eastAsia"/>
          <w:color w:val="000000"/>
          <w:sz w:val="24"/>
          <w:szCs w:val="21"/>
        </w:rPr>
        <w:t>2</w:t>
      </w:r>
      <w:r>
        <w:rPr>
          <w:rFonts w:hint="eastAsia"/>
          <w:color w:val="000000"/>
          <w:sz w:val="24"/>
          <w:szCs w:val="21"/>
        </w:rPr>
        <w:t>亿元人民币且基金认购人数不少于</w:t>
      </w:r>
      <w:r>
        <w:rPr>
          <w:rFonts w:hint="eastAsia"/>
          <w:color w:val="000000"/>
          <w:sz w:val="24"/>
          <w:szCs w:val="21"/>
        </w:rPr>
        <w:t>200</w:t>
      </w:r>
      <w:r>
        <w:rPr>
          <w:rFonts w:hint="eastAsia"/>
          <w:color w:val="000000"/>
          <w:sz w:val="24"/>
          <w:szCs w:val="21"/>
        </w:rPr>
        <w:t>人的条件下，基金募集期届满或基金管理人依据法律法规及招募说明书可以决定停止基金发售，并在</w:t>
      </w:r>
      <w:r>
        <w:rPr>
          <w:rFonts w:hint="eastAsia"/>
          <w:color w:val="000000"/>
          <w:sz w:val="24"/>
          <w:szCs w:val="21"/>
        </w:rPr>
        <w:t>10</w:t>
      </w:r>
      <w:r>
        <w:rPr>
          <w:rFonts w:hint="eastAsia"/>
          <w:color w:val="000000"/>
          <w:sz w:val="24"/>
          <w:szCs w:val="21"/>
        </w:rPr>
        <w:t>日内聘请法定验资机构验资，自收到验资报告之日起</w:t>
      </w:r>
      <w:r>
        <w:rPr>
          <w:rFonts w:hint="eastAsia"/>
          <w:color w:val="000000"/>
          <w:sz w:val="24"/>
          <w:szCs w:val="21"/>
        </w:rPr>
        <w:t>10</w:t>
      </w:r>
      <w:r>
        <w:rPr>
          <w:rFonts w:hint="eastAsia"/>
          <w:color w:val="000000"/>
          <w:sz w:val="24"/>
          <w:szCs w:val="21"/>
        </w:rPr>
        <w:t>日内，向中国证监会办理基金备案手续。</w:t>
      </w:r>
    </w:p>
    <w:p w14:paraId="6EE4128A" w14:textId="77777777" w:rsidR="00CA59D4" w:rsidRDefault="006C2E2B">
      <w:pPr>
        <w:widowControl/>
        <w:adjustRightInd w:val="0"/>
        <w:snapToGrid w:val="0"/>
        <w:spacing w:line="360" w:lineRule="auto"/>
        <w:ind w:firstLineChars="200" w:firstLine="480"/>
        <w:rPr>
          <w:color w:val="000000"/>
          <w:sz w:val="24"/>
          <w:szCs w:val="21"/>
        </w:rPr>
      </w:pPr>
      <w:r>
        <w:rPr>
          <w:rFonts w:hint="eastAsia"/>
          <w:color w:val="000000"/>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EA81D96" w14:textId="77777777" w:rsidR="00CA59D4" w:rsidRDefault="006C2E2B">
      <w:pPr>
        <w:adjustRightInd w:val="0"/>
        <w:snapToGrid w:val="0"/>
        <w:spacing w:line="360" w:lineRule="auto"/>
        <w:ind w:firstLineChars="200" w:firstLine="482"/>
        <w:rPr>
          <w:bCs/>
          <w:sz w:val="24"/>
        </w:rPr>
      </w:pPr>
      <w:r>
        <w:rPr>
          <w:rFonts w:hAnsi="宋体"/>
          <w:b/>
          <w:sz w:val="24"/>
        </w:rPr>
        <w:t>（二）</w:t>
      </w:r>
      <w:r>
        <w:rPr>
          <w:b/>
          <w:bCs/>
          <w:sz w:val="24"/>
        </w:rPr>
        <w:t>基金合同不能生效时募集资金的处理方式</w:t>
      </w:r>
    </w:p>
    <w:p w14:paraId="5283DB3B" w14:textId="77777777" w:rsidR="00CA59D4" w:rsidRDefault="006C2E2B">
      <w:pPr>
        <w:adjustRightInd w:val="0"/>
        <w:snapToGrid w:val="0"/>
        <w:spacing w:line="360" w:lineRule="auto"/>
        <w:ind w:firstLineChars="200" w:firstLine="480"/>
        <w:rPr>
          <w:color w:val="000000"/>
          <w:sz w:val="24"/>
          <w:szCs w:val="21"/>
        </w:rPr>
      </w:pPr>
      <w:r>
        <w:rPr>
          <w:rFonts w:hint="eastAsia"/>
          <w:color w:val="000000"/>
          <w:sz w:val="24"/>
          <w:szCs w:val="21"/>
        </w:rPr>
        <w:t>如果募集期限届满，未满足基金备案条件，基金管理人应当承担下列责任：</w:t>
      </w:r>
    </w:p>
    <w:p w14:paraId="277E5B2C" w14:textId="77777777" w:rsidR="00CA59D4" w:rsidRDefault="006C2E2B">
      <w:pPr>
        <w:adjustRightInd w:val="0"/>
        <w:snapToGrid w:val="0"/>
        <w:spacing w:line="360" w:lineRule="auto"/>
        <w:ind w:firstLineChars="200" w:firstLine="480"/>
        <w:rPr>
          <w:color w:val="000000"/>
          <w:sz w:val="24"/>
          <w:szCs w:val="21"/>
        </w:rPr>
      </w:pPr>
      <w:r>
        <w:rPr>
          <w:rFonts w:hint="eastAsia"/>
          <w:color w:val="000000"/>
          <w:sz w:val="24"/>
          <w:szCs w:val="21"/>
        </w:rPr>
        <w:t>1</w:t>
      </w:r>
      <w:r>
        <w:rPr>
          <w:rFonts w:hint="eastAsia"/>
          <w:color w:val="000000"/>
          <w:sz w:val="24"/>
          <w:szCs w:val="21"/>
        </w:rPr>
        <w:t>、以其固有财产承担因募集行为而产生的债务和费用；</w:t>
      </w:r>
    </w:p>
    <w:p w14:paraId="357C80AD" w14:textId="77777777" w:rsidR="00CA59D4" w:rsidRDefault="006C2E2B">
      <w:pPr>
        <w:adjustRightInd w:val="0"/>
        <w:snapToGrid w:val="0"/>
        <w:spacing w:line="360" w:lineRule="auto"/>
        <w:ind w:firstLineChars="200" w:firstLine="480"/>
        <w:rPr>
          <w:color w:val="000000"/>
          <w:sz w:val="24"/>
          <w:szCs w:val="21"/>
        </w:rPr>
      </w:pPr>
      <w:r>
        <w:rPr>
          <w:rFonts w:hint="eastAsia"/>
          <w:color w:val="000000"/>
          <w:sz w:val="24"/>
          <w:szCs w:val="21"/>
        </w:rPr>
        <w:t>2</w:t>
      </w:r>
      <w:r>
        <w:rPr>
          <w:rFonts w:hint="eastAsia"/>
          <w:color w:val="000000"/>
          <w:sz w:val="24"/>
          <w:szCs w:val="21"/>
        </w:rPr>
        <w:t>、在基金募集期限届满后</w:t>
      </w:r>
      <w:r>
        <w:rPr>
          <w:rFonts w:ascii="Times New Roman" w:hAnsi="Times New Roman"/>
          <w:color w:val="000000"/>
          <w:sz w:val="24"/>
          <w:szCs w:val="21"/>
        </w:rPr>
        <w:t>30</w:t>
      </w:r>
      <w:r>
        <w:rPr>
          <w:rFonts w:hint="eastAsia"/>
          <w:color w:val="000000"/>
          <w:sz w:val="24"/>
          <w:szCs w:val="21"/>
        </w:rPr>
        <w:t>日内返还投资者已缴纳的款项，并加计银行同期活期存款利息；</w:t>
      </w:r>
    </w:p>
    <w:p w14:paraId="04613096" w14:textId="77777777" w:rsidR="00CA59D4" w:rsidRDefault="006C2E2B">
      <w:pPr>
        <w:adjustRightInd w:val="0"/>
        <w:snapToGrid w:val="0"/>
        <w:spacing w:line="360" w:lineRule="auto"/>
        <w:ind w:firstLineChars="200" w:firstLine="480"/>
        <w:rPr>
          <w:color w:val="000000"/>
          <w:sz w:val="24"/>
          <w:szCs w:val="21"/>
        </w:rPr>
      </w:pPr>
      <w:r>
        <w:rPr>
          <w:rFonts w:hint="eastAsia"/>
          <w:color w:val="000000"/>
          <w:sz w:val="24"/>
          <w:szCs w:val="21"/>
        </w:rPr>
        <w:t>3</w:t>
      </w:r>
      <w:r>
        <w:rPr>
          <w:rFonts w:hint="eastAsia"/>
          <w:color w:val="000000"/>
          <w:sz w:val="24"/>
          <w:szCs w:val="21"/>
        </w:rPr>
        <w:t>、如基金募集失败，基金管理人、基金托管人及销售机构不得请求报酬。基金管理人、基金托管人和销售机构为基金募集支付之一切费用应由各方各自承担。</w:t>
      </w:r>
    </w:p>
    <w:p w14:paraId="1F91A5C3" w14:textId="77777777" w:rsidR="00CA59D4" w:rsidRDefault="006C2E2B">
      <w:pPr>
        <w:adjustRightInd w:val="0"/>
        <w:snapToGrid w:val="0"/>
        <w:spacing w:line="360" w:lineRule="auto"/>
        <w:ind w:firstLineChars="200" w:firstLine="482"/>
        <w:rPr>
          <w:rFonts w:hAnsi="宋体"/>
          <w:b/>
          <w:sz w:val="24"/>
        </w:rPr>
      </w:pPr>
      <w:r>
        <w:rPr>
          <w:rFonts w:hAnsi="宋体"/>
          <w:b/>
          <w:sz w:val="24"/>
        </w:rPr>
        <w:t>（三）基金存续期内的基金份额持有人数量和资产规模</w:t>
      </w:r>
    </w:p>
    <w:bookmarkEnd w:id="17"/>
    <w:bookmarkEnd w:id="18"/>
    <w:bookmarkEnd w:id="19"/>
    <w:p w14:paraId="3190F751" w14:textId="77777777" w:rsidR="00CA59D4" w:rsidRDefault="006C2E2B">
      <w:pPr>
        <w:adjustRightInd w:val="0"/>
        <w:snapToGrid w:val="0"/>
        <w:spacing w:line="360" w:lineRule="auto"/>
        <w:ind w:firstLineChars="200" w:firstLine="480"/>
        <w:rPr>
          <w:bCs/>
          <w:color w:val="000000"/>
          <w:sz w:val="24"/>
          <w:szCs w:val="21"/>
        </w:rPr>
      </w:pPr>
      <w:r>
        <w:rPr>
          <w:rFonts w:hint="eastAsia"/>
          <w:bCs/>
          <w:color w:val="000000"/>
          <w:sz w:val="24"/>
          <w:szCs w:val="21"/>
        </w:rPr>
        <w:t>《基金合同》生效后，连续</w:t>
      </w:r>
      <w:r>
        <w:rPr>
          <w:rFonts w:ascii="Times New Roman" w:hAnsi="Times New Roman"/>
          <w:bCs/>
          <w:color w:val="000000"/>
          <w:sz w:val="24"/>
          <w:szCs w:val="21"/>
        </w:rPr>
        <w:t>20</w:t>
      </w:r>
      <w:r>
        <w:rPr>
          <w:rFonts w:ascii="Times New Roman" w:hAnsi="Times New Roman"/>
          <w:bCs/>
          <w:color w:val="000000"/>
          <w:sz w:val="24"/>
          <w:szCs w:val="21"/>
        </w:rPr>
        <w:t>个工作日出现基金份额持有人数量不满</w:t>
      </w:r>
      <w:r>
        <w:rPr>
          <w:rFonts w:ascii="Times New Roman" w:hAnsi="Times New Roman"/>
          <w:bCs/>
          <w:color w:val="000000"/>
          <w:sz w:val="24"/>
          <w:szCs w:val="21"/>
        </w:rPr>
        <w:t>200</w:t>
      </w:r>
      <w:r>
        <w:rPr>
          <w:rFonts w:ascii="Times New Roman" w:hAnsi="Times New Roman"/>
          <w:bCs/>
          <w:color w:val="000000"/>
          <w:sz w:val="24"/>
          <w:szCs w:val="21"/>
        </w:rPr>
        <w:t>人或者基金资产净值低于</w:t>
      </w:r>
      <w:r>
        <w:rPr>
          <w:rFonts w:ascii="Times New Roman" w:hAnsi="Times New Roman"/>
          <w:bCs/>
          <w:color w:val="000000"/>
          <w:sz w:val="24"/>
          <w:szCs w:val="21"/>
        </w:rPr>
        <w:t>5000</w:t>
      </w:r>
      <w:r>
        <w:rPr>
          <w:rFonts w:ascii="Times New Roman" w:hAnsi="Times New Roman"/>
          <w:bCs/>
          <w:color w:val="000000"/>
          <w:sz w:val="24"/>
          <w:szCs w:val="21"/>
        </w:rPr>
        <w:t>万元情形的，基金管理人应当在定期报告中予以披露；连续</w:t>
      </w:r>
      <w:r>
        <w:rPr>
          <w:rFonts w:ascii="Times New Roman" w:hAnsi="Times New Roman"/>
          <w:bCs/>
          <w:color w:val="000000"/>
          <w:sz w:val="24"/>
          <w:szCs w:val="21"/>
        </w:rPr>
        <w:t>50</w:t>
      </w:r>
      <w:r>
        <w:rPr>
          <w:rFonts w:hint="eastAsia"/>
          <w:bCs/>
          <w:color w:val="000000"/>
          <w:sz w:val="24"/>
          <w:szCs w:val="21"/>
        </w:rPr>
        <w:t>个工作日出现前述情形的，基金合同终止，不需召开基金份额持有人大会。</w:t>
      </w:r>
    </w:p>
    <w:p w14:paraId="216CB13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hint="eastAsia"/>
          <w:bCs/>
          <w:color w:val="000000"/>
          <w:sz w:val="24"/>
          <w:szCs w:val="21"/>
        </w:rPr>
        <w:t>法律法规或中国证监会另有规定时，从其规定。</w:t>
      </w:r>
    </w:p>
    <w:p w14:paraId="61D7A688" w14:textId="77777777" w:rsidR="00CA59D4" w:rsidRDefault="006C2E2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91C8C8B" w14:textId="77777777" w:rsidR="00CA59D4" w:rsidRDefault="006C2E2B">
      <w:pPr>
        <w:pStyle w:val="1"/>
        <w:snapToGrid w:val="0"/>
        <w:spacing w:beforeLines="0" w:before="240" w:after="240"/>
        <w:rPr>
          <w:rFonts w:ascii="宋体" w:hAnsi="宋体"/>
          <w:szCs w:val="30"/>
        </w:rPr>
      </w:pPr>
      <w:bookmarkStart w:id="20" w:name="_Toc104564191"/>
      <w:r>
        <w:rPr>
          <w:rFonts w:ascii="Times New Roman" w:hAnsi="Times New Roman"/>
          <w:sz w:val="30"/>
        </w:rPr>
        <w:lastRenderedPageBreak/>
        <w:t>八、基金份额的申购与赎回</w:t>
      </w:r>
      <w:bookmarkEnd w:id="20"/>
    </w:p>
    <w:p w14:paraId="474881D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43AB058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12FFEAC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7EDDB85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1AF6C83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086BA65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24D958E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41358FE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3EDF85C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201B5DB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54E5E63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12BE2F3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25270DC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个人投资者可以通过基金管理人网上直销交易平台办理开户、本基金的申购、赎回等业务，具体交易细则请参阅基金管理人网站。网上直销交易平台网址：www.fund001.com</w:t>
      </w:r>
    </w:p>
    <w:p w14:paraId="6648643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023A1C9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w:t>
      </w:r>
      <w:r>
        <w:rPr>
          <w:rFonts w:ascii="宋体" w:hAnsi="宋体" w:hint="eastAsia"/>
          <w:sz w:val="24"/>
        </w:rPr>
        <w:t>基金管理人</w:t>
      </w:r>
      <w:r>
        <w:rPr>
          <w:rFonts w:ascii="宋体" w:hAnsi="宋体"/>
          <w:sz w:val="24"/>
        </w:rPr>
        <w:t>客户服务电话进行咨询。</w:t>
      </w:r>
    </w:p>
    <w:p w14:paraId="0A6717E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w:t>
      </w:r>
      <w:r>
        <w:rPr>
          <w:rFonts w:ascii="宋体" w:hAnsi="宋体" w:hint="eastAsia"/>
          <w:sz w:val="24"/>
        </w:rPr>
        <w:t>基金</w:t>
      </w:r>
      <w:r>
        <w:rPr>
          <w:rFonts w:ascii="宋体" w:hAnsi="宋体"/>
          <w:sz w:val="24"/>
        </w:rPr>
        <w:t>管理人网站公示。</w:t>
      </w:r>
    </w:p>
    <w:p w14:paraId="300C02D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57D58C0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14:paraId="366986E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096A11D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w:t>
      </w:r>
      <w:r>
        <w:rPr>
          <w:rFonts w:hint="eastAsia"/>
          <w:bCs/>
          <w:sz w:val="24"/>
        </w:rPr>
        <w:t>但对于每份基金份额，基金管理人仅在该基金份额的每个运作期到期日办理该基金份额的赎回，</w:t>
      </w:r>
      <w:r>
        <w:rPr>
          <w:rFonts w:ascii="宋体" w:hAnsi="宋体" w:hint="eastAsia"/>
          <w:sz w:val="24"/>
        </w:rPr>
        <w:t>具体办理时间为上海证券交易所、深圳证券交易所的正常交易日的交易时间，但基金管理人根据法律</w:t>
      </w:r>
      <w:r>
        <w:rPr>
          <w:rFonts w:ascii="宋体" w:hAnsi="宋体" w:hint="eastAsia"/>
          <w:sz w:val="24"/>
        </w:rPr>
        <w:lastRenderedPageBreak/>
        <w:t>法规、中国证监会的要求或基金合同的规定公告暂停申购、赎回时除外。</w:t>
      </w:r>
    </w:p>
    <w:p w14:paraId="453BDDA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w:t>
      </w:r>
      <w:r>
        <w:rPr>
          <w:rFonts w:hint="eastAsia"/>
          <w:bCs/>
          <w:sz w:val="24"/>
        </w:rPr>
        <w:t>/</w:t>
      </w:r>
      <w:r>
        <w:rPr>
          <w:rFonts w:hint="eastAsia"/>
          <w:bCs/>
          <w:sz w:val="24"/>
        </w:rPr>
        <w:t>期货</w:t>
      </w:r>
      <w:r>
        <w:rPr>
          <w:rFonts w:ascii="宋体" w:hAnsi="宋体"/>
          <w:sz w:val="24"/>
        </w:rPr>
        <w:t>交易市场、证券</w:t>
      </w:r>
      <w:r>
        <w:rPr>
          <w:rFonts w:hint="eastAsia"/>
          <w:bCs/>
          <w:sz w:val="24"/>
        </w:rPr>
        <w:t>/</w:t>
      </w:r>
      <w:r>
        <w:rPr>
          <w:rFonts w:hint="eastAsia"/>
          <w:bCs/>
          <w:sz w:val="24"/>
        </w:rPr>
        <w:t>期货</w:t>
      </w:r>
      <w:r>
        <w:rPr>
          <w:rFonts w:ascii="宋体" w:hAnsi="宋体"/>
          <w:sz w:val="24"/>
        </w:rPr>
        <w:t>交易所交易时间变更或其他特殊情况，基金管理人将视情况对前述开放日及开放时间进行相应的调整，但应在实施日前依照《信息披露办法》的有关规定在规定媒介上公告。</w:t>
      </w:r>
    </w:p>
    <w:p w14:paraId="24B2C9A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79EFB74E" w14:textId="77777777" w:rsidR="00CA59D4" w:rsidRDefault="006C2E2B">
      <w:pPr>
        <w:spacing w:line="360" w:lineRule="auto"/>
        <w:ind w:firstLineChars="200" w:firstLine="480"/>
        <w:rPr>
          <w:bCs/>
          <w:sz w:val="24"/>
        </w:rPr>
      </w:pPr>
      <w:r>
        <w:rPr>
          <w:bCs/>
          <w:sz w:val="24"/>
        </w:rPr>
        <w:t>基金管理人</w:t>
      </w:r>
      <w:r>
        <w:rPr>
          <w:rFonts w:hint="eastAsia"/>
          <w:bCs/>
          <w:sz w:val="24"/>
        </w:rPr>
        <w:t>可</w:t>
      </w:r>
      <w:r>
        <w:rPr>
          <w:bCs/>
          <w:sz w:val="24"/>
        </w:rPr>
        <w:t>根据实际情况依法决定本基金开始办理申购的具体日期，具体业务办理时间在申购开始公告中规定。</w:t>
      </w:r>
    </w:p>
    <w:p w14:paraId="7C5813C8" w14:textId="77777777" w:rsidR="00CA59D4" w:rsidRDefault="006C2E2B">
      <w:pPr>
        <w:autoSpaceDE w:val="0"/>
        <w:autoSpaceDN w:val="0"/>
        <w:adjustRightInd w:val="0"/>
        <w:snapToGrid w:val="0"/>
        <w:spacing w:line="360" w:lineRule="auto"/>
        <w:ind w:firstLineChars="200" w:firstLine="480"/>
        <w:jc w:val="left"/>
        <w:rPr>
          <w:bCs/>
          <w:sz w:val="24"/>
        </w:rPr>
      </w:pPr>
      <w:r>
        <w:rPr>
          <w:rFonts w:hint="eastAsia"/>
          <w:bCs/>
          <w:sz w:val="24"/>
        </w:rPr>
        <w:t>对于每份基金份额，基金管理人仅在该基金份额的每个运作期到期日办理该基金份额的赎回。对于每份基金份额，第一个运作期指基金合同生效日（对认购份额而言，下同）或基金份额申购确认日（对申购份额而言，下同）起（即第一个运作期起始日），至基金合同生效日或基金份额申购申请日后的第</w:t>
      </w:r>
      <w:r>
        <w:rPr>
          <w:rFonts w:hint="eastAsia"/>
          <w:bCs/>
          <w:sz w:val="24"/>
        </w:rPr>
        <w:t>120</w:t>
      </w:r>
      <w:r>
        <w:rPr>
          <w:rFonts w:hint="eastAsia"/>
          <w:bCs/>
          <w:sz w:val="24"/>
        </w:rPr>
        <w:t>天（即第一个运作期到期日，如该日为非工作日，则顺延至下一工作日）止。第二个运作期指第一个运作期到期日的次一日起，至基金合同生效日或基金份额申购申请日后的第</w:t>
      </w:r>
      <w:r>
        <w:rPr>
          <w:rFonts w:hint="eastAsia"/>
          <w:bCs/>
          <w:sz w:val="24"/>
        </w:rPr>
        <w:t>240</w:t>
      </w:r>
      <w:r>
        <w:rPr>
          <w:rFonts w:hint="eastAsia"/>
          <w:bCs/>
          <w:sz w:val="24"/>
        </w:rPr>
        <w:t>天（如该日为非工作日，则顺延至下一工作日）止。以此类推。</w:t>
      </w:r>
    </w:p>
    <w:p w14:paraId="59FBE7F3" w14:textId="77777777" w:rsidR="00CA59D4" w:rsidRDefault="006C2E2B">
      <w:pPr>
        <w:autoSpaceDE w:val="0"/>
        <w:autoSpaceDN w:val="0"/>
        <w:adjustRightInd w:val="0"/>
        <w:snapToGrid w:val="0"/>
        <w:spacing w:line="360" w:lineRule="auto"/>
        <w:ind w:firstLineChars="200" w:firstLine="480"/>
        <w:jc w:val="left"/>
        <w:rPr>
          <w:bCs/>
          <w:sz w:val="24"/>
        </w:rPr>
      </w:pPr>
      <w:r>
        <w:rPr>
          <w:rFonts w:hint="eastAsia"/>
          <w:bCs/>
          <w:sz w:val="24"/>
        </w:rPr>
        <w:t>基金管理人自基金合同生效之日后的第</w:t>
      </w:r>
      <w:r>
        <w:rPr>
          <w:rFonts w:hint="eastAsia"/>
          <w:bCs/>
          <w:sz w:val="24"/>
        </w:rPr>
        <w:t>120</w:t>
      </w:r>
      <w:r>
        <w:rPr>
          <w:rFonts w:hint="eastAsia"/>
          <w:bCs/>
          <w:sz w:val="24"/>
        </w:rPr>
        <w:t>天（如遇非工作日，则顺延至下一工作日）起开始办理赎回，具体业务办理时间在开放赎回业务的公告中规定。</w:t>
      </w:r>
    </w:p>
    <w:p w14:paraId="2FFE3EB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bCs/>
          <w:sz w:val="24"/>
        </w:rPr>
        <w:t>在确定申购开始与赎回开始时间后，基金管理人应在申购、赎回开放日前依照《信息披露办法》的有关规定在规定媒介上公告申购与赎回的开始时间。</w:t>
      </w:r>
    </w:p>
    <w:p w14:paraId="47B848A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r>
        <w:rPr>
          <w:rFonts w:hint="eastAsia"/>
          <w:bCs/>
          <w:sz w:val="24"/>
        </w:rPr>
        <w:t>投资人在运作期到期日业务办理时间结束后或在运作期到期日之外的日期和时间提出赎回申请的，视为无效申请。</w:t>
      </w:r>
    </w:p>
    <w:p w14:paraId="03C8BAB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14:paraId="46AEC15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393CD4F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6DC1F85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4560224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hint="eastAsia"/>
          <w:bCs/>
          <w:sz w:val="24"/>
        </w:rPr>
        <w:t>赎回遵循“先进先出”原则，即按照投资人认购、申购的先后次序进行顺</w:t>
      </w:r>
      <w:r>
        <w:rPr>
          <w:rFonts w:hint="eastAsia"/>
          <w:bCs/>
          <w:sz w:val="24"/>
        </w:rPr>
        <w:lastRenderedPageBreak/>
        <w:t>序赎回；</w:t>
      </w:r>
    </w:p>
    <w:p w14:paraId="1410CCF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5、办理申购、赎回业务时，应当遵循基金份额持有人利益优先原则，确保投资者的合法权益不受损害并得到公平对待。</w:t>
      </w:r>
    </w:p>
    <w:p w14:paraId="63934C1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基金管理人可在法律法规允许的情况下，对上述原则进行调整。基金管理人必须在新规则开始实施前依照《信息披露办法》的有关规定在规定媒介上公告。</w:t>
      </w:r>
    </w:p>
    <w:p w14:paraId="24DBB31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14:paraId="1B72B9A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1B47E60D"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直销机构首次申购的最低金额为单笔100</w:t>
      </w:r>
      <w:r>
        <w:rPr>
          <w:rFonts w:ascii="宋体" w:hAnsi="宋体" w:hint="eastAsia"/>
          <w:sz w:val="24"/>
        </w:rPr>
        <w:t>万</w:t>
      </w:r>
      <w:r>
        <w:rPr>
          <w:rFonts w:ascii="宋体" w:hAnsi="宋体"/>
          <w:sz w:val="24"/>
        </w:rPr>
        <w:t>元，追加申购的最低金额为单笔10</w:t>
      </w:r>
      <w:r>
        <w:rPr>
          <w:rFonts w:ascii="宋体" w:hAnsi="宋体" w:hint="eastAsia"/>
          <w:sz w:val="24"/>
        </w:rPr>
        <w:t>万</w:t>
      </w:r>
      <w:r>
        <w:rPr>
          <w:rFonts w:ascii="宋体" w:hAnsi="宋体"/>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305139AB" w14:textId="77777777" w:rsidR="00CA59D4" w:rsidRDefault="006C2E2B">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本基金暂不向金融机构自营账户销售（基金管理人自有资金除外），如未来本基金开放向金融机构自营账户公开销售或对销售对象的范围予以进一步限定，基金管理人将另行公告。</w:t>
      </w:r>
    </w:p>
    <w:p w14:paraId="371E30C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hint="eastAsia"/>
          <w:color w:val="000000"/>
          <w:kern w:val="0"/>
          <w:sz w:val="24"/>
        </w:rPr>
        <w:t>本基金单一投资者单日申购金额不超过</w:t>
      </w:r>
      <w:r>
        <w:rPr>
          <w:rFonts w:ascii="Times New Roman" w:hAnsi="Times New Roman" w:hint="eastAsia"/>
          <w:color w:val="000000"/>
          <w:kern w:val="0"/>
          <w:sz w:val="24"/>
        </w:rPr>
        <w:t>1000</w:t>
      </w:r>
      <w:r>
        <w:rPr>
          <w:rFonts w:ascii="Times New Roman" w:hAnsi="Times New Roman" w:hint="eastAsia"/>
          <w:color w:val="000000"/>
          <w:kern w:val="0"/>
          <w:sz w:val="24"/>
        </w:rPr>
        <w:t>万元（个人投资者、公募资产管理产品、职业年金计划、企业年金计划和基金管理人自有资金除外）。基金管理人可以调整单一投资者单日申购金额上限，具体规定请参见更新的招募说明书或相关公告</w:t>
      </w:r>
      <w:r>
        <w:rPr>
          <w:rFonts w:ascii="Times New Roman" w:hAnsi="Times New Roman" w:hint="eastAsia"/>
          <w:kern w:val="0"/>
          <w:sz w:val="24"/>
          <w:szCs w:val="20"/>
        </w:rPr>
        <w:t>。</w:t>
      </w:r>
    </w:p>
    <w:p w14:paraId="1C4161F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1356F76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0A5DDB4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3、最低基金份额余额的限制</w:t>
      </w:r>
    </w:p>
    <w:p w14:paraId="4DB1D064"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本基金暂无最低保留余额限制。</w:t>
      </w:r>
    </w:p>
    <w:p w14:paraId="39945C81"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4、基金管理人可以规定基金总规模上限、单个投资人累计持有的基金份额上限，具体规定请参见相关公告。</w:t>
      </w:r>
    </w:p>
    <w:p w14:paraId="0BAD81F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5、当接受申购申请对存量基金份额持有人利益构成潜在重大不利影响时，基金管理人应当采取设定单一投资者申购金额上限或基金单日净申购比例上限、拒绝</w:t>
      </w:r>
      <w:r>
        <w:rPr>
          <w:rFonts w:ascii="宋体" w:hAnsi="宋体"/>
          <w:sz w:val="24"/>
        </w:rPr>
        <w:lastRenderedPageBreak/>
        <w:t>大额申购、暂停基金申购等措施，切实保护存量基金份额持有人的合法权益。基金管理人基于投资运作与风险控制的需要，可采取上述措施对基金规模予以控制。具体请参见基金管理人届时发布的相关公告。</w:t>
      </w:r>
    </w:p>
    <w:p w14:paraId="1A6027B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6、基金管理人可在法律法规允许的情况下，调整</w:t>
      </w:r>
      <w:r>
        <w:rPr>
          <w:rFonts w:ascii="宋体" w:hAnsi="宋体" w:hint="eastAsia"/>
          <w:sz w:val="24"/>
        </w:rPr>
        <w:t>上述规定</w:t>
      </w:r>
      <w:r>
        <w:rPr>
          <w:rFonts w:ascii="宋体" w:hAnsi="宋体"/>
          <w:sz w:val="24"/>
        </w:rPr>
        <w:t>申购金额和赎回份额的数量限制。基金管理人必须在调整实施前依照《信息披露办法》的有关规定在规定媒介上公告。</w:t>
      </w:r>
    </w:p>
    <w:p w14:paraId="75E1684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636A7E3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0778680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313BDE4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60CA84A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544F21F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14:paraId="7AD6651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0DF0AF7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65895F1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基金管理人可在法律法规允许的范围内，依法对上述申购和赎回申请的确认时间进行调整，并必须在调整实施日前按照《信息披露办法》的有关规定在规定媒介上公告。</w:t>
      </w:r>
    </w:p>
    <w:p w14:paraId="62121241"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销售机构对申购、赎回申请的受理并不代表该申请一定成功，而仅代表销售机</w:t>
      </w:r>
      <w:r>
        <w:rPr>
          <w:rFonts w:ascii="宋体" w:hAnsi="宋体"/>
          <w:sz w:val="24"/>
        </w:rPr>
        <w:lastRenderedPageBreak/>
        <w:t>构确实接收到申购、赎回申请。申购、赎回申请的确认以登记机构的确认结果为准。对于申请的确认情况，投资者应及时查询。</w:t>
      </w:r>
    </w:p>
    <w:p w14:paraId="6A532F1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14:paraId="1442594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5067BD0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本基金基金份额分为A类基金份额和C类基金份额。投资人申购A类基金份额在申购时支付申购费用；申购C类基金份额不支付申购费用，并从该类别基金资产中计提销售服务费。</w:t>
      </w:r>
    </w:p>
    <w:p w14:paraId="36CC87C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A类基金份额的申购费用由A类基金份额申购人承担，不列入基金财产，主要用于本基金的市场推广、销售、登记结算等各项费用。</w:t>
      </w:r>
    </w:p>
    <w:p w14:paraId="5F81678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w:t>
      </w:r>
      <w:r>
        <w:rPr>
          <w:rFonts w:ascii="宋体" w:hAnsi="宋体" w:hint="eastAsia"/>
          <w:sz w:val="24"/>
        </w:rPr>
        <w:t>A类基金份额的</w:t>
      </w:r>
      <w:r>
        <w:rPr>
          <w:rFonts w:ascii="宋体" w:hAnsi="宋体"/>
          <w:sz w:val="24"/>
        </w:rPr>
        <w:t>申购费用按</w:t>
      </w:r>
      <w:r>
        <w:rPr>
          <w:rFonts w:ascii="宋体" w:hAnsi="宋体" w:hint="eastAsia"/>
          <w:sz w:val="24"/>
        </w:rPr>
        <w:t>A类基金份额</w:t>
      </w:r>
      <w:r>
        <w:rPr>
          <w:rFonts w:ascii="宋体" w:hAnsi="宋体"/>
          <w:sz w:val="24"/>
        </w:rPr>
        <w:t>每笔申购申请单独计算。</w:t>
      </w:r>
    </w:p>
    <w:p w14:paraId="026EAE5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4A0" w:firstRow="1" w:lastRow="0" w:firstColumn="1" w:lastColumn="0" w:noHBand="0" w:noVBand="1"/>
      </w:tblPr>
      <w:tblGrid>
        <w:gridCol w:w="4325"/>
        <w:gridCol w:w="4325"/>
      </w:tblGrid>
      <w:tr w:rsidR="00CA59D4" w14:paraId="6FEC24A8" w14:textId="7777777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B2428AF" w14:textId="77777777" w:rsidR="00CA59D4" w:rsidRDefault="006C2E2B">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6539A7ED" w14:textId="77777777" w:rsidR="00CA59D4" w:rsidRDefault="006C2E2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CA59D4" w14:paraId="4EE0D350" w14:textId="7777777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1474102" w14:textId="77777777" w:rsidR="00CA59D4" w:rsidRDefault="006C2E2B">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1000</w:t>
            </w:r>
            <w:r>
              <w:rPr>
                <w:rFonts w:ascii="Times New Roman" w:hAnsi="Times New Roman" w:hint="eastAsia"/>
                <w:color w:val="000000"/>
                <w:kern w:val="0"/>
                <w:sz w:val="25"/>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3595CCDC" w14:textId="77777777" w:rsidR="00CA59D4" w:rsidRDefault="006C2E2B">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0.2%</w:t>
            </w:r>
          </w:p>
        </w:tc>
      </w:tr>
      <w:tr w:rsidR="00CA59D4" w14:paraId="29D0A0D5" w14:textId="7777777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217712A" w14:textId="77777777" w:rsidR="00CA59D4" w:rsidRDefault="006C2E2B">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1000</w:t>
            </w:r>
            <w:r>
              <w:rPr>
                <w:rFonts w:ascii="Times New Roman" w:hAnsi="Times New Roman" w:hint="eastAsia"/>
                <w:color w:val="000000"/>
                <w:kern w:val="0"/>
                <w:sz w:val="25"/>
                <w:szCs w:val="24"/>
              </w:rPr>
              <w:t>万元以上（含</w:t>
            </w:r>
            <w:r>
              <w:rPr>
                <w:rFonts w:ascii="Times New Roman" w:hAnsi="Times New Roman"/>
                <w:color w:val="000000"/>
                <w:kern w:val="0"/>
                <w:sz w:val="25"/>
                <w:szCs w:val="24"/>
              </w:rPr>
              <w:t>1000</w:t>
            </w:r>
            <w:r>
              <w:rPr>
                <w:rFonts w:ascii="Times New Roman" w:hAnsi="Times New Roman" w:hint="eastAsia"/>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85D2E92" w14:textId="77777777" w:rsidR="00CA59D4" w:rsidRDefault="006C2E2B">
            <w:pPr>
              <w:widowControl/>
              <w:snapToGrid w:val="0"/>
              <w:jc w:val="center"/>
              <w:rPr>
                <w:rFonts w:ascii="Times New Roman" w:hAnsi="Times New Roman"/>
                <w:color w:val="000000"/>
                <w:kern w:val="0"/>
                <w:sz w:val="25"/>
                <w:szCs w:val="24"/>
              </w:rPr>
            </w:pPr>
            <w:r>
              <w:rPr>
                <w:rFonts w:ascii="Times New Roman" w:hAnsi="Times New Roman" w:hint="eastAsia"/>
                <w:color w:val="000000"/>
                <w:kern w:val="0"/>
                <w:sz w:val="25"/>
                <w:szCs w:val="24"/>
              </w:rPr>
              <w:t>每笔交易</w:t>
            </w:r>
            <w:r>
              <w:rPr>
                <w:rFonts w:ascii="Times New Roman" w:hAnsi="Times New Roman"/>
                <w:color w:val="000000"/>
                <w:kern w:val="0"/>
                <w:sz w:val="25"/>
                <w:szCs w:val="24"/>
              </w:rPr>
              <w:t>1000</w:t>
            </w:r>
            <w:r>
              <w:rPr>
                <w:rFonts w:ascii="Times New Roman" w:hAnsi="Times New Roman" w:hint="eastAsia"/>
                <w:color w:val="000000"/>
                <w:kern w:val="0"/>
                <w:sz w:val="25"/>
                <w:szCs w:val="24"/>
              </w:rPr>
              <w:t>元</w:t>
            </w:r>
          </w:p>
        </w:tc>
      </w:tr>
    </w:tbl>
    <w:p w14:paraId="43B6E6B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14:paraId="5ABDE46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14:paraId="41F123A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5AF1B9B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066FCCC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0A1083F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36A3EDC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49E6C57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3532209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14:paraId="5F197A8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4A0" w:firstRow="1" w:lastRow="0" w:firstColumn="1" w:lastColumn="0" w:noHBand="0" w:noVBand="1"/>
      </w:tblPr>
      <w:tblGrid>
        <w:gridCol w:w="4325"/>
        <w:gridCol w:w="4325"/>
      </w:tblGrid>
      <w:tr w:rsidR="00CA59D4" w14:paraId="2180846B" w14:textId="7777777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F7E6AED" w14:textId="77777777" w:rsidR="00CA59D4" w:rsidRDefault="006C2E2B">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5FD8F6CA" w14:textId="77777777" w:rsidR="00CA59D4" w:rsidRDefault="006C2E2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CA59D4" w14:paraId="7E1D492D" w14:textId="7777777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A64B8F6" w14:textId="77777777" w:rsidR="00CA59D4" w:rsidRDefault="006C2E2B">
            <w:pPr>
              <w:widowControl/>
              <w:snapToGrid w:val="0"/>
              <w:jc w:val="left"/>
              <w:rPr>
                <w:rFonts w:ascii="宋体" w:hAnsi="宋体"/>
                <w:color w:val="000000"/>
                <w:kern w:val="0"/>
                <w:sz w:val="25"/>
                <w:szCs w:val="24"/>
              </w:rPr>
            </w:pPr>
            <w:r>
              <w:rPr>
                <w:rFonts w:ascii="Times New Roman" w:hAnsi="Times New Roman" w:hint="eastAsia"/>
                <w:kern w:val="0"/>
                <w:sz w:val="24"/>
                <w:szCs w:val="24"/>
              </w:rPr>
              <w:t>100</w:t>
            </w:r>
            <w:r>
              <w:rPr>
                <w:rFonts w:ascii="Times New Roman" w:hAnsi="Times New Roman"/>
                <w:kern w:val="0"/>
                <w:sz w:val="24"/>
                <w:szCs w:val="24"/>
              </w:rPr>
              <w:t>0</w:t>
            </w:r>
            <w:r>
              <w:rPr>
                <w:rFonts w:ascii="Times New Roman" w:hAnsi="Times New Roman" w:hint="eastAsia"/>
                <w:kern w:val="0"/>
                <w:sz w:val="24"/>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6518A921" w14:textId="77777777" w:rsidR="00CA59D4" w:rsidRDefault="006C2E2B">
            <w:pPr>
              <w:widowControl/>
              <w:snapToGrid w:val="0"/>
              <w:jc w:val="center"/>
              <w:rPr>
                <w:rFonts w:ascii="Times New Roman" w:hAnsi="Times New Roman"/>
                <w:color w:val="000000"/>
                <w:kern w:val="0"/>
                <w:sz w:val="25"/>
                <w:szCs w:val="24"/>
              </w:rPr>
            </w:pPr>
            <w:r>
              <w:rPr>
                <w:rFonts w:ascii="Times New Roman" w:hAnsi="Times New Roman"/>
                <w:color w:val="000000"/>
                <w:kern w:val="0"/>
                <w:sz w:val="24"/>
              </w:rPr>
              <w:t>0.08%</w:t>
            </w:r>
          </w:p>
        </w:tc>
      </w:tr>
      <w:tr w:rsidR="00CA59D4" w14:paraId="79858182" w14:textId="7777777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48D3CA8" w14:textId="77777777" w:rsidR="00CA59D4" w:rsidRDefault="006C2E2B">
            <w:pPr>
              <w:widowControl/>
              <w:snapToGrid w:val="0"/>
              <w:jc w:val="left"/>
              <w:rPr>
                <w:rFonts w:ascii="宋体" w:hAnsi="宋体"/>
                <w:color w:val="000000"/>
                <w:kern w:val="0"/>
                <w:sz w:val="25"/>
                <w:szCs w:val="24"/>
              </w:rPr>
            </w:pPr>
            <w:r>
              <w:rPr>
                <w:rFonts w:ascii="Times New Roman" w:hAnsi="Times New Roman"/>
                <w:kern w:val="0"/>
                <w:sz w:val="24"/>
                <w:szCs w:val="24"/>
              </w:rPr>
              <w:t>1000</w:t>
            </w:r>
            <w:r>
              <w:rPr>
                <w:rFonts w:ascii="Times New Roman" w:hAnsi="Times New Roman" w:hint="eastAsia"/>
                <w:kern w:val="0"/>
                <w:sz w:val="24"/>
                <w:szCs w:val="24"/>
              </w:rPr>
              <w:t>万元以上（含</w:t>
            </w:r>
            <w:r>
              <w:rPr>
                <w:rFonts w:ascii="Times New Roman" w:hAnsi="Times New Roman"/>
                <w:kern w:val="0"/>
                <w:sz w:val="24"/>
                <w:szCs w:val="24"/>
              </w:rPr>
              <w:t>10</w:t>
            </w:r>
            <w:r>
              <w:rPr>
                <w:rFonts w:ascii="Times New Roman" w:hAnsi="Times New Roman" w:hint="eastAsia"/>
                <w:kern w:val="0"/>
                <w:sz w:val="24"/>
                <w:szCs w:val="24"/>
              </w:rPr>
              <w:t>00</w:t>
            </w:r>
            <w:r>
              <w:rPr>
                <w:rFonts w:ascii="Times New Roman" w:hAnsi="Times New Roman" w:hint="eastAsia"/>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95CD5DD" w14:textId="77777777" w:rsidR="00CA59D4" w:rsidRDefault="006C2E2B">
            <w:pPr>
              <w:widowControl/>
              <w:snapToGrid w:val="0"/>
              <w:jc w:val="center"/>
              <w:rPr>
                <w:rFonts w:ascii="Times New Roman" w:hAnsi="Times New Roman"/>
                <w:color w:val="000000"/>
                <w:kern w:val="0"/>
                <w:sz w:val="25"/>
                <w:szCs w:val="24"/>
              </w:rPr>
            </w:pPr>
            <w:r>
              <w:rPr>
                <w:rFonts w:ascii="Times New Roman" w:hAnsi="Times New Roman" w:hint="eastAsia"/>
                <w:color w:val="000000"/>
                <w:kern w:val="0"/>
                <w:sz w:val="24"/>
              </w:rPr>
              <w:t>每笔交易</w:t>
            </w:r>
            <w:r>
              <w:rPr>
                <w:rFonts w:ascii="Times New Roman" w:hAnsi="Times New Roman"/>
                <w:color w:val="000000"/>
                <w:kern w:val="0"/>
                <w:sz w:val="24"/>
              </w:rPr>
              <w:t>1000</w:t>
            </w:r>
            <w:r>
              <w:rPr>
                <w:rFonts w:ascii="Times New Roman" w:hAnsi="Times New Roman" w:hint="eastAsia"/>
                <w:color w:val="000000"/>
                <w:kern w:val="0"/>
                <w:sz w:val="24"/>
              </w:rPr>
              <w:t>元</w:t>
            </w:r>
          </w:p>
        </w:tc>
      </w:tr>
    </w:tbl>
    <w:p w14:paraId="11C64CBE" w14:textId="77777777" w:rsidR="00CA59D4" w:rsidRDefault="00CA59D4">
      <w:pPr>
        <w:autoSpaceDE w:val="0"/>
        <w:autoSpaceDN w:val="0"/>
        <w:adjustRightInd w:val="0"/>
        <w:snapToGrid w:val="0"/>
        <w:spacing w:line="360" w:lineRule="auto"/>
        <w:ind w:firstLineChars="200" w:firstLine="420"/>
        <w:jc w:val="left"/>
        <w:rPr>
          <w:rFonts w:ascii="宋体" w:hAnsi="宋体"/>
          <w:szCs w:val="24"/>
        </w:rPr>
      </w:pPr>
    </w:p>
    <w:p w14:paraId="7F7AD9E1"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2、赎回费用</w:t>
      </w:r>
    </w:p>
    <w:p w14:paraId="27058A2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本基金对于每份基金份额设置</w:t>
      </w:r>
      <w:r>
        <w:rPr>
          <w:rFonts w:ascii="宋体" w:hAnsi="宋体"/>
          <w:sz w:val="24"/>
        </w:rPr>
        <w:t>120</w:t>
      </w:r>
      <w:r>
        <w:rPr>
          <w:rFonts w:ascii="宋体" w:hAnsi="宋体" w:hint="eastAsia"/>
          <w:sz w:val="24"/>
        </w:rPr>
        <w:t>天的滚动运作期。每个运作期到期日，基金份额持有人可提出赎回申请。基金份额持有人在每个运作期到期日申请赎回A类基金份额或C类基金份额不收取赎回费。</w:t>
      </w:r>
    </w:p>
    <w:p w14:paraId="1A92702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3、基金管理人可以在基金合同约定的范围内调整费率或收费方式，并最迟应于新的费率或收费方式实施日前依照《信息披露办法》的有关规定在规定媒介上公告。</w:t>
      </w:r>
    </w:p>
    <w:p w14:paraId="7EE594E1"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488D809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5、当本基金发生大额申购或赎回情形时，基金管理人可以采用摆动定价机制，以确保基金估值的公平性。具体处理原则与操作规范遵循相关法律法规以及监管部门、自律规则的规定。</w:t>
      </w:r>
    </w:p>
    <w:p w14:paraId="778AD64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14:paraId="244B4F3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7829C5C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申购份额计算结果按四舍五入方法，保留到小数点后2位，由此产生的收益或损失由基金财产承担。</w:t>
      </w:r>
    </w:p>
    <w:p w14:paraId="7594EE8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（2）A类基金份额或C类基金份额的赎回金额为按实际确认的有效赎回份额乘以当日该类基金份额的基金份额净值</w:t>
      </w:r>
      <w:r>
        <w:rPr>
          <w:rFonts w:ascii="宋体" w:hAnsi="宋体" w:hint="eastAsia"/>
          <w:sz w:val="24"/>
        </w:rPr>
        <w:t>并扣除相应的费用（如有）</w:t>
      </w:r>
      <w:r>
        <w:rPr>
          <w:rFonts w:ascii="宋体" w:hAnsi="宋体"/>
          <w:sz w:val="24"/>
        </w:rPr>
        <w:t>，赎回金额单位为元。赎回金额计算结果按四舍五入方法，保留到小数点后2位，由此产生的收益或损失由基金财产承担。</w:t>
      </w:r>
    </w:p>
    <w:p w14:paraId="6D8FBAD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3DFF7F15"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本基金采用金额申购的方式。</w:t>
      </w:r>
    </w:p>
    <w:p w14:paraId="0DBB0C4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5BD34D8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5452C57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净申购金额=申购总金额/（1+申购费率）</w:t>
      </w:r>
    </w:p>
    <w:p w14:paraId="066DEBE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4200B57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303DA1C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4774B83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Pr>
          <w:rFonts w:ascii="宋体" w:hAnsi="宋体" w:hint="eastAsia"/>
          <w:sz w:val="24"/>
        </w:rPr>
        <w:t>净申购金额</w:t>
      </w:r>
      <w:r>
        <w:rPr>
          <w:rFonts w:ascii="宋体" w:hAnsi="宋体"/>
          <w:sz w:val="24"/>
        </w:rPr>
        <w:t>/T日A类基金份额净值</w:t>
      </w:r>
    </w:p>
    <w:p w14:paraId="63CD180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例四：某投资者（非养老金客户）投资100,000.00元申购本基金的A类基金份额，假设申购当日A类基金份额净值为1.0400元，申购费率为0.2%，则其可得到的申购份额为：</w:t>
      </w:r>
    </w:p>
    <w:p w14:paraId="4E1EFDB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申购总金额＝100,000.00元</w:t>
      </w:r>
    </w:p>
    <w:p w14:paraId="15F8FC8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净申购金额=100,000.00/（1+0.2%）=99,800.40元</w:t>
      </w:r>
    </w:p>
    <w:p w14:paraId="0BFD6C3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申购费用=100,000.00-99,800.40=199.60元</w:t>
      </w:r>
    </w:p>
    <w:p w14:paraId="142E30C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申购份额=99,800.40/1.0400=95,961.92份</w:t>
      </w:r>
    </w:p>
    <w:p w14:paraId="4B12539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即：某投资者（非养老金客户）投资100,000.00元申购本基金的A类基金份额，假设申购当日A类基金份额净值为1.0400元，则其可得到95,961.92份A类基金份额。</w:t>
      </w:r>
    </w:p>
    <w:p w14:paraId="191D365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例五：某养老金客户投资1,000,000.00元通过基金管理人的直销柜台申购本基金的A类基金份额，假设申购当日A类基金份额净值为1.0400元，申购费率为0.08%，则其可得到的申购份额为：</w:t>
      </w:r>
    </w:p>
    <w:p w14:paraId="10B9D4A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申购总金额＝1,000,000.00元</w:t>
      </w:r>
    </w:p>
    <w:p w14:paraId="44202E5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净申购金额=1,000,000.00/（1+0.08%）=999,200.64元</w:t>
      </w:r>
    </w:p>
    <w:p w14:paraId="219D818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w:t>
      </w:r>
      <w:r>
        <w:rPr>
          <w:rFonts w:ascii="宋体" w:hAnsi="宋体" w:hint="eastAsia"/>
          <w:sz w:val="24"/>
        </w:rPr>
        <w:t>,0</w:t>
      </w:r>
      <w:r>
        <w:rPr>
          <w:rFonts w:ascii="宋体" w:hAnsi="宋体"/>
          <w:sz w:val="24"/>
        </w:rPr>
        <w:t>00,000.00-999,200.64=799.36元</w:t>
      </w:r>
    </w:p>
    <w:p w14:paraId="327E5F4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申购份额=999,200.64/1.0400=960,769.85份</w:t>
      </w:r>
    </w:p>
    <w:p w14:paraId="3518D9D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即：该养老金客户投资1,000,000.00元通过基金管理人的直销柜台申购本基金的A类基金份额，假设申购当日A类基金份额净值为1.0400元，则其可得到960,769.85份A类基金份额。</w:t>
      </w:r>
    </w:p>
    <w:p w14:paraId="156AD54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3E85683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1EFB511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2A62635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1B89590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例六：某投资者投资100,000.00元申购本基金的C类基金份额，假设申购当日C类基金份额净值为1.0400元，则其可得到的申购份额为：</w:t>
      </w:r>
    </w:p>
    <w:p w14:paraId="7F29D86E"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申购总金额=100,000.00元</w:t>
      </w:r>
    </w:p>
    <w:p w14:paraId="0360E13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w:t>
      </w:r>
      <w:r>
        <w:rPr>
          <w:rFonts w:ascii="宋体" w:hAnsi="宋体" w:hint="eastAsia"/>
          <w:sz w:val="24"/>
        </w:rPr>
        <w:t>.0</w:t>
      </w:r>
      <w:r>
        <w:rPr>
          <w:rFonts w:ascii="宋体" w:hAnsi="宋体"/>
          <w:sz w:val="24"/>
        </w:rPr>
        <w:t>0/1.0400＝96,153.85份</w:t>
      </w:r>
    </w:p>
    <w:p w14:paraId="36AC81C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即：投资者投资100,000.00元申购本基金的C类基金份额，假设申购当日C类基金份额净值为1.0400元，则其可得到96,153.85份C类基金份额。</w:t>
      </w:r>
    </w:p>
    <w:p w14:paraId="12FC5D4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769260E6" w14:textId="77777777" w:rsidR="00CA59D4" w:rsidRDefault="006C2E2B">
      <w:pPr>
        <w:autoSpaceDE w:val="0"/>
        <w:autoSpaceDN w:val="0"/>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本基金采用份额赎回的方式。</w:t>
      </w:r>
    </w:p>
    <w:p w14:paraId="689C5309"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hAnsi="宋体" w:hint="eastAsia"/>
          <w:kern w:val="0"/>
          <w:sz w:val="24"/>
          <w:szCs w:val="24"/>
        </w:rPr>
        <w:t>赎回</w:t>
      </w:r>
      <w:r>
        <w:rPr>
          <w:rFonts w:hAnsi="宋体"/>
          <w:kern w:val="0"/>
          <w:sz w:val="24"/>
          <w:szCs w:val="24"/>
        </w:rPr>
        <w:t>费用</w:t>
      </w:r>
      <w:r>
        <w:rPr>
          <w:rFonts w:hAnsi="宋体" w:hint="eastAsia"/>
          <w:kern w:val="0"/>
          <w:sz w:val="24"/>
          <w:szCs w:val="24"/>
        </w:rPr>
        <w:t>=</w:t>
      </w:r>
      <w:r>
        <w:rPr>
          <w:rFonts w:hAnsi="宋体" w:hint="eastAsia"/>
          <w:kern w:val="0"/>
          <w:sz w:val="24"/>
          <w:szCs w:val="24"/>
        </w:rPr>
        <w:t>赎回份额×</w:t>
      </w:r>
      <w:r>
        <w:rPr>
          <w:rFonts w:ascii="宋体" w:hAnsi="宋体" w:hint="eastAsia"/>
          <w:sz w:val="24"/>
        </w:rPr>
        <w:t>T日该类基金份额净值×赎回费率</w:t>
      </w:r>
    </w:p>
    <w:p w14:paraId="502A674C"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赎回金额=赎回份额×T日该类基金份额净值-赎回费用</w:t>
      </w:r>
    </w:p>
    <w:p w14:paraId="05C99F16"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例七：某投资者通过认购持有10,000</w:t>
      </w:r>
      <w:r>
        <w:rPr>
          <w:rFonts w:ascii="宋体" w:hAnsi="宋体"/>
          <w:sz w:val="24"/>
        </w:rPr>
        <w:t>.00</w:t>
      </w:r>
      <w:r>
        <w:rPr>
          <w:rFonts w:ascii="宋体" w:hAnsi="宋体" w:hint="eastAsia"/>
          <w:sz w:val="24"/>
        </w:rPr>
        <w:t>份A类基金份额，在基金合同生效日后第一个运作期到期日申请赎回该10,000</w:t>
      </w:r>
      <w:r>
        <w:rPr>
          <w:rFonts w:ascii="宋体" w:hAnsi="宋体"/>
          <w:sz w:val="24"/>
        </w:rPr>
        <w:t>.00</w:t>
      </w:r>
      <w:r>
        <w:rPr>
          <w:rFonts w:ascii="宋体" w:hAnsi="宋体" w:hint="eastAsia"/>
          <w:sz w:val="24"/>
        </w:rPr>
        <w:t>份A类基金份额，假设赎回当日A类基金份额净值是1.0025元，则其可得到的赎回金额为：</w:t>
      </w:r>
    </w:p>
    <w:p w14:paraId="22E8C59E"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赎回费用=10,000</w:t>
      </w:r>
      <w:r>
        <w:rPr>
          <w:rFonts w:ascii="宋体" w:hAnsi="宋体"/>
          <w:sz w:val="24"/>
        </w:rPr>
        <w:t>.00</w:t>
      </w:r>
      <w:r>
        <w:rPr>
          <w:rFonts w:ascii="宋体" w:hAnsi="宋体" w:hint="eastAsia"/>
          <w:sz w:val="24"/>
        </w:rPr>
        <w:t>×1.0025×0</w:t>
      </w:r>
      <w:r>
        <w:rPr>
          <w:rFonts w:ascii="宋体" w:hAnsi="宋体"/>
          <w:sz w:val="24"/>
        </w:rPr>
        <w:t>=0.00</w:t>
      </w:r>
      <w:r>
        <w:rPr>
          <w:rFonts w:ascii="宋体" w:hAnsi="宋体" w:hint="eastAsia"/>
          <w:sz w:val="24"/>
        </w:rPr>
        <w:t>元</w:t>
      </w:r>
    </w:p>
    <w:p w14:paraId="56F201D5"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赎回金额=10,000</w:t>
      </w:r>
      <w:r>
        <w:rPr>
          <w:rFonts w:ascii="宋体" w:hAnsi="宋体"/>
          <w:sz w:val="24"/>
        </w:rPr>
        <w:t>.00</w:t>
      </w:r>
      <w:r>
        <w:rPr>
          <w:rFonts w:ascii="宋体" w:hAnsi="宋体" w:hint="eastAsia"/>
          <w:sz w:val="24"/>
        </w:rPr>
        <w:t>×1.0025＝10,025.00元</w:t>
      </w:r>
    </w:p>
    <w:p w14:paraId="1D3D348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即：该投资者通过认购持有10,000</w:t>
      </w:r>
      <w:r>
        <w:rPr>
          <w:rFonts w:ascii="宋体" w:hAnsi="宋体"/>
          <w:sz w:val="24"/>
        </w:rPr>
        <w:t>.00</w:t>
      </w:r>
      <w:r>
        <w:rPr>
          <w:rFonts w:ascii="宋体" w:hAnsi="宋体" w:hint="eastAsia"/>
          <w:sz w:val="24"/>
        </w:rPr>
        <w:t>份A类基金份额，在基金合同生效日后第一个运作期到期日申请赎回该10,000</w:t>
      </w:r>
      <w:r>
        <w:rPr>
          <w:rFonts w:ascii="宋体" w:hAnsi="宋体"/>
          <w:sz w:val="24"/>
        </w:rPr>
        <w:t>.00</w:t>
      </w:r>
      <w:r>
        <w:rPr>
          <w:rFonts w:ascii="宋体" w:hAnsi="宋体" w:hint="eastAsia"/>
          <w:sz w:val="24"/>
        </w:rPr>
        <w:t>份A类基金份额，假设赎回当日A类基金份额净值是1.0025元，则其可得到的赎回金额为10,025.00元。</w:t>
      </w:r>
    </w:p>
    <w:p w14:paraId="5013F07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27FCB02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23FF182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0C4F0C7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本基金A类基金份额和C类基金份额的</w:t>
      </w:r>
      <w:r>
        <w:rPr>
          <w:rFonts w:ascii="宋体" w:hAnsi="宋体" w:hint="eastAsia"/>
          <w:sz w:val="24"/>
        </w:rPr>
        <w:t>基金</w:t>
      </w:r>
      <w:r>
        <w:rPr>
          <w:rFonts w:ascii="宋体" w:hAnsi="宋体"/>
          <w:sz w:val="24"/>
        </w:rPr>
        <w:t>份额净值的计算，</w:t>
      </w:r>
      <w:r>
        <w:rPr>
          <w:rFonts w:ascii="宋体" w:hAnsi="宋体" w:hint="eastAsia"/>
          <w:sz w:val="24"/>
        </w:rPr>
        <w:t>均</w:t>
      </w:r>
      <w:r>
        <w:rPr>
          <w:rFonts w:ascii="宋体" w:hAnsi="宋体"/>
          <w:sz w:val="24"/>
        </w:rPr>
        <w:t>保留到小数点后4位，小数点后第5位四舍五入，由此产生的收益或损失由基金财产承担。T日的基金份额净值在当天收市后计算，并在T+1日（包括该日）内公告。遇特殊情况，经履行适当程序，可以适当延迟计算或公告。</w:t>
      </w:r>
    </w:p>
    <w:p w14:paraId="4F9D880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14:paraId="6978056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3C74153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4C5F905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2、发生基金合同规定的暂停基金资产估值情况时，基金管理人可暂停接受投资人的申购申请。</w:t>
      </w:r>
    </w:p>
    <w:p w14:paraId="09302E0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w:t>
      </w:r>
      <w:r>
        <w:rPr>
          <w:rFonts w:hint="eastAsia"/>
          <w:bCs/>
          <w:sz w:val="24"/>
        </w:rPr>
        <w:t>/</w:t>
      </w:r>
      <w:r>
        <w:rPr>
          <w:rFonts w:hint="eastAsia"/>
          <w:bCs/>
          <w:sz w:val="24"/>
        </w:rPr>
        <w:t>期货</w:t>
      </w:r>
      <w:r>
        <w:rPr>
          <w:rFonts w:ascii="宋体" w:hAnsi="宋体"/>
          <w:sz w:val="24"/>
        </w:rPr>
        <w:t>交易所交易时间非正常停市，导致基金管理人无法计算当日基金资产净值。</w:t>
      </w:r>
    </w:p>
    <w:p w14:paraId="1862514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0ED5EED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4039396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hint="eastAsia"/>
          <w:sz w:val="24"/>
        </w:rPr>
        <w:t>基金管理人、基金托管人、</w:t>
      </w:r>
      <w:r>
        <w:rPr>
          <w:rFonts w:ascii="宋体" w:hAnsi="宋体"/>
          <w:sz w:val="24"/>
        </w:rPr>
        <w:t>基金销售机构、基金销售支付结算机构或登记机构的异常情况导致基金销售系统、基金销售支付结算系统、基金注册登记系统或基金会计系统无法正常运行。</w:t>
      </w:r>
    </w:p>
    <w:p w14:paraId="6E5AEE5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14:paraId="317670F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8、基金管理人接受某笔或者某些申购申请有可能导致单一投资者持有基金份额的比例超过50%，或者变相规避50%集中度的。出现上述情形时，基金管理人有权将上述申购申请全部或部分确认失败。</w:t>
      </w:r>
    </w:p>
    <w:p w14:paraId="27D8D38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hint="eastAsia"/>
          <w:bCs/>
          <w:sz w:val="24"/>
        </w:rPr>
        <w:t>法律法规规定、中国证监会认定或基金合同约定的其他情形</w:t>
      </w:r>
      <w:r>
        <w:rPr>
          <w:bCs/>
          <w:sz w:val="24"/>
        </w:rPr>
        <w:t>。</w:t>
      </w:r>
    </w:p>
    <w:p w14:paraId="4438B2E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14:paraId="4E34D46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14:paraId="5BC4ACD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2327638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392257C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758E8BC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w:t>
      </w:r>
      <w:r>
        <w:rPr>
          <w:rFonts w:hint="eastAsia"/>
          <w:bCs/>
          <w:sz w:val="24"/>
        </w:rPr>
        <w:t>/</w:t>
      </w:r>
      <w:r>
        <w:rPr>
          <w:rFonts w:hint="eastAsia"/>
          <w:bCs/>
          <w:sz w:val="24"/>
        </w:rPr>
        <w:t>期货</w:t>
      </w:r>
      <w:r>
        <w:rPr>
          <w:rFonts w:ascii="宋体" w:hAnsi="宋体"/>
          <w:sz w:val="24"/>
        </w:rPr>
        <w:t>交易所交易时间非正常停市，导致基金管理人无法计算当日基金资产净值。</w:t>
      </w:r>
    </w:p>
    <w:p w14:paraId="7894BE8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7D5F649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5、发生继续接受赎回申请将损害现有基金份额持有人利益的情形时，基金管理人可暂停接受基金份额持有人的赎回申请。</w:t>
      </w:r>
    </w:p>
    <w:p w14:paraId="4FA1E8D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116D613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2C3617F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hint="eastAsia"/>
          <w:bCs/>
          <w:sz w:val="24"/>
        </w:rPr>
        <w:t>法律法规规定、中国证监会认定或基金合同约定的其他情形</w:t>
      </w:r>
      <w:r>
        <w:rPr>
          <w:bCs/>
          <w:sz w:val="24"/>
        </w:rPr>
        <w:t>。</w:t>
      </w:r>
    </w:p>
    <w:p w14:paraId="324190E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发生上述情形之一且基金管理人决定暂停接受基金份额持有人的赎回申请或延缓支付赎回款项时，基金管理人应</w:t>
      </w:r>
      <w:r>
        <w:rPr>
          <w:rFonts w:ascii="宋体" w:hAnsi="宋体" w:hint="eastAsia"/>
          <w:sz w:val="24"/>
        </w:rPr>
        <w:t>及时</w:t>
      </w:r>
      <w:r>
        <w:rPr>
          <w:rFonts w:ascii="宋体" w:hAnsi="宋体"/>
          <w:sz w:val="24"/>
        </w:rPr>
        <w:t>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185FEC2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14:paraId="32F30A3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30DB40A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664C701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1D74A38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1EB354D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60CA257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w:t>
      </w:r>
      <w:r>
        <w:rPr>
          <w:rFonts w:ascii="宋体" w:hAnsi="宋体"/>
          <w:sz w:val="24"/>
        </w:rPr>
        <w:lastRenderedPageBreak/>
        <w:t>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460C98B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6C4B13F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rPr>
        <w:t>该类基金份额</w:t>
      </w:r>
      <w:r>
        <w:rPr>
          <w:rFonts w:ascii="宋体" w:hAnsi="宋体"/>
          <w:sz w:val="24"/>
        </w:rPr>
        <w:t>的基金份额净值为基础计算赎回金额，以此类推，直到全部赎回为止。</w:t>
      </w:r>
    </w:p>
    <w:p w14:paraId="174AF8F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w:t>
      </w:r>
      <w:r>
        <w:rPr>
          <w:rFonts w:ascii="宋体" w:hAnsi="宋体" w:hint="eastAsia"/>
          <w:sz w:val="24"/>
        </w:rPr>
        <w:t>前述</w:t>
      </w:r>
      <w:r>
        <w:rPr>
          <w:rFonts w:ascii="宋体" w:hAnsi="宋体"/>
          <w:sz w:val="24"/>
        </w:rPr>
        <w:t>“（1）全额赎回”或“（2）部分延期赎回”的约定方式与其他基金份额持有人的赎回申请一并办理。但是，如基金份额持有人在当日选择取消赎回，则其当日未获受理的部分赎回申请将被撤销。</w:t>
      </w:r>
    </w:p>
    <w:p w14:paraId="323E527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1BEF135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3DC60EE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当发生上述巨额赎回并延期办理时，基金管理人应当通过邮寄、传真、刊登公告或者通知销售机构代为告知等方式在3个交易日内通知基金份额持有人，说明有关处理方法，并在两日内在规定媒介上刊登公告。</w:t>
      </w:r>
    </w:p>
    <w:p w14:paraId="723792E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14:paraId="590ABA7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1、发生上述暂停申购或赎回情况的，基金管理人应在规定期限内在规定媒介上刊登暂停公告。</w:t>
      </w:r>
    </w:p>
    <w:p w14:paraId="0B9F993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2、如发生暂停的时间为1日，基金管理人应于重新开放日，在规定媒介上刊登基金重新开放申购或赎回公告，并公布最近1个开放日的各类基金份额净值。</w:t>
      </w:r>
    </w:p>
    <w:p w14:paraId="04C642E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450162E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（十二）基金转换</w:t>
      </w:r>
    </w:p>
    <w:p w14:paraId="613CCAC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743B31D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（十三）基金的非交易过户</w:t>
      </w:r>
    </w:p>
    <w:p w14:paraId="1DF3FC3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w:t>
      </w:r>
      <w:r>
        <w:rPr>
          <w:rFonts w:ascii="宋体" w:hAnsi="宋体" w:hint="eastAsia"/>
          <w:sz w:val="24"/>
        </w:rPr>
        <w:t>它</w:t>
      </w:r>
      <w:r>
        <w:rPr>
          <w:rFonts w:ascii="宋体" w:hAnsi="宋体"/>
          <w:sz w:val="24"/>
        </w:rPr>
        <w:t>非交易过户。无论在上述何种情况下，接受划转的主体必须是依法可以持有本基金基金份额的投资人。</w:t>
      </w:r>
    </w:p>
    <w:p w14:paraId="3420A92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406BDD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（十四）基金的转托管</w:t>
      </w:r>
    </w:p>
    <w:p w14:paraId="71AEF963"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基金份额持有人可办理已持有基金份额在不同销售机构之间的转托管，基金销售机构可以按照规定的标准收取转托管费。</w:t>
      </w:r>
    </w:p>
    <w:p w14:paraId="60A241F3"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十</w:t>
      </w:r>
      <w:r>
        <w:rPr>
          <w:rFonts w:ascii="宋体" w:hAnsi="宋体" w:hint="eastAsia"/>
          <w:sz w:val="24"/>
        </w:rPr>
        <w:t>五）定期定额投资计划</w:t>
      </w:r>
    </w:p>
    <w:p w14:paraId="4BC8F23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700701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Pr>
          <w:rFonts w:ascii="宋体" w:hAnsi="宋体" w:hint="eastAsia"/>
          <w:sz w:val="24"/>
        </w:rPr>
        <w:t>六</w:t>
      </w:r>
      <w:r>
        <w:rPr>
          <w:rFonts w:ascii="宋体" w:hAnsi="宋体"/>
          <w:sz w:val="24"/>
        </w:rPr>
        <w:t>）基金份额的冻结和解冻</w:t>
      </w:r>
    </w:p>
    <w:p w14:paraId="66D8C27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基金登记机构只受理国家有权机关依法要求的基金份额的冻结与解冻，以及登记机构认可、符合法律法规的其他情况下的冻结与解冻。</w:t>
      </w:r>
    </w:p>
    <w:p w14:paraId="24AA7F7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Pr>
          <w:rFonts w:ascii="宋体" w:hAnsi="宋体" w:hint="eastAsia"/>
          <w:sz w:val="24"/>
        </w:rPr>
        <w:t>七</w:t>
      </w:r>
      <w:r>
        <w:rPr>
          <w:rFonts w:ascii="宋体" w:hAnsi="宋体"/>
          <w:sz w:val="24"/>
        </w:rPr>
        <w:t>）基金份额的转让</w:t>
      </w:r>
    </w:p>
    <w:p w14:paraId="3BE9DA3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564665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Pr>
          <w:rFonts w:ascii="宋体" w:hAnsi="宋体" w:hint="eastAsia"/>
          <w:sz w:val="24"/>
        </w:rPr>
        <w:t>八</w:t>
      </w:r>
      <w:r>
        <w:rPr>
          <w:rFonts w:ascii="宋体" w:hAnsi="宋体"/>
          <w:sz w:val="24"/>
        </w:rPr>
        <w:t>）实施侧袋机制期间本基金的申购与赎回</w:t>
      </w:r>
    </w:p>
    <w:p w14:paraId="47B6D79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4C79C0B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Pr>
          <w:rFonts w:ascii="宋体" w:hAnsi="宋体" w:hint="eastAsia"/>
          <w:sz w:val="24"/>
        </w:rPr>
        <w:t>九</w:t>
      </w:r>
      <w:r>
        <w:rPr>
          <w:rFonts w:ascii="宋体" w:hAnsi="宋体"/>
          <w:sz w:val="24"/>
        </w:rPr>
        <w:t>）其他业务</w:t>
      </w:r>
    </w:p>
    <w:p w14:paraId="75E2951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r>
        <w:rPr>
          <w:rFonts w:ascii="宋体" w:hAnsi="宋体"/>
          <w:sz w:val="24"/>
        </w:rPr>
        <w:br w:type="page"/>
      </w:r>
    </w:p>
    <w:p w14:paraId="107EECE0" w14:textId="77777777" w:rsidR="00CA59D4" w:rsidRDefault="006C2E2B">
      <w:pPr>
        <w:pStyle w:val="1"/>
        <w:snapToGrid w:val="0"/>
        <w:spacing w:beforeLines="0" w:before="240" w:after="240"/>
        <w:rPr>
          <w:rFonts w:ascii="宋体" w:hAnsi="宋体"/>
          <w:szCs w:val="30"/>
        </w:rPr>
      </w:pPr>
      <w:bookmarkStart w:id="21" w:name="_Toc104564192"/>
      <w:bookmarkStart w:id="22" w:name="_Hlk101008065"/>
      <w:r>
        <w:rPr>
          <w:rFonts w:ascii="Times New Roman" w:hAnsi="Times New Roman"/>
          <w:sz w:val="30"/>
        </w:rPr>
        <w:lastRenderedPageBreak/>
        <w:t>九、基金的投资</w:t>
      </w:r>
      <w:bookmarkEnd w:id="21"/>
    </w:p>
    <w:p w14:paraId="70520C8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bookmarkStart w:id="23" w:name="_Hlk155215578"/>
      <w:r>
        <w:rPr>
          <w:rFonts w:ascii="宋体" w:hAnsi="宋体"/>
          <w:sz w:val="24"/>
        </w:rPr>
        <w:t>（一）投资目标</w:t>
      </w:r>
    </w:p>
    <w:p w14:paraId="16B7E8B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在严格控制风险和保持较高流动性的前提下，力求获得高于业绩比较基准的投资收益。</w:t>
      </w:r>
    </w:p>
    <w:p w14:paraId="2866B12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06A62F3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债券（含国债、金融债、央行票据、地方政府债、政府支持债、政府支持机构债、企业债、公司债、公开发行的次级债、短期融资券、超短期融资券、中期票据）、资产支持证券、债券回购、银行存款（包括定期存款、协议存款、通知存款等）、同业存单、货币市场工具</w:t>
      </w:r>
      <w:r>
        <w:rPr>
          <w:rFonts w:hint="eastAsia"/>
          <w:bCs/>
          <w:sz w:val="24"/>
        </w:rPr>
        <w:t>、国债期货</w:t>
      </w:r>
      <w:r>
        <w:rPr>
          <w:rFonts w:hint="eastAsia"/>
          <w:sz w:val="24"/>
        </w:rPr>
        <w:t>、信用衍生品</w:t>
      </w:r>
      <w:r>
        <w:rPr>
          <w:rFonts w:ascii="宋体" w:hAnsi="宋体"/>
          <w:sz w:val="24"/>
        </w:rPr>
        <w:t>以及法律法规</w:t>
      </w:r>
      <w:r>
        <w:rPr>
          <w:bCs/>
          <w:sz w:val="24"/>
        </w:rPr>
        <w:t>或中国证监会</w:t>
      </w:r>
      <w:r>
        <w:rPr>
          <w:rFonts w:ascii="宋体" w:hAnsi="宋体"/>
          <w:sz w:val="24"/>
        </w:rPr>
        <w:t>允许</w:t>
      </w:r>
      <w:r>
        <w:rPr>
          <w:rFonts w:ascii="宋体" w:hAnsi="宋体" w:hint="eastAsia"/>
          <w:sz w:val="24"/>
        </w:rPr>
        <w:t>基金</w:t>
      </w:r>
      <w:r>
        <w:rPr>
          <w:rFonts w:ascii="宋体" w:hAnsi="宋体"/>
          <w:sz w:val="24"/>
        </w:rPr>
        <w:t>投资的其他金融工具</w:t>
      </w:r>
      <w:r>
        <w:rPr>
          <w:rFonts w:hint="eastAsia"/>
          <w:bCs/>
          <w:sz w:val="24"/>
        </w:rPr>
        <w:t>（</w:t>
      </w:r>
      <w:r>
        <w:rPr>
          <w:bCs/>
          <w:sz w:val="24"/>
        </w:rPr>
        <w:t>但须符合中国证监会相关规定</w:t>
      </w:r>
      <w:r>
        <w:rPr>
          <w:rFonts w:hint="eastAsia"/>
          <w:bCs/>
          <w:sz w:val="24"/>
        </w:rPr>
        <w:t>）</w:t>
      </w:r>
      <w:r>
        <w:rPr>
          <w:rFonts w:ascii="宋体" w:hAnsi="宋体"/>
          <w:sz w:val="24"/>
        </w:rPr>
        <w:t>。本基金不投资于股票等</w:t>
      </w:r>
      <w:r>
        <w:rPr>
          <w:rFonts w:hint="eastAsia"/>
          <w:bCs/>
          <w:sz w:val="24"/>
        </w:rPr>
        <w:t>权益类</w:t>
      </w:r>
      <w:r>
        <w:rPr>
          <w:rFonts w:ascii="宋体" w:hAnsi="宋体"/>
          <w:sz w:val="24"/>
        </w:rPr>
        <w:t>资产，也不投资于可转换债券、可交换债券。</w:t>
      </w:r>
    </w:p>
    <w:p w14:paraId="306EC80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24FC3CA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本</w:t>
      </w:r>
      <w:r>
        <w:rPr>
          <w:rFonts w:ascii="宋体" w:hAnsi="宋体"/>
          <w:sz w:val="24"/>
        </w:rPr>
        <w:t>基金的投资组合比例为：本基金投资于债券资产的比例不低于基金资产的80%</w:t>
      </w:r>
      <w:r>
        <w:rPr>
          <w:rFonts w:ascii="宋体" w:hAnsi="宋体" w:hint="eastAsia"/>
          <w:sz w:val="24"/>
        </w:rPr>
        <w:t>；</w:t>
      </w:r>
      <w:r>
        <w:rPr>
          <w:rFonts w:hint="eastAsia"/>
          <w:bCs/>
          <w:sz w:val="24"/>
        </w:rPr>
        <w:t>每个交易日日终在扣除国债期货合约需缴纳的交易保证金后，</w:t>
      </w:r>
      <w:r>
        <w:rPr>
          <w:rFonts w:ascii="宋体" w:hAnsi="宋体"/>
          <w:sz w:val="24"/>
        </w:rPr>
        <w:t>本基金持有的现金或到期日在一年以内的政府债券的比例合计不低于基金资产净值的5%，其中现金不包括结算备付金、存出保证金、应收申购款等。</w:t>
      </w:r>
    </w:p>
    <w:p w14:paraId="7BAF045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04476B1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14:paraId="42E4C672"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p w14:paraId="5D9DE2D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1</w:t>
      </w:r>
      <w:r>
        <w:rPr>
          <w:rFonts w:hint="eastAsia"/>
          <w:bCs/>
          <w:sz w:val="24"/>
        </w:rPr>
        <w:t>、债券投资策略</w:t>
      </w:r>
    </w:p>
    <w:p w14:paraId="0D156E9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（1）久期调整策略</w:t>
      </w:r>
    </w:p>
    <w:p w14:paraId="0A4047B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本基金根据中长期宏观经济走势和经济周期波动趋势，判断债券市场未来的走</w:t>
      </w:r>
      <w:r>
        <w:rPr>
          <w:rFonts w:ascii="宋体" w:hAnsi="宋体"/>
          <w:sz w:val="24"/>
        </w:rPr>
        <w:lastRenderedPageBreak/>
        <w:t>势，并形成对未来市场利率变动方向的预期，动态调整组合久期。当预期收益率曲线下移时，适当提高组合久期，以分享债券市场上涨的收益；当预期收益率曲线上移时，适当降低组合久期，以规避债券市场下跌</w:t>
      </w:r>
      <w:r>
        <w:rPr>
          <w:rFonts w:ascii="宋体" w:hAnsi="宋体" w:hint="eastAsia"/>
          <w:sz w:val="24"/>
        </w:rPr>
        <w:t>的</w:t>
      </w:r>
      <w:r>
        <w:rPr>
          <w:rFonts w:ascii="宋体" w:hAnsi="宋体"/>
          <w:sz w:val="24"/>
        </w:rPr>
        <w:t>风险。</w:t>
      </w:r>
    </w:p>
    <w:p w14:paraId="5F0BD51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（2）债券的类属配置策略</w:t>
      </w:r>
    </w:p>
    <w:p w14:paraId="63FA307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021202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（3）期限结构配置策略</w:t>
      </w:r>
    </w:p>
    <w:p w14:paraId="61DBBF2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6420BF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（4）回购策略</w:t>
      </w:r>
    </w:p>
    <w:p w14:paraId="6ED2152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0C81DD1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（5）信用债券</w:t>
      </w:r>
      <w:r>
        <w:rPr>
          <w:rFonts w:hint="eastAsia"/>
          <w:bCs/>
          <w:sz w:val="24"/>
        </w:rPr>
        <w:t>（含资产支持证券，下同）</w:t>
      </w:r>
      <w:r>
        <w:rPr>
          <w:rFonts w:ascii="宋体" w:hAnsi="宋体"/>
          <w:sz w:val="24"/>
        </w:rPr>
        <w:t>投资策略</w:t>
      </w:r>
    </w:p>
    <w:p w14:paraId="6D0AD10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5302036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①信用债券研究</w:t>
      </w:r>
    </w:p>
    <w:p w14:paraId="0F49B56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w:t>
      </w:r>
      <w:r>
        <w:rPr>
          <w:rFonts w:ascii="宋体" w:hAnsi="宋体" w:hint="eastAsia"/>
          <w:sz w:val="24"/>
        </w:rPr>
        <w:t>基金管理人</w:t>
      </w:r>
      <w:r>
        <w:rPr>
          <w:rFonts w:ascii="宋体" w:hAnsi="宋体"/>
          <w:sz w:val="24"/>
        </w:rPr>
        <w:t>的信用债券信用评级指标体系，对信用债券进行信用评级，并在信用评级的基础上，建立本基金的信用债券池。</w:t>
      </w:r>
    </w:p>
    <w:p w14:paraId="19C002B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②信用债券筛选</w:t>
      </w:r>
    </w:p>
    <w:p w14:paraId="7635BE7C" w14:textId="77777777" w:rsidR="00CA59D4" w:rsidRDefault="006C2E2B">
      <w:pPr>
        <w:spacing w:line="360" w:lineRule="auto"/>
        <w:ind w:firstLineChars="200" w:firstLine="480"/>
        <w:rPr>
          <w:bCs/>
          <w:sz w:val="24"/>
        </w:rPr>
      </w:pPr>
      <w:r>
        <w:rPr>
          <w:rFonts w:ascii="宋体" w:hAnsi="宋体"/>
          <w:sz w:val="24"/>
        </w:rPr>
        <w:t>本基金从信用债券池中精选债券构建信用债券投资组合</w:t>
      </w:r>
      <w:r>
        <w:rPr>
          <w:rFonts w:ascii="宋体" w:hAnsi="宋体" w:hint="eastAsia"/>
          <w:sz w:val="24"/>
        </w:rPr>
        <w:t>。</w:t>
      </w:r>
    </w:p>
    <w:p w14:paraId="06D9933C" w14:textId="77777777" w:rsidR="00CA59D4" w:rsidRDefault="006C2E2B">
      <w:pPr>
        <w:spacing w:line="360" w:lineRule="auto"/>
        <w:ind w:firstLineChars="200" w:firstLine="480"/>
        <w:rPr>
          <w:bCs/>
          <w:sz w:val="24"/>
        </w:rPr>
      </w:pPr>
      <w:r>
        <w:rPr>
          <w:rFonts w:hint="eastAsia"/>
          <w:bCs/>
          <w:sz w:val="24"/>
        </w:rPr>
        <w:t>本基金主动投资的信用债（含资产支持证券，下同）为信用评级在</w:t>
      </w:r>
      <w:r>
        <w:rPr>
          <w:rFonts w:ascii="Times New Roman" w:hAnsi="Times New Roman"/>
          <w:bCs/>
          <w:sz w:val="24"/>
        </w:rPr>
        <w:t>AA+</w:t>
      </w:r>
      <w:r>
        <w:rPr>
          <w:rFonts w:ascii="Times New Roman" w:hAnsi="Times New Roman" w:hint="eastAsia"/>
          <w:bCs/>
          <w:sz w:val="24"/>
        </w:rPr>
        <w:t>级（含）以上的信用债，对信用评级的认定参照基金管理人选定的评级机构出具的信</w:t>
      </w:r>
      <w:r>
        <w:rPr>
          <w:rFonts w:ascii="Times New Roman" w:hAnsi="Times New Roman" w:hint="eastAsia"/>
          <w:bCs/>
          <w:sz w:val="24"/>
        </w:rPr>
        <w:lastRenderedPageBreak/>
        <w:t>用评级，其中，信用债的信用评级依照评级机构出具的债项信用评级，若无债项信用评级的，依照其主体信用评级</w:t>
      </w:r>
      <w:r>
        <w:rPr>
          <w:rFonts w:hint="eastAsia"/>
          <w:bCs/>
          <w:sz w:val="24"/>
        </w:rPr>
        <w:t>，其中本基金投资的短期融资券、超短期融资券、短期公司债券等短期信用债的信用评级依照评级机构出具的主体信用评级</w:t>
      </w:r>
      <w:r>
        <w:rPr>
          <w:rFonts w:ascii="Times New Roman" w:hAnsi="Times New Roman" w:hint="eastAsia"/>
          <w:bCs/>
          <w:sz w:val="24"/>
        </w:rPr>
        <w:t>。本基金投资于评级</w:t>
      </w:r>
      <w:r>
        <w:rPr>
          <w:rFonts w:ascii="Times New Roman" w:hAnsi="Times New Roman"/>
          <w:bCs/>
          <w:sz w:val="24"/>
        </w:rPr>
        <w:t>AA+</w:t>
      </w:r>
      <w:r>
        <w:rPr>
          <w:rFonts w:ascii="Times New Roman" w:hAnsi="Times New Roman" w:hint="eastAsia"/>
          <w:bCs/>
          <w:sz w:val="24"/>
        </w:rPr>
        <w:t>的信用债比例不高于信用债资产的</w:t>
      </w:r>
      <w:r>
        <w:rPr>
          <w:rFonts w:ascii="Times New Roman" w:hAnsi="Times New Roman"/>
          <w:bCs/>
          <w:sz w:val="24"/>
        </w:rPr>
        <w:t>50%</w:t>
      </w:r>
      <w:r>
        <w:rPr>
          <w:rFonts w:ascii="Times New Roman" w:hAnsi="Times New Roman" w:hint="eastAsia"/>
          <w:bCs/>
          <w:sz w:val="24"/>
        </w:rPr>
        <w:t>，投资于评级</w:t>
      </w:r>
      <w:r>
        <w:rPr>
          <w:rFonts w:ascii="Times New Roman" w:hAnsi="Times New Roman"/>
          <w:bCs/>
          <w:sz w:val="24"/>
        </w:rPr>
        <w:t>AAA</w:t>
      </w:r>
      <w:r>
        <w:rPr>
          <w:rFonts w:ascii="Times New Roman" w:hAnsi="Times New Roman" w:hint="eastAsia"/>
          <w:bCs/>
          <w:sz w:val="24"/>
        </w:rPr>
        <w:t>的信用债比例不低于信用债资产的</w:t>
      </w:r>
      <w:r>
        <w:rPr>
          <w:rFonts w:ascii="Times New Roman" w:hAnsi="Times New Roman"/>
          <w:bCs/>
          <w:sz w:val="24"/>
        </w:rPr>
        <w:t>50%</w:t>
      </w:r>
      <w:r>
        <w:rPr>
          <w:rFonts w:ascii="Times New Roman" w:hAnsi="Times New Roman" w:hint="eastAsia"/>
          <w:bCs/>
          <w:sz w:val="24"/>
        </w:rPr>
        <w:t>。因信用评级下降、证券市场波动、基金规模变动等基金管理人之外的因素致使基金投资比例不符合上述规定的，基金管理人应当在评级报告发布之日或不符合上述规定之日起</w:t>
      </w:r>
      <w:r>
        <w:rPr>
          <w:rFonts w:ascii="Times New Roman" w:hAnsi="Times New Roman"/>
          <w:bCs/>
          <w:sz w:val="24"/>
        </w:rPr>
        <w:t>3</w:t>
      </w:r>
      <w:r>
        <w:rPr>
          <w:rFonts w:hint="eastAsia"/>
          <w:bCs/>
          <w:sz w:val="24"/>
        </w:rPr>
        <w:t>个月内调整至符合规定。</w:t>
      </w:r>
    </w:p>
    <w:p w14:paraId="63F225C2" w14:textId="77777777" w:rsidR="00CA59D4" w:rsidRDefault="006C2E2B">
      <w:pPr>
        <w:autoSpaceDE w:val="0"/>
        <w:autoSpaceDN w:val="0"/>
        <w:adjustRightInd w:val="0"/>
        <w:snapToGrid w:val="0"/>
        <w:spacing w:line="360" w:lineRule="auto"/>
        <w:ind w:firstLineChars="200" w:firstLine="480"/>
        <w:jc w:val="left"/>
        <w:rPr>
          <w:bCs/>
          <w:sz w:val="24"/>
        </w:rPr>
      </w:pPr>
      <w:r>
        <w:rPr>
          <w:rFonts w:hint="eastAsia"/>
          <w:bCs/>
          <w:sz w:val="24"/>
        </w:rPr>
        <w:t>本基金构建和管理信用债券投资组合时主要考虑以下因素：</w:t>
      </w:r>
    </w:p>
    <w:p w14:paraId="5B9F6FD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a、信用债券信用评级的变化。</w:t>
      </w:r>
    </w:p>
    <w:p w14:paraId="0E91BE28"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0838C978" w14:textId="77777777" w:rsidR="00CA59D4" w:rsidRDefault="006C2E2B">
      <w:pPr>
        <w:spacing w:line="360" w:lineRule="auto"/>
        <w:ind w:firstLineChars="200" w:firstLine="480"/>
        <w:rPr>
          <w:rFonts w:ascii="Times New Roman" w:hAnsi="Times New Roman"/>
          <w:bCs/>
          <w:sz w:val="24"/>
        </w:rPr>
      </w:pPr>
      <w:r>
        <w:rPr>
          <w:rFonts w:ascii="Times New Roman" w:hAnsi="Times New Roman" w:hint="eastAsia"/>
          <w:bCs/>
          <w:sz w:val="24"/>
        </w:rPr>
        <w:t>2</w:t>
      </w:r>
      <w:r>
        <w:rPr>
          <w:rFonts w:ascii="Times New Roman" w:hAnsi="Times New Roman" w:hint="eastAsia"/>
          <w:bCs/>
          <w:sz w:val="24"/>
        </w:rPr>
        <w:t>、国债期货投资策略</w:t>
      </w:r>
    </w:p>
    <w:p w14:paraId="0595B845" w14:textId="77777777" w:rsidR="00CA59D4" w:rsidRDefault="006C2E2B">
      <w:pPr>
        <w:spacing w:line="360" w:lineRule="auto"/>
        <w:ind w:firstLineChars="200" w:firstLine="480"/>
        <w:rPr>
          <w:rFonts w:ascii="Times New Roman" w:hAnsi="Times New Roman"/>
          <w:bCs/>
          <w:sz w:val="24"/>
        </w:rPr>
      </w:pPr>
      <w:r>
        <w:rPr>
          <w:rFonts w:ascii="Times New Roman" w:hAnsi="Times New Roman" w:hint="eastAsia"/>
          <w:bCs/>
          <w:sz w:val="24"/>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基金管理人将充分考虑国债期货的收益性、流动性及风险性特征，利用金融衍生品的杠杆作用，以达到降低投资组合的整体风险的目的。</w:t>
      </w:r>
    </w:p>
    <w:p w14:paraId="5BCAE0F8" w14:textId="77777777" w:rsidR="00CA59D4" w:rsidRDefault="006C2E2B">
      <w:pPr>
        <w:spacing w:line="360" w:lineRule="auto"/>
        <w:ind w:firstLineChars="200" w:firstLine="480"/>
        <w:rPr>
          <w:rFonts w:ascii="Times New Roman" w:hAnsi="Times New Roman"/>
          <w:bCs/>
          <w:sz w:val="24"/>
        </w:rPr>
      </w:pPr>
      <w:r>
        <w:rPr>
          <w:rFonts w:ascii="Times New Roman" w:hAnsi="Times New Roman" w:hint="eastAsia"/>
          <w:bCs/>
          <w:sz w:val="24"/>
        </w:rPr>
        <w:t>3</w:t>
      </w:r>
      <w:r>
        <w:rPr>
          <w:rFonts w:ascii="Times New Roman" w:hAnsi="Times New Roman" w:hint="eastAsia"/>
          <w:bCs/>
          <w:sz w:val="24"/>
        </w:rPr>
        <w:t>、信用衍生品投资策略</w:t>
      </w:r>
    </w:p>
    <w:p w14:paraId="112562E3" w14:textId="77777777" w:rsidR="00CA59D4" w:rsidRDefault="006C2E2B">
      <w:pPr>
        <w:spacing w:line="360" w:lineRule="auto"/>
        <w:ind w:firstLineChars="200" w:firstLine="480"/>
        <w:rPr>
          <w:rFonts w:ascii="Times New Roman" w:hAnsi="Times New Roman"/>
          <w:bCs/>
          <w:sz w:val="24"/>
        </w:rPr>
      </w:pPr>
      <w:r>
        <w:rPr>
          <w:rFonts w:ascii="Times New Roman" w:hAnsi="Times New Roman" w:hint="eastAsia"/>
          <w:bCs/>
          <w:sz w:val="24"/>
        </w:rPr>
        <w:t>本基金按照风险管理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624F5B4E" w14:textId="77777777" w:rsidR="00CA59D4" w:rsidRDefault="006C2E2B">
      <w:pPr>
        <w:spacing w:line="360" w:lineRule="auto"/>
        <w:ind w:firstLineChars="200" w:firstLine="480"/>
        <w:rPr>
          <w:rFonts w:ascii="宋体" w:hAnsi="宋体"/>
          <w:szCs w:val="24"/>
        </w:rPr>
      </w:pPr>
      <w:r>
        <w:rPr>
          <w:rFonts w:ascii="Times New Roman" w:hAnsi="Times New Roman"/>
          <w:bCs/>
          <w:sz w:val="24"/>
        </w:rPr>
        <w:t>未来，随着投资工具的发展和丰富，基金管理人可以在不改变投资目标的前提下，</w:t>
      </w:r>
      <w:r>
        <w:rPr>
          <w:rFonts w:ascii="Times New Roman" w:hAnsi="Times New Roman" w:hint="eastAsia"/>
          <w:bCs/>
          <w:sz w:val="24"/>
        </w:rPr>
        <w:t>在履行适当程序之后，</w:t>
      </w:r>
      <w:r>
        <w:rPr>
          <w:rFonts w:ascii="Times New Roman" w:hAnsi="Times New Roman"/>
          <w:bCs/>
          <w:sz w:val="24"/>
        </w:rPr>
        <w:t>相应调整和更新相关投资策略，并在招募说明书中更新，而无需召开基金份额持有人大会。</w:t>
      </w:r>
    </w:p>
    <w:p w14:paraId="196EAC0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14:paraId="45CB846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2BA446A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基金的投资组合应遵循以下限制：</w:t>
      </w:r>
    </w:p>
    <w:p w14:paraId="5837549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p>
    <w:p w14:paraId="5DB4786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hint="eastAsia"/>
          <w:bCs/>
          <w:sz w:val="24"/>
        </w:rPr>
        <w:t>每个交易日日终在扣除国债期货合约需缴纳的交易保证金后，</w:t>
      </w:r>
      <w:r>
        <w:rPr>
          <w:rFonts w:ascii="宋体" w:hAnsi="宋体"/>
          <w:sz w:val="24"/>
        </w:rPr>
        <w:t>本基金持有的现金或到期日在一年以内的政府债券的比例合计不低于基金资产净值的5%，其中现金不包括结算备付金、存出保证金、应收申购款等；</w:t>
      </w:r>
    </w:p>
    <w:p w14:paraId="6F7CAC1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1CE2B49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（4）本基金管理人管理的全部基金持有一家公司发行的证券，不超过该证券的10％，完全按照有关指数的构成比例进行证券投资的基金品种可以不受此条款规定的比例限制；</w:t>
      </w:r>
    </w:p>
    <w:p w14:paraId="4035D9C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6CF126A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7A64895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7DF5C31E"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（8）本基金管理人管理的全部基金投资于同一原始权益人的各类资产支持证券，不得超过其各类资产支持证券合计规模的10％；</w:t>
      </w:r>
    </w:p>
    <w:p w14:paraId="584B411F" w14:textId="77777777" w:rsidR="00CA59D4" w:rsidRDefault="006C2E2B">
      <w:pPr>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bCs/>
          <w:sz w:val="24"/>
        </w:rPr>
        <w:t>9</w:t>
      </w:r>
      <w:r>
        <w:rPr>
          <w:rFonts w:ascii="Times New Roman" w:hAnsi="Times New Roman" w:hint="eastAsia"/>
          <w:bCs/>
          <w:sz w:val="24"/>
        </w:rPr>
        <w:t>）本基金参与国债期货交易，需遵守下列投资比例限制：</w:t>
      </w:r>
    </w:p>
    <w:p w14:paraId="5A0E1967" w14:textId="77777777" w:rsidR="00CA59D4" w:rsidRDefault="006C2E2B">
      <w:pPr>
        <w:spacing w:line="360" w:lineRule="auto"/>
        <w:ind w:firstLineChars="200" w:firstLine="480"/>
        <w:rPr>
          <w:rFonts w:ascii="Times New Roman" w:hAnsi="Times New Roman"/>
          <w:bCs/>
          <w:sz w:val="24"/>
        </w:rPr>
      </w:pPr>
      <w:r>
        <w:rPr>
          <w:rFonts w:ascii="Times New Roman" w:hAnsi="Times New Roman"/>
          <w:bCs/>
          <w:sz w:val="24"/>
        </w:rPr>
        <w:t>1</w:t>
      </w:r>
      <w:r>
        <w:rPr>
          <w:rFonts w:ascii="Times New Roman" w:hAnsi="Times New Roman" w:hint="eastAsia"/>
          <w:bCs/>
          <w:sz w:val="24"/>
        </w:rPr>
        <w:t>）在任何交易日日终，持有的买入国债期货合约价值，不得超过基金资产净值的</w:t>
      </w:r>
      <w:r>
        <w:rPr>
          <w:rFonts w:ascii="Times New Roman" w:hAnsi="Times New Roman"/>
          <w:bCs/>
          <w:sz w:val="24"/>
        </w:rPr>
        <w:t>15%</w:t>
      </w:r>
      <w:r>
        <w:rPr>
          <w:rFonts w:ascii="Times New Roman" w:hAnsi="Times New Roman" w:hint="eastAsia"/>
          <w:bCs/>
          <w:sz w:val="24"/>
        </w:rPr>
        <w:t>；</w:t>
      </w:r>
    </w:p>
    <w:p w14:paraId="69F167C5" w14:textId="77777777" w:rsidR="00CA59D4" w:rsidRDefault="006C2E2B">
      <w:pPr>
        <w:spacing w:line="360" w:lineRule="auto"/>
        <w:ind w:firstLineChars="200" w:firstLine="480"/>
        <w:rPr>
          <w:rFonts w:ascii="Times New Roman" w:hAnsi="Times New Roman"/>
          <w:bCs/>
          <w:sz w:val="24"/>
        </w:rPr>
      </w:pPr>
      <w:r>
        <w:rPr>
          <w:rFonts w:ascii="Times New Roman" w:hAnsi="Times New Roman"/>
          <w:bCs/>
          <w:sz w:val="24"/>
        </w:rPr>
        <w:t>2</w:t>
      </w:r>
      <w:r>
        <w:rPr>
          <w:rFonts w:ascii="Times New Roman" w:hAnsi="Times New Roman" w:hint="eastAsia"/>
          <w:bCs/>
          <w:sz w:val="24"/>
        </w:rPr>
        <w:t>）在任何交易日日终，持有的卖出国债期货合约价值不得超过基金持有的债券总市值的</w:t>
      </w:r>
      <w:r>
        <w:rPr>
          <w:rFonts w:ascii="Times New Roman" w:hAnsi="Times New Roman"/>
          <w:bCs/>
          <w:sz w:val="24"/>
        </w:rPr>
        <w:t>30%</w:t>
      </w:r>
      <w:r>
        <w:rPr>
          <w:rFonts w:ascii="Times New Roman" w:hAnsi="Times New Roman" w:hint="eastAsia"/>
          <w:bCs/>
          <w:sz w:val="24"/>
        </w:rPr>
        <w:t>；</w:t>
      </w:r>
    </w:p>
    <w:p w14:paraId="6D26EB39" w14:textId="77777777" w:rsidR="00CA59D4" w:rsidRDefault="006C2E2B">
      <w:pPr>
        <w:spacing w:line="360" w:lineRule="auto"/>
        <w:ind w:firstLineChars="200" w:firstLine="480"/>
        <w:rPr>
          <w:rFonts w:ascii="Times New Roman" w:hAnsi="Times New Roman"/>
          <w:bCs/>
          <w:sz w:val="24"/>
        </w:rPr>
      </w:pPr>
      <w:r>
        <w:rPr>
          <w:rFonts w:ascii="Times New Roman" w:hAnsi="Times New Roman"/>
          <w:bCs/>
          <w:sz w:val="24"/>
        </w:rPr>
        <w:t>3</w:t>
      </w:r>
      <w:r>
        <w:rPr>
          <w:rFonts w:ascii="Times New Roman" w:hAnsi="Times New Roman" w:hint="eastAsia"/>
          <w:bCs/>
          <w:sz w:val="24"/>
        </w:rPr>
        <w:t>）基金在任何交易日内交易（不包括平仓）的国债期货合约的成交金额不得超过上一交易日基金资产净值的</w:t>
      </w:r>
      <w:r>
        <w:rPr>
          <w:rFonts w:ascii="Times New Roman" w:hAnsi="Times New Roman"/>
          <w:bCs/>
          <w:sz w:val="24"/>
        </w:rPr>
        <w:t>30%</w:t>
      </w:r>
      <w:r>
        <w:rPr>
          <w:rFonts w:ascii="Times New Roman" w:hAnsi="Times New Roman" w:hint="eastAsia"/>
          <w:bCs/>
          <w:sz w:val="24"/>
        </w:rPr>
        <w:t>；</w:t>
      </w:r>
    </w:p>
    <w:p w14:paraId="091AD0D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bCs/>
          <w:sz w:val="24"/>
        </w:rPr>
        <w:t>4</w:t>
      </w:r>
      <w:r>
        <w:rPr>
          <w:rFonts w:ascii="Times New Roman" w:hAnsi="Times New Roman" w:hint="eastAsia"/>
          <w:bCs/>
          <w:sz w:val="24"/>
        </w:rPr>
        <w:t>）本基金所持有的债券（不含到期日在一年以内的政府债券）市值和买入、卖出国债期货合约价值，合计（轧差计算）应当符合基金合同关于债券投资比例的有关约定；</w:t>
      </w:r>
    </w:p>
    <w:p w14:paraId="64C96CA3"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10）本基金不持有具有信用保护卖方属性的信用衍生品，不持有合约类信用衍生品；本基金投资的信用衍生品名义本金不得超过本基金中对应受保护债券面值的100%；本基金投资于同一信用保护卖方的各类信用衍生品名义本金合计不得超过</w:t>
      </w:r>
      <w:r>
        <w:rPr>
          <w:rFonts w:ascii="宋体" w:hAnsi="宋体" w:hint="eastAsia"/>
          <w:sz w:val="24"/>
        </w:rPr>
        <w:lastRenderedPageBreak/>
        <w:t>基金资产净值的10%；因证券/期货市场波动、证券发行人合并、基金规模变动等基金管理人之外的因素致使基金不符合前述所规定比例限制的，基金管理人应在3个月之内进行调整；</w:t>
      </w:r>
    </w:p>
    <w:p w14:paraId="1E59A872"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11）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709FE139"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（12）本基金与私募类证券资管产品及中国证监会认定的其他主体为交易对手开展逆回购交易的，可接受质押品的资质要求应当与基金合同约定的投资范围保持一致；</w:t>
      </w:r>
    </w:p>
    <w:p w14:paraId="4090304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（13）本基金资产总值不超过基金资产净值的140%；</w:t>
      </w:r>
    </w:p>
    <w:p w14:paraId="769A100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（14）法律法规及中国证监会规定的和《基金合同》约定的其他投资限制。</w:t>
      </w:r>
    </w:p>
    <w:p w14:paraId="0F66BC4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除上述（2）、（10）、（11）、（12）情形之外，因证券</w:t>
      </w:r>
      <w:r>
        <w:rPr>
          <w:rFonts w:hint="eastAsia"/>
          <w:bCs/>
          <w:sz w:val="24"/>
        </w:rPr>
        <w:t>/</w:t>
      </w:r>
      <w:r>
        <w:rPr>
          <w:rFonts w:hint="eastAsia"/>
          <w:bCs/>
          <w:sz w:val="24"/>
        </w:rPr>
        <w:t>期货</w:t>
      </w:r>
      <w:r>
        <w:rPr>
          <w:rFonts w:ascii="宋体" w:hAnsi="宋体"/>
          <w:sz w:val="24"/>
        </w:rPr>
        <w:t>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7350FB6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4CA816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法律法规或监管部门取消或变更上述限制，如适用于本基金，基金管理人在履行适当程序后，则本基金投资不再受相关限制或以变更后的规定为准。</w:t>
      </w:r>
    </w:p>
    <w:p w14:paraId="67D4241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507A4D7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7EFBB64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198BF9D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29FD5EB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78284F2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3D706FF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1D85365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1A839ED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4671B77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w:t>
      </w:r>
      <w:r>
        <w:rPr>
          <w:rFonts w:ascii="宋体" w:hAnsi="宋体"/>
          <w:sz w:val="24"/>
        </w:rPr>
        <w:lastRenderedPageBreak/>
        <w:t>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398E2E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如法律、行政法规或监管部门取消或变更上述规定，如适用于本基金，基金管理人在履行适当程序后，本基金可不受上述规定的限制或以变更后的规定为准。</w:t>
      </w:r>
    </w:p>
    <w:p w14:paraId="6B46272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7D594F45" w14:textId="77777777" w:rsidR="00CA59D4" w:rsidRDefault="006C2E2B">
      <w:pPr>
        <w:spacing w:line="360" w:lineRule="auto"/>
        <w:ind w:firstLineChars="200" w:firstLine="480"/>
        <w:rPr>
          <w:rFonts w:ascii="宋体" w:hAnsi="宋体"/>
          <w:sz w:val="24"/>
        </w:rPr>
      </w:pPr>
      <w:r>
        <w:rPr>
          <w:rFonts w:ascii="宋体" w:hAnsi="宋体" w:hint="eastAsia"/>
          <w:sz w:val="24"/>
        </w:rPr>
        <w:t>中债综合全价指数收益率×</w:t>
      </w:r>
      <w:r>
        <w:rPr>
          <w:rFonts w:ascii="宋体" w:hAnsi="宋体"/>
          <w:sz w:val="24"/>
        </w:rPr>
        <w:t>90</w:t>
      </w:r>
      <w:r>
        <w:rPr>
          <w:rFonts w:ascii="宋体" w:hAnsi="宋体" w:hint="eastAsia"/>
          <w:sz w:val="24"/>
        </w:rPr>
        <w:t>%+人民币活期存款利率(税后)×</w:t>
      </w:r>
      <w:r>
        <w:rPr>
          <w:rFonts w:ascii="宋体" w:hAnsi="宋体"/>
          <w:sz w:val="24"/>
        </w:rPr>
        <w:t>10</w:t>
      </w:r>
      <w:r>
        <w:rPr>
          <w:rFonts w:ascii="宋体" w:hAnsi="宋体" w:hint="eastAsia"/>
          <w:sz w:val="24"/>
        </w:rPr>
        <w:t>%</w:t>
      </w:r>
    </w:p>
    <w:p w14:paraId="6643022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债券部分业绩比较基准较为合适。</w:t>
      </w:r>
    </w:p>
    <w:p w14:paraId="33B758C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w:t>
      </w:r>
      <w:r>
        <w:rPr>
          <w:rFonts w:ascii="宋体" w:hAnsi="宋体" w:hint="eastAsia"/>
          <w:sz w:val="24"/>
        </w:rPr>
        <w:t>基金</w:t>
      </w:r>
      <w:r>
        <w:rPr>
          <w:rFonts w:ascii="宋体" w:hAnsi="宋体"/>
          <w:sz w:val="24"/>
        </w:rPr>
        <w:t>管理人可与本基金</w:t>
      </w:r>
      <w:r>
        <w:rPr>
          <w:rFonts w:ascii="宋体" w:hAnsi="宋体" w:hint="eastAsia"/>
          <w:sz w:val="24"/>
        </w:rPr>
        <w:t>基金</w:t>
      </w:r>
      <w:r>
        <w:rPr>
          <w:rFonts w:ascii="宋体" w:hAnsi="宋体"/>
          <w:sz w:val="24"/>
        </w:rPr>
        <w:t>托管人协商一致后，</w:t>
      </w:r>
      <w:r>
        <w:rPr>
          <w:rFonts w:hint="eastAsia"/>
          <w:bCs/>
          <w:sz w:val="24"/>
        </w:rPr>
        <w:t>在按照监管部门要求履行适当程序后</w:t>
      </w:r>
      <w:r>
        <w:rPr>
          <w:rFonts w:ascii="宋体" w:hAnsi="宋体"/>
          <w:sz w:val="24"/>
        </w:rPr>
        <w:t>调整或变更本基金的业绩比较基准并及时</w:t>
      </w:r>
      <w:r>
        <w:rPr>
          <w:rFonts w:hint="eastAsia"/>
          <w:bCs/>
          <w:sz w:val="24"/>
        </w:rPr>
        <w:t>在规定媒介上</w:t>
      </w:r>
      <w:r>
        <w:rPr>
          <w:rFonts w:ascii="宋体" w:hAnsi="宋体"/>
          <w:sz w:val="24"/>
        </w:rPr>
        <w:t>公告。</w:t>
      </w:r>
    </w:p>
    <w:p w14:paraId="1BD5C1B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14:paraId="7275EAF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w:t>
      </w:r>
      <w:r>
        <w:rPr>
          <w:rFonts w:ascii="宋体" w:hAnsi="宋体" w:hint="eastAsia"/>
          <w:sz w:val="24"/>
        </w:rPr>
        <w:t>理论上</w:t>
      </w:r>
      <w:r>
        <w:rPr>
          <w:rFonts w:ascii="宋体" w:hAnsi="宋体"/>
          <w:sz w:val="24"/>
        </w:rPr>
        <w:t>高于货币市场基金，低于混合型基金和股票型基金。</w:t>
      </w:r>
    </w:p>
    <w:p w14:paraId="30C2E86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（七）基金管理人代表基金行使债权人权利的处理原则及方法</w:t>
      </w:r>
    </w:p>
    <w:p w14:paraId="4059C05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4E354B3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hint="eastAsia"/>
          <w:sz w:val="24"/>
        </w:rPr>
        <w:t>、</w:t>
      </w:r>
      <w:r>
        <w:rPr>
          <w:rFonts w:ascii="宋体" w:hAnsi="宋体"/>
          <w:sz w:val="24"/>
        </w:rPr>
        <w:t>有利于基金财产的安全与增值；</w:t>
      </w:r>
    </w:p>
    <w:p w14:paraId="6D931C8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3、不通过关联交易为自身、雇员、授权代理人或任何存在利害关系的第三人牟取任何不当利益。</w:t>
      </w:r>
    </w:p>
    <w:p w14:paraId="3FBA2C9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（八）侧袋机制的实施和投资运作安排</w:t>
      </w:r>
    </w:p>
    <w:p w14:paraId="644CF2D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w:t>
      </w:r>
      <w:r>
        <w:rPr>
          <w:rFonts w:ascii="宋体" w:hAnsi="宋体"/>
          <w:sz w:val="24"/>
        </w:rPr>
        <w:lastRenderedPageBreak/>
        <w:t>额持有人利益的原则，基金管理人经与基金托管人协商一致，并咨询会计师事务所意见后，可以依照法律法规及基金合同的约定启用侧袋机制。</w:t>
      </w:r>
    </w:p>
    <w:p w14:paraId="770C3FF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2BFE291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14:paraId="507A3848" w14:textId="77777777" w:rsidR="00CA59D4" w:rsidRDefault="00CA59D4">
      <w:pPr>
        <w:autoSpaceDE w:val="0"/>
        <w:autoSpaceDN w:val="0"/>
        <w:adjustRightInd w:val="0"/>
        <w:snapToGrid w:val="0"/>
        <w:spacing w:line="360" w:lineRule="auto"/>
        <w:ind w:firstLineChars="200" w:firstLine="420"/>
        <w:jc w:val="left"/>
        <w:rPr>
          <w:rFonts w:ascii="宋体" w:hAnsi="宋体"/>
          <w:szCs w:val="24"/>
        </w:rPr>
      </w:pPr>
    </w:p>
    <w:p w14:paraId="7BCE0A74" w14:textId="77777777" w:rsidR="00CA59D4" w:rsidRDefault="00CA59D4">
      <w:pPr>
        <w:autoSpaceDE w:val="0"/>
        <w:autoSpaceDN w:val="0"/>
        <w:adjustRightInd w:val="0"/>
        <w:snapToGrid w:val="0"/>
        <w:spacing w:line="360" w:lineRule="auto"/>
        <w:ind w:firstLineChars="200" w:firstLine="420"/>
        <w:jc w:val="left"/>
        <w:rPr>
          <w:rFonts w:ascii="宋体" w:hAnsi="宋体"/>
          <w:szCs w:val="24"/>
        </w:rPr>
      </w:pPr>
    </w:p>
    <w:p w14:paraId="2A73FE5A" w14:textId="77777777" w:rsidR="00CA59D4" w:rsidRDefault="006C2E2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EF18010" w14:textId="77777777" w:rsidR="00CA59D4" w:rsidRDefault="006C2E2B">
      <w:pPr>
        <w:pStyle w:val="1"/>
        <w:snapToGrid w:val="0"/>
        <w:spacing w:beforeLines="0" w:before="240" w:after="240"/>
        <w:rPr>
          <w:rFonts w:ascii="宋体" w:hAnsi="宋体"/>
          <w:szCs w:val="30"/>
        </w:rPr>
      </w:pPr>
      <w:bookmarkStart w:id="24" w:name="_Toc104564193"/>
      <w:bookmarkStart w:id="25" w:name="_Hlk101008077"/>
      <w:bookmarkEnd w:id="22"/>
      <w:r>
        <w:rPr>
          <w:rFonts w:ascii="Times New Roman" w:hAnsi="Times New Roman"/>
          <w:sz w:val="30"/>
        </w:rPr>
        <w:lastRenderedPageBreak/>
        <w:t>十、基金的财产</w:t>
      </w:r>
      <w:bookmarkEnd w:id="24"/>
    </w:p>
    <w:p w14:paraId="51CAB69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68CB6AF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w:t>
      </w:r>
      <w:r>
        <w:rPr>
          <w:rFonts w:hint="eastAsia"/>
          <w:bCs/>
          <w:sz w:val="24"/>
        </w:rPr>
        <w:t>国债期货合约、</w:t>
      </w:r>
      <w:r>
        <w:rPr>
          <w:rFonts w:ascii="宋体" w:hAnsi="宋体"/>
          <w:sz w:val="24"/>
        </w:rPr>
        <w:t>银行存款本息、基金应收款</w:t>
      </w:r>
      <w:r>
        <w:rPr>
          <w:rFonts w:ascii="宋体" w:hAnsi="宋体" w:hint="eastAsia"/>
          <w:sz w:val="24"/>
        </w:rPr>
        <w:t>项</w:t>
      </w:r>
      <w:r>
        <w:rPr>
          <w:rFonts w:ascii="宋体" w:hAnsi="宋体"/>
          <w:sz w:val="24"/>
        </w:rPr>
        <w:t>及其他资产的价值总和。</w:t>
      </w:r>
    </w:p>
    <w:p w14:paraId="5ED4453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1070895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48512B6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6CFA66E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5D4B9CD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38CDB36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66896E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5726BB2" w14:textId="77777777" w:rsidR="00CA59D4" w:rsidRDefault="006C2E2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19A5998" w14:textId="77777777" w:rsidR="00CA59D4" w:rsidRDefault="006C2E2B">
      <w:pPr>
        <w:pStyle w:val="1"/>
        <w:snapToGrid w:val="0"/>
        <w:spacing w:beforeLines="0" w:before="240" w:after="240"/>
        <w:rPr>
          <w:rFonts w:ascii="宋体" w:hAnsi="宋体"/>
          <w:szCs w:val="30"/>
        </w:rPr>
      </w:pPr>
      <w:bookmarkStart w:id="26" w:name="_Toc104564194"/>
      <w:bookmarkStart w:id="27" w:name="_Hlk101008085"/>
      <w:bookmarkEnd w:id="25"/>
      <w:r>
        <w:rPr>
          <w:rFonts w:ascii="Times New Roman" w:hAnsi="Times New Roman"/>
          <w:sz w:val="30"/>
        </w:rPr>
        <w:lastRenderedPageBreak/>
        <w:t>十</w:t>
      </w:r>
      <w:r>
        <w:rPr>
          <w:rFonts w:ascii="Times New Roman" w:hAnsi="Times New Roman" w:hint="eastAsia"/>
          <w:sz w:val="30"/>
        </w:rPr>
        <w:t>一</w:t>
      </w:r>
      <w:r>
        <w:rPr>
          <w:rFonts w:ascii="Times New Roman" w:hAnsi="Times New Roman"/>
          <w:sz w:val="30"/>
        </w:rPr>
        <w:t>、基金资产的估值</w:t>
      </w:r>
      <w:bookmarkEnd w:id="26"/>
    </w:p>
    <w:p w14:paraId="196BCC1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5781B78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266B3A6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7AAB8C8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w:t>
      </w:r>
      <w:r>
        <w:rPr>
          <w:rFonts w:hint="eastAsia"/>
          <w:bCs/>
          <w:sz w:val="24"/>
        </w:rPr>
        <w:t>、国债期货合约、</w:t>
      </w:r>
      <w:r>
        <w:rPr>
          <w:bCs/>
          <w:sz w:val="24"/>
        </w:rPr>
        <w:t>资产支持证券</w:t>
      </w:r>
      <w:r>
        <w:rPr>
          <w:rFonts w:hint="eastAsia"/>
          <w:bCs/>
          <w:sz w:val="24"/>
        </w:rPr>
        <w:t>、信用衍生品</w:t>
      </w:r>
      <w:r>
        <w:rPr>
          <w:rFonts w:ascii="宋体" w:hAnsi="宋体"/>
          <w:sz w:val="24"/>
        </w:rPr>
        <w:t>和其他投资等持续以公允价值计量的金融资产及负债。</w:t>
      </w:r>
    </w:p>
    <w:p w14:paraId="223B097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（三）估值原则</w:t>
      </w:r>
    </w:p>
    <w:p w14:paraId="4DE6B56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14:paraId="26CB145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7D7AC6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w:t>
      </w:r>
      <w:r>
        <w:rPr>
          <w:rFonts w:ascii="宋体" w:hAnsi="宋体" w:hint="eastAsia"/>
          <w:sz w:val="24"/>
        </w:rPr>
        <w:t>相</w:t>
      </w:r>
      <w:r>
        <w:rPr>
          <w:rFonts w:ascii="宋体" w:hAnsi="宋体"/>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7FE267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C157EE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14:paraId="1FB2A3E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（四）估值方法</w:t>
      </w:r>
    </w:p>
    <w:p w14:paraId="2345FCE1" w14:textId="77777777" w:rsidR="00CA59D4" w:rsidRDefault="006C2E2B">
      <w:pPr>
        <w:spacing w:line="360" w:lineRule="auto"/>
        <w:ind w:firstLineChars="200" w:firstLine="480"/>
        <w:rPr>
          <w:rFonts w:ascii="宋体" w:hAnsi="宋体"/>
          <w:sz w:val="24"/>
        </w:rPr>
      </w:pPr>
      <w:r>
        <w:rPr>
          <w:rFonts w:ascii="宋体" w:hAnsi="宋体" w:hint="eastAsia"/>
          <w:sz w:val="24"/>
        </w:rPr>
        <w:t>1、对于已上市或已挂牌转让的不含权固定收益品种</w:t>
      </w:r>
      <w:r>
        <w:rPr>
          <w:rFonts w:ascii="宋体" w:hAnsi="宋体" w:hint="eastAsia"/>
          <w:bCs/>
          <w:sz w:val="24"/>
        </w:rPr>
        <w:t>（另有规定的除外）</w:t>
      </w:r>
      <w:r>
        <w:rPr>
          <w:rFonts w:ascii="宋体" w:hAnsi="宋体" w:hint="eastAsia"/>
          <w:sz w:val="24"/>
        </w:rPr>
        <w:t>，选取</w:t>
      </w:r>
      <w:r>
        <w:rPr>
          <w:rFonts w:ascii="宋体" w:hAnsi="宋体" w:hint="eastAsia"/>
          <w:sz w:val="24"/>
        </w:rPr>
        <w:lastRenderedPageBreak/>
        <w:t>第三方估值基准服务机构提供的相应品种当日的估值全价进行估值。</w:t>
      </w:r>
    </w:p>
    <w:p w14:paraId="4F030D2B" w14:textId="77777777" w:rsidR="00CA59D4" w:rsidRDefault="006C2E2B">
      <w:pPr>
        <w:spacing w:line="360" w:lineRule="auto"/>
        <w:ind w:firstLineChars="200" w:firstLine="480"/>
        <w:rPr>
          <w:rFonts w:ascii="宋体" w:hAnsi="宋体"/>
          <w:sz w:val="24"/>
        </w:rPr>
      </w:pPr>
      <w:r>
        <w:rPr>
          <w:rFonts w:ascii="宋体" w:hAnsi="宋体" w:hint="eastAsia"/>
          <w:sz w:val="24"/>
        </w:rPr>
        <w:t>2、对于已上市或已挂牌转让的含权固定收益品种</w:t>
      </w:r>
      <w:r>
        <w:rPr>
          <w:rFonts w:ascii="宋体" w:hAnsi="宋体" w:hint="eastAsia"/>
          <w:bCs/>
          <w:sz w:val="24"/>
        </w:rPr>
        <w:t>（另有规定的除外）</w:t>
      </w:r>
      <w:r>
        <w:rPr>
          <w:rFonts w:ascii="宋体" w:hAnsi="宋体" w:hint="eastAsia"/>
          <w:sz w:val="24"/>
        </w:rPr>
        <w:t>，选取第三方估值基准服务机构提供的相应品种当日的唯一估值全价或推荐估值全价进行估值。</w:t>
      </w:r>
    </w:p>
    <w:p w14:paraId="431D04C3" w14:textId="77777777" w:rsidR="00CA59D4" w:rsidRDefault="006C2E2B">
      <w:pPr>
        <w:spacing w:line="360" w:lineRule="auto"/>
        <w:ind w:firstLineChars="200" w:firstLine="480"/>
        <w:rPr>
          <w:rFonts w:ascii="宋体" w:hAnsi="宋体"/>
          <w:sz w:val="24"/>
        </w:rPr>
      </w:pPr>
      <w:r>
        <w:rPr>
          <w:rFonts w:ascii="宋体" w:hAnsi="宋体" w:hint="eastAsia"/>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建议按照长待偿期所对应的价格进行估值。</w:t>
      </w:r>
    </w:p>
    <w:p w14:paraId="4B4C7405" w14:textId="77777777" w:rsidR="00CA59D4" w:rsidRDefault="006C2E2B">
      <w:pPr>
        <w:spacing w:line="360" w:lineRule="auto"/>
        <w:ind w:firstLineChars="200" w:firstLine="480"/>
        <w:rPr>
          <w:rFonts w:ascii="宋体" w:hAnsi="宋体"/>
          <w:sz w:val="24"/>
        </w:rPr>
      </w:pPr>
      <w:r>
        <w:rPr>
          <w:rFonts w:ascii="宋体" w:hAnsi="宋体" w:hint="eastAsia"/>
          <w:sz w:val="24"/>
        </w:rPr>
        <w:t>3、对于未上市或未挂牌转让且不存在活跃市场的固定收益品种，采用在当前情况下适用并且有足够可利用数据和其他信息支持的估值技术确定其公允价值。</w:t>
      </w:r>
    </w:p>
    <w:p w14:paraId="4F0BD316" w14:textId="77777777" w:rsidR="00CA59D4" w:rsidRDefault="006C2E2B">
      <w:pPr>
        <w:spacing w:line="360" w:lineRule="auto"/>
        <w:ind w:firstLineChars="200" w:firstLine="480"/>
        <w:rPr>
          <w:rFonts w:ascii="宋体" w:hAnsi="宋体"/>
          <w:sz w:val="24"/>
        </w:rPr>
      </w:pPr>
      <w:r>
        <w:rPr>
          <w:rFonts w:ascii="宋体" w:hAnsi="宋体"/>
          <w:sz w:val="24"/>
        </w:rPr>
        <w:t>4</w:t>
      </w:r>
      <w:r>
        <w:rPr>
          <w:rFonts w:ascii="宋体" w:hAnsi="宋体" w:hint="eastAsia"/>
          <w:sz w:val="24"/>
        </w:rPr>
        <w:t>、同一证券同时在两个或两个以上市场交易的，按证券所处的市场分别估值。</w:t>
      </w:r>
    </w:p>
    <w:p w14:paraId="13ADC2B8" w14:textId="77777777" w:rsidR="00CA59D4" w:rsidRDefault="006C2E2B">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、本基金投资国债期货合约，一般以估值当日结算价进行估值，估值当日无结算价的，且最近交易日后经济环境未发生重大变化的，采用最近交易日结算价估值。</w:t>
      </w:r>
    </w:p>
    <w:p w14:paraId="0C13CA83" w14:textId="77777777" w:rsidR="00CA59D4" w:rsidRDefault="006C2E2B">
      <w:pPr>
        <w:spacing w:line="360" w:lineRule="auto"/>
        <w:ind w:firstLineChars="200" w:firstLine="480"/>
        <w:rPr>
          <w:rFonts w:ascii="宋体" w:hAnsi="宋体"/>
          <w:sz w:val="24"/>
        </w:rPr>
      </w:pPr>
      <w:r>
        <w:rPr>
          <w:rFonts w:ascii="宋体" w:hAnsi="宋体"/>
          <w:sz w:val="24"/>
        </w:rPr>
        <w:t>6</w:t>
      </w:r>
      <w:r>
        <w:rPr>
          <w:rFonts w:ascii="宋体" w:hAnsi="宋体" w:hint="eastAsia"/>
          <w:sz w:val="24"/>
        </w:rPr>
        <w:t>、信用衍生品按第三方估值机构提供的当日估值价格进行估值，但基金管理人依法应当承担的估值责任不因委托而免除；选定的第三方估值机构未提供估值价格的，依照有关法律法规及《企业会计准则》要求采用合理估值技术确定公允价值。</w:t>
      </w:r>
    </w:p>
    <w:p w14:paraId="6E4CC9DF" w14:textId="77777777" w:rsidR="00CA59D4" w:rsidRDefault="006C2E2B">
      <w:pPr>
        <w:spacing w:line="360" w:lineRule="auto"/>
        <w:ind w:firstLineChars="200" w:firstLine="480"/>
        <w:rPr>
          <w:rFonts w:ascii="宋体" w:hAnsi="宋体"/>
          <w:sz w:val="24"/>
        </w:rPr>
      </w:pPr>
      <w:r>
        <w:rPr>
          <w:rFonts w:ascii="宋体" w:hAnsi="宋体"/>
          <w:sz w:val="24"/>
        </w:rPr>
        <w:t>7</w:t>
      </w:r>
      <w:r>
        <w:rPr>
          <w:rFonts w:ascii="宋体" w:hAnsi="宋体" w:hint="eastAsia"/>
          <w:sz w:val="24"/>
        </w:rPr>
        <w:t>、如有确凿证据表明按上述方法进行估值不能客观反映其公允价值的，基金管理人可根据具体情况与基金托管人商定后，按最能反映公允价值的价格估值。</w:t>
      </w:r>
    </w:p>
    <w:p w14:paraId="12E95864" w14:textId="77777777" w:rsidR="00CA59D4" w:rsidRDefault="006C2E2B">
      <w:pPr>
        <w:spacing w:line="360" w:lineRule="auto"/>
        <w:ind w:firstLineChars="200" w:firstLine="480"/>
        <w:rPr>
          <w:rFonts w:ascii="宋体" w:hAnsi="宋体"/>
          <w:sz w:val="24"/>
        </w:rPr>
      </w:pPr>
      <w:r>
        <w:rPr>
          <w:rFonts w:ascii="宋体" w:hAnsi="宋体"/>
          <w:sz w:val="24"/>
        </w:rPr>
        <w:t>8</w:t>
      </w:r>
      <w:r>
        <w:rPr>
          <w:rFonts w:ascii="宋体" w:hAnsi="宋体" w:hint="eastAsia"/>
          <w:sz w:val="24"/>
        </w:rPr>
        <w:t>、当发生大额申购或赎回情形时，基金管理人可以采用摆动定价机制，以确保基金估值的公平性。</w:t>
      </w:r>
    </w:p>
    <w:p w14:paraId="1CF0A8DB" w14:textId="77777777" w:rsidR="00CA59D4" w:rsidRDefault="006C2E2B">
      <w:pPr>
        <w:spacing w:line="360" w:lineRule="auto"/>
        <w:ind w:firstLineChars="200" w:firstLine="480"/>
        <w:rPr>
          <w:rFonts w:ascii="宋体" w:hAnsi="宋体"/>
          <w:sz w:val="24"/>
        </w:rPr>
      </w:pPr>
      <w:r>
        <w:rPr>
          <w:rFonts w:ascii="宋体" w:hAnsi="宋体"/>
          <w:sz w:val="24"/>
        </w:rPr>
        <w:t>9</w:t>
      </w:r>
      <w:r>
        <w:rPr>
          <w:rFonts w:ascii="宋体" w:hAnsi="宋体" w:hint="eastAsia"/>
          <w:sz w:val="24"/>
        </w:rPr>
        <w:t>、对于因税收规定调整或其他原因导致产品实际交纳税金与估算的应交税金有差异的，产品将在相关税金调整日或实际支付日进行相应的会计处理。</w:t>
      </w:r>
    </w:p>
    <w:p w14:paraId="578A99B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Pr>
          <w:rFonts w:ascii="宋体" w:hAnsi="宋体"/>
          <w:sz w:val="24"/>
        </w:rPr>
        <w:t>0</w:t>
      </w:r>
      <w:r>
        <w:rPr>
          <w:rFonts w:ascii="宋体" w:hAnsi="宋体" w:hint="eastAsia"/>
          <w:sz w:val="24"/>
        </w:rPr>
        <w:t>、相关法律法规以及监管部门有强制规定的，从其规定。如有新增事项，按国家最新规定估值。</w:t>
      </w:r>
    </w:p>
    <w:p w14:paraId="7B372E1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EEFD57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w:t>
      </w:r>
      <w:r>
        <w:rPr>
          <w:rFonts w:ascii="宋体" w:hAnsi="宋体"/>
          <w:sz w:val="24"/>
        </w:rPr>
        <w:lastRenderedPageBreak/>
        <w:t>题，如经相关各方在平等基础上充分讨论后，仍无法达成一致的意见，按照基金管理人对基金净值</w:t>
      </w:r>
      <w:r>
        <w:rPr>
          <w:rFonts w:ascii="宋体" w:hAnsi="宋体" w:hint="eastAsia"/>
          <w:sz w:val="24"/>
        </w:rPr>
        <w:t>信息</w:t>
      </w:r>
      <w:r>
        <w:rPr>
          <w:rFonts w:ascii="宋体" w:hAnsi="宋体"/>
          <w:sz w:val="24"/>
        </w:rPr>
        <w:t>的计算结果对外予以公布。</w:t>
      </w:r>
    </w:p>
    <w:p w14:paraId="21DCF73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14:paraId="3503FF2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任一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7560214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基金管理人于每个工作日计算各类基金份额的基金资产净值及基金份额净值，并按规定公告。如遇特殊情况，经履行适当程序，可以适当延迟计算或公告。</w:t>
      </w:r>
    </w:p>
    <w:p w14:paraId="03EA98A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w:t>
      </w:r>
      <w:r>
        <w:rPr>
          <w:rFonts w:ascii="宋体" w:hAnsi="宋体" w:hint="eastAsia"/>
          <w:sz w:val="24"/>
        </w:rPr>
        <w:t>，</w:t>
      </w:r>
      <w:r>
        <w:rPr>
          <w:rFonts w:ascii="宋体" w:hAnsi="宋体"/>
          <w:sz w:val="24"/>
        </w:rPr>
        <w:t>但基金管理人根据法律法规或基金合同的规定暂停估值时除外。基金管理人每个工作日对基金资产估值后，将</w:t>
      </w:r>
      <w:r>
        <w:rPr>
          <w:rFonts w:hint="eastAsia"/>
          <w:bCs/>
          <w:sz w:val="24"/>
        </w:rPr>
        <w:t>基金资产净值、</w:t>
      </w:r>
      <w:r>
        <w:rPr>
          <w:rFonts w:ascii="宋体" w:hAnsi="宋体"/>
          <w:sz w:val="24"/>
        </w:rPr>
        <w:t>各类基金份额净值结果发送基金托管人，经基金托管人复核无误后，由基金管理人依据基金合同和相关法律法规的规定对外公布。</w:t>
      </w:r>
    </w:p>
    <w:p w14:paraId="59EE5CE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（六）估值错误的处理</w:t>
      </w:r>
    </w:p>
    <w:p w14:paraId="286E48B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14:paraId="29E906B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6BB3CA6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6B690AD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37D2AFB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28AB6A2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5313306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233E28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2、估值错误处理原则</w:t>
      </w:r>
    </w:p>
    <w:p w14:paraId="3B859D4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FF0410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0EFC84C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87DFC0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643AE53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4279850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4AF0D03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13704E5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567ACF6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4072794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02A4809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7BE6508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4DAD7C2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w:t>
      </w:r>
      <w:r>
        <w:rPr>
          <w:rFonts w:ascii="宋体" w:hAnsi="宋体"/>
          <w:sz w:val="24"/>
        </w:rPr>
        <w:lastRenderedPageBreak/>
        <w:t>金托管人，并采取合理的措施防止损失进一步扩大。</w:t>
      </w:r>
    </w:p>
    <w:p w14:paraId="137FEA6A"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（2）错误偏差达到</w:t>
      </w:r>
      <w:r>
        <w:rPr>
          <w:rFonts w:hint="eastAsia"/>
          <w:bCs/>
          <w:sz w:val="24"/>
        </w:rPr>
        <w:t>该类</w:t>
      </w:r>
      <w:r>
        <w:rPr>
          <w:rFonts w:ascii="宋体" w:hAnsi="宋体"/>
          <w:sz w:val="24"/>
        </w:rPr>
        <w:t>基金份额净值的0.25%时，基金管理人应当通报基金托管人并报中国证监会备案；错误偏差达到</w:t>
      </w:r>
      <w:r>
        <w:rPr>
          <w:rFonts w:hint="eastAsia"/>
          <w:bCs/>
          <w:sz w:val="24"/>
        </w:rPr>
        <w:t>该类</w:t>
      </w:r>
      <w:r>
        <w:rPr>
          <w:rFonts w:ascii="宋体" w:hAnsi="宋体"/>
          <w:sz w:val="24"/>
        </w:rPr>
        <w:t>基金份额净值的0.5%时，基金管理人应当公告，并报中国证监会备案。</w:t>
      </w:r>
    </w:p>
    <w:p w14:paraId="2D50919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06EF1B3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14:paraId="1DF3C50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w:t>
      </w:r>
      <w:r>
        <w:rPr>
          <w:rFonts w:hint="eastAsia"/>
          <w:bCs/>
          <w:sz w:val="24"/>
        </w:rPr>
        <w:t>/</w:t>
      </w:r>
      <w:r>
        <w:rPr>
          <w:rFonts w:hint="eastAsia"/>
          <w:bCs/>
          <w:sz w:val="24"/>
        </w:rPr>
        <w:t>期货</w:t>
      </w:r>
      <w:r>
        <w:rPr>
          <w:rFonts w:ascii="宋体" w:hAnsi="宋体"/>
          <w:sz w:val="24"/>
        </w:rPr>
        <w:t>交易市场遇法定节假日或因其他原因暂停营业时；</w:t>
      </w:r>
    </w:p>
    <w:p w14:paraId="2BDA724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765F451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3FE9824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7C36D2C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14:paraId="5E41DE7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14:paraId="200116F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（九）特殊情形的处理</w:t>
      </w:r>
    </w:p>
    <w:p w14:paraId="64DB968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1、基金管理人或基金托管人按估值方法的第7项进行估值时，所造成的误差不作为基金资产估值错误处理。</w:t>
      </w:r>
    </w:p>
    <w:p w14:paraId="572A1F0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w:t>
      </w:r>
      <w:r>
        <w:rPr>
          <w:rFonts w:hint="eastAsia"/>
          <w:bCs/>
          <w:sz w:val="24"/>
        </w:rPr>
        <w:t>/</w:t>
      </w:r>
      <w:r>
        <w:rPr>
          <w:rFonts w:hint="eastAsia"/>
          <w:bCs/>
          <w:sz w:val="24"/>
        </w:rPr>
        <w:t>期货</w:t>
      </w:r>
      <w:r>
        <w:rPr>
          <w:rFonts w:ascii="宋体" w:hAnsi="宋体"/>
          <w:sz w:val="24"/>
        </w:rPr>
        <w:t>交易所、证券经纪机构</w:t>
      </w:r>
      <w:r>
        <w:rPr>
          <w:rFonts w:ascii="宋体" w:hAnsi="宋体" w:hint="eastAsia"/>
          <w:sz w:val="24"/>
        </w:rPr>
        <w:t>、期货公司</w:t>
      </w:r>
      <w:r>
        <w:rPr>
          <w:rFonts w:ascii="宋体" w:hAnsi="宋体"/>
          <w:sz w:val="24"/>
        </w:rPr>
        <w:t>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5F5C1B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（十）实施侧袋机制期间的基金资产估值</w:t>
      </w:r>
    </w:p>
    <w:p w14:paraId="40153F5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0A2C508A" w14:textId="77777777" w:rsidR="00CA59D4" w:rsidRDefault="006C2E2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11A86BD" w14:textId="77777777" w:rsidR="00CA59D4" w:rsidRDefault="006C2E2B">
      <w:pPr>
        <w:pStyle w:val="1"/>
        <w:snapToGrid w:val="0"/>
        <w:spacing w:beforeLines="0" w:before="240" w:after="240"/>
        <w:rPr>
          <w:rFonts w:ascii="宋体" w:hAnsi="宋体"/>
          <w:szCs w:val="30"/>
        </w:rPr>
      </w:pPr>
      <w:bookmarkStart w:id="28" w:name="_Toc104564195"/>
      <w:bookmarkStart w:id="29" w:name="_Hlk101008090"/>
      <w:bookmarkEnd w:id="27"/>
      <w:r>
        <w:rPr>
          <w:rFonts w:ascii="Times New Roman" w:hAnsi="Times New Roman"/>
          <w:sz w:val="30"/>
        </w:rPr>
        <w:lastRenderedPageBreak/>
        <w:t>十</w:t>
      </w:r>
      <w:r>
        <w:rPr>
          <w:rFonts w:ascii="Times New Roman" w:hAnsi="Times New Roman" w:hint="eastAsia"/>
          <w:sz w:val="30"/>
        </w:rPr>
        <w:t>二</w:t>
      </w:r>
      <w:r>
        <w:rPr>
          <w:rFonts w:ascii="Times New Roman" w:hAnsi="Times New Roman"/>
          <w:sz w:val="30"/>
        </w:rPr>
        <w:t>、基金收益与分配</w:t>
      </w:r>
      <w:bookmarkEnd w:id="28"/>
    </w:p>
    <w:p w14:paraId="51AFDAE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626C918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7A17ACD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794E111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42F3661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0EA16BF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1、由于本基金A类基金份额不收取销售服务费，C类基金份额收取销售服务费，各基金份额类别对应的可供分配利润将有所不同；</w:t>
      </w:r>
    </w:p>
    <w:p w14:paraId="61B8694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2、在符合有关基金分红条件的前提下，本基金管理人可以根据实际情况进行收益分配，具体分配方案以公告为准，若基金合同生效不满3个月可不进行收益分配；</w:t>
      </w:r>
    </w:p>
    <w:p w14:paraId="7AABB49D"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283CD37D" w14:textId="77777777" w:rsidR="00CA59D4" w:rsidRDefault="006C2E2B">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bCs/>
          <w:sz w:val="24"/>
        </w:rPr>
        <w:t>4</w:t>
      </w:r>
      <w:r>
        <w:rPr>
          <w:rFonts w:ascii="Times New Roman" w:hAnsi="Times New Roman" w:hint="eastAsia"/>
          <w:bCs/>
          <w:sz w:val="24"/>
        </w:rPr>
        <w:t>、基金收益分配后任一类基金份额净值不能低于面值，即基金收益分配基准日的任一类基金份额净值减去该类每单位基金份额收益分配金额后不能低于面值；</w:t>
      </w:r>
    </w:p>
    <w:p w14:paraId="408A1DFA"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5、本基金同一基金份额类别的每一基金份额享有同等分配权；</w:t>
      </w:r>
    </w:p>
    <w:p w14:paraId="0DACE92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bCs/>
          <w:sz w:val="24"/>
        </w:rPr>
        <w:t>6</w:t>
      </w:r>
      <w:r>
        <w:rPr>
          <w:rFonts w:hint="eastAsia"/>
          <w:bCs/>
          <w:sz w:val="24"/>
        </w:rPr>
        <w:t>、对于收益分配方式为红利再投资的基金份额，每份基金份额（原份额）所获得的红利再投资份额的运作期到期日，与该原份额的运作期到期日一致；</w:t>
      </w:r>
    </w:p>
    <w:p w14:paraId="3D79FF4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7、法律法规或监管机关另有规定的，从其规定。</w:t>
      </w:r>
    </w:p>
    <w:p w14:paraId="0C43D6F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21995DE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13B3260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5AC7AC1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本基金收益分配方案由基金管理人拟定，并由基金托管人复核，依照《信息披露办法》的规定在规定媒介公告。</w:t>
      </w:r>
    </w:p>
    <w:p w14:paraId="3921F9B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法律法规或监管机关另有规定的，从其规定。</w:t>
      </w:r>
    </w:p>
    <w:p w14:paraId="6776025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35450FD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357E4A9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4900F46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44ADC47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59565B3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60F685A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6C73343B" w14:textId="77777777" w:rsidR="00CA59D4" w:rsidRDefault="006C2E2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AA7BB57" w14:textId="77777777" w:rsidR="00CA59D4" w:rsidRDefault="006C2E2B">
      <w:pPr>
        <w:pStyle w:val="1"/>
        <w:snapToGrid w:val="0"/>
        <w:spacing w:beforeLines="0" w:before="240" w:after="240"/>
        <w:rPr>
          <w:rFonts w:ascii="宋体" w:hAnsi="宋体"/>
          <w:szCs w:val="30"/>
        </w:rPr>
      </w:pPr>
      <w:bookmarkStart w:id="30" w:name="_Toc104564196"/>
      <w:bookmarkStart w:id="31" w:name="_Hlk101008094"/>
      <w:bookmarkEnd w:id="29"/>
      <w:r>
        <w:rPr>
          <w:rFonts w:ascii="Times New Roman" w:hAnsi="Times New Roman"/>
          <w:sz w:val="30"/>
        </w:rPr>
        <w:lastRenderedPageBreak/>
        <w:t>十</w:t>
      </w:r>
      <w:r>
        <w:rPr>
          <w:rFonts w:ascii="Times New Roman" w:hAnsi="Times New Roman" w:hint="eastAsia"/>
          <w:sz w:val="30"/>
        </w:rPr>
        <w:t>三</w:t>
      </w:r>
      <w:r>
        <w:rPr>
          <w:rFonts w:ascii="Times New Roman" w:hAnsi="Times New Roman"/>
          <w:sz w:val="30"/>
        </w:rPr>
        <w:t>、基金的费用与税收</w:t>
      </w:r>
      <w:bookmarkEnd w:id="30"/>
    </w:p>
    <w:p w14:paraId="2FCAAE7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0D946F2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127966D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566C067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09422AA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4A6B0D7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07EFEB3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w:t>
      </w:r>
      <w:r>
        <w:rPr>
          <w:rFonts w:hint="eastAsia"/>
          <w:bCs/>
          <w:sz w:val="24"/>
        </w:rPr>
        <w:t>、期货</w:t>
      </w:r>
      <w:r>
        <w:rPr>
          <w:rFonts w:ascii="宋体" w:hAnsi="宋体"/>
          <w:sz w:val="24"/>
        </w:rPr>
        <w:t>交易</w:t>
      </w:r>
      <w:r>
        <w:rPr>
          <w:rFonts w:ascii="宋体" w:hAnsi="宋体" w:hint="eastAsia"/>
          <w:sz w:val="24"/>
        </w:rPr>
        <w:t>/</w:t>
      </w:r>
      <w:r>
        <w:rPr>
          <w:rFonts w:hint="eastAsia"/>
          <w:bCs/>
          <w:sz w:val="24"/>
        </w:rPr>
        <w:t>结算</w:t>
      </w:r>
      <w:r>
        <w:rPr>
          <w:rFonts w:ascii="宋体" w:hAnsi="宋体"/>
          <w:sz w:val="24"/>
        </w:rPr>
        <w:t>费用；</w:t>
      </w:r>
    </w:p>
    <w:p w14:paraId="1A2063A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679C6F2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7761622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14:paraId="6DFEEEA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68161B9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332E30A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0E0C34C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0550A6A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本基金的管理费按前一日基金资产净值的0.20%年费率计提。管理费的计算方法如下：</w:t>
      </w:r>
    </w:p>
    <w:p w14:paraId="02164D0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H＝E×0.20%÷当年天数</w:t>
      </w:r>
    </w:p>
    <w:p w14:paraId="2C94EE4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6885647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606B4DA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基金管理费每日计提，按月支付，由基金管理人向基金托管人发送划款指令，由基金托管人复核后于次月首日起第</w:t>
      </w:r>
      <w:r>
        <w:rPr>
          <w:rFonts w:hint="eastAsia"/>
          <w:bCs/>
          <w:sz w:val="24"/>
        </w:rPr>
        <w:t>3</w:t>
      </w:r>
      <w:r>
        <w:rPr>
          <w:rFonts w:hint="eastAsia"/>
          <w:bCs/>
          <w:sz w:val="24"/>
        </w:rPr>
        <w:t>个工作日从基金财产中一次性支付给基金管理人，若遇法定节假日、休息日或不可抗力致使无法按时支付的，支付日期顺延。</w:t>
      </w:r>
    </w:p>
    <w:p w14:paraId="0F8F745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0D6DD6B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本基金的托管费按前一日基金资产净值的0.05%年费率计提。托管费的计算方法如下：</w:t>
      </w:r>
    </w:p>
    <w:p w14:paraId="49D2E00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H＝E×0.05%÷当年天数</w:t>
      </w:r>
    </w:p>
    <w:p w14:paraId="39EA4E0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6CC1482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E为前一日的基金资产净值</w:t>
      </w:r>
    </w:p>
    <w:p w14:paraId="4DFABF1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基金托管费每日计提，按月支付，由基金管理人向基金托管人发送划款指令，由基金托管人复核后于次月首日起第</w:t>
      </w:r>
      <w:r>
        <w:rPr>
          <w:rFonts w:hint="eastAsia"/>
          <w:bCs/>
          <w:sz w:val="24"/>
        </w:rPr>
        <w:t>3</w:t>
      </w:r>
      <w:r>
        <w:rPr>
          <w:rFonts w:hint="eastAsia"/>
          <w:bCs/>
          <w:sz w:val="24"/>
        </w:rPr>
        <w:t>个工作日从基金财产中一次性支取。若遇法定节假日、休息日或不可抗力致使无法按时支付的，支付日期顺延。</w:t>
      </w:r>
    </w:p>
    <w:p w14:paraId="2780A50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0D48AE3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本基金A类基金份额不收取销售服务费，C类基金份额的销售服务费按前一日C类基金资产净值的0.20%年费率计提。计算方法如下：</w:t>
      </w:r>
    </w:p>
    <w:p w14:paraId="384FC97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H＝E×0.20%÷当年天数</w:t>
      </w:r>
    </w:p>
    <w:p w14:paraId="67F1E75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464535D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682F8A9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C</w:t>
      </w:r>
      <w:r>
        <w:rPr>
          <w:rFonts w:hint="eastAsia"/>
          <w:bCs/>
          <w:sz w:val="24"/>
        </w:rPr>
        <w:t>类基金份额销售服务费每日计提，按月支付，由基金管理人向基金托管人发送划款指令，由基金托管人复核后于次月首日起第</w:t>
      </w:r>
      <w:r>
        <w:rPr>
          <w:rFonts w:hint="eastAsia"/>
          <w:bCs/>
          <w:sz w:val="24"/>
        </w:rPr>
        <w:t>3</w:t>
      </w:r>
      <w:r>
        <w:rPr>
          <w:rFonts w:hint="eastAsia"/>
          <w:bCs/>
          <w:sz w:val="24"/>
        </w:rPr>
        <w:t>个工作日从基金财产中一次性支付给基金管理人，由基金管理人代付给销售机构。若遇法定节假日、休息日或不可抗力致使无法按时支付的，支付日期顺延。</w:t>
      </w:r>
    </w:p>
    <w:p w14:paraId="02E59F8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3E24ABA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14:paraId="1FD9B0F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7D678E6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08D01ED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333B711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0A6DB96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2E6D58B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33F0365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2161C91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3F6BC87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2、基金管理人和基金托管人处理与基金运作无关的事项发生的费用；</w:t>
      </w:r>
    </w:p>
    <w:p w14:paraId="24F5C8D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042754A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73E81F8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（四）实施侧袋机制期间的基金费用</w:t>
      </w:r>
    </w:p>
    <w:p w14:paraId="2B0E5E1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613CE03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（五）基金税收</w:t>
      </w:r>
    </w:p>
    <w:p w14:paraId="77717BF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7AE57A0" w14:textId="77777777" w:rsidR="00CA59D4" w:rsidRDefault="006C2E2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6647050" w14:textId="77777777" w:rsidR="00CA59D4" w:rsidRDefault="006C2E2B">
      <w:pPr>
        <w:pStyle w:val="1"/>
        <w:snapToGrid w:val="0"/>
        <w:spacing w:beforeLines="0" w:before="240" w:after="240"/>
        <w:rPr>
          <w:rFonts w:ascii="宋体" w:hAnsi="宋体"/>
          <w:szCs w:val="30"/>
        </w:rPr>
      </w:pPr>
      <w:bookmarkStart w:id="32" w:name="_Toc104564197"/>
      <w:bookmarkStart w:id="33" w:name="_Hlk101008100"/>
      <w:bookmarkEnd w:id="31"/>
      <w:r>
        <w:rPr>
          <w:rFonts w:ascii="Times New Roman" w:hAnsi="Times New Roman"/>
          <w:sz w:val="30"/>
        </w:rPr>
        <w:lastRenderedPageBreak/>
        <w:t>十</w:t>
      </w:r>
      <w:r>
        <w:rPr>
          <w:rFonts w:ascii="Times New Roman" w:hAnsi="Times New Roman" w:hint="eastAsia"/>
          <w:sz w:val="30"/>
        </w:rPr>
        <w:t>四</w:t>
      </w:r>
      <w:r>
        <w:rPr>
          <w:rFonts w:ascii="Times New Roman" w:hAnsi="Times New Roman"/>
          <w:sz w:val="30"/>
        </w:rPr>
        <w:t>、基金的会计与审计</w:t>
      </w:r>
      <w:bookmarkEnd w:id="32"/>
    </w:p>
    <w:p w14:paraId="6635891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2ED879D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41C7021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0AA76BF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53E6C7F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5793112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4005A94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343C1E2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015C8BD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566D854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w:t>
      </w:r>
      <w:r>
        <w:rPr>
          <w:rFonts w:hint="eastAsia"/>
          <w:bCs/>
          <w:sz w:val="24"/>
        </w:rPr>
        <w:t>符合《中华人民共和国证券法》规定</w:t>
      </w:r>
      <w:r>
        <w:rPr>
          <w:rFonts w:ascii="宋体" w:hAnsi="宋体"/>
          <w:sz w:val="24"/>
        </w:rPr>
        <w:t>的会计师事务所及其注册会计师对本基金的年度财务报表进行审计。</w:t>
      </w:r>
    </w:p>
    <w:p w14:paraId="429DF9C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4183896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3、基金管理人认为有充足理由更换会计师事务所，须通报基金托管人。更换会计师事务所需依照《信息披露办法》的规定在规定媒介公告。</w:t>
      </w:r>
    </w:p>
    <w:p w14:paraId="6E3B0CE8" w14:textId="77777777" w:rsidR="00CA59D4" w:rsidRDefault="006C2E2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A6B0DF9" w14:textId="77777777" w:rsidR="00CA59D4" w:rsidRDefault="006C2E2B">
      <w:pPr>
        <w:pStyle w:val="1"/>
        <w:snapToGrid w:val="0"/>
        <w:spacing w:beforeLines="0" w:before="240" w:after="240"/>
        <w:rPr>
          <w:rFonts w:ascii="宋体" w:hAnsi="宋体"/>
          <w:szCs w:val="30"/>
        </w:rPr>
      </w:pPr>
      <w:bookmarkStart w:id="34" w:name="_Toc104564198"/>
      <w:bookmarkStart w:id="35" w:name="_Hlk101008104"/>
      <w:bookmarkEnd w:id="33"/>
      <w:r>
        <w:rPr>
          <w:rFonts w:ascii="Times New Roman" w:hAnsi="Times New Roman"/>
          <w:sz w:val="30"/>
        </w:rPr>
        <w:lastRenderedPageBreak/>
        <w:t>十</w:t>
      </w:r>
      <w:r>
        <w:rPr>
          <w:rFonts w:ascii="Times New Roman" w:hAnsi="Times New Roman" w:hint="eastAsia"/>
          <w:sz w:val="30"/>
        </w:rPr>
        <w:t>五</w:t>
      </w:r>
      <w:r>
        <w:rPr>
          <w:rFonts w:ascii="Times New Roman" w:hAnsi="Times New Roman"/>
          <w:sz w:val="30"/>
        </w:rPr>
        <w:t>、基金的信息披露</w:t>
      </w:r>
      <w:bookmarkEnd w:id="34"/>
    </w:p>
    <w:p w14:paraId="280406A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r>
        <w:rPr>
          <w:rFonts w:hint="eastAsia"/>
          <w:bCs/>
          <w:sz w:val="24"/>
        </w:rPr>
        <w:t>相关法律法规关于信息披露的规定发生变化时，本基金从其最新规定。</w:t>
      </w:r>
    </w:p>
    <w:p w14:paraId="3D806F3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03385BF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242BEBC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440189E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w:t>
      </w:r>
      <w:r>
        <w:rPr>
          <w:bCs/>
          <w:sz w:val="24"/>
        </w:rPr>
        <w:t>符合中国证监会</w:t>
      </w:r>
      <w:r>
        <w:rPr>
          <w:rFonts w:hint="eastAsia"/>
          <w:bCs/>
          <w:sz w:val="24"/>
        </w:rPr>
        <w:t>规定条件</w:t>
      </w:r>
      <w:r>
        <w:rPr>
          <w:bCs/>
          <w:sz w:val="24"/>
        </w:rPr>
        <w:t>的</w:t>
      </w:r>
      <w:r>
        <w:rPr>
          <w:rFonts w:hint="eastAsia"/>
          <w:bCs/>
          <w:sz w:val="24"/>
        </w:rPr>
        <w:t>全国性报刊</w:t>
      </w:r>
      <w:r>
        <w:rPr>
          <w:rFonts w:ascii="Times New Roman" w:hAnsi="Times New Roman" w:hint="eastAsia"/>
          <w:bCs/>
          <w:sz w:val="24"/>
        </w:rPr>
        <w:t>（以下简称“规定报刊”）及《信息披露办法》规定的互联网网站（以下简称</w:t>
      </w:r>
      <w:r>
        <w:rPr>
          <w:rFonts w:ascii="Times New Roman" w:hAnsi="Times New Roman"/>
          <w:bCs/>
          <w:sz w:val="24"/>
        </w:rPr>
        <w:t>“</w:t>
      </w:r>
      <w:r>
        <w:rPr>
          <w:rFonts w:ascii="Times New Roman" w:hAnsi="Times New Roman" w:hint="eastAsia"/>
          <w:bCs/>
          <w:sz w:val="24"/>
        </w:rPr>
        <w:t>规定网站</w:t>
      </w:r>
      <w:r>
        <w:rPr>
          <w:rFonts w:ascii="Times New Roman" w:hAnsi="Times New Roman"/>
          <w:bCs/>
          <w:sz w:val="24"/>
        </w:rPr>
        <w:t>”</w:t>
      </w:r>
      <w:r>
        <w:rPr>
          <w:rFonts w:ascii="Times New Roman" w:hAnsi="Times New Roman" w:hint="eastAsia"/>
          <w:bCs/>
          <w:sz w:val="24"/>
        </w:rPr>
        <w:t>）</w:t>
      </w:r>
      <w:r>
        <w:rPr>
          <w:rFonts w:ascii="宋体" w:hAnsi="宋体"/>
          <w:sz w:val="24"/>
        </w:rPr>
        <w:t>等媒介披露，并保证基金投资者能够按照《基金合同》约定的时间和方式查阅或者复制公开披露的信息资料。</w:t>
      </w:r>
    </w:p>
    <w:p w14:paraId="0A14A53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5512BBD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4ABE16C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797CB60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4060B77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596B004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78F5CE5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08FB100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22A24CE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476C555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2213B3C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68E43E0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1、基金招募说明书、《基金合同》、基金托管协议、基金产品资料概要</w:t>
      </w:r>
    </w:p>
    <w:p w14:paraId="172C1B2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14:paraId="121AC97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Pr>
          <w:rFonts w:hint="eastAsia"/>
          <w:bCs/>
          <w:sz w:val="24"/>
        </w:rPr>
        <w:t>规定网站</w:t>
      </w:r>
      <w:r>
        <w:rPr>
          <w:rFonts w:ascii="宋体" w:hAnsi="宋体"/>
          <w:sz w:val="24"/>
        </w:rPr>
        <w:t>上；基金招募说明书其他信息发生变更的，基金管理人至少每年更新一次。</w:t>
      </w:r>
      <w:r>
        <w:rPr>
          <w:rFonts w:ascii="宋体" w:hAnsi="宋体" w:hint="eastAsia"/>
          <w:sz w:val="24"/>
        </w:rPr>
        <w:t>基金终止运作的</w:t>
      </w:r>
      <w:r>
        <w:rPr>
          <w:rFonts w:ascii="宋体" w:hAnsi="宋体"/>
          <w:sz w:val="24"/>
        </w:rPr>
        <w:t>，基金管理人不再更新基金招募说明书。</w:t>
      </w:r>
    </w:p>
    <w:p w14:paraId="28AF9E5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745A4DB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Pr>
          <w:rFonts w:hint="eastAsia"/>
          <w:bCs/>
          <w:sz w:val="24"/>
        </w:rPr>
        <w:t>规定网站</w:t>
      </w:r>
      <w:r>
        <w:rPr>
          <w:rFonts w:ascii="宋体" w:hAnsi="宋体"/>
          <w:sz w:val="24"/>
        </w:rPr>
        <w:t>及基金销售机构网站或营业网点；基金产品资料概要其他信息发生变更的，基金管理人至少每年更新一次。基金终止</w:t>
      </w:r>
      <w:r>
        <w:rPr>
          <w:rFonts w:ascii="宋体" w:hAnsi="宋体" w:hint="eastAsia"/>
          <w:sz w:val="24"/>
        </w:rPr>
        <w:t>运作</w:t>
      </w:r>
      <w:r>
        <w:rPr>
          <w:rFonts w:ascii="宋体" w:hAnsi="宋体"/>
          <w:sz w:val="24"/>
        </w:rPr>
        <w:t>的，基金管理人不再更新基金产品资料概要。</w:t>
      </w:r>
    </w:p>
    <w:p w14:paraId="476444B7" w14:textId="77777777" w:rsidR="00CA59D4" w:rsidRDefault="006C2E2B">
      <w:pPr>
        <w:spacing w:line="360" w:lineRule="auto"/>
        <w:ind w:firstLineChars="200" w:firstLine="480"/>
        <w:rPr>
          <w:bCs/>
          <w:sz w:val="24"/>
        </w:rPr>
      </w:pPr>
      <w:r>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r>
        <w:rPr>
          <w:bCs/>
          <w:sz w:val="24"/>
        </w:rPr>
        <w:t>。</w:t>
      </w:r>
    </w:p>
    <w:p w14:paraId="6CACF53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4248764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基金管理人应当就基金份额发售的具体事宜编制基金份额发售公告，并在披露招募说明书的当日登载于规定媒介上。</w:t>
      </w:r>
    </w:p>
    <w:p w14:paraId="70ED80D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6274A12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基金管理人应当在收到中国证监会确认文件的次日在规定媒介上登载《基金合同》生效公告。</w:t>
      </w:r>
    </w:p>
    <w:p w14:paraId="2F57487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4、基金净值信息</w:t>
      </w:r>
    </w:p>
    <w:p w14:paraId="4284856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w:t>
      </w:r>
      <w:r>
        <w:rPr>
          <w:rFonts w:hint="eastAsia"/>
          <w:bCs/>
          <w:sz w:val="24"/>
        </w:rPr>
        <w:t>规定网站</w:t>
      </w:r>
      <w:r>
        <w:rPr>
          <w:rFonts w:ascii="宋体" w:hAnsi="宋体"/>
          <w:sz w:val="24"/>
        </w:rPr>
        <w:t>分别披露一次A类基金份额和C类基金份额所对应的基金份额净值和基金份额累计净值</w:t>
      </w:r>
      <w:r>
        <w:rPr>
          <w:rFonts w:ascii="宋体" w:hAnsi="宋体" w:hint="eastAsia"/>
          <w:sz w:val="24"/>
        </w:rPr>
        <w:t>。</w:t>
      </w:r>
    </w:p>
    <w:p w14:paraId="70FF924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w:t>
      </w:r>
      <w:r>
        <w:rPr>
          <w:rFonts w:hint="eastAsia"/>
          <w:bCs/>
          <w:sz w:val="24"/>
        </w:rPr>
        <w:t>规定网站</w:t>
      </w:r>
      <w:r>
        <w:rPr>
          <w:rFonts w:ascii="宋体" w:hAnsi="宋体"/>
          <w:sz w:val="24"/>
        </w:rPr>
        <w:t>、基金销售机构网站或者营业网点，分别披露开放日的A类基金份额和C类基金份额所对应的基金份额净值和基金份额累计净值。</w:t>
      </w:r>
    </w:p>
    <w:p w14:paraId="179B3B9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w:t>
      </w:r>
      <w:r>
        <w:rPr>
          <w:rFonts w:hint="eastAsia"/>
          <w:bCs/>
          <w:sz w:val="24"/>
        </w:rPr>
        <w:t>规定网站</w:t>
      </w:r>
      <w:r>
        <w:rPr>
          <w:rFonts w:ascii="宋体" w:hAnsi="宋体"/>
          <w:sz w:val="24"/>
        </w:rPr>
        <w:t>披露半年度和年度最后一日A类基金份额和C类基金份额所对应的基金份额净值和基金份额累计净值。</w:t>
      </w:r>
    </w:p>
    <w:p w14:paraId="394986C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54C4CE0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D2173F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276A506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w:t>
      </w:r>
      <w:r>
        <w:rPr>
          <w:rFonts w:hint="eastAsia"/>
          <w:bCs/>
          <w:sz w:val="24"/>
        </w:rPr>
        <w:t>规定网站</w:t>
      </w:r>
      <w:r>
        <w:rPr>
          <w:rFonts w:ascii="宋体" w:hAnsi="宋体"/>
          <w:sz w:val="24"/>
        </w:rPr>
        <w:t>上，并将年度报告提示性公告登载在</w:t>
      </w:r>
      <w:r>
        <w:rPr>
          <w:rFonts w:hint="eastAsia"/>
          <w:bCs/>
          <w:sz w:val="24"/>
        </w:rPr>
        <w:t>规定报刊</w:t>
      </w:r>
      <w:r>
        <w:rPr>
          <w:rFonts w:ascii="宋体" w:hAnsi="宋体"/>
          <w:sz w:val="24"/>
        </w:rPr>
        <w:t>上。基金年度报告中的财务会计报告应当经过</w:t>
      </w:r>
      <w:r>
        <w:rPr>
          <w:rFonts w:hint="eastAsia"/>
          <w:bCs/>
          <w:sz w:val="24"/>
        </w:rPr>
        <w:t>符合《中华人民共和国证券法》规定</w:t>
      </w:r>
      <w:r>
        <w:rPr>
          <w:rFonts w:ascii="宋体" w:hAnsi="宋体"/>
          <w:sz w:val="24"/>
        </w:rPr>
        <w:t>的会计师事务所审计。</w:t>
      </w:r>
    </w:p>
    <w:p w14:paraId="349C37F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w:t>
      </w:r>
      <w:r>
        <w:rPr>
          <w:rFonts w:hint="eastAsia"/>
          <w:bCs/>
          <w:sz w:val="24"/>
        </w:rPr>
        <w:t>规定网站</w:t>
      </w:r>
      <w:r>
        <w:rPr>
          <w:rFonts w:ascii="宋体" w:hAnsi="宋体"/>
          <w:sz w:val="24"/>
        </w:rPr>
        <w:t>上，并将中期报告提示性公告登载在</w:t>
      </w:r>
      <w:r>
        <w:rPr>
          <w:rFonts w:hint="eastAsia"/>
          <w:bCs/>
          <w:sz w:val="24"/>
        </w:rPr>
        <w:t>规定报刊</w:t>
      </w:r>
      <w:r>
        <w:rPr>
          <w:rFonts w:ascii="宋体" w:hAnsi="宋体"/>
          <w:sz w:val="24"/>
        </w:rPr>
        <w:t>上。</w:t>
      </w:r>
    </w:p>
    <w:p w14:paraId="681B0A4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w:t>
      </w:r>
      <w:r>
        <w:rPr>
          <w:rFonts w:hint="eastAsia"/>
          <w:bCs/>
          <w:sz w:val="24"/>
        </w:rPr>
        <w:t>规定网站</w:t>
      </w:r>
      <w:r>
        <w:rPr>
          <w:rFonts w:ascii="宋体" w:hAnsi="宋体"/>
          <w:sz w:val="24"/>
        </w:rPr>
        <w:t>上，并将季度报告提示性公告登载在</w:t>
      </w:r>
      <w:r>
        <w:rPr>
          <w:rFonts w:hint="eastAsia"/>
          <w:bCs/>
          <w:sz w:val="24"/>
        </w:rPr>
        <w:t>规定报刊</w:t>
      </w:r>
      <w:r>
        <w:rPr>
          <w:rFonts w:ascii="宋体" w:hAnsi="宋体"/>
          <w:sz w:val="24"/>
        </w:rPr>
        <w:t>上。</w:t>
      </w:r>
    </w:p>
    <w:p w14:paraId="7066AEB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2E4AA48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096083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w:t>
      </w:r>
      <w:r>
        <w:rPr>
          <w:rFonts w:ascii="宋体" w:hAnsi="宋体"/>
          <w:sz w:val="24"/>
        </w:rPr>
        <w:lastRenderedPageBreak/>
        <w:t>性风险分析等。</w:t>
      </w:r>
    </w:p>
    <w:p w14:paraId="16C6CD0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63B52AB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本基金发生重大事件，有关信息披露义务人应当依照《信息披露办法》的规定编制临时报告书，并登载在</w:t>
      </w:r>
      <w:r>
        <w:rPr>
          <w:rFonts w:hint="eastAsia"/>
          <w:bCs/>
          <w:sz w:val="24"/>
        </w:rPr>
        <w:t>规定报刊</w:t>
      </w:r>
      <w:r>
        <w:rPr>
          <w:rFonts w:ascii="宋体" w:hAnsi="宋体"/>
          <w:sz w:val="24"/>
        </w:rPr>
        <w:t>和</w:t>
      </w:r>
      <w:r>
        <w:rPr>
          <w:rFonts w:hint="eastAsia"/>
          <w:bCs/>
          <w:sz w:val="24"/>
        </w:rPr>
        <w:t>规定网站</w:t>
      </w:r>
      <w:r>
        <w:rPr>
          <w:rFonts w:ascii="宋体" w:hAnsi="宋体"/>
          <w:sz w:val="24"/>
        </w:rPr>
        <w:t>上。</w:t>
      </w:r>
    </w:p>
    <w:p w14:paraId="383570C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7534A23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7F3EFD1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2E80BD6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1BEF65C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4A21183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72AB501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312C9F8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17F1E7B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3653759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3AD292A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3B50A2A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1F7CAAE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0CB5F9C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C3CEDB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087745F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（15）管理费、托管费、销售服务费、申购费、赎回费等费用计提标准、计提方式和费率发生变更；</w:t>
      </w:r>
    </w:p>
    <w:p w14:paraId="62C3E41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1011BAD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1338BED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02FD181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42910A3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5142734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7D4CF5E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0C81B47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14:paraId="66F44F0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14:paraId="4589BD8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（25）《基金合同》生效后，连续30、40、45个工作日出现基金份额持有人数量不满200人或者基金资产净值低于5000万元情形，基金管理人应当发布提示性公告；</w:t>
      </w:r>
    </w:p>
    <w:p w14:paraId="5038BE0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（26）基金信息披露义务人认为可能对基金份额持有人权益或者基金份额的价格产生重大影响的其他事项或中国证监会规定和基金合同约定的其他事项。</w:t>
      </w:r>
    </w:p>
    <w:p w14:paraId="2BDF188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28BC511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5B80216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5D8EF0F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4FBE3D0B"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5038B3A0" w14:textId="77777777" w:rsidR="00CA59D4" w:rsidRDefault="006C2E2B">
      <w:pPr>
        <w:spacing w:line="360" w:lineRule="auto"/>
        <w:ind w:firstLineChars="200" w:firstLine="480"/>
        <w:rPr>
          <w:bCs/>
          <w:sz w:val="24"/>
        </w:rPr>
      </w:pPr>
      <w:r>
        <w:rPr>
          <w:rFonts w:ascii="Times New Roman" w:hAnsi="Times New Roman"/>
          <w:bCs/>
          <w:sz w:val="24"/>
        </w:rPr>
        <w:t>10</w:t>
      </w:r>
      <w:r>
        <w:rPr>
          <w:rFonts w:ascii="Times New Roman" w:hAnsi="Times New Roman" w:hint="eastAsia"/>
          <w:bCs/>
          <w:sz w:val="24"/>
        </w:rPr>
        <w:t>、</w:t>
      </w:r>
      <w:r>
        <w:rPr>
          <w:rFonts w:hint="eastAsia"/>
          <w:bCs/>
          <w:sz w:val="24"/>
        </w:rPr>
        <w:t>清算报告</w:t>
      </w:r>
    </w:p>
    <w:p w14:paraId="2A4FD8C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w:t>
      </w:r>
      <w:r>
        <w:rPr>
          <w:rFonts w:hint="eastAsia"/>
          <w:bCs/>
          <w:sz w:val="24"/>
        </w:rPr>
        <w:lastRenderedPageBreak/>
        <w:t>站上，并将清算报告提示性公告登载在规定报刊上。</w:t>
      </w:r>
    </w:p>
    <w:p w14:paraId="543CAB2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11、基金投资资产支持证券情况</w:t>
      </w:r>
    </w:p>
    <w:p w14:paraId="367ED4F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3ABD648B" w14:textId="77777777" w:rsidR="00CA59D4" w:rsidRDefault="006C2E2B">
      <w:pPr>
        <w:spacing w:line="360" w:lineRule="auto"/>
        <w:ind w:firstLineChars="200" w:firstLine="480"/>
        <w:rPr>
          <w:bCs/>
          <w:sz w:val="24"/>
        </w:rPr>
      </w:pPr>
      <w:r>
        <w:rPr>
          <w:rFonts w:ascii="Times New Roman" w:hAnsi="Times New Roman"/>
          <w:bCs/>
          <w:sz w:val="24"/>
        </w:rPr>
        <w:t>12</w:t>
      </w:r>
      <w:r>
        <w:rPr>
          <w:rFonts w:ascii="Times New Roman" w:hAnsi="Times New Roman" w:hint="eastAsia"/>
          <w:bCs/>
          <w:sz w:val="24"/>
        </w:rPr>
        <w:t>、基金</w:t>
      </w:r>
      <w:r>
        <w:rPr>
          <w:rFonts w:hint="eastAsia"/>
          <w:bCs/>
          <w:sz w:val="24"/>
        </w:rPr>
        <w:t>投资国债期货的情况</w:t>
      </w:r>
    </w:p>
    <w:p w14:paraId="0EC70DA7" w14:textId="77777777" w:rsidR="00CA59D4" w:rsidRDefault="006C2E2B">
      <w:pPr>
        <w:autoSpaceDE w:val="0"/>
        <w:autoSpaceDN w:val="0"/>
        <w:adjustRightInd w:val="0"/>
        <w:snapToGrid w:val="0"/>
        <w:spacing w:line="360" w:lineRule="auto"/>
        <w:ind w:firstLineChars="200" w:firstLine="480"/>
        <w:jc w:val="left"/>
        <w:rPr>
          <w:bCs/>
          <w:sz w:val="24"/>
        </w:rPr>
      </w:pPr>
      <w:r>
        <w:rPr>
          <w:rFonts w:hint="eastAsia"/>
          <w:bCs/>
          <w:sz w:val="24"/>
        </w:rPr>
        <w:t>基金管理人应在季度报告、中期报告、年度报告等定期报告和招募说明书（更新）等文件中披露国债期货交易情况，包括交易政策、持仓情况、损益情况、风险指标等，并充分揭示国债期货交易对基金总体风险的影响以及是否符合既定的投资政策和投资目标。</w:t>
      </w:r>
    </w:p>
    <w:p w14:paraId="05637B64" w14:textId="77777777" w:rsidR="00CA59D4" w:rsidRDefault="006C2E2B">
      <w:pPr>
        <w:spacing w:line="360" w:lineRule="auto"/>
        <w:ind w:firstLineChars="200" w:firstLine="480"/>
        <w:rPr>
          <w:bCs/>
          <w:sz w:val="24"/>
        </w:rPr>
      </w:pPr>
      <w:r>
        <w:rPr>
          <w:rFonts w:ascii="Times New Roman" w:hAnsi="Times New Roman"/>
          <w:bCs/>
          <w:sz w:val="24"/>
        </w:rPr>
        <w:t>13</w:t>
      </w:r>
      <w:r>
        <w:rPr>
          <w:rFonts w:ascii="Times New Roman" w:hAnsi="Times New Roman" w:hint="eastAsia"/>
          <w:bCs/>
          <w:sz w:val="24"/>
        </w:rPr>
        <w:t>、</w:t>
      </w:r>
      <w:r>
        <w:rPr>
          <w:rFonts w:hint="eastAsia"/>
          <w:bCs/>
          <w:sz w:val="24"/>
        </w:rPr>
        <w:t>基金投资信用衍生品的情况</w:t>
      </w:r>
    </w:p>
    <w:p w14:paraId="548155E3" w14:textId="77777777" w:rsidR="00CA59D4" w:rsidRDefault="006C2E2B">
      <w:pPr>
        <w:spacing w:line="360" w:lineRule="auto"/>
        <w:ind w:firstLineChars="200" w:firstLine="480"/>
        <w:rPr>
          <w:bCs/>
          <w:sz w:val="24"/>
        </w:rPr>
      </w:pPr>
      <w:r>
        <w:rPr>
          <w:rFonts w:hint="eastAsia"/>
          <w:bCs/>
          <w:sz w:val="24"/>
        </w:rPr>
        <w:t>基金管理人应在定期报告及招募说明书（更新）等文件中详细披露信用衍生品的投资情况，包括投资策略、持仓情况等，并充分揭示投资信用衍生品对基金总体风险的影响以及是否符合既定的投资目标及策略。</w:t>
      </w:r>
    </w:p>
    <w:p w14:paraId="00C8C5E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14、实施侧袋机制期间的信息披露</w:t>
      </w:r>
    </w:p>
    <w:p w14:paraId="315CD9A1"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5215BD7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15、中国证监会规定的其他信息。</w:t>
      </w:r>
    </w:p>
    <w:p w14:paraId="2713857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32F423F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5B14664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14:paraId="38A406A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Pr>
          <w:rFonts w:hint="eastAsia"/>
          <w:bCs/>
          <w:sz w:val="24"/>
        </w:rPr>
        <w:t>各类基金份额的</w:t>
      </w:r>
      <w:r>
        <w:rPr>
          <w:rFonts w:ascii="宋体" w:hAnsi="宋体"/>
          <w:sz w:val="24"/>
        </w:rPr>
        <w:t>基金份额净值、基金份额申购赎回价格、基金定期报告、更新的招募说明书、基金产品资料概要、基金清算报告等相关基金信息进行复核、审查，并向基金管理人进行书面或电子确认。</w:t>
      </w:r>
    </w:p>
    <w:p w14:paraId="079F5D1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w:t>
      </w:r>
      <w:r>
        <w:rPr>
          <w:bCs/>
          <w:sz w:val="24"/>
        </w:rPr>
        <w:t>规定报刊</w:t>
      </w:r>
      <w:r>
        <w:rPr>
          <w:rFonts w:ascii="宋体" w:hAnsi="宋体"/>
          <w:sz w:val="24"/>
        </w:rPr>
        <w:t>中选择披露信息的报刊。基金管理</w:t>
      </w:r>
      <w:r>
        <w:rPr>
          <w:rFonts w:ascii="宋体" w:hAnsi="宋体"/>
          <w:sz w:val="24"/>
        </w:rPr>
        <w:lastRenderedPageBreak/>
        <w:t>人、基金托管人应当向中国证监会基金电子披露网站报送拟披露的基金信息，并保证相关报送信息的真实、准确、完整、及时。</w:t>
      </w:r>
    </w:p>
    <w:p w14:paraId="07C2952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4EE06DD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12E333F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14E4B0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23A1F8E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bookmarkEnd w:id="23"/>
    </w:p>
    <w:p w14:paraId="17D6A530" w14:textId="77777777" w:rsidR="00CA59D4" w:rsidRDefault="006C2E2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08BF22A" w14:textId="77777777" w:rsidR="00CA59D4" w:rsidRDefault="006C2E2B">
      <w:pPr>
        <w:pStyle w:val="1"/>
        <w:snapToGrid w:val="0"/>
        <w:spacing w:beforeLines="0" w:before="240" w:after="240"/>
        <w:rPr>
          <w:rFonts w:ascii="宋体" w:hAnsi="宋体"/>
          <w:szCs w:val="30"/>
        </w:rPr>
      </w:pPr>
      <w:bookmarkStart w:id="36" w:name="_Toc104564199"/>
      <w:bookmarkEnd w:id="35"/>
      <w:r>
        <w:rPr>
          <w:rFonts w:ascii="Times New Roman" w:hAnsi="Times New Roman"/>
          <w:sz w:val="30"/>
        </w:rPr>
        <w:lastRenderedPageBreak/>
        <w:t>十</w:t>
      </w:r>
      <w:r>
        <w:rPr>
          <w:rFonts w:ascii="Times New Roman" w:hAnsi="Times New Roman" w:hint="eastAsia"/>
          <w:sz w:val="30"/>
        </w:rPr>
        <w:t>六</w:t>
      </w:r>
      <w:r>
        <w:rPr>
          <w:rFonts w:ascii="Times New Roman" w:hAnsi="Times New Roman"/>
          <w:sz w:val="30"/>
        </w:rPr>
        <w:t>、侧袋机制</w:t>
      </w:r>
      <w:bookmarkEnd w:id="36"/>
    </w:p>
    <w:p w14:paraId="33D5F2ED" w14:textId="77777777" w:rsidR="00CA59D4" w:rsidRDefault="006C2E2B">
      <w:pPr>
        <w:autoSpaceDE w:val="0"/>
        <w:autoSpaceDN w:val="0"/>
        <w:adjustRightInd w:val="0"/>
        <w:snapToGrid w:val="0"/>
        <w:spacing w:line="360" w:lineRule="auto"/>
        <w:ind w:firstLineChars="200" w:firstLine="482"/>
        <w:jc w:val="left"/>
        <w:rPr>
          <w:rFonts w:ascii="宋体" w:hAnsi="宋体"/>
          <w:sz w:val="24"/>
          <w:szCs w:val="24"/>
        </w:rPr>
      </w:pPr>
      <w:r>
        <w:rPr>
          <w:rFonts w:ascii="宋体" w:hAnsi="宋体" w:hint="eastAsia"/>
          <w:b/>
          <w:sz w:val="24"/>
          <w:szCs w:val="24"/>
        </w:rPr>
        <w:t>（一）侧袋机制的实施条件</w:t>
      </w:r>
    </w:p>
    <w:p w14:paraId="31D5346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B47559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5AAC42D9" w14:textId="77777777" w:rsidR="00CA59D4" w:rsidRDefault="006C2E2B">
      <w:pPr>
        <w:autoSpaceDE w:val="0"/>
        <w:autoSpaceDN w:val="0"/>
        <w:adjustRightInd w:val="0"/>
        <w:snapToGrid w:val="0"/>
        <w:spacing w:line="360" w:lineRule="auto"/>
        <w:ind w:firstLineChars="200" w:firstLine="482"/>
        <w:jc w:val="left"/>
        <w:rPr>
          <w:rFonts w:ascii="宋体" w:hAnsi="宋体"/>
          <w:sz w:val="24"/>
          <w:szCs w:val="24"/>
        </w:rPr>
      </w:pPr>
      <w:r>
        <w:rPr>
          <w:rFonts w:ascii="宋体" w:hAnsi="宋体" w:hint="eastAsia"/>
          <w:b/>
          <w:sz w:val="24"/>
          <w:szCs w:val="24"/>
        </w:rPr>
        <w:t>（二）实施侧袋机制期间基金份额的申购与赎回</w:t>
      </w:r>
    </w:p>
    <w:p w14:paraId="1D8D5E5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536A065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2581979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77A2265E" w14:textId="77777777" w:rsidR="00CA59D4" w:rsidRDefault="006C2E2B">
      <w:pPr>
        <w:autoSpaceDE w:val="0"/>
        <w:autoSpaceDN w:val="0"/>
        <w:adjustRightInd w:val="0"/>
        <w:snapToGrid w:val="0"/>
        <w:spacing w:line="360" w:lineRule="auto"/>
        <w:ind w:firstLineChars="200" w:firstLine="482"/>
        <w:jc w:val="left"/>
        <w:rPr>
          <w:rFonts w:ascii="宋体" w:hAnsi="宋体"/>
          <w:sz w:val="24"/>
          <w:szCs w:val="24"/>
        </w:rPr>
      </w:pPr>
      <w:r>
        <w:rPr>
          <w:rFonts w:ascii="宋体" w:hAnsi="宋体" w:hint="eastAsia"/>
          <w:b/>
          <w:sz w:val="24"/>
          <w:szCs w:val="24"/>
        </w:rPr>
        <w:t>（三）实施侧袋机制期间的基金投资</w:t>
      </w:r>
    </w:p>
    <w:p w14:paraId="22A6D72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7599393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12345CA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7DD347B5" w14:textId="77777777" w:rsidR="00CA59D4" w:rsidRDefault="006C2E2B">
      <w:pPr>
        <w:autoSpaceDE w:val="0"/>
        <w:autoSpaceDN w:val="0"/>
        <w:adjustRightInd w:val="0"/>
        <w:snapToGrid w:val="0"/>
        <w:spacing w:line="360" w:lineRule="auto"/>
        <w:ind w:firstLineChars="200" w:firstLine="482"/>
        <w:jc w:val="left"/>
        <w:rPr>
          <w:rFonts w:ascii="宋体" w:hAnsi="宋体"/>
          <w:sz w:val="24"/>
          <w:szCs w:val="24"/>
        </w:rPr>
      </w:pPr>
      <w:r>
        <w:rPr>
          <w:rFonts w:ascii="宋体" w:hAnsi="宋体" w:hint="eastAsia"/>
          <w:b/>
          <w:sz w:val="24"/>
          <w:szCs w:val="24"/>
        </w:rPr>
        <w:t>（四）实施侧袋机制期间的基金估值</w:t>
      </w:r>
    </w:p>
    <w:p w14:paraId="2D72F12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14:paraId="2D9B2018" w14:textId="77777777" w:rsidR="00CA59D4" w:rsidRDefault="006C2E2B">
      <w:pPr>
        <w:autoSpaceDE w:val="0"/>
        <w:autoSpaceDN w:val="0"/>
        <w:adjustRightInd w:val="0"/>
        <w:snapToGrid w:val="0"/>
        <w:spacing w:line="360" w:lineRule="auto"/>
        <w:ind w:firstLineChars="200" w:firstLine="482"/>
        <w:jc w:val="left"/>
        <w:rPr>
          <w:rFonts w:ascii="宋体" w:hAnsi="宋体"/>
          <w:sz w:val="24"/>
          <w:szCs w:val="24"/>
        </w:rPr>
      </w:pPr>
      <w:r>
        <w:rPr>
          <w:rFonts w:ascii="宋体" w:hAnsi="宋体" w:hint="eastAsia"/>
          <w:b/>
          <w:sz w:val="24"/>
          <w:szCs w:val="24"/>
        </w:rPr>
        <w:t>（五）实施侧袋账户期间的基金费用</w:t>
      </w:r>
    </w:p>
    <w:p w14:paraId="332AFCE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w:t>
      </w:r>
      <w:r>
        <w:rPr>
          <w:rFonts w:ascii="宋体" w:hAnsi="宋体" w:hint="eastAsia"/>
          <w:sz w:val="24"/>
        </w:rPr>
        <w:t>等</w:t>
      </w:r>
      <w:r>
        <w:rPr>
          <w:rFonts w:ascii="宋体" w:hAnsi="宋体"/>
          <w:sz w:val="24"/>
        </w:rPr>
        <w:t>按主袋账户基金资产净值作为基数计提。</w:t>
      </w:r>
    </w:p>
    <w:p w14:paraId="13350F0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758D27BF" w14:textId="77777777" w:rsidR="00CA59D4" w:rsidRDefault="006C2E2B">
      <w:pPr>
        <w:autoSpaceDE w:val="0"/>
        <w:autoSpaceDN w:val="0"/>
        <w:adjustRightInd w:val="0"/>
        <w:snapToGrid w:val="0"/>
        <w:spacing w:line="360" w:lineRule="auto"/>
        <w:ind w:firstLineChars="200" w:firstLine="482"/>
        <w:jc w:val="left"/>
        <w:rPr>
          <w:rFonts w:ascii="宋体" w:hAnsi="宋体"/>
          <w:sz w:val="24"/>
          <w:szCs w:val="24"/>
        </w:rPr>
      </w:pPr>
      <w:r>
        <w:rPr>
          <w:rFonts w:ascii="宋体" w:hAnsi="宋体" w:hint="eastAsia"/>
          <w:b/>
          <w:sz w:val="24"/>
          <w:szCs w:val="24"/>
        </w:rPr>
        <w:t>（六）侧袋账户中特定资产的处置变现和支付</w:t>
      </w:r>
    </w:p>
    <w:p w14:paraId="433AC5C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40C2DCE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0EA07F4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3E408577" w14:textId="77777777" w:rsidR="00CA59D4" w:rsidRDefault="006C2E2B">
      <w:pPr>
        <w:autoSpaceDE w:val="0"/>
        <w:autoSpaceDN w:val="0"/>
        <w:adjustRightInd w:val="0"/>
        <w:snapToGrid w:val="0"/>
        <w:spacing w:line="360" w:lineRule="auto"/>
        <w:ind w:firstLineChars="200" w:firstLine="482"/>
        <w:jc w:val="left"/>
        <w:rPr>
          <w:rFonts w:ascii="宋体" w:hAnsi="宋体"/>
          <w:sz w:val="24"/>
          <w:szCs w:val="24"/>
        </w:rPr>
      </w:pPr>
      <w:r>
        <w:rPr>
          <w:rFonts w:ascii="宋体" w:hAnsi="宋体" w:hint="eastAsia"/>
          <w:b/>
          <w:sz w:val="24"/>
          <w:szCs w:val="24"/>
        </w:rPr>
        <w:t>（七）侧袋机制的信息披露</w:t>
      </w:r>
    </w:p>
    <w:p w14:paraId="4C4CED9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3E42842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18D4BA0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33F0E9D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3C48CF4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4FBB43DA" w14:textId="11FB28FB" w:rsidR="00CA59D4" w:rsidRDefault="006C2E2B" w:rsidP="0049319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5E26E4E0" w14:textId="77777777" w:rsidR="00CA59D4" w:rsidRDefault="006C2E2B">
      <w:pPr>
        <w:pStyle w:val="1"/>
        <w:snapToGrid w:val="0"/>
        <w:spacing w:beforeLines="0" w:before="240" w:after="240"/>
        <w:rPr>
          <w:rFonts w:ascii="宋体" w:hAnsi="宋体"/>
          <w:szCs w:val="30"/>
        </w:rPr>
      </w:pPr>
      <w:bookmarkStart w:id="37" w:name="_Toc104564200"/>
      <w:r>
        <w:rPr>
          <w:rFonts w:ascii="Times New Roman" w:hAnsi="Times New Roman"/>
          <w:sz w:val="30"/>
        </w:rPr>
        <w:lastRenderedPageBreak/>
        <w:t>十</w:t>
      </w:r>
      <w:r>
        <w:rPr>
          <w:rFonts w:ascii="Times New Roman" w:hAnsi="Times New Roman" w:hint="eastAsia"/>
          <w:sz w:val="30"/>
        </w:rPr>
        <w:t>七</w:t>
      </w:r>
      <w:r>
        <w:rPr>
          <w:rFonts w:ascii="Times New Roman" w:hAnsi="Times New Roman"/>
          <w:sz w:val="30"/>
        </w:rPr>
        <w:t>、风险揭示</w:t>
      </w:r>
      <w:bookmarkEnd w:id="37"/>
    </w:p>
    <w:p w14:paraId="152747A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1EF5C40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w:t>
      </w:r>
      <w:r>
        <w:rPr>
          <w:rFonts w:ascii="宋体" w:hAnsi="宋体" w:hint="eastAsia"/>
          <w:sz w:val="24"/>
        </w:rPr>
        <w:t>后</w:t>
      </w:r>
      <w:r>
        <w:rPr>
          <w:rFonts w:ascii="宋体" w:hAnsi="宋体"/>
          <w:sz w:val="24"/>
        </w:rPr>
        <w:t>扣除申购申请份额总数及基金转换中转入申请份额总数后的余额）超过上一开放日基金总份额的</w:t>
      </w:r>
      <w:r>
        <w:rPr>
          <w:rFonts w:ascii="宋体" w:hAnsi="宋体" w:hint="eastAsia"/>
          <w:sz w:val="24"/>
        </w:rPr>
        <w:t>1</w:t>
      </w:r>
      <w:r>
        <w:rPr>
          <w:rFonts w:ascii="宋体" w:hAnsi="宋体"/>
          <w:sz w:val="24"/>
        </w:rPr>
        <w:t>0</w:t>
      </w:r>
      <w:r>
        <w:rPr>
          <w:rFonts w:ascii="宋体" w:hAnsi="宋体" w:hint="eastAsia"/>
          <w:sz w:val="24"/>
        </w:rPr>
        <w:t>%</w:t>
      </w:r>
      <w:r>
        <w:rPr>
          <w:rFonts w:ascii="宋体" w:hAnsi="宋体"/>
          <w:sz w:val="24"/>
        </w:rPr>
        <w:t>时，投资人将可能无法及时赎回持有的全部基金份额。</w:t>
      </w:r>
    </w:p>
    <w:p w14:paraId="556E87B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0C58D69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w:t>
      </w:r>
      <w:r>
        <w:rPr>
          <w:rFonts w:ascii="Times New Roman" w:hAnsi="Times New Roman" w:hint="eastAsia"/>
          <w:sz w:val="24"/>
        </w:rPr>
        <w:t>、</w:t>
      </w:r>
      <w:r>
        <w:rPr>
          <w:rFonts w:ascii="Times New Roman" w:hAnsi="Times New Roman"/>
          <w:sz w:val="24"/>
        </w:rPr>
        <w:t>基金产品资料概要</w:t>
      </w:r>
      <w:r>
        <w:rPr>
          <w:rFonts w:ascii="宋体" w:hAnsi="宋体"/>
          <w:sz w:val="24"/>
        </w:rPr>
        <w:t>等基金法律文件，了解基金的风险收益特征，并根据自身的投资目的、投资期限、投资经验、资产状况等判断基金是否和投资人的风险承受能力相适应。</w:t>
      </w:r>
    </w:p>
    <w:p w14:paraId="472D1C4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8A3675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1FC0B61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w:t>
      </w:r>
      <w:r>
        <w:rPr>
          <w:rFonts w:ascii="宋体" w:hAnsi="宋体" w:hint="eastAsia"/>
          <w:sz w:val="24"/>
        </w:rPr>
        <w:t>谨慎</w:t>
      </w:r>
      <w:r>
        <w:rPr>
          <w:rFonts w:ascii="宋体" w:hAnsi="宋体"/>
          <w:sz w:val="24"/>
        </w:rPr>
        <w:t>勤勉的原则管理和运用基金资产，但不保证</w:t>
      </w:r>
      <w:r>
        <w:rPr>
          <w:rFonts w:ascii="宋体" w:hAnsi="宋体" w:hint="eastAsia"/>
          <w:sz w:val="24"/>
        </w:rPr>
        <w:t>投资于</w:t>
      </w:r>
      <w:r>
        <w:rPr>
          <w:rFonts w:ascii="宋体" w:hAnsi="宋体"/>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w:t>
      </w:r>
      <w:r>
        <w:rPr>
          <w:rFonts w:ascii="宋体" w:hAnsi="宋体"/>
          <w:sz w:val="24"/>
        </w:rPr>
        <w:lastRenderedPageBreak/>
        <w:t>自行负担。</w:t>
      </w:r>
    </w:p>
    <w:p w14:paraId="3F15AA3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3D305D2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03731C4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720FB71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5FEFC02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0BAB671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99DDB4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47F2266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2FB8480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4BB05C7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47D7D08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3D6733E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9、债券回购风险。债券回购为提升整体基金组合收益提供了可能，但也存在一定的风险。债券回购的主要风险包括信用风险、投资风险及波动性加大的风险，</w:t>
      </w:r>
      <w:r>
        <w:rPr>
          <w:rFonts w:ascii="宋体" w:hAnsi="宋体"/>
          <w:sz w:val="24"/>
        </w:rPr>
        <w:lastRenderedPageBreak/>
        <w:t>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3B3E86C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68C6193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12C1923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271430C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w:t>
      </w:r>
      <w:r>
        <w:rPr>
          <w:rFonts w:ascii="宋体" w:hAnsi="宋体" w:hint="eastAsia"/>
          <w:bCs/>
          <w:sz w:val="24"/>
        </w:rPr>
        <w:t>对每份基金份额设置</w:t>
      </w:r>
      <w:r>
        <w:rPr>
          <w:rFonts w:ascii="宋体" w:hAnsi="宋体"/>
          <w:bCs/>
          <w:sz w:val="24"/>
        </w:rPr>
        <w:t>120</w:t>
      </w:r>
      <w:r>
        <w:rPr>
          <w:rFonts w:ascii="宋体" w:hAnsi="宋体" w:hint="eastAsia"/>
          <w:bCs/>
          <w:sz w:val="24"/>
        </w:rPr>
        <w:t>天的滚动运作期</w:t>
      </w:r>
      <w:r>
        <w:rPr>
          <w:rFonts w:ascii="宋体" w:hAnsi="宋体" w:hint="eastAsia"/>
          <w:sz w:val="24"/>
        </w:rPr>
        <w:t>。</w:t>
      </w:r>
      <w:r>
        <w:rPr>
          <w:rFonts w:ascii="宋体" w:hAnsi="宋体" w:hint="eastAsia"/>
          <w:bCs/>
          <w:sz w:val="24"/>
        </w:rPr>
        <w:t>对于每份基金份额，基金管理人仅在该基金份额的每个运作期到期日为基金份额持有人办理赎回</w:t>
      </w:r>
      <w:r>
        <w:rPr>
          <w:rFonts w:ascii="宋体" w:hAnsi="宋体"/>
          <w:sz w:val="24"/>
        </w:rPr>
        <w:t>。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4C9F735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1C17D966" w14:textId="77777777" w:rsidR="00CA59D4" w:rsidRDefault="006C2E2B">
      <w:pPr>
        <w:spacing w:line="360" w:lineRule="auto"/>
        <w:ind w:firstLineChars="200" w:firstLine="480"/>
        <w:rPr>
          <w:bCs/>
          <w:sz w:val="24"/>
        </w:rPr>
      </w:pPr>
      <w:r>
        <w:rPr>
          <w:rFonts w:ascii="宋体" w:hAnsi="宋体"/>
          <w:sz w:val="24"/>
        </w:rPr>
        <w:t>本基金采用开放方式运作，基金管理人在开放日办理基金份额的申购和赎回，</w:t>
      </w:r>
      <w:r>
        <w:rPr>
          <w:bCs/>
          <w:sz w:val="24"/>
        </w:rPr>
        <w:t>但</w:t>
      </w:r>
      <w:r>
        <w:rPr>
          <w:rFonts w:hint="eastAsia"/>
          <w:bCs/>
          <w:sz w:val="24"/>
        </w:rPr>
        <w:t>对于每份基金份额，基金管理人仅在该基金份额的每个运作期到期日办理该基金份额的赎回，</w:t>
      </w:r>
      <w:r>
        <w:rPr>
          <w:rFonts w:ascii="宋体" w:hAnsi="宋体"/>
          <w:sz w:val="24"/>
        </w:rPr>
        <w:t>具体办理时间为上海证券交易所、深圳证券交易所的正常交易日的交易时间，但基金管理人根据法律法规、中国证监会的要求或基金合同的规定公告暂停申购、赎回时除外。</w:t>
      </w:r>
      <w:r>
        <w:rPr>
          <w:rFonts w:ascii="Times New Roman" w:hAnsi="Times New Roman" w:hint="eastAsia"/>
          <w:bCs/>
          <w:sz w:val="24"/>
        </w:rPr>
        <w:t>基金管理人可根据实际情况依法决定本基金开始办理申购的具体日期，具体业务办理时间在申购开始公告中规定</w:t>
      </w:r>
      <w:r>
        <w:rPr>
          <w:rFonts w:ascii="Times New Roman" w:hAnsi="Times New Roman"/>
          <w:sz w:val="24"/>
        </w:rPr>
        <w:t>。</w:t>
      </w:r>
    </w:p>
    <w:p w14:paraId="59FBD1E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基金管理人自基金合同生效之日后的第</w:t>
      </w:r>
      <w:r>
        <w:rPr>
          <w:rFonts w:ascii="Times New Roman" w:hAnsi="Times New Roman"/>
          <w:bCs/>
          <w:sz w:val="24"/>
        </w:rPr>
        <w:t>120</w:t>
      </w:r>
      <w:r>
        <w:rPr>
          <w:rFonts w:hint="eastAsia"/>
          <w:bCs/>
          <w:sz w:val="24"/>
        </w:rPr>
        <w:t>天（如遇非工作日，则顺延至下一工作日）起开始办理赎回，具体业务办理时间在开放赎回业务的公告中规定。</w:t>
      </w:r>
    </w:p>
    <w:p w14:paraId="2CB07F6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0A158A1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w:t>
      </w:r>
      <w:r>
        <w:rPr>
          <w:rFonts w:ascii="宋体" w:hAnsi="宋体" w:hint="eastAsia"/>
          <w:sz w:val="24"/>
        </w:rPr>
        <w:t>期货交易所、</w:t>
      </w:r>
      <w:r>
        <w:rPr>
          <w:rFonts w:ascii="宋体" w:hAnsi="宋体"/>
          <w:sz w:val="24"/>
        </w:rPr>
        <w:t>全国银行间债券市场等流</w:t>
      </w:r>
      <w:r>
        <w:rPr>
          <w:rFonts w:ascii="宋体" w:hAnsi="宋体"/>
          <w:sz w:val="24"/>
        </w:rPr>
        <w:lastRenderedPageBreak/>
        <w:t>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7760244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3E5C4B9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75CC1E7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32B8BF4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748FB65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485287B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212C366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w:t>
      </w:r>
      <w:r>
        <w:rPr>
          <w:rFonts w:ascii="宋体" w:hAnsi="宋体"/>
          <w:sz w:val="24"/>
        </w:rPr>
        <w:lastRenderedPageBreak/>
        <w:t>申请一并处理，无优先权并以下一开放日</w:t>
      </w:r>
      <w:r>
        <w:rPr>
          <w:rFonts w:ascii="宋体" w:hAnsi="宋体" w:hint="eastAsia"/>
          <w:sz w:val="24"/>
        </w:rPr>
        <w:t>该类基金份额</w:t>
      </w:r>
      <w:r>
        <w:rPr>
          <w:rFonts w:ascii="宋体" w:hAnsi="宋体"/>
          <w:sz w:val="24"/>
        </w:rPr>
        <w:t>的基金份额净值为基础计算赎回金额，以此类推，直到全部赎回为止。</w:t>
      </w:r>
    </w:p>
    <w:p w14:paraId="382F70C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w:t>
      </w:r>
      <w:r>
        <w:rPr>
          <w:rFonts w:ascii="宋体" w:hAnsi="宋体" w:hint="eastAsia"/>
          <w:sz w:val="24"/>
        </w:rPr>
        <w:t>前述</w:t>
      </w:r>
      <w:r>
        <w:rPr>
          <w:rFonts w:ascii="宋体" w:hAnsi="宋体"/>
          <w:sz w:val="24"/>
        </w:rPr>
        <w:t>“（1）全额赎回”或“（2）部分延期赎回”的约定方式与其他基金份额持有人的赎回申请一并办理。但是，如基金份额持有人在当日选择取消赎回，则其当日未获受理的部分赎回申请将被撤销。</w:t>
      </w:r>
    </w:p>
    <w:p w14:paraId="0F070D1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1C8EE48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30E2FF5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0F69973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w:t>
      </w:r>
      <w:r>
        <w:rPr>
          <w:rFonts w:ascii="宋体" w:hAnsi="宋体" w:hint="eastAsia"/>
          <w:sz w:val="24"/>
        </w:rPr>
        <w:t>延期办理巨额赎回申请、</w:t>
      </w:r>
      <w:r>
        <w:rPr>
          <w:rFonts w:ascii="宋体" w:hAnsi="宋体"/>
          <w:sz w:val="24"/>
        </w:rPr>
        <w:t>暂停接受赎回申请、</w:t>
      </w:r>
      <w:r>
        <w:rPr>
          <w:rFonts w:ascii="宋体" w:hAnsi="宋体" w:hint="eastAsia"/>
          <w:sz w:val="24"/>
        </w:rPr>
        <w:t>延缓支付赎回款项</w:t>
      </w:r>
      <w:r>
        <w:rPr>
          <w:rFonts w:ascii="宋体" w:hAnsi="宋体"/>
          <w:sz w:val="24"/>
        </w:rPr>
        <w:t>、摆动定价、暂停基金估值、实施侧袋机制等，作为特定情形下基金管理人流动性风险管理的辅助措施，同时基金管理人应时刻防范可能产生的流动性风险，对流动性风险进行日常监控，保护</w:t>
      </w:r>
      <w:r>
        <w:rPr>
          <w:rFonts w:ascii="宋体" w:hAnsi="宋体" w:hint="eastAsia"/>
          <w:sz w:val="24"/>
        </w:rPr>
        <w:t>基金份额</w:t>
      </w:r>
      <w:r>
        <w:rPr>
          <w:rFonts w:ascii="宋体" w:hAnsi="宋体"/>
          <w:sz w:val="24"/>
        </w:rPr>
        <w:t>持有人的利益。当实施备用的流动性风险管理工具时，有可能无法按合同约定的时限支付赎回款项。</w:t>
      </w:r>
    </w:p>
    <w:p w14:paraId="60DA520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3289897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616C946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w:t>
      </w:r>
      <w:r>
        <w:rPr>
          <w:rFonts w:ascii="宋体" w:hAnsi="宋体"/>
          <w:sz w:val="24"/>
        </w:rPr>
        <w:lastRenderedPageBreak/>
        <w:t>主袋账户份额存在暂停申购的可能。</w:t>
      </w:r>
    </w:p>
    <w:p w14:paraId="1D85B69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2DB9A44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45E01C3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41A6934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（五）本基金的特有风险</w:t>
      </w:r>
    </w:p>
    <w:p w14:paraId="2E6D51A7"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1、本基金为债券型基金，投资于债券资产的比例不低于基金资产的80%，因投资固定收益类资产而面临固定收益类资产市场的系统性风险和个券风险；</w:t>
      </w:r>
    </w:p>
    <w:p w14:paraId="32E2505B"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本基金对每份基金份额设置120天的滚动运作期。对于每份基金份额，基金管理人仅在该基金份额的每个运作期到期日为基金份额持有人办理赎回。如果基金份额持有人在当期运作期到期日未申请赎回或赎回被确认失败，则该基金份额将在该运作期到期日次一日起自动进入下一个运作期；在下一个运作期到期日前，基金份额持有人不能赎回该基金份额。因此基金份额持有人面临在滚动运作期内不能赎回基金份额的风险。请投资者合理安排资金进行投资；</w:t>
      </w:r>
    </w:p>
    <w:p w14:paraId="2F3180F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192E19CB"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4、基金合同提前终止风险。</w:t>
      </w:r>
      <w:r>
        <w:rPr>
          <w:rFonts w:ascii="宋体" w:hAnsi="宋体" w:hint="eastAsia"/>
          <w:sz w:val="24"/>
        </w:rPr>
        <w:t>《基金合同》生效后，</w:t>
      </w:r>
      <w:r>
        <w:rPr>
          <w:rFonts w:ascii="宋体" w:hAnsi="宋体"/>
          <w:sz w:val="24"/>
        </w:rPr>
        <w:t>连续</w:t>
      </w:r>
      <w:r>
        <w:rPr>
          <w:rFonts w:ascii="宋体" w:hAnsi="宋体" w:hint="eastAsia"/>
          <w:sz w:val="24"/>
        </w:rPr>
        <w:t>5</w:t>
      </w:r>
      <w:r>
        <w:rPr>
          <w:rFonts w:ascii="宋体" w:hAnsi="宋体"/>
          <w:sz w:val="24"/>
        </w:rPr>
        <w:t>0个工作日出现基金份额持有人数量不满200人或者基金资产净值低于5000万元情形的，</w:t>
      </w:r>
      <w:r>
        <w:rPr>
          <w:rFonts w:ascii="宋体" w:hAnsi="宋体" w:hint="eastAsia"/>
          <w:sz w:val="24"/>
        </w:rPr>
        <w:t>基金合同终止</w:t>
      </w:r>
      <w:r>
        <w:rPr>
          <w:rFonts w:ascii="宋体" w:hAnsi="宋体"/>
          <w:sz w:val="24"/>
        </w:rPr>
        <w:t>，不需召开基金份额持有人大会。</w:t>
      </w:r>
      <w:r>
        <w:rPr>
          <w:rFonts w:ascii="宋体" w:hAnsi="宋体" w:hint="eastAsia"/>
          <w:sz w:val="24"/>
        </w:rPr>
        <w:t>因此，投资者可能面临基金合同提前终止的风险。</w:t>
      </w:r>
    </w:p>
    <w:p w14:paraId="18A036D9"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（六）投资国债期货的特定风险</w:t>
      </w:r>
    </w:p>
    <w:p w14:paraId="5564DBDA"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szCs w:val="24"/>
        </w:rPr>
        <w:t>本基金可投资</w:t>
      </w:r>
      <w:r>
        <w:rPr>
          <w:rFonts w:ascii="宋体" w:hAnsi="宋体" w:hint="eastAsia"/>
          <w:sz w:val="24"/>
        </w:rPr>
        <w:t>国债期货，国债期货的投资可能给本基金带来额外风险。国债期货的投资可能面临市场风险、基差风险、流动性风险。市场风险是因期货市场价格波动使所持有的期货合约价值发生变化的风险。基差风险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w:t>
      </w:r>
      <w:r>
        <w:rPr>
          <w:rFonts w:ascii="宋体" w:hAnsi="宋体" w:hint="eastAsia"/>
          <w:sz w:val="24"/>
        </w:rPr>
        <w:lastRenderedPageBreak/>
        <w:t>寸面临被强制平仓的风险。</w:t>
      </w:r>
    </w:p>
    <w:p w14:paraId="19531CCE"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（七）投资资产支持证券的特定风险</w:t>
      </w:r>
    </w:p>
    <w:p w14:paraId="2484BFD0" w14:textId="77777777" w:rsidR="00CA59D4" w:rsidRDefault="006C2E2B">
      <w:pPr>
        <w:autoSpaceDE w:val="0"/>
        <w:autoSpaceDN w:val="0"/>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13BF5227" w14:textId="77777777" w:rsidR="00CA59D4" w:rsidRDefault="006C2E2B">
      <w:pPr>
        <w:autoSpaceDE w:val="0"/>
        <w:autoSpaceDN w:val="0"/>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（八）信用衍生品投资风险</w:t>
      </w:r>
    </w:p>
    <w:p w14:paraId="2DBF4F80" w14:textId="77777777" w:rsidR="00CA59D4" w:rsidRDefault="006C2E2B">
      <w:pPr>
        <w:autoSpaceDE w:val="0"/>
        <w:autoSpaceDN w:val="0"/>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为对冲信用风险，本基金可能投资于信用衍生品，若投资信用衍生品可能面临流动性风险、偿付风险以及价格波动风险等。流动性风险是指信用衍生品在交易转让过程中，因无法找到交易对手或交易对手较少，导致难以将其以合理价格变现的风险。偿付风险是在信用衍生品的存续期内，由于不可控制的市场及环境变化，创设机构可能出现经营情况不佳，或创设机构的现金流与预期出现一定的偏差，从而影响信用衍生品结算的风险。价格波动风险是由于创设机构或所受保护债券主体，经营情况或利率环境出现变化，引起信用衍生品交易价格波动的风险。</w:t>
      </w:r>
    </w:p>
    <w:p w14:paraId="1F59B738" w14:textId="77777777" w:rsidR="00CA59D4" w:rsidRDefault="006C2E2B">
      <w:pPr>
        <w:autoSpaceDE w:val="0"/>
        <w:autoSpaceDN w:val="0"/>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（九）本基金法律文件风险收益特征表述与销售机构基金风险评价可能不一致的风险</w:t>
      </w:r>
    </w:p>
    <w:p w14:paraId="4FD6B164" w14:textId="77777777" w:rsidR="00CA59D4" w:rsidRDefault="006C2E2B">
      <w:pPr>
        <w:autoSpaceDE w:val="0"/>
        <w:autoSpaceDN w:val="0"/>
        <w:adjustRightInd w:val="0"/>
        <w:snapToGrid w:val="0"/>
        <w:spacing w:line="360" w:lineRule="auto"/>
        <w:ind w:firstLineChars="200" w:firstLine="480"/>
        <w:jc w:val="left"/>
        <w:rPr>
          <w:rFonts w:ascii="宋体" w:hAnsi="宋体"/>
          <w:sz w:val="24"/>
          <w:szCs w:val="24"/>
        </w:rPr>
      </w:pPr>
      <w:r>
        <w:rPr>
          <w:rFonts w:hAnsi="宋体" w:hint="eastAsia"/>
          <w:kern w:val="0"/>
          <w:sz w:val="24"/>
          <w:szCs w:val="24"/>
        </w:rPr>
        <w:t>本基金法律文件投资章节有关风险收益特征的表述是基于投资范围、投资比例、证券市场普遍规律等做出的概述性描述，代表了一般市场情况下本基金的长期风险收益特征。销售机构</w:t>
      </w:r>
      <w:r>
        <w:rPr>
          <w:rFonts w:hAnsi="宋体"/>
          <w:kern w:val="0"/>
          <w:sz w:val="24"/>
          <w:szCs w:val="24"/>
        </w:rPr>
        <w:t>(</w:t>
      </w:r>
      <w:r>
        <w:rPr>
          <w:rFonts w:hAnsi="宋体" w:hint="eastAsia"/>
          <w:kern w:val="0"/>
          <w:sz w:val="24"/>
          <w:szCs w:val="24"/>
        </w:rPr>
        <w:t>包括基金管理人直销机构和其他销售机构</w:t>
      </w:r>
      <w:r>
        <w:rPr>
          <w:rFonts w:hAnsi="宋体"/>
          <w:kern w:val="0"/>
          <w:sz w:val="24"/>
          <w:szCs w:val="24"/>
        </w:rPr>
        <w:t>)</w:t>
      </w:r>
      <w:r>
        <w:rPr>
          <w:rFonts w:hAnsi="宋体" w:hint="eastAsia"/>
          <w:kern w:val="0"/>
          <w:sz w:val="24"/>
          <w:szCs w:val="24"/>
        </w:rPr>
        <w:t>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7A601F3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hint="eastAsia"/>
          <w:sz w:val="24"/>
        </w:rPr>
        <w:t>十</w:t>
      </w:r>
      <w:r>
        <w:rPr>
          <w:rFonts w:ascii="宋体" w:hAnsi="宋体"/>
          <w:sz w:val="24"/>
        </w:rPr>
        <w:t>）其他风险</w:t>
      </w:r>
    </w:p>
    <w:p w14:paraId="5499A12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24C7FC8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272EC89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48D1252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1A8A8DF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507576A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w:t>
      </w:r>
      <w:r>
        <w:rPr>
          <w:rFonts w:ascii="宋体" w:hAnsi="宋体"/>
          <w:sz w:val="24"/>
        </w:rPr>
        <w:lastRenderedPageBreak/>
        <w:t>平，从而带来风险；</w:t>
      </w:r>
    </w:p>
    <w:p w14:paraId="4554CAE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60F95756" w14:textId="77777777" w:rsidR="00CA59D4" w:rsidRDefault="006C2E2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8986066" w14:textId="77777777" w:rsidR="00CA59D4" w:rsidRDefault="006C2E2B">
      <w:pPr>
        <w:pStyle w:val="1"/>
        <w:snapToGrid w:val="0"/>
        <w:spacing w:beforeLines="0" w:before="240" w:after="240"/>
        <w:rPr>
          <w:rFonts w:ascii="宋体" w:hAnsi="宋体"/>
          <w:szCs w:val="30"/>
        </w:rPr>
      </w:pPr>
      <w:bookmarkStart w:id="38" w:name="_Toc104564201"/>
      <w:bookmarkStart w:id="39" w:name="_Hlk101008119"/>
      <w:r>
        <w:rPr>
          <w:rFonts w:ascii="Times New Roman" w:hAnsi="Times New Roman"/>
          <w:sz w:val="30"/>
        </w:rPr>
        <w:lastRenderedPageBreak/>
        <w:t>十</w:t>
      </w:r>
      <w:r>
        <w:rPr>
          <w:rFonts w:ascii="Times New Roman" w:hAnsi="Times New Roman" w:hint="eastAsia"/>
          <w:sz w:val="30"/>
        </w:rPr>
        <w:t>八</w:t>
      </w:r>
      <w:r>
        <w:rPr>
          <w:rFonts w:ascii="Times New Roman" w:hAnsi="Times New Roman"/>
          <w:sz w:val="30"/>
        </w:rPr>
        <w:t>、基金合同的变更、终止与基金财产的清算</w:t>
      </w:r>
      <w:bookmarkEnd w:id="38"/>
    </w:p>
    <w:p w14:paraId="68B700F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4FAC203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Pr>
          <w:rFonts w:ascii="宋体" w:hAnsi="宋体" w:hint="eastAsia"/>
          <w:sz w:val="24"/>
        </w:rPr>
        <w:t>按规定</w:t>
      </w:r>
      <w:r>
        <w:rPr>
          <w:rFonts w:ascii="宋体" w:hAnsi="宋体"/>
          <w:sz w:val="24"/>
        </w:rPr>
        <w:t>报中国证监会备案。</w:t>
      </w:r>
    </w:p>
    <w:p w14:paraId="195D228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2、关于《基金合同》变更的基金份额持有人大会决议自生效后方可执行，自决议生效后依照《信息披露办法》的规定在规定媒介公告。</w:t>
      </w:r>
    </w:p>
    <w:p w14:paraId="25020CC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5AB1EF0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772D037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14E9DC9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6AC0854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Pr>
          <w:rFonts w:hint="eastAsia"/>
          <w:bCs/>
          <w:sz w:val="24"/>
        </w:rPr>
        <w:t>基金合同终止</w:t>
      </w:r>
      <w:r>
        <w:rPr>
          <w:rFonts w:ascii="宋体" w:hAnsi="宋体"/>
          <w:sz w:val="24"/>
        </w:rPr>
        <w:t>，不需召开基金份额持有人大会；</w:t>
      </w:r>
    </w:p>
    <w:p w14:paraId="76C5579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0BBD5C0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7A801FE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2053E27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4D22CB8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Pr>
          <w:bCs/>
          <w:sz w:val="24"/>
        </w:rPr>
        <w:t>符合</w:t>
      </w:r>
      <w:r>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4AE63ED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7E05F80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46080AC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r>
        <w:rPr>
          <w:rFonts w:ascii="宋体" w:hAnsi="宋体" w:hint="eastAsia"/>
          <w:sz w:val="24"/>
        </w:rPr>
        <w:t>财产</w:t>
      </w:r>
      <w:r>
        <w:rPr>
          <w:rFonts w:ascii="宋体" w:hAnsi="宋体"/>
          <w:sz w:val="24"/>
        </w:rPr>
        <w:t>；</w:t>
      </w:r>
    </w:p>
    <w:p w14:paraId="3D92CBB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439DE74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14:paraId="1BBE405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6CB6661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2C77C4E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09C949C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0A1F2C4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68F3993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64495D2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6D882F6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1C9095F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71D6A44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526A5AA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w:t>
      </w:r>
      <w:r>
        <w:rPr>
          <w:bCs/>
          <w:sz w:val="24"/>
        </w:rPr>
        <w:t>符合</w:t>
      </w:r>
      <w:r>
        <w:rPr>
          <w:rFonts w:hint="eastAsia"/>
          <w:bCs/>
          <w:sz w:val="24"/>
        </w:rPr>
        <w:t>《中华人民共和国证券法》规定的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Pr>
          <w:rFonts w:hint="eastAsia"/>
          <w:bCs/>
          <w:sz w:val="24"/>
        </w:rPr>
        <w:t>规定网站</w:t>
      </w:r>
      <w:r>
        <w:rPr>
          <w:rFonts w:ascii="宋体" w:hAnsi="宋体"/>
          <w:sz w:val="24"/>
        </w:rPr>
        <w:t>上，并将清算报告提示性公告登载在</w:t>
      </w:r>
      <w:r>
        <w:rPr>
          <w:rFonts w:hint="eastAsia"/>
          <w:bCs/>
          <w:sz w:val="24"/>
        </w:rPr>
        <w:t>规定报刊</w:t>
      </w:r>
      <w:r>
        <w:rPr>
          <w:rFonts w:ascii="宋体" w:hAnsi="宋体"/>
          <w:sz w:val="24"/>
        </w:rPr>
        <w:t>上。</w:t>
      </w:r>
    </w:p>
    <w:p w14:paraId="55242DC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67FE04B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Pr>
          <w:rFonts w:hint="eastAsia"/>
          <w:bCs/>
          <w:sz w:val="24"/>
        </w:rPr>
        <w:t>不低于法律法规规定的最低期限</w:t>
      </w:r>
      <w:r>
        <w:rPr>
          <w:rFonts w:ascii="宋体" w:hAnsi="宋体"/>
          <w:sz w:val="24"/>
        </w:rPr>
        <w:t>。</w:t>
      </w:r>
    </w:p>
    <w:p w14:paraId="1707A1E5" w14:textId="77777777" w:rsidR="00CA59D4" w:rsidRDefault="006C2E2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ADA97A0" w14:textId="77777777" w:rsidR="00CA59D4" w:rsidRDefault="006C2E2B">
      <w:pPr>
        <w:pStyle w:val="1"/>
        <w:snapToGrid w:val="0"/>
        <w:spacing w:beforeLines="0" w:before="240" w:after="240"/>
        <w:rPr>
          <w:rFonts w:ascii="宋体" w:hAnsi="宋体"/>
          <w:szCs w:val="30"/>
        </w:rPr>
      </w:pPr>
      <w:bookmarkStart w:id="40" w:name="_Toc104564202"/>
      <w:bookmarkStart w:id="41" w:name="_Hlk107329172"/>
      <w:bookmarkEnd w:id="39"/>
      <w:r>
        <w:rPr>
          <w:rFonts w:ascii="Times New Roman" w:hAnsi="Times New Roman" w:hint="eastAsia"/>
          <w:sz w:val="30"/>
        </w:rPr>
        <w:lastRenderedPageBreak/>
        <w:t>十九</w:t>
      </w:r>
      <w:r>
        <w:rPr>
          <w:rFonts w:ascii="Times New Roman" w:hAnsi="Times New Roman"/>
          <w:sz w:val="30"/>
        </w:rPr>
        <w:t>、基金合同内容摘要</w:t>
      </w:r>
      <w:bookmarkEnd w:id="40"/>
    </w:p>
    <w:p w14:paraId="4EF788E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094BCD1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3C08275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1FDA776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1B2427E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551B8F3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1D517FE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5AA49BB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77F7347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61A4A9C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0511E42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1A6B649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24FFEC2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0914279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6540340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6B19F99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5E89F7E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6DF7C96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w:t>
      </w:r>
      <w:r>
        <w:rPr>
          <w:rFonts w:hint="eastAsia"/>
          <w:bCs/>
          <w:sz w:val="24"/>
        </w:rPr>
        <w:t>/</w:t>
      </w:r>
      <w:r>
        <w:rPr>
          <w:rFonts w:hint="eastAsia"/>
          <w:bCs/>
          <w:sz w:val="24"/>
        </w:rPr>
        <w:t>期货</w:t>
      </w:r>
      <w:r>
        <w:rPr>
          <w:rFonts w:ascii="宋体" w:hAnsi="宋体"/>
          <w:sz w:val="24"/>
        </w:rPr>
        <w:t>经纪商或其他为基金提供服务的外部机构；</w:t>
      </w:r>
    </w:p>
    <w:p w14:paraId="55F683F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6D320EE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34734C4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4642F46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11A7B3E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69AD17C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30771BD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6473F76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4FE7CEC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0AF4EC1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7111AD2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4E2CB4F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2427550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13F6AE1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79815E1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r>
        <w:rPr>
          <w:rFonts w:hint="eastAsia"/>
          <w:bCs/>
          <w:sz w:val="24"/>
        </w:rPr>
        <w:t>但根据监管机构、司法机关等有权机关的要求提供，或因审计、法律等外部专业顾问提供服务需要提供的情况除外；</w:t>
      </w:r>
    </w:p>
    <w:p w14:paraId="7303082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565D50D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54F2D4E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15）依据《基金法》、《基金合同》及其他有关规定召集基金份额持有人大会或配合基金托管人、基金份额持有人依法召集基金份额持有人大会；</w:t>
      </w:r>
    </w:p>
    <w:p w14:paraId="02DF178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w:t>
      </w:r>
      <w:r>
        <w:rPr>
          <w:rFonts w:hint="eastAsia"/>
          <w:bCs/>
          <w:sz w:val="24"/>
        </w:rPr>
        <w:t>不低于法律法规规定的最低期限</w:t>
      </w:r>
      <w:r>
        <w:rPr>
          <w:rFonts w:ascii="宋体" w:hAnsi="宋体"/>
          <w:sz w:val="24"/>
        </w:rPr>
        <w:t>；</w:t>
      </w:r>
    </w:p>
    <w:p w14:paraId="4396A64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575E4E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16DAA2F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5CA9E68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7CFD568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1DED6D8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3890CBC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25E79B4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413C5C1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43A5B6C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47618A4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04033A3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0ADCF0B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590BD18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w:t>
      </w:r>
      <w:r>
        <w:rPr>
          <w:rFonts w:ascii="宋体" w:hAnsi="宋体"/>
          <w:sz w:val="24"/>
        </w:rPr>
        <w:lastRenderedPageBreak/>
        <w:t>基金财产；</w:t>
      </w:r>
    </w:p>
    <w:p w14:paraId="35713C1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14:paraId="541A623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335E1F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152ABDB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23BCC80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1C53B23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51E93F8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7C37CDF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03E4D94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7D70C90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DC963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2B7A937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187828F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w:t>
      </w:r>
      <w:r>
        <w:rPr>
          <w:rFonts w:ascii="宋体" w:hAnsi="宋体" w:hint="eastAsia"/>
          <w:sz w:val="24"/>
        </w:rPr>
        <w:t>、</w:t>
      </w:r>
      <w:r>
        <w:rPr>
          <w:rFonts w:ascii="宋体" w:hAnsi="宋体"/>
          <w:sz w:val="24"/>
        </w:rPr>
        <w:t>证券账户等投资所需账户，按照《基金合同》的约定，根据基金管理人的投资指令，及时办理清算、交割事宜；</w:t>
      </w:r>
    </w:p>
    <w:p w14:paraId="54C7E19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r>
        <w:rPr>
          <w:rFonts w:ascii="宋体" w:hAnsi="宋体" w:hint="eastAsia"/>
          <w:sz w:val="24"/>
        </w:rPr>
        <w:t>；</w:t>
      </w:r>
      <w:r>
        <w:rPr>
          <w:rFonts w:hint="eastAsia"/>
          <w:bCs/>
          <w:color w:val="000000"/>
          <w:sz w:val="24"/>
        </w:rPr>
        <w:t>但根据监管机构、司法机关等有权机关的要求提供，或因审计、法律等外部专业顾问提供服务需要提供的情况除外</w:t>
      </w:r>
      <w:r>
        <w:rPr>
          <w:rFonts w:ascii="宋体" w:hAnsi="宋体"/>
          <w:sz w:val="24"/>
        </w:rPr>
        <w:t>；</w:t>
      </w:r>
    </w:p>
    <w:p w14:paraId="1327677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w:t>
      </w:r>
      <w:r>
        <w:rPr>
          <w:rFonts w:ascii="宋体" w:hAnsi="宋体"/>
          <w:sz w:val="24"/>
        </w:rPr>
        <w:lastRenderedPageBreak/>
        <w:t>购、赎回价格；</w:t>
      </w:r>
    </w:p>
    <w:p w14:paraId="69B8AD0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6CD3926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BA3781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w:t>
      </w:r>
      <w:r>
        <w:rPr>
          <w:rFonts w:hint="eastAsia"/>
          <w:bCs/>
          <w:sz w:val="24"/>
        </w:rPr>
        <w:t>不低于法律法规规定的最低期限</w:t>
      </w:r>
      <w:r>
        <w:rPr>
          <w:rFonts w:ascii="宋体" w:hAnsi="宋体"/>
          <w:sz w:val="24"/>
        </w:rPr>
        <w:t>；</w:t>
      </w:r>
    </w:p>
    <w:p w14:paraId="1942F71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12）保存基金份额持有人名册；</w:t>
      </w:r>
    </w:p>
    <w:p w14:paraId="390D833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5670DE9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4317B3A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7F54BA8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7083CBB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0B2B183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0F4C4BF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7D0A609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1227C33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1A77F5E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0721AD9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320D00F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w:t>
      </w:r>
      <w:r>
        <w:rPr>
          <w:rFonts w:ascii="宋体" w:hAnsi="宋体" w:hint="eastAsia"/>
          <w:sz w:val="24"/>
        </w:rPr>
        <w:t>基金</w:t>
      </w:r>
      <w:r>
        <w:rPr>
          <w:rFonts w:ascii="宋体" w:hAnsi="宋体"/>
          <w:sz w:val="24"/>
        </w:rPr>
        <w:t>基金份额持有人和《基金合同》的当事人，直至其不再持有本基金的基金份额。基金份额持有人</w:t>
      </w:r>
      <w:r>
        <w:rPr>
          <w:rFonts w:ascii="宋体" w:hAnsi="宋体"/>
          <w:sz w:val="24"/>
        </w:rPr>
        <w:lastRenderedPageBreak/>
        <w:t>作为《基金合同》当事人并不以在《基金合同》上书面签章或签字为必要条件。</w:t>
      </w:r>
    </w:p>
    <w:p w14:paraId="37EB341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553B065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546F0E3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438179A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5924A01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w:t>
      </w:r>
      <w:r>
        <w:rPr>
          <w:rFonts w:hint="eastAsia"/>
          <w:bCs/>
          <w:sz w:val="24"/>
        </w:rPr>
        <w:t>并按照基金合同和招募说明书的规定</w:t>
      </w:r>
      <w:r>
        <w:rPr>
          <w:rFonts w:ascii="宋体" w:hAnsi="宋体"/>
          <w:sz w:val="24"/>
        </w:rPr>
        <w:t>转让或者申请赎回其持有的基金份额；</w:t>
      </w:r>
    </w:p>
    <w:p w14:paraId="6D1E2A1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39423DE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3D4D969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649615B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6CCCBE1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05A453D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0C3030E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2FD0B55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74C9462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68965DC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6B9879E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14:paraId="538A62B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7EFB17B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01C9E1F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38EF490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4ED077A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2E8ABBF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10）提供基金管理人和监管机构依法要求提供的信息，以及不时的更新和补充，并保证其真实性；</w:t>
      </w:r>
    </w:p>
    <w:p w14:paraId="1B5A20C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6BA8BD5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14:paraId="4374E29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76266E6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3B678A8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0E39BCE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（1）当出现或需要决定下列事由之一的，应当召开基金份额持有人大会，法律法规、中国证监会</w:t>
      </w:r>
      <w:r>
        <w:rPr>
          <w:rFonts w:hint="eastAsia"/>
          <w:bCs/>
          <w:sz w:val="24"/>
        </w:rPr>
        <w:t>或基金合同</w:t>
      </w:r>
      <w:r>
        <w:rPr>
          <w:rFonts w:ascii="宋体" w:hAnsi="宋体"/>
          <w:sz w:val="24"/>
        </w:rPr>
        <w:t>另有规定的除外：</w:t>
      </w:r>
    </w:p>
    <w:p w14:paraId="5810A05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10E3185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7328D3E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00566E7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0ED940A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w:t>
      </w:r>
      <w:r>
        <w:rPr>
          <w:rFonts w:ascii="宋体" w:hAnsi="宋体" w:hint="eastAsia"/>
          <w:sz w:val="24"/>
        </w:rPr>
        <w:t>或</w:t>
      </w:r>
      <w:r>
        <w:rPr>
          <w:rFonts w:ascii="宋体" w:hAnsi="宋体"/>
          <w:sz w:val="24"/>
        </w:rPr>
        <w:t>提高销售服务费</w:t>
      </w:r>
      <w:r>
        <w:rPr>
          <w:rFonts w:ascii="宋体" w:hAnsi="宋体" w:hint="eastAsia"/>
          <w:sz w:val="24"/>
        </w:rPr>
        <w:t>率</w:t>
      </w:r>
      <w:r>
        <w:rPr>
          <w:rFonts w:ascii="宋体" w:hAnsi="宋体"/>
          <w:sz w:val="24"/>
        </w:rPr>
        <w:t>；</w:t>
      </w:r>
    </w:p>
    <w:p w14:paraId="3F90E8B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353D356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0836191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1E6E5AE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0AA33DC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33866CB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4705656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350FC76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3960BF7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14:paraId="4F9DE8E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1）调低基金销售服务费</w:t>
      </w:r>
      <w:r>
        <w:rPr>
          <w:rFonts w:hint="eastAsia"/>
          <w:bCs/>
          <w:sz w:val="24"/>
        </w:rPr>
        <w:t>率</w:t>
      </w:r>
      <w:r>
        <w:rPr>
          <w:rFonts w:ascii="宋体" w:hAnsi="宋体"/>
          <w:sz w:val="24"/>
        </w:rPr>
        <w:t>；</w:t>
      </w:r>
    </w:p>
    <w:p w14:paraId="77FDF53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64B4F10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3）在法律法规和《基金合同》规定的范围内调整本基金的申购费率、在对现有基金份额持有人利益无实质性不利影响的前提下变更收费方式；</w:t>
      </w:r>
    </w:p>
    <w:p w14:paraId="0C8FA6A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14:paraId="7DF86FD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3EE66C0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w:t>
      </w:r>
      <w:r>
        <w:rPr>
          <w:rFonts w:hint="eastAsia"/>
          <w:bCs/>
          <w:sz w:val="24"/>
        </w:rPr>
        <w:t>基金管理人在履行适当程序后，</w:t>
      </w:r>
      <w:r>
        <w:rPr>
          <w:rFonts w:ascii="宋体" w:hAnsi="宋体"/>
          <w:sz w:val="24"/>
        </w:rPr>
        <w:t>基金推出新业务或服务；</w:t>
      </w:r>
    </w:p>
    <w:p w14:paraId="28CB574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w:t>
      </w:r>
      <w:r>
        <w:rPr>
          <w:rFonts w:ascii="宋体" w:hAnsi="宋体" w:hint="eastAsia"/>
          <w:sz w:val="24"/>
        </w:rPr>
        <w:t>性</w:t>
      </w:r>
      <w:r>
        <w:rPr>
          <w:rFonts w:ascii="宋体" w:hAnsi="宋体"/>
          <w:sz w:val="24"/>
        </w:rPr>
        <w:t>不利影响的前提下，</w:t>
      </w:r>
      <w:r>
        <w:rPr>
          <w:rFonts w:hint="eastAsia"/>
          <w:bCs/>
          <w:sz w:val="24"/>
        </w:rPr>
        <w:t>增加或</w:t>
      </w:r>
      <w:r>
        <w:rPr>
          <w:rFonts w:ascii="宋体" w:hAnsi="宋体"/>
          <w:sz w:val="24"/>
        </w:rPr>
        <w:t>调整本基金份额类别的设置</w:t>
      </w:r>
      <w:r>
        <w:rPr>
          <w:bCs/>
          <w:sz w:val="24"/>
        </w:rPr>
        <w:t>、</w:t>
      </w:r>
      <w:r>
        <w:rPr>
          <w:rFonts w:hint="eastAsia"/>
          <w:bCs/>
          <w:sz w:val="24"/>
        </w:rPr>
        <w:t>对基金份额分类办法及规则进行调整</w:t>
      </w:r>
      <w:r>
        <w:rPr>
          <w:rFonts w:ascii="宋体" w:hAnsi="宋体"/>
          <w:sz w:val="24"/>
        </w:rPr>
        <w:t>；</w:t>
      </w:r>
    </w:p>
    <w:p w14:paraId="1BE03FF9" w14:textId="3FAD8842"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w:t>
      </w:r>
      <w:r w:rsidR="008E2705">
        <w:rPr>
          <w:rFonts w:ascii="宋体" w:hAnsi="宋体" w:hint="eastAsia"/>
          <w:sz w:val="24"/>
        </w:rPr>
        <w:t>、</w:t>
      </w:r>
      <w:r>
        <w:rPr>
          <w:rFonts w:ascii="宋体" w:hAnsi="宋体"/>
          <w:sz w:val="24"/>
        </w:rPr>
        <w:t>非交易过户、转托管等业务的规则；</w:t>
      </w:r>
    </w:p>
    <w:p w14:paraId="0502ECA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5C3CA6A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1DD2C13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394B45A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17BCF0D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671212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w:t>
      </w:r>
      <w:r>
        <w:rPr>
          <w:rFonts w:ascii="宋体" w:hAnsi="宋体"/>
          <w:sz w:val="24"/>
        </w:rPr>
        <w:lastRenderedPageBreak/>
        <w:t>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D11D15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F98362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7D62E15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556CB38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（1）召开基金份额持有人大会，召集人应于会议召开前30日，在规定媒介公告。基金份额持有人大会通知应至少载明以下内容：</w:t>
      </w:r>
    </w:p>
    <w:p w14:paraId="462F4C7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1F95E4C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547559F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350925C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3AFA52D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3048503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6139B5C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7DFF79C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CF04D2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w:t>
      </w:r>
      <w:r>
        <w:rPr>
          <w:rFonts w:ascii="宋体" w:hAnsi="宋体"/>
          <w:sz w:val="24"/>
        </w:rPr>
        <w:lastRenderedPageBreak/>
        <w:t>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9CD3E2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11D6BF6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14:paraId="7679ACB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4E370E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46E020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B510A1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14:paraId="4EFD8AC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6FC2778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1270FB9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w:t>
      </w:r>
      <w:r>
        <w:rPr>
          <w:rFonts w:ascii="宋体" w:hAnsi="宋体"/>
          <w:sz w:val="24"/>
        </w:rPr>
        <w:lastRenderedPageBreak/>
        <w:t>规定的方式收取基金份额持有人的表决意见；基金托管人或基金管理人经通知不参加收取表决意见的，不影响表决效力；</w:t>
      </w:r>
    </w:p>
    <w:p w14:paraId="1371BA7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w:t>
      </w:r>
      <w:r>
        <w:rPr>
          <w:rFonts w:ascii="宋体" w:hAnsi="宋体" w:hint="eastAsia"/>
          <w:sz w:val="24"/>
        </w:rPr>
        <w:t>的</w:t>
      </w:r>
      <w:r>
        <w:rPr>
          <w:rFonts w:ascii="宋体" w:hAnsi="宋体"/>
          <w:sz w:val="24"/>
        </w:rPr>
        <w:t>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D0A0C9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ascii="宋体" w:hAnsi="宋体" w:hint="eastAsia"/>
          <w:sz w:val="24"/>
        </w:rPr>
        <w:t>。</w:t>
      </w:r>
    </w:p>
    <w:p w14:paraId="5591D5A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6BDFE2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51CBBE2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104B1A3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C3A6CD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586EC71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2CD91D7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204C431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28B6693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在现场开会的方式下，首先由大会主持人按照下列第</w:t>
      </w:r>
      <w:r>
        <w:rPr>
          <w:rFonts w:ascii="宋体" w:hAnsi="宋体" w:hint="eastAsia"/>
          <w:sz w:val="24"/>
        </w:rPr>
        <w:t>7</w:t>
      </w:r>
      <w:r>
        <w:rPr>
          <w:rFonts w:ascii="宋体" w:hAnsi="宋体"/>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14:paraId="78EEAAE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772071C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32B8FEB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7E1060D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5560C27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7C115AD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40D6135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6FB0BD8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A64DF5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3AD8855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F801CB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基金份额持有人大会的各项提案或同一项提案内并列的各项议题应当分开审议、逐项表决。</w:t>
      </w:r>
    </w:p>
    <w:p w14:paraId="10D9941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0612C50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191E018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F2E4DC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1E6B613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87CD66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083A882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4885623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0156DA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111BCCA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w:t>
      </w:r>
    </w:p>
    <w:p w14:paraId="7286CC4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基金份额持有人大会的决议自表决通过之日起生效。法律法规另有规定的，从其规定。</w:t>
      </w:r>
    </w:p>
    <w:p w14:paraId="3856AC2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基金份额持有人大会决议自生效之日起依照《信息披露办法》的规定在规定媒介上公告。如果采用通讯方式进行表决，在公告基金份额持有人大会决议时，必须</w:t>
      </w:r>
      <w:r>
        <w:rPr>
          <w:rFonts w:ascii="宋体" w:hAnsi="宋体"/>
          <w:sz w:val="24"/>
        </w:rPr>
        <w:lastRenderedPageBreak/>
        <w:t>将公证书全文、公证机构、公证员姓名等一同公告。</w:t>
      </w:r>
    </w:p>
    <w:p w14:paraId="7018678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7347B74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14:paraId="214FCD2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D7D41D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19534FD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2C2B8FB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1E34ABA2"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5A9250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24FDE90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3BE0FAC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410139D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671605D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w:t>
      </w:r>
      <w:r>
        <w:rPr>
          <w:rFonts w:ascii="宋体" w:hAnsi="宋体"/>
          <w:sz w:val="24"/>
        </w:rPr>
        <w:lastRenderedPageBreak/>
        <w:t>等规定，凡是直接引用法律法规</w:t>
      </w:r>
      <w:r>
        <w:rPr>
          <w:rFonts w:hint="eastAsia"/>
          <w:bCs/>
          <w:sz w:val="24"/>
        </w:rPr>
        <w:t>或监管规则</w:t>
      </w:r>
      <w:r>
        <w:rPr>
          <w:rFonts w:ascii="宋体" w:hAnsi="宋体"/>
          <w:sz w:val="24"/>
        </w:rPr>
        <w:t>的部分，如将来法律法规</w:t>
      </w:r>
      <w:r>
        <w:rPr>
          <w:rFonts w:hint="eastAsia"/>
          <w:bCs/>
          <w:sz w:val="24"/>
        </w:rPr>
        <w:t>或监管规则</w:t>
      </w:r>
      <w:r>
        <w:rPr>
          <w:rFonts w:ascii="宋体" w:hAnsi="宋体"/>
          <w:sz w:val="24"/>
        </w:rPr>
        <w:t>修改导致相关内容被取消或变更的，基金管理人经与基金托管人协商一致并提前公告后，可直接对本部分内容进行修改和调整，无需召开基金份额持有人大会审议。</w:t>
      </w:r>
    </w:p>
    <w:p w14:paraId="52EADD2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1733D98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3B2D8D4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Pr>
          <w:rFonts w:ascii="宋体" w:hAnsi="宋体" w:hint="eastAsia"/>
          <w:sz w:val="24"/>
        </w:rPr>
        <w:t>按规定</w:t>
      </w:r>
      <w:r>
        <w:rPr>
          <w:rFonts w:ascii="宋体" w:hAnsi="宋体"/>
          <w:sz w:val="24"/>
        </w:rPr>
        <w:t>报中国证监会备案。</w:t>
      </w:r>
    </w:p>
    <w:p w14:paraId="5D929AB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（2）关于《基金合同》变更的基金份额持有人大会决议自生效后方可执行，自决议生效后依照《信息披露办法》的规定在规定媒介公告。</w:t>
      </w:r>
    </w:p>
    <w:p w14:paraId="5C462CD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0B33A74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57A405F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4A86762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2370903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Pr>
          <w:rFonts w:hint="eastAsia"/>
          <w:bCs/>
          <w:sz w:val="24"/>
        </w:rPr>
        <w:t>基金合同终止</w:t>
      </w:r>
      <w:r>
        <w:rPr>
          <w:rFonts w:ascii="宋体" w:hAnsi="宋体"/>
          <w:sz w:val="24"/>
        </w:rPr>
        <w:t>，不需召开基金份额持有人大会；</w:t>
      </w:r>
    </w:p>
    <w:p w14:paraId="3058543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47A4509F"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05B5C0E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28B608E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6A814FF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Pr>
          <w:bCs/>
          <w:sz w:val="24"/>
        </w:rPr>
        <w:t>符合</w:t>
      </w:r>
      <w:r>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7DE6088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7CE213A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0819148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1）《基金合同》终止情形出现时，由基金财产清算小组统一接管基金</w:t>
      </w:r>
      <w:r>
        <w:rPr>
          <w:rFonts w:ascii="宋体" w:hAnsi="宋体" w:hint="eastAsia"/>
          <w:sz w:val="24"/>
        </w:rPr>
        <w:t>财产</w:t>
      </w:r>
      <w:r>
        <w:rPr>
          <w:rFonts w:ascii="宋体" w:hAnsi="宋体"/>
          <w:sz w:val="24"/>
        </w:rPr>
        <w:t>；</w:t>
      </w:r>
    </w:p>
    <w:p w14:paraId="4535930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3356436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0F652B7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3741A55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6C71A38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5E9C05A1"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2290CE5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2848220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724DC17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2C035C5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17FAC10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09CC560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7F0D29A0"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w:t>
      </w:r>
      <w:r>
        <w:rPr>
          <w:bCs/>
          <w:sz w:val="24"/>
        </w:rPr>
        <w:t>符合</w:t>
      </w:r>
      <w:r>
        <w:rPr>
          <w:rFonts w:hint="eastAsia"/>
          <w:bCs/>
          <w:sz w:val="24"/>
        </w:rPr>
        <w:t>《中华人民共和国证券法》规定的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Pr>
          <w:rFonts w:hint="eastAsia"/>
          <w:bCs/>
          <w:sz w:val="24"/>
        </w:rPr>
        <w:t>规定网站</w:t>
      </w:r>
      <w:r>
        <w:rPr>
          <w:rFonts w:ascii="宋体" w:hAnsi="宋体"/>
          <w:sz w:val="24"/>
        </w:rPr>
        <w:t>上，并将清算报告提示性公告登载在</w:t>
      </w:r>
      <w:r>
        <w:rPr>
          <w:rFonts w:hint="eastAsia"/>
          <w:bCs/>
          <w:sz w:val="24"/>
        </w:rPr>
        <w:t>规定报刊</w:t>
      </w:r>
      <w:r>
        <w:rPr>
          <w:rFonts w:ascii="宋体" w:hAnsi="宋体"/>
          <w:sz w:val="24"/>
        </w:rPr>
        <w:t>上。</w:t>
      </w:r>
    </w:p>
    <w:p w14:paraId="3702CC3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01616C2B"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Pr>
          <w:rFonts w:hint="eastAsia"/>
          <w:bCs/>
          <w:sz w:val="24"/>
        </w:rPr>
        <w:t>不低于法律法规规定的最低期限</w:t>
      </w:r>
      <w:r>
        <w:rPr>
          <w:rFonts w:ascii="宋体" w:hAnsi="宋体"/>
          <w:sz w:val="24"/>
        </w:rPr>
        <w:t>。</w:t>
      </w:r>
    </w:p>
    <w:p w14:paraId="117F6FB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60ED5489" w14:textId="77777777" w:rsidR="00CA59D4" w:rsidRPr="00493194" w:rsidRDefault="006C2E2B">
      <w:pPr>
        <w:autoSpaceDE w:val="0"/>
        <w:autoSpaceDN w:val="0"/>
        <w:adjustRightInd w:val="0"/>
        <w:snapToGrid w:val="0"/>
        <w:spacing w:line="360" w:lineRule="auto"/>
        <w:ind w:firstLineChars="200" w:firstLine="482"/>
        <w:jc w:val="left"/>
        <w:rPr>
          <w:rFonts w:ascii="宋体" w:hAnsi="宋体"/>
          <w:b/>
          <w:bCs/>
          <w:sz w:val="24"/>
        </w:rPr>
      </w:pPr>
      <w:r w:rsidRPr="00493194">
        <w:rPr>
          <w:rFonts w:ascii="宋体" w:hAnsi="宋体" w:hint="eastAsia"/>
          <w:b/>
          <w:bCs/>
          <w:sz w:val="24"/>
        </w:rPr>
        <w:t>各方当事人同意，因《基金合同》而产生的或与《基金合同》有关的一切争议，如经友好协商未能解决的，任何一方均有权将争议提交上海国际经济贸易仲裁委员会，根据上海国际经济贸易仲裁委员会届时有效的仲裁规则进行仲裁，仲</w:t>
      </w:r>
      <w:r w:rsidRPr="00493194">
        <w:rPr>
          <w:rFonts w:ascii="宋体" w:hAnsi="宋体" w:hint="eastAsia"/>
          <w:b/>
          <w:bCs/>
          <w:sz w:val="24"/>
        </w:rPr>
        <w:lastRenderedPageBreak/>
        <w:t>裁地点为上海市。仲裁裁决是终局的，对各方当事人均有约束力，除非仲裁裁决另有规定，仲裁费由败诉方承担。</w:t>
      </w:r>
    </w:p>
    <w:p w14:paraId="0BD0F2B0"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争议处理期间，基金合同当事人应恪守各自的职责，继续忠实、勤勉、尽责地履行基金合同规定的义务，维护基金份额持有人的合法权益。</w:t>
      </w:r>
    </w:p>
    <w:p w14:paraId="69FAFCBD"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《基金合同》受中国法律（不含港澳台地区法律）管辖</w:t>
      </w:r>
      <w:r>
        <w:rPr>
          <w:rFonts w:hint="eastAsia"/>
          <w:bCs/>
          <w:sz w:val="24"/>
        </w:rPr>
        <w:t>并从其解释</w:t>
      </w:r>
      <w:r>
        <w:rPr>
          <w:rFonts w:ascii="宋体" w:hAnsi="宋体" w:hint="eastAsia"/>
          <w:sz w:val="24"/>
        </w:rPr>
        <w:t>。</w:t>
      </w:r>
    </w:p>
    <w:p w14:paraId="5CBEBE58"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（五）基金合同存放地和投资者取得基金合同的方式</w:t>
      </w:r>
    </w:p>
    <w:p w14:paraId="1C990E16"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hint="eastAsia"/>
          <w:sz w:val="24"/>
        </w:rPr>
        <w:t>基金合同</w:t>
      </w:r>
      <w:r>
        <w:rPr>
          <w:rFonts w:ascii="宋体" w:hAnsi="宋体"/>
          <w:sz w:val="24"/>
        </w:rPr>
        <w:t>》</w:t>
      </w:r>
      <w:r>
        <w:rPr>
          <w:rFonts w:ascii="宋体" w:hAnsi="宋体" w:hint="eastAsia"/>
          <w:sz w:val="24"/>
        </w:rPr>
        <w:t>正本一式三份，除上报有关监管机构一份外，基金管理人、基金托管人各持有一份，每份具有同等的法律效力。</w:t>
      </w:r>
    </w:p>
    <w:p w14:paraId="36BE2CD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38CB45EB" w14:textId="77777777" w:rsidR="00CA59D4" w:rsidRDefault="006C2E2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9460DFA" w14:textId="77777777" w:rsidR="00CA59D4" w:rsidRDefault="006C2E2B">
      <w:pPr>
        <w:pStyle w:val="1"/>
        <w:snapToGrid w:val="0"/>
        <w:spacing w:beforeLines="0" w:before="240" w:after="240"/>
        <w:rPr>
          <w:rFonts w:ascii="宋体" w:hAnsi="宋体"/>
          <w:szCs w:val="30"/>
        </w:rPr>
      </w:pPr>
      <w:bookmarkStart w:id="42" w:name="_Toc104564203"/>
      <w:bookmarkStart w:id="43" w:name="_Hlk101017475"/>
      <w:bookmarkEnd w:id="41"/>
      <w:r>
        <w:rPr>
          <w:rFonts w:ascii="Times New Roman" w:hAnsi="Times New Roman"/>
          <w:sz w:val="30"/>
        </w:rPr>
        <w:lastRenderedPageBreak/>
        <w:t>二十、托管协议的内容摘要</w:t>
      </w:r>
      <w:bookmarkEnd w:id="42"/>
    </w:p>
    <w:p w14:paraId="3F93263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0B2D98CC"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1、基金管理人</w:t>
      </w:r>
    </w:p>
    <w:p w14:paraId="6F4B7FE8"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名称：交银施罗德基金管理有限公司</w:t>
      </w:r>
    </w:p>
    <w:p w14:paraId="3E76D128"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住所：中国(上海)自由贸易试验区银城中路188号交通银行大楼二层（裙）</w:t>
      </w:r>
    </w:p>
    <w:p w14:paraId="6F42B855" w14:textId="0226A07A"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法定代表人：张宏良</w:t>
      </w:r>
    </w:p>
    <w:p w14:paraId="6DA675AF"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成立时间：2005年8月4日</w:t>
      </w:r>
    </w:p>
    <w:p w14:paraId="25FDAE7D"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批准设立机关：中国证监会</w:t>
      </w:r>
    </w:p>
    <w:p w14:paraId="101BCB41"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批准设立文号：证监基金字[2005]128号</w:t>
      </w:r>
    </w:p>
    <w:p w14:paraId="155127ED"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组织形式：有限责任公司</w:t>
      </w:r>
    </w:p>
    <w:p w14:paraId="6575621F"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注册资本：2亿元人民币</w:t>
      </w:r>
    </w:p>
    <w:p w14:paraId="634233D9"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经营范围：基金募集、基金销售、资产管理和中国证监会许可的其它业务。</w:t>
      </w:r>
    </w:p>
    <w:p w14:paraId="7DCBFDF2"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存续期间：持续经营</w:t>
      </w:r>
    </w:p>
    <w:p w14:paraId="15DA1F42"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2、基金托管人</w:t>
      </w:r>
    </w:p>
    <w:p w14:paraId="6BEDE1A5"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名称：兴业银行股份有限公司</w:t>
      </w:r>
    </w:p>
    <w:p w14:paraId="1FF65966"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住所：福建省福州市台江区江滨中大道398号兴业银行大厦</w:t>
      </w:r>
    </w:p>
    <w:p w14:paraId="48D06B9B"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法定代表人：吕家进</w:t>
      </w:r>
    </w:p>
    <w:p w14:paraId="7EBCF312"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成立时间：1988年8月22日</w:t>
      </w:r>
    </w:p>
    <w:p w14:paraId="31C5EA9B"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基金托管业务批准文号：证监基金字[2005]74号</w:t>
      </w:r>
    </w:p>
    <w:p w14:paraId="10C619E6"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组织形式：股份有限公司</w:t>
      </w:r>
    </w:p>
    <w:p w14:paraId="1ADC3B03"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注册资本：207.74亿元人民币</w:t>
      </w:r>
    </w:p>
    <w:p w14:paraId="0DD0AD3F"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存续期间：持续经营</w:t>
      </w:r>
    </w:p>
    <w:p w14:paraId="1993047C"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批准设立机关及批准设立文号:中国人民银行总行,银复[1988]347号</w:t>
      </w:r>
    </w:p>
    <w:p w14:paraId="381FBE2C"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经营范围：吸收公众存款；发放短期、中期和长期贷款；办理国内外结算；办理票据承兑与贴现；发行金融债券；代理发行、代理兑付、承销政府债券；买卖政府债券、金融债券；代理发行股票以外的有价证券；买卖、代理买卖股票以外的有价证券；资产托管业务；从事同业拆借；买卖、代理买卖外汇；结汇、售汇业务；从事银行卡业务；提供信用证服务及担保；代理收付款项及代理保险业务；提供保管箱服务；财务顾问、资信调查、咨询、见证业务；经中国银行保险监督管理委员</w:t>
      </w:r>
      <w:r>
        <w:rPr>
          <w:rFonts w:ascii="宋体" w:hAnsi="宋体" w:hint="eastAsia"/>
          <w:sz w:val="24"/>
        </w:rPr>
        <w:lastRenderedPageBreak/>
        <w:t xml:space="preserve">会批准的其他业务；保险兼业代理业务；黄金及其制品进出口；公募证券投资基金销售；证券投资基金托管。（依法须经批准的项目，经相关部门批准后方可开展经营活动，经营项目以相关部门批准文件或许可证件为准）  </w:t>
      </w:r>
    </w:p>
    <w:p w14:paraId="34CF6F82"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电话： 021-52629999</w:t>
      </w:r>
    </w:p>
    <w:p w14:paraId="14F599AF"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传真： 021-62152155</w:t>
      </w:r>
    </w:p>
    <w:p w14:paraId="2D157EAE"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（二）基金托管人对基金管理人的业务监督和核查</w:t>
      </w:r>
    </w:p>
    <w:p w14:paraId="2CA9A437"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托管人根据有关法律法规的规定及基金合同的约定，对基金投资范围、投资对象进行监督。基金托管人运用相关技术系统，对基金实际投资是否符合基金合同的约定进行监督，对存在疑义的事项进行核查。</w:t>
      </w:r>
    </w:p>
    <w:p w14:paraId="030DA501"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基金的投资范围为具有良好流动性的金融工具，包括债券（含国债、金融债、央行票据、地方政府债、政府支持债、政府支持机构债、企业债、公司债、公开发行的次级债、短期融资券、超短期融资券、中期票据）、资产支持证券、债券回购、银行存款（包括定期存款、协议存款、通知存款等）、同业存单、货币市场工具、国债期货、信用衍生品以及法律法规或中国证监会允许基金投资的其他金融工具（但须符合中国证监会相关规定）。本基金不投资于股票等权益类资产，也不投资于可转换债券、可交换债券。</w:t>
      </w:r>
    </w:p>
    <w:p w14:paraId="3D7FD4BB"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如法律法规或监管机构以后允许基金投资其他品种，基金管理人在履行适当程序后，可以将其纳入投资范围。</w:t>
      </w:r>
    </w:p>
    <w:p w14:paraId="6C10DAB5"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基金的投资组合比例为：本基金投资于债券资产的比例不低于基金资产的80%；每个交易日日终在扣除国债期货合约需缴纳的交易保证金后，本基金持有的现金或到期日在一年以内的政府债券的比例合计不低于基金资产净值的5%，其中现金不包括结算备付金、存出保证金、应收申购款等。</w:t>
      </w:r>
    </w:p>
    <w:p w14:paraId="5DA33B40"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如果法律法规或中国证监会变更投资品种的投资比例限制，基金管理人在履行适当程序后，可以调整上述投资品种的投资比例。</w:t>
      </w:r>
    </w:p>
    <w:p w14:paraId="5A24FCDC"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2、基金托管人根据有关法律法规的规定及基金合同的约定，对基金投资比例进行监督。基金托管人按下述比例和调整期限进行监督：</w:t>
      </w:r>
    </w:p>
    <w:p w14:paraId="5805725D"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（1）本基金投资于债券资产的比例不低于基金资产的80%；</w:t>
      </w:r>
    </w:p>
    <w:p w14:paraId="64014FF2"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每个交易日日终在扣除国债期货合约需缴纳的交易保证金后，本基金持有的现金或到期日在一年以内的政府债券的比例合计不低于基金资产净值的5%，其中现金不包括结算备付金、存出保证金、应收申购款等；</w:t>
      </w:r>
    </w:p>
    <w:p w14:paraId="2164E1EA"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（3）本基金持有一家公司发行的证券，其市值不超过基金资产净值的10%；</w:t>
      </w:r>
    </w:p>
    <w:p w14:paraId="363B902C"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（4）本基金管理人管理的全部基金持有一家公司发行的证券，不超过该证券的10％，完全按照有关指数的构成比例进行证券投资的基金品种可以不受此条款规定的比例限制；</w:t>
      </w:r>
    </w:p>
    <w:p w14:paraId="2616AA5F"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（5）本基金投资于同一原始权益人的各类资产支持证券的比例，不得超过基金资产净值的10％；</w:t>
      </w:r>
    </w:p>
    <w:p w14:paraId="4E92D5CD"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（6）本基金持有的全部资产支持证券，其市值不得超过基金资产净值的20％；</w:t>
      </w:r>
    </w:p>
    <w:p w14:paraId="72210AC3"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（7）本基金持有的同一（指同一信用级别）资产支持证券的比例，不得超过该资产支持证券规模的10％；</w:t>
      </w:r>
    </w:p>
    <w:p w14:paraId="78A6CD41"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（8）本基金管理人管理的全部基金投资于同一原始权益人的各类资产支持证券，不得超过其各类资产支持证券合计规模的10％；</w:t>
      </w:r>
    </w:p>
    <w:p w14:paraId="321D1E8A"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（9）本基金参与国债期货交易，需遵守下列投资比例限制：</w:t>
      </w:r>
    </w:p>
    <w:p w14:paraId="22296B94"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1）在任何交易日日终，持有的买入国债期货合约价值，不得超过基金资产净值的15%；</w:t>
      </w:r>
    </w:p>
    <w:p w14:paraId="2A10BF45"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2）在任何交易日日终，持有的卖出国债期货合约价值不得超过基金持有的债券总市值的30%；</w:t>
      </w:r>
    </w:p>
    <w:p w14:paraId="5F867DE0"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3）基金在任何交易日内交易（不包括平仓）的国债期货合约的成交金额不得超过上一交易日基金资产净值的30%；</w:t>
      </w:r>
    </w:p>
    <w:p w14:paraId="4597E2FA"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4）本基金所持有的债券（不含到期日在一年以内的政府债券）市值和买入、卖出国债期货合约价值，合计（轧差计算）应当符合基金合同关于债券投资比例的有关约定；</w:t>
      </w:r>
    </w:p>
    <w:p w14:paraId="6EEB5A2C"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10）本基金不持有具有信用保护卖方属性的信用衍生品，不持有合约类信用衍生品；本基金投资的信用衍生品名义本金不得超过本基金中对应受保护债券面值的100%；本基金投资于同一信用保护卖方的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14:paraId="55EF4384"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（11）本基金主动投资于流动性受限资产的市值合计不得超过基金资产净值的15%；因证券市场波动、基金规模变动等基金管理人之外的因素致使基金不符合该</w:t>
      </w:r>
      <w:r>
        <w:rPr>
          <w:rFonts w:ascii="宋体" w:hAnsi="宋体" w:hint="eastAsia"/>
          <w:sz w:val="24"/>
        </w:rPr>
        <w:lastRenderedPageBreak/>
        <w:t>比例限制的，基金管理人不得主动新增流动性受限资产的投资；</w:t>
      </w:r>
    </w:p>
    <w:p w14:paraId="56FE10C5"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（12）本基金与私募类证券资管产品及中国证监会认定的其他主体为交易对手开展逆回购交易的，可接受质押品的资质要求应当与基金合同约定的投资范围保持一致；</w:t>
      </w:r>
    </w:p>
    <w:p w14:paraId="6BD62C08"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（13）本基金资产总值不超过基金资产净值的140%；</w:t>
      </w:r>
    </w:p>
    <w:p w14:paraId="12642047"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（14）法律法规及中国证监会规定的和《基金合同》约定的其他投资限制。</w:t>
      </w:r>
    </w:p>
    <w:p w14:paraId="2636F087"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除上述（2）、（10）、（11）、（12）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4B62F61"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投资的监督和检查自基金合同生效之日起开始。</w:t>
      </w:r>
    </w:p>
    <w:p w14:paraId="7C4468E3"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法律法规或监管部门取消或变更上述限制，如适用于本基金，基金管理人在履行适当程序后，则本基金投资不再受相关限制或以变更后的规定为准。</w:t>
      </w:r>
    </w:p>
    <w:p w14:paraId="6778C5B2"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3、基金托管人根据有关法律法规的规定及基金合同的约定对下述基金投资禁止行为进行监督。</w:t>
      </w:r>
    </w:p>
    <w:p w14:paraId="1F4539F9"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根据法律法规的规定及基金合同的约定，基金财产不得用于下列投资或者活动：</w:t>
      </w:r>
    </w:p>
    <w:p w14:paraId="3DCDC60C"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（1）承销证券；</w:t>
      </w:r>
    </w:p>
    <w:p w14:paraId="1A3383DE"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（2）违反规定向他人贷款或者提供担保；</w:t>
      </w:r>
    </w:p>
    <w:p w14:paraId="45569664"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（3）从事承担无限责任的投资；</w:t>
      </w:r>
    </w:p>
    <w:p w14:paraId="25D463C1"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（4）买卖其他基金份额，但是中国证监会另有规定的除外；</w:t>
      </w:r>
    </w:p>
    <w:p w14:paraId="6003AC64"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（5）向其基金管理人、基金托管人出资；</w:t>
      </w:r>
    </w:p>
    <w:p w14:paraId="07F96AE6"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（6）从事内幕交易、操纵证券交易价格及其他不正当的证券交易活动；</w:t>
      </w:r>
    </w:p>
    <w:p w14:paraId="0686A29F"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（7）法律、行政法规和中国证监会规定禁止的其他活动。</w:t>
      </w:r>
    </w:p>
    <w:p w14:paraId="76194F8D"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w:t>
      </w:r>
      <w:r>
        <w:rPr>
          <w:rFonts w:ascii="宋体" w:hAnsi="宋体" w:hint="eastAsia"/>
          <w:sz w:val="24"/>
        </w:rPr>
        <w:lastRenderedPageBreak/>
        <w:t>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40DD15A"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如法律、行政法规或监管部门取消或变更上述规定，如适用于本基金，基金管理人在履行适当程序后，本基金可不受上述规定的限制或以变更后的规定执行。</w:t>
      </w:r>
    </w:p>
    <w:p w14:paraId="612550B8"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4、基金托管人根据有关法律法规的规定及基金合同的约定，对基金管理人参与银行间债券市场进行监督。</w:t>
      </w:r>
    </w:p>
    <w:p w14:paraId="6F9699AD"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如基金管理人在基金投资运作之前未向基金托管人提供银行间债券市场交易对手名单的，视为基金管理人认可全市场交易对手。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与基金托管人协商解决。</w:t>
      </w:r>
    </w:p>
    <w:p w14:paraId="7F928532"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负责对交易对手的资信控制，按银行间债券市场的交易规则进行交易，并负责解决因交易对手不履行合同而造成的纠纷，基金托管人不承担由此造成的相应法律责任及损失。若未履约的交易对手在基金托管人与基金管理人确定的时间前仍未承担违约责任及其他相关法律责任的，基金管理人有权向相关交易对手追偿，基金托管人应予以必要的协助与配合。基金托管人根据银行间债券市场成交单对本基金银行间债券交易的交易对手及其结算方式进行监督。如基金托管人事后发现基金管理人没有按照事先约定的交易对手或交易方式进行交易时，基金托管人应及时书面或以双方认可的其他方式提醒基金管理人，经提醒后仍未改正时造成基金财产损失的，基金托管人不承担由此造成的相应损失和责任。如果基金托管人未能切实履行监督职责，导致基金出现风险或造成基金资产损失的，基金托管人应承担相应责任。</w:t>
      </w:r>
    </w:p>
    <w:p w14:paraId="330CB90A"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5、基金托管人对基金投资银行存款进行监督。</w:t>
      </w:r>
    </w:p>
    <w:p w14:paraId="0A238170"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基金管理人、基金托管人应当与存款银行建立定期对账机制，确保基金银行存</w:t>
      </w:r>
      <w:r>
        <w:rPr>
          <w:rFonts w:ascii="宋体" w:hAnsi="宋体" w:hint="eastAsia"/>
          <w:sz w:val="24"/>
        </w:rPr>
        <w:lastRenderedPageBreak/>
        <w:t>款业务账目及核算的真实、准确。基金管理人应当按照有关法规规定，与存款机构签订相关书面协议。基金托管人应根据相关法规及协议对基金银行存款业务进行监督与核查，严格审查、复核相关协议、账户资料、投资指令、存款证实书等有关文件，切实履行托管职责。</w:t>
      </w:r>
    </w:p>
    <w:p w14:paraId="0F296023"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4159C5E7"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如基金管理人在基金投资运作之前未向基金托管人提供存款银行名单的，视为基金管理人认可所有银行。</w:t>
      </w:r>
    </w:p>
    <w:p w14:paraId="2C0A08AF"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6、基金托管人依据有关法律法规的规定、基金合同和本托管协议的约定对于基金关联交易进行监督。</w:t>
      </w:r>
    </w:p>
    <w:p w14:paraId="17FBEC48"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36A43D4E"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根据法律法规有关基金从事的关联交易的规定，基金管理人和基金托管人应事先相互提供与本机构有控股关系的股东、实际控制人或者与其有重大利害关系的公司名单及有关关联方发行的证券名单，书面提交，并确保所提供的关联交易名单的真实性、完整性、全面性。基金管理人及基金托管人有责任保管真实、完整、全面的关联交易名单，并负责及时更新该名单。名单变更后基金管理人及基金托管人应及时发送另一方，另一方于2个工作日内进行回函确认已知名单的变更。一方收到另一方书面确认后，新的关联交易名单开始生效。</w:t>
      </w:r>
    </w:p>
    <w:p w14:paraId="55D0A72F"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7、基金托管人根据有关法律法规的规定及基金合同的约定，对基金资产净值计算、各类基金份额净值、应收资金到账、基金费用开支及收入确定、基金收益分</w:t>
      </w:r>
      <w:r>
        <w:rPr>
          <w:rFonts w:ascii="宋体" w:hAnsi="宋体" w:hint="eastAsia"/>
          <w:sz w:val="24"/>
        </w:rPr>
        <w:lastRenderedPageBreak/>
        <w:t>配、相关信息披露、基金宣传推介材料中登载基金业绩表现数据等进行监督和核查。</w:t>
      </w:r>
    </w:p>
    <w:p w14:paraId="40AAABB6"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8、基金托管人发现基金管理人的上述事项及投资指令或实际投资运作违反法律法规、基金合同和本托管协议的规定，应及时以电话提醒或书面提示等方式通知基金管理人限期纠正。</w:t>
      </w:r>
    </w:p>
    <w:p w14:paraId="6E8A45B2"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应积极配合和协助基金托管人的监督和核查。基金管理人收到书面通知后应在下一工作日前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如果基金托管人未能切实履行监督职责，导致基金出现风险或造成基金资产损失的，基金托管人应承担相应责任。</w:t>
      </w:r>
    </w:p>
    <w:p w14:paraId="49A0C309"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9、基金管理人有义务配合和协助基金托管人依照法律法规、基金合同和本托管协议对基金业务执行核查。</w:t>
      </w:r>
    </w:p>
    <w:p w14:paraId="37671666"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对基金托管人发出的书面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14:paraId="08D310A3"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、若基金托管人发现基金管理人依据交易程序已经生效的指令违反法律、行政法规和其他有关规定，或者违反基金合同约定的，应当立即以书面或以双方认可的其他方式通知基金管理人。</w:t>
      </w:r>
    </w:p>
    <w:p w14:paraId="2431FEEE"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D0DAF67"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（三）基金管理人对基金托管人的业务核查</w:t>
      </w:r>
    </w:p>
    <w:p w14:paraId="010ECC14"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管理人对基金托管人履行托管职责情况进行核查，核查事项包括但不限于基金托管人安全保管基金财产、开设基金财产的资金账户、证券账户、期货账户等投资所需账户、及时、准确复核基金管理人计算的基金资产净值、各类基金份</w:t>
      </w:r>
      <w:r>
        <w:rPr>
          <w:rFonts w:ascii="宋体" w:hAnsi="宋体" w:hint="eastAsia"/>
          <w:sz w:val="24"/>
        </w:rPr>
        <w:lastRenderedPageBreak/>
        <w:t>额净值，根据基金管理人指令办理清算交收且如遇到问题应及时反馈、相关信息披露和监督基金投资运作是否对非公开信息保密等行为。</w:t>
      </w:r>
    </w:p>
    <w:p w14:paraId="2FB7BD96"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定期和不定期地对基金托管人保管的基金资产进行核查。基金托管人应积极配合基金管理人的核查行为，包括但不限于：提交相关资料以供基金管理人核查基金财产的完整性和真实性，在规定时间内答复基金管理人并改正。</w:t>
      </w:r>
    </w:p>
    <w:p w14:paraId="36F0DE50"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管理人发现基金托管人擅自挪用基金财产、未对基金财产实行分账管理、未执行或无故延迟执行基金管理人资金划拨指令、泄露基金投资信息等违反《基金法》、基金合同、本协议及其他有关规定时，应及时以电话提醒或书面提示等方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供基金管理人核查基金财产的完整性和真实性，在规定时间内答复基金管理人并改正等。基金管理人有权要求基金托管人赔偿基金因此所遭受的损失。</w:t>
      </w:r>
    </w:p>
    <w:p w14:paraId="518D7898"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B5832FD"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（四）基金财产保管</w:t>
      </w:r>
    </w:p>
    <w:p w14:paraId="41A8F099"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1、基金财产保管的原则</w:t>
      </w:r>
    </w:p>
    <w:p w14:paraId="0922EB83"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（1）基金财产应独立于基金管理人、基金托管人的固有财产。</w:t>
      </w:r>
    </w:p>
    <w:p w14:paraId="1BB1B079"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（2）基金托管人应安全保管基金财产。未经基金管理人的正当指令，不得自行运用、处分、分配基金的任何财产。如果基金财产在基金托管人保管期间损坏、灭失的，应由该基金托管人承担赔偿责任。</w:t>
      </w:r>
    </w:p>
    <w:p w14:paraId="0ACBC80F"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（3）基金托管人按照规定开设基金财产的资金账户、证券账户、债券托管账户和期货结算账户等投资所需账户。</w:t>
      </w:r>
    </w:p>
    <w:p w14:paraId="46C6A078"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（4）基金托管人对所托管的不同基金财产分别设置账户，与基金托管人的其他业务和其他基金的托管业务实行严格的分账管理，确保基金财产的完整与独立。</w:t>
      </w:r>
    </w:p>
    <w:p w14:paraId="4D06FE33"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）基金托管人根据基金管理人的指令，按照法律法规的规定、基金合同和</w:t>
      </w:r>
      <w:r>
        <w:rPr>
          <w:rFonts w:ascii="宋体" w:hAnsi="宋体" w:hint="eastAsia"/>
          <w:sz w:val="24"/>
        </w:rPr>
        <w:lastRenderedPageBreak/>
        <w:t>本协议的约定保管基金财产。</w:t>
      </w:r>
    </w:p>
    <w:p w14:paraId="2052C5DE"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银行账户的，基金托管人应及时通知并配合基金管理人采取措施进行催收。由此给基金财产造成损失的，基金管理人应负责向有关当事人追偿基金的损失，基金托管人对此不承担相应责任。</w:t>
      </w:r>
    </w:p>
    <w:p w14:paraId="227D993C"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（7）除依据法律法规和基金合同的规定外，基金托管人不得委托第三人托管基金财产。</w:t>
      </w:r>
    </w:p>
    <w:p w14:paraId="476C667E"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2、基金募集期间及募集资金的验资</w:t>
      </w:r>
    </w:p>
    <w:p w14:paraId="24A4C57E"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（1）基金募集期间募集的资金应存于基金管理人开立的“基金募集专户”。该账户由基金管理人或基金管理人委托的登记机构开立并管理。</w:t>
      </w:r>
    </w:p>
    <w:p w14:paraId="603944D1"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募集期满或基金提前结束募集时，募集的基金份额总额、基金募集金额、基金份额持有人人数符合《基金法》、《运作办法》、基金合同等有关规定后，基金管理人应将属于基金财产的全部资金划入基金托管人为本基金开立的基金银行账户，基金托管人在收到资金当日出具相关证明文件，基金管理人在规定时间内，聘请符合《中华人民共和国证券法》规定的会计师事务所进行验资，出具验资报告，验资报告中需对基金募集的资金进行确认。出具的验资报告由参加验资的2名或2名以上中国注册会计师签章方为有效。</w:t>
      </w:r>
    </w:p>
    <w:p w14:paraId="10120229"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（3）若基金募集期限届满，未能达到基金合同生效的条件，由基金管理人按规定办理退款等事宜，基金托管人应提供充分协助。</w:t>
      </w:r>
    </w:p>
    <w:p w14:paraId="1DE99884"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3、基金银行账户的开立和管理</w:t>
      </w:r>
    </w:p>
    <w:p w14:paraId="258CCD95"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（1）基金托管人应负责本基金的银行账户的开设和管理。</w:t>
      </w:r>
    </w:p>
    <w:p w14:paraId="25B78780"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托管人可以本基金的名义在其营业机构开设本基金的银行账户，并根据基金管理人合法合规的指令办理资金收付。账户的名称应当包含本基金名称，具体名称以实际开立为准。本基金的一切货币收支活动，包括但不限于投资、支付赎回金额、支付基金收益、收取申购款，均需通过本基金的银行账户进行。</w:t>
      </w:r>
    </w:p>
    <w:p w14:paraId="0CD60016"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（3）基金银行账户的开立和使用，限于满足开展本基金业务的需要。基金托管人和基金管理人不得假借本基金的名义开立任何其他银行账户；亦不得使用基金的任何账户进行本基金业务以外的活动。</w:t>
      </w:r>
    </w:p>
    <w:p w14:paraId="08CE0385"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（4）基金银行账户的开立和管理应符合相关法律法规的有关规定。</w:t>
      </w:r>
    </w:p>
    <w:p w14:paraId="6269A948"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4、基金证券账户及结算备付金账户的开立和管理</w:t>
      </w:r>
    </w:p>
    <w:p w14:paraId="0A901031"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（1）基金托管人在中国证券登记结算有限责任公司上海分公司、深圳分公司为基金开立基金托管人与本基金联名的证券账户，账户名称以实际开立为准。</w:t>
      </w:r>
    </w:p>
    <w:p w14:paraId="53C9E3E4"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03389599"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14:paraId="2CCFB40C"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（4）基金证券账户的开立和证券账户卡的保管由基金托管人负责，账户资产的管理和运用由基金管理人负责。</w:t>
      </w:r>
    </w:p>
    <w:p w14:paraId="373B034F"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14:paraId="6DFABB19"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 xml:space="preserve">5、定期存款账户 </w:t>
      </w:r>
    </w:p>
    <w:p w14:paraId="46E8A046"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财产投资定期存款在存款机构开立的银行账户，包括实体或虚拟账户，其预留印鉴经各方商议后预留。对于任何的定期存款投资，基金管理人都必须和存款机构签订定期存款协议，约定双方的权利和义务，该协议作为划款指令附件。该协议中必须体现如下明确条款：“存款证实书仅可用于存款、提款，不可用于出借、质押或转让等任何其他行为。除合同另有规定外，本息到期归还或提前支取的所有款项必须划至托管专户（明确户名、开户行、账号等），不得划入其他任何账户”。如定期存款协议中未体现前述条款，基金托管人有权拒绝定期存款投资的划款指令。在取得存款证实书后，基金托管人保管证实书正本或者复印件。基金管理人应该在合理的时间内进行定期存款的投资和支取事宜，若基金管理人提前支取或部分提前支取定期存款，若产生息差（即本基金已计提的资金利息和提前支取时收到的资金利息差额），该息差的处理方法由基金管理人和基金托管人双方协商解决。</w:t>
      </w:r>
    </w:p>
    <w:p w14:paraId="65597060"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lastRenderedPageBreak/>
        <w:t>6</w:t>
      </w:r>
      <w:r>
        <w:rPr>
          <w:rFonts w:ascii="宋体" w:hAnsi="宋体" w:hint="eastAsia"/>
          <w:sz w:val="24"/>
        </w:rPr>
        <w:t>、债券托管账户的开设和管理</w:t>
      </w:r>
    </w:p>
    <w:p w14:paraId="3338EFA3"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合同生效后，基金管理人代表基金向中国人民银行申请备案，再由基金托管人根据中国人民银行、中央国债登记结算有限责任公司的有关规定，在中央国债登记结算有限责任公司、银行间市场清算所股份有限公司开立债券托管与结算账户，并代表基金进行银行间市场债券的结算。基金管理人代表基金签订中国银行间市场债券回购交易主协议。</w:t>
      </w:r>
    </w:p>
    <w:p w14:paraId="2A4E151C"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7</w:t>
      </w:r>
      <w:r>
        <w:rPr>
          <w:rFonts w:ascii="宋体" w:hAnsi="宋体" w:hint="eastAsia"/>
          <w:sz w:val="24"/>
        </w:rPr>
        <w:t>、期货账户的开设和管理</w:t>
      </w:r>
    </w:p>
    <w:p w14:paraId="108CA54C"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基金管理人应依据有关法律法规的规定和《基金合同》的约定，开设和管理期货账户。</w:t>
      </w:r>
    </w:p>
    <w:p w14:paraId="7EAE0B14"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8</w:t>
      </w:r>
      <w:r>
        <w:rPr>
          <w:rFonts w:ascii="宋体" w:hAnsi="宋体" w:hint="eastAsia"/>
          <w:sz w:val="24"/>
        </w:rPr>
        <w:t>、其他账户的开立和管理</w:t>
      </w:r>
    </w:p>
    <w:p w14:paraId="75EC007D"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（1）因业务发展需要而开立的其他账户，可以根据法律法规和基金合同的规定，在基金管理人和基金托管人商议后由基金托管人负责开立。新账户按有关规则使用并管理。</w:t>
      </w:r>
    </w:p>
    <w:p w14:paraId="79DBAFEC"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（2）法律法规等有关规定对相关账户的开立和管理另有规定的，从其规定办理。</w:t>
      </w:r>
    </w:p>
    <w:p w14:paraId="7BF8DBF4"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Pr>
          <w:rFonts w:ascii="宋体" w:hAnsi="宋体" w:hint="eastAsia"/>
          <w:sz w:val="24"/>
        </w:rPr>
        <w:t>、基金财产投资的有关有价凭证等的保管</w:t>
      </w:r>
    </w:p>
    <w:p w14:paraId="151B1D26"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等有价证券在基金托管人保管期间的损坏、灭失，由此产生的责任应由基金托管人承担。基金托管人对基金托管人以外机构实际有效控制的证券及其他基金财产不承担保管责任。</w:t>
      </w:r>
    </w:p>
    <w:p w14:paraId="4C39F7DF"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10</w:t>
      </w:r>
      <w:r>
        <w:rPr>
          <w:rFonts w:ascii="宋体" w:hAnsi="宋体" w:hint="eastAsia"/>
          <w:sz w:val="24"/>
        </w:rPr>
        <w:t>、与基金财产有关的重大合同的保管</w:t>
      </w:r>
    </w:p>
    <w:p w14:paraId="66E70146"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10个工作日内将正本送达基金托管人处。重大合同的保管期限为基金合同终止后</w:t>
      </w:r>
      <w:r>
        <w:rPr>
          <w:rFonts w:ascii="宋体" w:hAnsi="宋体" w:hint="eastAsia"/>
          <w:sz w:val="24"/>
        </w:rPr>
        <w:lastRenderedPageBreak/>
        <w:t>不低于法律法规规定的最低期限。对于无法取得二份以上的正本的，基金管理人应向基金托管人提供加盖授权业务章的合同传真件，未经双方协商或未在合同约定范围内，合同原件不得转移。</w:t>
      </w:r>
    </w:p>
    <w:p w14:paraId="4728BD69"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（五）基金资产净值计算与复核</w:t>
      </w:r>
    </w:p>
    <w:p w14:paraId="00F73CF7"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1．基金资产净值</w:t>
      </w:r>
    </w:p>
    <w:p w14:paraId="27EA7EB6"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基金资产净值是指基金资产总值减去负债后的金额。</w:t>
      </w:r>
    </w:p>
    <w:p w14:paraId="6A0BE1AF"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各类基金份额的基金份额净值是按照每个工作日闭市后，任一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64DDEC8C"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基金管理人于每个工作日计算各类基金份额的基金资产净值及基金份额净值，并按规定公告。如遇特殊情况，经履行适当程序，可以适当延迟计算或公告。</w:t>
      </w:r>
    </w:p>
    <w:p w14:paraId="30C8A3A8"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2．复核程序</w:t>
      </w:r>
    </w:p>
    <w:p w14:paraId="1C3B33FB"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应每个工作日对基金资产估值。但基金管理人根据法律法规或基金合同的规定暂停估值时除外。基金管理人每个工作日对基金资产估值后，将基金资产净值、各类基金份额净值结果发送基金托管人，经基金托管人复核无误后，由基金管理人依据基金合同和相关法律法规的规定对外公布。</w:t>
      </w:r>
    </w:p>
    <w:p w14:paraId="2645F6C2"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（六）基金份额持有人名册的登记与保管</w:t>
      </w:r>
    </w:p>
    <w:p w14:paraId="65182A65"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6B1F4E30"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基金份额持有人名册由登记机构编制，由基金管理人审核并提交基金托管人保管。基金托管人有权要求基金管理人提供基金份额持有人名册，基金管理人应及时提供，不得拖延或拒绝提供。</w:t>
      </w:r>
    </w:p>
    <w:p w14:paraId="2B077E0D"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14:paraId="597B80E1"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基金管理人和基金托管人应妥善保管基金份额持有人名册，保存期限不低于法</w:t>
      </w:r>
      <w:r>
        <w:rPr>
          <w:rFonts w:ascii="宋体" w:hAnsi="宋体" w:hint="eastAsia"/>
          <w:sz w:val="24"/>
        </w:rPr>
        <w:lastRenderedPageBreak/>
        <w:t>律法规规定的最低期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720C0E81"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（七）争议解决方式</w:t>
      </w:r>
    </w:p>
    <w:p w14:paraId="539551BD"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因本协议产生或与之相关的争议，双方当事人应通过协商解决，协商不能解决的，任何一方均有权将争议提交上海国际经济贸易仲裁委员会，根据上海国际经济贸易仲裁委员会届时有效的仲裁规则进行仲裁，仲裁地点为上海市。仲裁裁决是终局的，对双方当事人均有约束力。除非仲裁裁决另有规定，仲裁费用由败诉方承担。</w:t>
      </w:r>
    </w:p>
    <w:p w14:paraId="226DA8A3"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63EB3B0C"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本协议适用中华人民共和国法律（为本协议之目的，不包括香港特别行政区、澳门特别行政区和台湾地区法律）管辖并从其解释。</w:t>
      </w:r>
    </w:p>
    <w:p w14:paraId="52452049"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（八）托管协议的变更与终止</w:t>
      </w:r>
    </w:p>
    <w:p w14:paraId="40F4840F"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1、托管协议的变更程序</w:t>
      </w:r>
    </w:p>
    <w:p w14:paraId="7F7B10BB"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本协议双方当事人经协商一致，可以对协议进行修改。修改后的新协议，其内容不得与基金合同的规定有任何冲突。基金托管协议的变更应按规定报中国证监会备案。</w:t>
      </w:r>
    </w:p>
    <w:p w14:paraId="2F3DDB9B"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2、基金托管协议终止的情形</w:t>
      </w:r>
    </w:p>
    <w:p w14:paraId="731EA4F1"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（1）基金合同终止；</w:t>
      </w:r>
    </w:p>
    <w:p w14:paraId="79AAB75F"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（2）基金托管人解散、依法被撤销、破产或由其他基金托管人接管基金资产；</w:t>
      </w:r>
    </w:p>
    <w:p w14:paraId="2549A13D" w14:textId="77777777" w:rsidR="00CA59D4" w:rsidRDefault="006C2E2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（3）基金管理人解散、依法被撤销、破产或由其他基金管理人接管基金管理权；</w:t>
      </w:r>
    </w:p>
    <w:p w14:paraId="14BB6007" w14:textId="77777777" w:rsidR="00CA59D4" w:rsidRDefault="006C2E2B">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hint="eastAsia"/>
          <w:sz w:val="24"/>
        </w:rPr>
        <w:t>（4）发生法律法规或基金合同规定的终止事项。</w:t>
      </w:r>
    </w:p>
    <w:p w14:paraId="735FAF3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br w:type="page"/>
      </w:r>
    </w:p>
    <w:p w14:paraId="38D2373C" w14:textId="77777777" w:rsidR="00CA59D4" w:rsidRDefault="006C2E2B">
      <w:pPr>
        <w:pStyle w:val="1"/>
        <w:snapToGrid w:val="0"/>
        <w:spacing w:beforeLines="0" w:before="240" w:after="240"/>
        <w:rPr>
          <w:rFonts w:ascii="宋体" w:hAnsi="宋体"/>
          <w:szCs w:val="30"/>
        </w:rPr>
      </w:pPr>
      <w:bookmarkStart w:id="44" w:name="_Toc104564204"/>
      <w:bookmarkEnd w:id="43"/>
      <w:r>
        <w:rPr>
          <w:rFonts w:ascii="Times New Roman" w:hAnsi="Times New Roman"/>
          <w:sz w:val="30"/>
        </w:rPr>
        <w:lastRenderedPageBreak/>
        <w:t>二十</w:t>
      </w:r>
      <w:r>
        <w:rPr>
          <w:rFonts w:ascii="Times New Roman" w:hAnsi="Times New Roman" w:hint="eastAsia"/>
          <w:sz w:val="30"/>
        </w:rPr>
        <w:t>一</w:t>
      </w:r>
      <w:r>
        <w:rPr>
          <w:rFonts w:ascii="Times New Roman" w:hAnsi="Times New Roman"/>
          <w:sz w:val="30"/>
        </w:rPr>
        <w:t>、对基金份额持有人的服务</w:t>
      </w:r>
      <w:bookmarkEnd w:id="44"/>
    </w:p>
    <w:p w14:paraId="739DD9AD" w14:textId="77777777" w:rsidR="00CA59D4" w:rsidRDefault="006C2E2B">
      <w:pPr>
        <w:widowControl/>
        <w:adjustRightInd w:val="0"/>
        <w:snapToGrid w:val="0"/>
        <w:spacing w:line="360" w:lineRule="auto"/>
        <w:ind w:firstLineChars="200" w:firstLine="48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r>
        <w:rPr>
          <w:kern w:val="0"/>
          <w:sz w:val="24"/>
          <w:szCs w:val="24"/>
        </w:rPr>
        <w:t xml:space="preserve"> </w:t>
      </w:r>
    </w:p>
    <w:p w14:paraId="09B4BCBC" w14:textId="77777777" w:rsidR="00CA59D4" w:rsidRDefault="006C2E2B">
      <w:pPr>
        <w:widowControl/>
        <w:adjustRightInd w:val="0"/>
        <w:snapToGrid w:val="0"/>
        <w:spacing w:line="360" w:lineRule="auto"/>
        <w:ind w:firstLineChars="200" w:firstLine="482"/>
        <w:rPr>
          <w:rFonts w:hAnsi="宋体"/>
          <w:b/>
          <w:kern w:val="0"/>
          <w:sz w:val="24"/>
        </w:rPr>
      </w:pPr>
      <w:r>
        <w:rPr>
          <w:rFonts w:hAnsi="宋体"/>
          <w:b/>
          <w:kern w:val="0"/>
          <w:sz w:val="24"/>
        </w:rPr>
        <w:t>（一）</w:t>
      </w:r>
      <w:r>
        <w:rPr>
          <w:rFonts w:hAnsi="宋体" w:hint="eastAsia"/>
          <w:b/>
          <w:kern w:val="0"/>
          <w:sz w:val="24"/>
        </w:rPr>
        <w:t>基金募集客户服务相关准备工作</w:t>
      </w:r>
    </w:p>
    <w:p w14:paraId="75B92793" w14:textId="77777777" w:rsidR="00CA59D4" w:rsidRDefault="006C2E2B">
      <w:pPr>
        <w:widowControl/>
        <w:adjustRightInd w:val="0"/>
        <w:snapToGrid w:val="0"/>
        <w:spacing w:line="360" w:lineRule="auto"/>
        <w:ind w:firstLineChars="200" w:firstLine="480"/>
        <w:rPr>
          <w:rFonts w:hAnsi="宋体"/>
          <w:kern w:val="0"/>
          <w:sz w:val="24"/>
        </w:rPr>
      </w:pPr>
      <w:r>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5B3023D8" w14:textId="77777777" w:rsidR="00CA59D4" w:rsidRDefault="006C2E2B">
      <w:pPr>
        <w:widowControl/>
        <w:adjustRightInd w:val="0"/>
        <w:snapToGrid w:val="0"/>
        <w:spacing w:line="360" w:lineRule="auto"/>
        <w:ind w:firstLineChars="200" w:firstLine="482"/>
        <w:rPr>
          <w:rFonts w:hAnsi="宋体"/>
          <w:b/>
          <w:kern w:val="0"/>
          <w:sz w:val="24"/>
        </w:rPr>
      </w:pPr>
      <w:r>
        <w:rPr>
          <w:rFonts w:hAnsi="宋体"/>
          <w:b/>
          <w:kern w:val="0"/>
          <w:sz w:val="24"/>
        </w:rPr>
        <w:t>（二）网上</w:t>
      </w:r>
      <w:r>
        <w:rPr>
          <w:rFonts w:hAnsi="宋体" w:hint="eastAsia"/>
          <w:b/>
          <w:kern w:val="0"/>
          <w:sz w:val="24"/>
        </w:rPr>
        <w:t>直销</w:t>
      </w:r>
      <w:r>
        <w:rPr>
          <w:rFonts w:hAnsi="宋体"/>
          <w:b/>
          <w:kern w:val="0"/>
          <w:sz w:val="24"/>
        </w:rPr>
        <w:t>服务</w:t>
      </w:r>
      <w:r>
        <w:rPr>
          <w:rFonts w:hAnsi="宋体"/>
          <w:b/>
          <w:kern w:val="0"/>
          <w:sz w:val="24"/>
        </w:rPr>
        <w:t xml:space="preserve"> </w:t>
      </w:r>
    </w:p>
    <w:p w14:paraId="60DBEF9B" w14:textId="77777777" w:rsidR="00CA59D4" w:rsidRDefault="006C2E2B">
      <w:pPr>
        <w:widowControl/>
        <w:adjustRightInd w:val="0"/>
        <w:snapToGrid w:val="0"/>
        <w:spacing w:line="360" w:lineRule="auto"/>
        <w:ind w:firstLineChars="200" w:firstLine="480"/>
        <w:rPr>
          <w:rFonts w:hAnsi="宋体"/>
          <w:kern w:val="0"/>
          <w:sz w:val="24"/>
        </w:rPr>
      </w:pPr>
      <w:r>
        <w:rPr>
          <w:rFonts w:hAnsi="宋体"/>
          <w:kern w:val="0"/>
          <w:sz w:val="24"/>
        </w:rPr>
        <w:t>本基金管理人已开通基金网上直销</w:t>
      </w:r>
      <w:r>
        <w:rPr>
          <w:rFonts w:hAnsi="宋体" w:hint="eastAsia"/>
          <w:kern w:val="0"/>
          <w:sz w:val="24"/>
        </w:rPr>
        <w:t>服务</w:t>
      </w:r>
      <w:r>
        <w:rPr>
          <w:rFonts w:hAnsi="宋体"/>
          <w:kern w:val="0"/>
          <w:sz w:val="24"/>
        </w:rPr>
        <w:t>，个人投资者可以直接通过本基金管理人的</w:t>
      </w:r>
      <w:r>
        <w:rPr>
          <w:rFonts w:hAnsi="宋体" w:hint="eastAsia"/>
          <w:kern w:val="0"/>
          <w:sz w:val="24"/>
        </w:rPr>
        <w:t>网上直销交易平台</w:t>
      </w:r>
      <w:r>
        <w:rPr>
          <w:rFonts w:hAnsi="宋体"/>
          <w:kern w:val="0"/>
          <w:sz w:val="24"/>
        </w:rPr>
        <w:t>办理开户手续，并在本基金募集期间</w:t>
      </w:r>
      <w:r>
        <w:rPr>
          <w:rFonts w:hAnsi="宋体" w:hint="eastAsia"/>
          <w:kern w:val="0"/>
          <w:sz w:val="24"/>
        </w:rPr>
        <w:t>通过网上直销交易平台</w:t>
      </w:r>
      <w:r>
        <w:rPr>
          <w:rFonts w:hAnsi="宋体"/>
          <w:kern w:val="0"/>
          <w:sz w:val="24"/>
        </w:rPr>
        <w:t>办理</w:t>
      </w:r>
      <w:r>
        <w:rPr>
          <w:rFonts w:hAnsi="宋体" w:hint="eastAsia"/>
          <w:kern w:val="0"/>
          <w:sz w:val="24"/>
        </w:rPr>
        <w:t>本基金的认购业务，在本基金</w:t>
      </w:r>
      <w:r>
        <w:rPr>
          <w:rFonts w:hAnsi="宋体"/>
          <w:kern w:val="0"/>
          <w:sz w:val="24"/>
        </w:rPr>
        <w:t>开放日常申购和赎回等业务后</w:t>
      </w:r>
      <w:r>
        <w:rPr>
          <w:rFonts w:hAnsi="宋体" w:hint="eastAsia"/>
          <w:kern w:val="0"/>
          <w:sz w:val="24"/>
        </w:rPr>
        <w:t>通过网上直销交易平台</w:t>
      </w:r>
      <w:r>
        <w:rPr>
          <w:rFonts w:hAnsi="宋体"/>
          <w:kern w:val="0"/>
          <w:sz w:val="24"/>
        </w:rPr>
        <w:t>办理</w:t>
      </w:r>
      <w:r>
        <w:rPr>
          <w:rFonts w:hAnsi="宋体" w:hint="eastAsia"/>
          <w:kern w:val="0"/>
          <w:sz w:val="24"/>
        </w:rPr>
        <w:t>本基金的申购和赎回等业务</w:t>
      </w:r>
      <w:r>
        <w:rPr>
          <w:rFonts w:hAnsi="宋体"/>
          <w:kern w:val="0"/>
          <w:sz w:val="24"/>
        </w:rPr>
        <w:t>，有关详情可参见相关公告。</w:t>
      </w:r>
    </w:p>
    <w:p w14:paraId="7083FADA" w14:textId="77777777" w:rsidR="00CA59D4" w:rsidRDefault="006C2E2B">
      <w:pPr>
        <w:widowControl/>
        <w:adjustRightInd w:val="0"/>
        <w:snapToGrid w:val="0"/>
        <w:spacing w:line="360" w:lineRule="auto"/>
        <w:ind w:firstLineChars="200" w:firstLine="480"/>
        <w:rPr>
          <w:rFonts w:hAnsi="宋体"/>
          <w:kern w:val="0"/>
          <w:sz w:val="24"/>
        </w:rPr>
      </w:pPr>
      <w:r>
        <w:rPr>
          <w:rFonts w:hAnsi="宋体"/>
          <w:kern w:val="0"/>
          <w:sz w:val="24"/>
        </w:rPr>
        <w:t>基金网上直销</w:t>
      </w:r>
      <w:r>
        <w:rPr>
          <w:rFonts w:hAnsi="宋体" w:hint="eastAsia"/>
          <w:kern w:val="0"/>
          <w:sz w:val="24"/>
        </w:rPr>
        <w:t>交易平台</w:t>
      </w:r>
      <w:r>
        <w:rPr>
          <w:rFonts w:hAnsi="宋体"/>
          <w:kern w:val="0"/>
          <w:sz w:val="24"/>
        </w:rPr>
        <w:t>已开通的银行卡及各银行卡交易金额限额请参阅本</w:t>
      </w:r>
      <w:r>
        <w:rPr>
          <w:rFonts w:hAnsi="宋体" w:hint="eastAsia"/>
          <w:kern w:val="0"/>
          <w:sz w:val="24"/>
        </w:rPr>
        <w:t>基金管理人</w:t>
      </w:r>
      <w:r>
        <w:rPr>
          <w:rFonts w:hAnsi="宋体"/>
          <w:kern w:val="0"/>
          <w:sz w:val="24"/>
        </w:rPr>
        <w:t>网站。</w:t>
      </w:r>
    </w:p>
    <w:p w14:paraId="123B6C78" w14:textId="77777777" w:rsidR="00CA59D4" w:rsidRDefault="006C2E2B">
      <w:pPr>
        <w:widowControl/>
        <w:adjustRightInd w:val="0"/>
        <w:snapToGrid w:val="0"/>
        <w:spacing w:line="360" w:lineRule="auto"/>
        <w:ind w:firstLineChars="200" w:firstLine="480"/>
        <w:rPr>
          <w:rFonts w:hAnsi="宋体"/>
          <w:kern w:val="0"/>
          <w:sz w:val="24"/>
        </w:rPr>
      </w:pPr>
      <w:r>
        <w:rPr>
          <w:rFonts w:hAnsi="宋体"/>
          <w:kern w:val="0"/>
          <w:sz w:val="24"/>
        </w:rPr>
        <w:t>在条件成熟的时候，本基金管理人将根据基金网上</w:t>
      </w:r>
      <w:r>
        <w:rPr>
          <w:rFonts w:hAnsi="宋体" w:hint="eastAsia"/>
          <w:kern w:val="0"/>
          <w:sz w:val="24"/>
        </w:rPr>
        <w:t>直销</w:t>
      </w:r>
      <w:r>
        <w:rPr>
          <w:rFonts w:hAnsi="宋体"/>
          <w:kern w:val="0"/>
          <w:sz w:val="24"/>
        </w:rPr>
        <w:t>业务的发展状况，适时</w:t>
      </w:r>
      <w:r>
        <w:rPr>
          <w:rFonts w:hAnsi="宋体" w:hint="eastAsia"/>
          <w:kern w:val="0"/>
          <w:sz w:val="24"/>
        </w:rPr>
        <w:t>调整</w:t>
      </w:r>
      <w:r>
        <w:rPr>
          <w:rFonts w:hAnsi="宋体"/>
          <w:kern w:val="0"/>
          <w:sz w:val="24"/>
        </w:rPr>
        <w:t>可用于</w:t>
      </w:r>
      <w:r>
        <w:rPr>
          <w:rFonts w:hAnsi="宋体" w:hint="eastAsia"/>
          <w:kern w:val="0"/>
          <w:sz w:val="24"/>
        </w:rPr>
        <w:t>网上直销交易平台</w:t>
      </w:r>
      <w:r>
        <w:rPr>
          <w:rFonts w:hAnsi="宋体"/>
          <w:kern w:val="0"/>
          <w:sz w:val="24"/>
        </w:rPr>
        <w:t>的银行卡种类，敬请投资人留意相关公告。</w:t>
      </w:r>
    </w:p>
    <w:p w14:paraId="0CBCE108" w14:textId="77777777" w:rsidR="00CA59D4" w:rsidRDefault="006C2E2B">
      <w:pPr>
        <w:widowControl/>
        <w:adjustRightInd w:val="0"/>
        <w:snapToGrid w:val="0"/>
        <w:spacing w:line="360" w:lineRule="auto"/>
        <w:ind w:firstLineChars="200" w:firstLine="482"/>
        <w:rPr>
          <w:rFonts w:hAnsi="宋体"/>
          <w:b/>
          <w:kern w:val="0"/>
          <w:sz w:val="24"/>
        </w:rPr>
      </w:pPr>
      <w:r>
        <w:rPr>
          <w:rFonts w:hAnsi="宋体"/>
          <w:b/>
          <w:kern w:val="0"/>
          <w:sz w:val="24"/>
        </w:rPr>
        <w:t>（三）信息咨询、查询服务</w:t>
      </w:r>
      <w:r>
        <w:rPr>
          <w:rFonts w:hAnsi="宋体"/>
          <w:b/>
          <w:kern w:val="0"/>
          <w:sz w:val="24"/>
        </w:rPr>
        <w:t xml:space="preserve"> </w:t>
      </w:r>
    </w:p>
    <w:p w14:paraId="4511B48A" w14:textId="77777777" w:rsidR="00CA59D4" w:rsidRDefault="006C2E2B">
      <w:pPr>
        <w:widowControl/>
        <w:adjustRightInd w:val="0"/>
        <w:snapToGrid w:val="0"/>
        <w:spacing w:line="360" w:lineRule="auto"/>
        <w:ind w:firstLineChars="200" w:firstLine="480"/>
        <w:rPr>
          <w:kern w:val="0"/>
          <w:sz w:val="24"/>
        </w:rPr>
      </w:pPr>
      <w:r>
        <w:rPr>
          <w:rFonts w:hAnsi="宋体"/>
          <w:kern w:val="0"/>
          <w:sz w:val="24"/>
        </w:rPr>
        <w:t>投资人如果想查询基金账户余额、基金产品与服务等信息，请拨打本基金管理人客户服务电话</w:t>
      </w:r>
      <w:r>
        <w:rPr>
          <w:rFonts w:ascii="Times New Roman" w:hAnsi="Times New Roman"/>
          <w:kern w:val="0"/>
          <w:sz w:val="24"/>
        </w:rPr>
        <w:t>（</w:t>
      </w:r>
      <w:r>
        <w:rPr>
          <w:rFonts w:ascii="Times New Roman" w:hAnsi="Times New Roman"/>
          <w:kern w:val="0"/>
          <w:sz w:val="24"/>
        </w:rPr>
        <w:t>400-700-5000</w:t>
      </w:r>
      <w:r>
        <w:rPr>
          <w:rFonts w:ascii="Times New Roman" w:hAnsi="Times New Roman"/>
          <w:kern w:val="0"/>
          <w:sz w:val="24"/>
        </w:rPr>
        <w:t>，</w:t>
      </w:r>
      <w:r>
        <w:rPr>
          <w:rFonts w:ascii="Times New Roman" w:hAnsi="Times New Roman"/>
          <w:kern w:val="0"/>
          <w:sz w:val="24"/>
        </w:rPr>
        <w:t>021-61055000</w:t>
      </w:r>
      <w:r>
        <w:rPr>
          <w:rFonts w:ascii="Times New Roman" w:hAnsi="Times New Roman"/>
          <w:kern w:val="0"/>
          <w:sz w:val="24"/>
        </w:rPr>
        <w:t>）或登录本基金管理人网站（</w:t>
      </w:r>
      <w:r>
        <w:rPr>
          <w:rFonts w:ascii="Times New Roman" w:hAnsi="Times New Roman"/>
          <w:kern w:val="0"/>
          <w:sz w:val="24"/>
        </w:rPr>
        <w:t>www.fund001.com</w:t>
      </w:r>
      <w:r>
        <w:rPr>
          <w:rFonts w:ascii="Times New Roman" w:hAnsi="Times New Roman"/>
          <w:kern w:val="0"/>
          <w:sz w:val="24"/>
        </w:rPr>
        <w:t>）</w:t>
      </w:r>
      <w:r>
        <w:rPr>
          <w:kern w:val="0"/>
          <w:sz w:val="24"/>
        </w:rPr>
        <w:t>进</w:t>
      </w:r>
      <w:r>
        <w:rPr>
          <w:rFonts w:hAnsi="宋体"/>
          <w:kern w:val="0"/>
          <w:sz w:val="24"/>
        </w:rPr>
        <w:t>行咨询、查询。</w:t>
      </w:r>
      <w:r>
        <w:rPr>
          <w:kern w:val="0"/>
          <w:sz w:val="24"/>
        </w:rPr>
        <w:t xml:space="preserve"> </w:t>
      </w:r>
    </w:p>
    <w:p w14:paraId="5347FAA8" w14:textId="77777777" w:rsidR="00CA59D4" w:rsidRDefault="006C2E2B">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rFonts w:ascii="Times New Roman" w:hAnsi="Times New Roman"/>
          <w:kern w:val="0"/>
          <w:sz w:val="24"/>
        </w:rPr>
        <w:t>6</w:t>
      </w:r>
      <w:r>
        <w:rPr>
          <w:rFonts w:ascii="Times New Roman" w:hAnsi="Times New Roman"/>
          <w:kern w:val="0"/>
          <w:sz w:val="24"/>
        </w:rPr>
        <w:t>位数字，不足</w:t>
      </w:r>
      <w:r>
        <w:rPr>
          <w:rFonts w:ascii="Times New Roman" w:hAnsi="Times New Roman"/>
          <w:kern w:val="0"/>
          <w:sz w:val="24"/>
        </w:rPr>
        <w:t>6</w:t>
      </w:r>
      <w:r>
        <w:rPr>
          <w:rFonts w:ascii="Times New Roman" w:hAnsi="Times New Roman"/>
          <w:kern w:val="0"/>
          <w:sz w:val="24"/>
        </w:rPr>
        <w:t>位数字的，前面加</w:t>
      </w:r>
      <w:r>
        <w:rPr>
          <w:rFonts w:ascii="Times New Roman" w:hAnsi="Times New Roman"/>
          <w:kern w:val="0"/>
          <w:sz w:val="24"/>
        </w:rPr>
        <w:t>“0”</w:t>
      </w:r>
      <w:r>
        <w:rPr>
          <w:rFonts w:ascii="宋体" w:hAnsi="宋体"/>
          <w:kern w:val="0"/>
          <w:sz w:val="24"/>
        </w:rPr>
        <w:t>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Pr>
          <w:kern w:val="0"/>
          <w:sz w:val="24"/>
        </w:rPr>
        <w:t xml:space="preserve"> </w:t>
      </w:r>
    </w:p>
    <w:p w14:paraId="0B67E7C9" w14:textId="77777777" w:rsidR="00CA59D4" w:rsidRDefault="006C2E2B">
      <w:pPr>
        <w:widowControl/>
        <w:adjustRightInd w:val="0"/>
        <w:snapToGrid w:val="0"/>
        <w:spacing w:line="360" w:lineRule="auto"/>
        <w:ind w:firstLineChars="200" w:firstLine="480"/>
        <w:rPr>
          <w:kern w:val="0"/>
          <w:sz w:val="24"/>
        </w:rPr>
      </w:pPr>
      <w:r>
        <w:rPr>
          <w:kern w:val="0"/>
          <w:sz w:val="24"/>
        </w:rPr>
        <w:t>投资人可以拨打本基金管理人客户服务电话投诉直销机构的人员和服务。</w:t>
      </w:r>
      <w:r>
        <w:rPr>
          <w:kern w:val="0"/>
          <w:sz w:val="24"/>
        </w:rPr>
        <w:t xml:space="preserve"> </w:t>
      </w:r>
    </w:p>
    <w:p w14:paraId="2C33BAF3" w14:textId="77777777" w:rsidR="00CA59D4" w:rsidRDefault="006C2E2B">
      <w:pPr>
        <w:widowControl/>
        <w:adjustRightInd w:val="0"/>
        <w:snapToGrid w:val="0"/>
        <w:spacing w:line="360" w:lineRule="auto"/>
        <w:ind w:firstLineChars="200" w:firstLine="482"/>
        <w:rPr>
          <w:rFonts w:hAnsi="宋体"/>
          <w:b/>
          <w:kern w:val="0"/>
          <w:sz w:val="24"/>
        </w:rPr>
      </w:pPr>
      <w:r>
        <w:rPr>
          <w:rFonts w:hAnsi="宋体"/>
          <w:b/>
          <w:kern w:val="0"/>
          <w:sz w:val="24"/>
        </w:rPr>
        <w:t>（四）基金红利再投资</w:t>
      </w:r>
      <w:r>
        <w:rPr>
          <w:rFonts w:hAnsi="宋体"/>
          <w:b/>
          <w:kern w:val="0"/>
          <w:sz w:val="24"/>
        </w:rPr>
        <w:t xml:space="preserve"> </w:t>
      </w:r>
    </w:p>
    <w:p w14:paraId="5797C734" w14:textId="77777777" w:rsidR="00CA59D4" w:rsidRDefault="006C2E2B">
      <w:pPr>
        <w:widowControl/>
        <w:adjustRightInd w:val="0"/>
        <w:snapToGrid w:val="0"/>
        <w:spacing w:line="360" w:lineRule="auto"/>
        <w:ind w:firstLineChars="200" w:firstLine="480"/>
        <w:rPr>
          <w:kern w:val="0"/>
          <w:sz w:val="24"/>
        </w:rPr>
      </w:pPr>
      <w:r>
        <w:rPr>
          <w:kern w:val="0"/>
          <w:sz w:val="24"/>
        </w:rPr>
        <w:t>本基金收益分配时，</w:t>
      </w:r>
      <w:r>
        <w:rPr>
          <w:rFonts w:hint="eastAsia"/>
          <w:kern w:val="0"/>
          <w:sz w:val="24"/>
        </w:rPr>
        <w:t>基金份额持有人持有的基金份额可选择现金红利或选择红利再投将现金红利自动转为相应类别的基金份额进行再投资，若投资人不选择，本</w:t>
      </w:r>
      <w:r>
        <w:rPr>
          <w:rFonts w:hint="eastAsia"/>
          <w:kern w:val="0"/>
          <w:sz w:val="24"/>
        </w:rPr>
        <w:lastRenderedPageBreak/>
        <w:t>基金默认的收益分配方式是现金分红。再投资红利按红利再投日（即除息日）除息后的基金份额净值自动转为相应类别的基金份额，并免收申购费用。</w:t>
      </w:r>
      <w:r>
        <w:rPr>
          <w:rFonts w:hint="eastAsia"/>
          <w:kern w:val="0"/>
          <w:sz w:val="24"/>
        </w:rPr>
        <w:t xml:space="preserve"> </w:t>
      </w:r>
    </w:p>
    <w:p w14:paraId="74C2084E" w14:textId="77777777" w:rsidR="00CA59D4" w:rsidRDefault="006C2E2B">
      <w:pPr>
        <w:widowControl/>
        <w:adjustRightInd w:val="0"/>
        <w:snapToGrid w:val="0"/>
        <w:spacing w:line="360" w:lineRule="auto"/>
        <w:ind w:firstLineChars="200" w:firstLine="482"/>
        <w:rPr>
          <w:rFonts w:hAnsi="宋体"/>
          <w:b/>
          <w:kern w:val="0"/>
          <w:sz w:val="24"/>
        </w:rPr>
      </w:pPr>
      <w:r>
        <w:rPr>
          <w:rFonts w:hAnsi="宋体"/>
          <w:b/>
          <w:kern w:val="0"/>
          <w:sz w:val="24"/>
        </w:rPr>
        <w:t>（五）定期定额投资计划</w:t>
      </w:r>
    </w:p>
    <w:p w14:paraId="52C58030" w14:textId="77777777" w:rsidR="00CA59D4" w:rsidRDefault="006C2E2B">
      <w:pPr>
        <w:widowControl/>
        <w:adjustRightInd w:val="0"/>
        <w:snapToGrid w:val="0"/>
        <w:spacing w:line="360" w:lineRule="auto"/>
        <w:ind w:firstLineChars="200" w:firstLine="480"/>
        <w:rPr>
          <w:kern w:val="0"/>
          <w:sz w:val="24"/>
        </w:rPr>
      </w:pPr>
      <w:r>
        <w:rPr>
          <w:kern w:val="0"/>
          <w:sz w:val="24"/>
        </w:rPr>
        <w:t>待技术条件成熟时，基金</w:t>
      </w:r>
      <w:bookmarkStart w:id="45" w:name="OLE_LINK11"/>
      <w:r>
        <w:rPr>
          <w:kern w:val="0"/>
          <w:sz w:val="24"/>
        </w:rPr>
        <w:t>管理人可通过销售机构为投资人提供定期定额投资的服务。通过定期定额</w:t>
      </w:r>
      <w:bookmarkEnd w:id="45"/>
      <w:r>
        <w:rPr>
          <w:kern w:val="0"/>
          <w:sz w:val="24"/>
        </w:rPr>
        <w:t>投资计划，投资人可以定期定额申购基金份额，具体实施方法另行公告。</w:t>
      </w:r>
    </w:p>
    <w:p w14:paraId="7DD381FB" w14:textId="77777777" w:rsidR="00CA59D4" w:rsidRDefault="006C2E2B">
      <w:pPr>
        <w:widowControl/>
        <w:adjustRightInd w:val="0"/>
        <w:snapToGrid w:val="0"/>
        <w:spacing w:line="360" w:lineRule="auto"/>
        <w:ind w:firstLineChars="200" w:firstLine="480"/>
        <w:rPr>
          <w:kern w:val="0"/>
          <w:sz w:val="24"/>
        </w:rPr>
      </w:pPr>
      <w:r>
        <w:rPr>
          <w:rFonts w:hAnsi="宋体"/>
          <w:kern w:val="0"/>
          <w:sz w:val="24"/>
        </w:rPr>
        <w:t>服务联系方式：</w:t>
      </w:r>
      <w:r>
        <w:rPr>
          <w:kern w:val="0"/>
          <w:sz w:val="24"/>
        </w:rPr>
        <w:t xml:space="preserve"> </w:t>
      </w:r>
    </w:p>
    <w:p w14:paraId="362E8481" w14:textId="77777777" w:rsidR="00CA59D4" w:rsidRDefault="006C2E2B">
      <w:pPr>
        <w:widowControl/>
        <w:adjustRightInd w:val="0"/>
        <w:snapToGrid w:val="0"/>
        <w:spacing w:line="360" w:lineRule="auto"/>
        <w:ind w:firstLineChars="200" w:firstLine="480"/>
        <w:rPr>
          <w:kern w:val="0"/>
          <w:sz w:val="24"/>
        </w:rPr>
      </w:pPr>
      <w:r>
        <w:rPr>
          <w:rFonts w:hAnsi="宋体"/>
          <w:kern w:val="0"/>
          <w:sz w:val="24"/>
        </w:rPr>
        <w:t>本基金管理人的互联网地址及电子信箱</w:t>
      </w:r>
      <w:r>
        <w:rPr>
          <w:kern w:val="0"/>
          <w:sz w:val="24"/>
        </w:rPr>
        <w:t xml:space="preserve"> </w:t>
      </w:r>
    </w:p>
    <w:p w14:paraId="319E0854" w14:textId="77777777" w:rsidR="00CA59D4" w:rsidRDefault="006C2E2B">
      <w:pPr>
        <w:widowControl/>
        <w:adjustRightInd w:val="0"/>
        <w:snapToGrid w:val="0"/>
        <w:spacing w:line="360" w:lineRule="auto"/>
        <w:ind w:firstLineChars="200" w:firstLine="480"/>
        <w:rPr>
          <w:rFonts w:ascii="Times New Roman" w:hAnsi="Times New Roman"/>
          <w:kern w:val="0"/>
          <w:sz w:val="24"/>
        </w:rPr>
      </w:pPr>
      <w:r>
        <w:rPr>
          <w:rFonts w:hAnsi="宋体"/>
          <w:kern w:val="0"/>
          <w:sz w:val="24"/>
        </w:rPr>
        <w:t>网址：</w:t>
      </w:r>
      <w:hyperlink r:id="rId14" w:history="1">
        <w:r>
          <w:rPr>
            <w:rFonts w:ascii="Times New Roman" w:hAnsi="Times New Roman"/>
            <w:sz w:val="24"/>
          </w:rPr>
          <w:t>www.fund001.com</w:t>
        </w:r>
      </w:hyperlink>
    </w:p>
    <w:p w14:paraId="16B25297" w14:textId="77777777" w:rsidR="00CA59D4" w:rsidRDefault="006C2E2B">
      <w:pPr>
        <w:widowControl/>
        <w:adjustRightInd w:val="0"/>
        <w:snapToGrid w:val="0"/>
        <w:spacing w:line="360" w:lineRule="auto"/>
        <w:ind w:firstLineChars="200" w:firstLine="480"/>
        <w:rPr>
          <w:rFonts w:ascii="宋体" w:hAnsi="宋体"/>
          <w:kern w:val="0"/>
          <w:sz w:val="24"/>
        </w:rPr>
      </w:pPr>
      <w:r>
        <w:rPr>
          <w:rFonts w:ascii="Times New Roman" w:hAnsi="Times New Roman"/>
          <w:kern w:val="0"/>
          <w:sz w:val="24"/>
        </w:rPr>
        <w:t>电子信箱：</w:t>
      </w:r>
      <w:r>
        <w:rPr>
          <w:rFonts w:ascii="Times New Roman" w:hAnsi="Times New Roman"/>
          <w:sz w:val="24"/>
        </w:rPr>
        <w:t>services@jysld.com</w:t>
      </w:r>
    </w:p>
    <w:p w14:paraId="521716B0" w14:textId="77777777" w:rsidR="00CA59D4" w:rsidRDefault="006C2E2B">
      <w:pPr>
        <w:widowControl/>
        <w:adjustRightInd w:val="0"/>
        <w:snapToGrid w:val="0"/>
        <w:spacing w:line="360" w:lineRule="auto"/>
        <w:ind w:firstLineChars="200" w:firstLine="480"/>
        <w:rPr>
          <w:rFonts w:ascii="宋体" w:hAnsi="宋体"/>
          <w:kern w:val="0"/>
          <w:sz w:val="24"/>
        </w:rPr>
      </w:pPr>
      <w:r>
        <w:rPr>
          <w:rFonts w:ascii="宋体" w:hAnsi="宋体"/>
          <w:kern w:val="0"/>
          <w:sz w:val="24"/>
        </w:rPr>
        <w:t xml:space="preserve">投资者也可登录本基金管理人网站，直接提出有关本基金的问题和建议。 </w:t>
      </w:r>
    </w:p>
    <w:p w14:paraId="5ACE41BE" w14:textId="77777777" w:rsidR="00CA59D4" w:rsidRDefault="006C2E2B">
      <w:pPr>
        <w:autoSpaceDE w:val="0"/>
        <w:autoSpaceDN w:val="0"/>
        <w:adjustRightInd w:val="0"/>
        <w:snapToGrid w:val="0"/>
        <w:spacing w:line="360" w:lineRule="auto"/>
        <w:ind w:firstLineChars="200" w:firstLine="482"/>
        <w:jc w:val="left"/>
        <w:rPr>
          <w:rFonts w:hAnsi="宋体"/>
          <w:b/>
          <w:kern w:val="0"/>
          <w:sz w:val="24"/>
        </w:rPr>
      </w:pPr>
      <w:r>
        <w:rPr>
          <w:rFonts w:hAnsi="宋体" w:hint="eastAsia"/>
          <w:b/>
          <w:kern w:val="0"/>
          <w:sz w:val="24"/>
        </w:rPr>
        <w:t>（六）如本招募说明书存在任何您</w:t>
      </w:r>
      <w:r>
        <w:rPr>
          <w:rFonts w:hAnsi="宋体"/>
          <w:b/>
          <w:kern w:val="0"/>
          <w:sz w:val="24"/>
        </w:rPr>
        <w:t>/</w:t>
      </w:r>
      <w:r>
        <w:rPr>
          <w:rFonts w:hAnsi="宋体" w:hint="eastAsia"/>
          <w:b/>
          <w:kern w:val="0"/>
          <w:sz w:val="24"/>
        </w:rPr>
        <w:t>贵机构无法理解的内容，请通过上述方式联系基金管理人。请确保投资前，您</w:t>
      </w:r>
      <w:r>
        <w:rPr>
          <w:rFonts w:hAnsi="宋体"/>
          <w:b/>
          <w:kern w:val="0"/>
          <w:sz w:val="24"/>
        </w:rPr>
        <w:t>/</w:t>
      </w:r>
      <w:r>
        <w:rPr>
          <w:rFonts w:hAnsi="宋体" w:hint="eastAsia"/>
          <w:b/>
          <w:kern w:val="0"/>
          <w:sz w:val="24"/>
        </w:rPr>
        <w:t>贵机构已经全面理解了本招募说明书。</w:t>
      </w:r>
    </w:p>
    <w:p w14:paraId="35BCEDC4"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br w:type="page"/>
      </w:r>
    </w:p>
    <w:p w14:paraId="2BFA4694" w14:textId="77777777" w:rsidR="00CA59D4" w:rsidRDefault="006C2E2B">
      <w:pPr>
        <w:pStyle w:val="1"/>
        <w:snapToGrid w:val="0"/>
        <w:spacing w:beforeLines="0" w:before="240" w:after="240"/>
        <w:rPr>
          <w:rFonts w:ascii="宋体" w:hAnsi="宋体"/>
          <w:szCs w:val="30"/>
        </w:rPr>
      </w:pPr>
      <w:bookmarkStart w:id="46" w:name="_Toc104564205"/>
      <w:r>
        <w:rPr>
          <w:rFonts w:ascii="Times New Roman" w:hAnsi="Times New Roman"/>
          <w:sz w:val="30"/>
        </w:rPr>
        <w:lastRenderedPageBreak/>
        <w:t>二十</w:t>
      </w:r>
      <w:r>
        <w:rPr>
          <w:rFonts w:ascii="Times New Roman" w:hAnsi="Times New Roman" w:hint="eastAsia"/>
          <w:sz w:val="30"/>
        </w:rPr>
        <w:t>二</w:t>
      </w:r>
      <w:r>
        <w:rPr>
          <w:rFonts w:ascii="Times New Roman" w:hAnsi="Times New Roman"/>
          <w:sz w:val="30"/>
        </w:rPr>
        <w:t>、其他应披露事项</w:t>
      </w:r>
      <w:bookmarkEnd w:id="46"/>
    </w:p>
    <w:p w14:paraId="3B72757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3110CD3E" w14:textId="77777777" w:rsidR="00CA59D4" w:rsidRDefault="00CA59D4">
      <w:pPr>
        <w:autoSpaceDE w:val="0"/>
        <w:autoSpaceDN w:val="0"/>
        <w:adjustRightInd w:val="0"/>
        <w:snapToGrid w:val="0"/>
        <w:spacing w:line="360" w:lineRule="auto"/>
        <w:ind w:firstLineChars="200" w:firstLine="420"/>
        <w:jc w:val="left"/>
        <w:rPr>
          <w:rFonts w:ascii="宋体" w:hAnsi="宋体"/>
          <w:szCs w:val="24"/>
        </w:rPr>
      </w:pPr>
    </w:p>
    <w:p w14:paraId="6C9E7ECA" w14:textId="77777777" w:rsidR="00CA59D4" w:rsidRDefault="00CA59D4">
      <w:pPr>
        <w:autoSpaceDE w:val="0"/>
        <w:autoSpaceDN w:val="0"/>
        <w:adjustRightInd w:val="0"/>
        <w:snapToGrid w:val="0"/>
        <w:spacing w:line="360" w:lineRule="auto"/>
        <w:ind w:firstLineChars="200" w:firstLine="420"/>
        <w:jc w:val="left"/>
        <w:rPr>
          <w:rFonts w:ascii="宋体" w:hAnsi="宋体"/>
          <w:szCs w:val="24"/>
        </w:rPr>
      </w:pPr>
    </w:p>
    <w:p w14:paraId="1772FF3A" w14:textId="77777777" w:rsidR="00CA59D4" w:rsidRDefault="006C2E2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1B600A7" w14:textId="77777777" w:rsidR="00CA59D4" w:rsidRDefault="006C2E2B">
      <w:pPr>
        <w:pStyle w:val="1"/>
        <w:snapToGrid w:val="0"/>
        <w:spacing w:beforeLines="0" w:before="240" w:after="240"/>
        <w:rPr>
          <w:rFonts w:ascii="宋体" w:hAnsi="宋体"/>
          <w:szCs w:val="30"/>
        </w:rPr>
      </w:pPr>
      <w:bookmarkStart w:id="47" w:name="_Toc104564206"/>
      <w:r>
        <w:rPr>
          <w:rFonts w:ascii="Times New Roman" w:hAnsi="Times New Roman"/>
          <w:sz w:val="30"/>
        </w:rPr>
        <w:lastRenderedPageBreak/>
        <w:t>二十</w:t>
      </w:r>
      <w:r>
        <w:rPr>
          <w:rFonts w:ascii="Times New Roman" w:hAnsi="Times New Roman" w:hint="eastAsia"/>
          <w:sz w:val="30"/>
        </w:rPr>
        <w:t>三</w:t>
      </w:r>
      <w:r>
        <w:rPr>
          <w:rFonts w:ascii="Times New Roman" w:hAnsi="Times New Roman"/>
          <w:sz w:val="30"/>
        </w:rPr>
        <w:t>、招募说明书的存放及查阅方式</w:t>
      </w:r>
      <w:bookmarkEnd w:id="47"/>
    </w:p>
    <w:p w14:paraId="2E43E36E"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7D78C7DA"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1D97EEAF" w14:textId="77777777" w:rsidR="00CA59D4" w:rsidRDefault="006C2E2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AC660C" w14:textId="77777777" w:rsidR="00CA59D4" w:rsidRDefault="006C2E2B">
      <w:pPr>
        <w:pStyle w:val="1"/>
        <w:snapToGrid w:val="0"/>
        <w:spacing w:beforeLines="0" w:before="240" w:after="240"/>
        <w:rPr>
          <w:rFonts w:ascii="宋体" w:hAnsi="宋体"/>
          <w:szCs w:val="30"/>
        </w:rPr>
      </w:pPr>
      <w:bookmarkStart w:id="48" w:name="_Toc104564207"/>
      <w:r>
        <w:rPr>
          <w:rFonts w:ascii="Times New Roman" w:hAnsi="Times New Roman"/>
          <w:sz w:val="30"/>
        </w:rPr>
        <w:lastRenderedPageBreak/>
        <w:t>二十</w:t>
      </w:r>
      <w:r>
        <w:rPr>
          <w:rFonts w:ascii="Times New Roman" w:hAnsi="Times New Roman" w:hint="eastAsia"/>
          <w:sz w:val="30"/>
        </w:rPr>
        <w:t>四</w:t>
      </w:r>
      <w:r>
        <w:rPr>
          <w:rFonts w:ascii="Times New Roman" w:hAnsi="Times New Roman"/>
          <w:sz w:val="30"/>
        </w:rPr>
        <w:t>、备查文件</w:t>
      </w:r>
      <w:bookmarkEnd w:id="48"/>
    </w:p>
    <w:p w14:paraId="38D3B639"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2D0276B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（一）中国证监会准予交银施罗德120天滚动持有债券型证券投资基金募集注册的文件</w:t>
      </w:r>
    </w:p>
    <w:p w14:paraId="5290DAF7"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（二）《交银施罗德120天滚动持有债券型证券投资基金基金合同》</w:t>
      </w:r>
    </w:p>
    <w:p w14:paraId="1A2D0E1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（三）《交银施罗德120天滚动持有债券型证券投资基金托管协议》</w:t>
      </w:r>
    </w:p>
    <w:p w14:paraId="4D81A84C"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02224AB3"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78985565" w14:textId="77777777" w:rsidR="00CA59D4" w:rsidRDefault="006C2E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（六）关于申请募集注册交银施罗德120天滚动持有债券型证券投资基金的法律意见书</w:t>
      </w:r>
    </w:p>
    <w:sectPr w:rsidR="00CA59D4">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224F5" w14:textId="77777777" w:rsidR="000A186F" w:rsidRDefault="000A186F">
      <w:r>
        <w:separator/>
      </w:r>
    </w:p>
  </w:endnote>
  <w:endnote w:type="continuationSeparator" w:id="0">
    <w:p w14:paraId="0FEF0EB1" w14:textId="77777777" w:rsidR="000A186F" w:rsidRDefault="000A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BD3F3" w14:textId="77777777" w:rsidR="00CC695F" w:rsidRDefault="00CC695F">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wps:spPr>
                    <wps:txbx>
                      <w:txbxContent>
                        <w:p w14:paraId="117DFF35" w14:textId="45945EE2" w:rsidR="00CC695F" w:rsidRDefault="00CC695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93194">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" o:allowincell="f" filled="f" stroked="f">
              <v:textbox inset="0,0,0,0">
                <w:txbxContent>
                  <w:p w14:paraId="117DFF35" w14:textId="45945EE2" w:rsidR="00CC695F" w:rsidRDefault="00CC695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93194">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1740B" w14:textId="77777777" w:rsidR="00CC695F" w:rsidRDefault="00CC695F">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wps:spPr>
                    <wps:txbx>
                      <w:txbxContent>
                        <w:p w14:paraId="0E88F98A" w14:textId="02F4D896" w:rsidR="00CC695F" w:rsidRDefault="00CC695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93194">
                            <w:rPr>
                              <w:rFonts w:ascii="Times New Roman" w:hAnsi="Times New Roman"/>
                              <w:noProof/>
                              <w:kern w:val="0"/>
                              <w:sz w:val="18"/>
                              <w:szCs w:val="18"/>
                            </w:rPr>
                            <w:t>24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" o:allowincell="f" filled="f" stroked="f">
              <v:textbox inset="0,0,0,0">
                <w:txbxContent>
                  <w:p w14:paraId="0E88F98A" w14:textId="02F4D896" w:rsidR="00CC695F" w:rsidRDefault="00CC695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93194">
                      <w:rPr>
                        <w:rFonts w:ascii="Times New Roman" w:hAnsi="Times New Roman"/>
                        <w:noProof/>
                        <w:kern w:val="0"/>
                        <w:sz w:val="18"/>
                        <w:szCs w:val="18"/>
                      </w:rPr>
                      <w:t>24</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FD4EA" w14:textId="77777777" w:rsidR="000A186F" w:rsidRDefault="000A186F">
      <w:r>
        <w:separator/>
      </w:r>
    </w:p>
  </w:footnote>
  <w:footnote w:type="continuationSeparator" w:id="0">
    <w:p w14:paraId="76DE26A0" w14:textId="77777777" w:rsidR="000A186F" w:rsidRDefault="000A18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95E5F" w14:textId="77777777" w:rsidR="00CC695F" w:rsidRDefault="00CC695F">
    <w:pPr>
      <w:pStyle w:val="ab"/>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srcRect/>
                  <a:stretch>
                    <a:fillRect/>
                  </a:stretch>
                </pic:blipFill>
                <pic:spPr>
                  <a:xfrm>
                    <a:off x="0" y="0"/>
                    <a:ext cx="1714500" cy="238125"/>
                  </a:xfrm>
                  <a:prstGeom prst="rect">
                    <a:avLst/>
                  </a:prstGeom>
                  <a:noFill/>
                  <a:ln w="9525">
                    <a:noFill/>
                    <a:miter lim="800000"/>
                    <a:headEnd/>
                    <a:tailEnd/>
                  </a:ln>
                </pic:spPr>
              </pic:pic>
            </a:graphicData>
          </a:graphic>
        </wp:anchor>
      </w:drawing>
    </w:r>
  </w:p>
  <w:p w14:paraId="2C965348" w14:textId="77777777" w:rsidR="00CC695F" w:rsidRDefault="00CC695F">
    <w:pPr>
      <w:pStyle w:val="ab"/>
      <w:jc w:val="right"/>
      <w:rPr>
        <w:rFonts w:ascii="宋体" w:hAnsi="宋体"/>
      </w:rPr>
    </w:pPr>
    <w:r>
      <w:rPr>
        <w:rFonts w:ascii="宋体" w:hAnsi="宋体" w:hint="eastAsia"/>
      </w:rPr>
      <w:t>交银施罗德稳益短债债券型证券投资基金(更新)招募说明书(2021年第2号)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731D4" w14:textId="77777777" w:rsidR="00CC695F" w:rsidRDefault="00CC695F">
    <w:pPr>
      <w:pStyle w:val="11"/>
      <w:jc w:val="right"/>
    </w:pPr>
  </w:p>
  <w:p w14:paraId="016F61E5" w14:textId="77777777" w:rsidR="00CC695F" w:rsidRDefault="00CC695F">
    <w:pPr>
      <w:pStyle w:val="11"/>
      <w:jc w:val="right"/>
    </w:pPr>
  </w:p>
  <w:p w14:paraId="290B336F" w14:textId="77777777" w:rsidR="00CC695F" w:rsidRDefault="00CC695F">
    <w:pPr>
      <w:pStyle w:val="ab"/>
      <w:jc w:val="right"/>
    </w:pPr>
  </w:p>
  <w:p w14:paraId="2DC0E75E" w14:textId="77777777" w:rsidR="00CC695F" w:rsidRDefault="00CC695F">
    <w:pPr>
      <w:pStyle w:val="ab"/>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1"/>
                  <pic:cNvPicPr>
                    <a:picLocks noChangeAspect="1" noChangeArrowheads="1"/>
                  </pic:cNvPicPr>
                </pic:nvPicPr>
                <pic:blipFill>
                  <a:blip r:embed="rId1"/>
                  <a:srcRect/>
                  <a:stretch>
                    <a:fillRect/>
                  </a:stretch>
                </pic:blipFill>
                <pic:spPr>
                  <a:xfrm>
                    <a:off x="0" y="0"/>
                    <a:ext cx="1714500" cy="238125"/>
                  </a:xfrm>
                  <a:prstGeom prst="rect">
                    <a:avLst/>
                  </a:prstGeom>
                  <a:noFill/>
                  <a:ln w="9525">
                    <a:noFill/>
                    <a:miter lim="800000"/>
                    <a:headEnd/>
                    <a:tailEnd/>
                  </a:ln>
                </pic:spPr>
              </pic:pic>
            </a:graphicData>
          </a:graphic>
        </wp:anchor>
      </w:drawing>
    </w:r>
  </w:p>
  <w:p w14:paraId="5C78CF69" w14:textId="1EE70971" w:rsidR="00CC695F" w:rsidRDefault="00CC695F">
    <w:pPr>
      <w:pStyle w:val="ab"/>
      <w:wordWrap w:val="0"/>
      <w:jc w:val="right"/>
      <w:rPr>
        <w:rFonts w:ascii="宋体" w:hAnsi="宋体"/>
      </w:rPr>
    </w:pPr>
    <w:r>
      <w:rPr>
        <w:rFonts w:ascii="宋体" w:hAnsi="宋体" w:hint="eastAsia"/>
      </w:rPr>
      <w:t>交银施罗德120天滚动持有债券型证券投资基金招募说明书</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FD5D" w14:textId="77777777" w:rsidR="00CC695F" w:rsidRDefault="00CC695F">
    <w:pPr>
      <w:pStyle w:val="ab"/>
      <w:jc w:val="right"/>
    </w:pPr>
  </w:p>
  <w:p w14:paraId="7DB8D17E" w14:textId="77777777" w:rsidR="00CC695F" w:rsidRDefault="00CC695F">
    <w:pPr>
      <w:pStyle w:val="ab"/>
      <w:jc w:val="right"/>
    </w:pPr>
  </w:p>
  <w:p w14:paraId="3649C097" w14:textId="77777777" w:rsidR="00CC695F" w:rsidRDefault="00CC695F">
    <w:pPr>
      <w:pStyle w:val="ab"/>
      <w:jc w:val="right"/>
    </w:pPr>
  </w:p>
  <w:p w14:paraId="466E3766" w14:textId="77777777" w:rsidR="00CC695F" w:rsidRDefault="00CC695F">
    <w:pPr>
      <w:pStyle w:val="ab"/>
      <w:jc w:val="right"/>
    </w:pPr>
    <w:r>
      <w:rPr>
        <w:noProof/>
      </w:rPr>
      <w:drawing>
        <wp:anchor distT="0" distB="0" distL="114300" distR="114300" simplePos="0" relativeHeight="251658752" behindDoc="0" locked="0" layoutInCell="1" allowOverlap="1">
          <wp:simplePos x="0" y="0"/>
          <wp:positionH relativeFrom="margin">
            <wp:align>left</wp:align>
          </wp:positionH>
          <wp:positionV relativeFrom="paragraph">
            <wp:posOffset>7620</wp:posOffset>
          </wp:positionV>
          <wp:extent cx="1714500" cy="238125"/>
          <wp:effectExtent l="0" t="0" r="0" b="9525"/>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ogo1"/>
                  <pic:cNvPicPr>
                    <a:picLocks noChangeAspect="1" noChangeArrowheads="1"/>
                  </pic:cNvPicPr>
                </pic:nvPicPr>
                <pic:blipFill>
                  <a:blip r:embed="rId1"/>
                  <a:srcRect/>
                  <a:stretch>
                    <a:fillRect/>
                  </a:stretch>
                </pic:blipFill>
                <pic:spPr>
                  <a:xfrm>
                    <a:off x="0" y="0"/>
                    <a:ext cx="1714500" cy="238125"/>
                  </a:xfrm>
                  <a:prstGeom prst="rect">
                    <a:avLst/>
                  </a:prstGeom>
                  <a:noFill/>
                  <a:ln w="9525">
                    <a:noFill/>
                    <a:miter lim="800000"/>
                    <a:headEnd/>
                    <a:tailEnd/>
                  </a:ln>
                </pic:spPr>
              </pic:pic>
            </a:graphicData>
          </a:graphic>
        </wp:anchor>
      </w:drawing>
    </w:r>
  </w:p>
  <w:p w14:paraId="0D501608" w14:textId="2061F278" w:rsidR="00CC695F" w:rsidRDefault="00CC695F">
    <w:pPr>
      <w:pStyle w:val="ab"/>
      <w:jc w:val="right"/>
      <w:rPr>
        <w:rFonts w:ascii="宋体" w:hAnsi="宋体"/>
      </w:rPr>
    </w:pPr>
    <w:r>
      <w:rPr>
        <w:rFonts w:ascii="宋体" w:hAnsi="宋体" w:hint="eastAsia"/>
      </w:rPr>
      <w:t>交银施罗德120天滚动持有债券型证券投资基金招募说明书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06709"/>
    <w:rsid w:val="0000754E"/>
    <w:rsid w:val="0001266E"/>
    <w:rsid w:val="00012FF2"/>
    <w:rsid w:val="00013D8E"/>
    <w:rsid w:val="00016C9B"/>
    <w:rsid w:val="00017358"/>
    <w:rsid w:val="000201D6"/>
    <w:rsid w:val="00021FDD"/>
    <w:rsid w:val="00022A58"/>
    <w:rsid w:val="00026A29"/>
    <w:rsid w:val="00026D00"/>
    <w:rsid w:val="00027C73"/>
    <w:rsid w:val="00027FD0"/>
    <w:rsid w:val="00030964"/>
    <w:rsid w:val="00030B79"/>
    <w:rsid w:val="00030F3E"/>
    <w:rsid w:val="00032680"/>
    <w:rsid w:val="00034BFD"/>
    <w:rsid w:val="000368A2"/>
    <w:rsid w:val="00041796"/>
    <w:rsid w:val="00043E25"/>
    <w:rsid w:val="00044AFD"/>
    <w:rsid w:val="00044E2C"/>
    <w:rsid w:val="0004532C"/>
    <w:rsid w:val="000457B7"/>
    <w:rsid w:val="0004614E"/>
    <w:rsid w:val="00046212"/>
    <w:rsid w:val="000500B8"/>
    <w:rsid w:val="00050606"/>
    <w:rsid w:val="000506ED"/>
    <w:rsid w:val="00050B7E"/>
    <w:rsid w:val="00051DDC"/>
    <w:rsid w:val="000543D5"/>
    <w:rsid w:val="00055792"/>
    <w:rsid w:val="00055F52"/>
    <w:rsid w:val="00061C0D"/>
    <w:rsid w:val="0006212F"/>
    <w:rsid w:val="0006220F"/>
    <w:rsid w:val="000647B8"/>
    <w:rsid w:val="00064969"/>
    <w:rsid w:val="0006506B"/>
    <w:rsid w:val="0006551A"/>
    <w:rsid w:val="000700AC"/>
    <w:rsid w:val="000705A6"/>
    <w:rsid w:val="00070DEA"/>
    <w:rsid w:val="0007638A"/>
    <w:rsid w:val="00076778"/>
    <w:rsid w:val="00076B6E"/>
    <w:rsid w:val="000773AA"/>
    <w:rsid w:val="00080B3C"/>
    <w:rsid w:val="0008113A"/>
    <w:rsid w:val="000816EA"/>
    <w:rsid w:val="00081744"/>
    <w:rsid w:val="000828CE"/>
    <w:rsid w:val="000833CB"/>
    <w:rsid w:val="00083491"/>
    <w:rsid w:val="00083B68"/>
    <w:rsid w:val="00084078"/>
    <w:rsid w:val="000843B3"/>
    <w:rsid w:val="000869C2"/>
    <w:rsid w:val="00087F4C"/>
    <w:rsid w:val="00090204"/>
    <w:rsid w:val="000905B7"/>
    <w:rsid w:val="00090648"/>
    <w:rsid w:val="00093546"/>
    <w:rsid w:val="00094253"/>
    <w:rsid w:val="00095030"/>
    <w:rsid w:val="000A01A0"/>
    <w:rsid w:val="000A05E1"/>
    <w:rsid w:val="000A186F"/>
    <w:rsid w:val="000A352B"/>
    <w:rsid w:val="000A5D8F"/>
    <w:rsid w:val="000A6B56"/>
    <w:rsid w:val="000A6E9C"/>
    <w:rsid w:val="000B0F8B"/>
    <w:rsid w:val="000B1864"/>
    <w:rsid w:val="000B248C"/>
    <w:rsid w:val="000B359E"/>
    <w:rsid w:val="000B3894"/>
    <w:rsid w:val="000B4E04"/>
    <w:rsid w:val="000C0BA8"/>
    <w:rsid w:val="000C1E1E"/>
    <w:rsid w:val="000C2FC1"/>
    <w:rsid w:val="000C38F1"/>
    <w:rsid w:val="000C5E77"/>
    <w:rsid w:val="000C68E9"/>
    <w:rsid w:val="000D0085"/>
    <w:rsid w:val="000D0ADE"/>
    <w:rsid w:val="000D0F50"/>
    <w:rsid w:val="000D179E"/>
    <w:rsid w:val="000D3C8B"/>
    <w:rsid w:val="000D5552"/>
    <w:rsid w:val="000D5F71"/>
    <w:rsid w:val="000D66DC"/>
    <w:rsid w:val="000E1F3B"/>
    <w:rsid w:val="000E3AB4"/>
    <w:rsid w:val="000E5B9A"/>
    <w:rsid w:val="000E7113"/>
    <w:rsid w:val="000E7544"/>
    <w:rsid w:val="000F0C17"/>
    <w:rsid w:val="000F2904"/>
    <w:rsid w:val="000F34A1"/>
    <w:rsid w:val="000F5226"/>
    <w:rsid w:val="000F5583"/>
    <w:rsid w:val="000F6050"/>
    <w:rsid w:val="000F66FF"/>
    <w:rsid w:val="000F6833"/>
    <w:rsid w:val="000F698D"/>
    <w:rsid w:val="000F75F7"/>
    <w:rsid w:val="000F7D42"/>
    <w:rsid w:val="00100674"/>
    <w:rsid w:val="001008A5"/>
    <w:rsid w:val="00100C86"/>
    <w:rsid w:val="00101F88"/>
    <w:rsid w:val="00103944"/>
    <w:rsid w:val="001042B5"/>
    <w:rsid w:val="001054B1"/>
    <w:rsid w:val="0011008D"/>
    <w:rsid w:val="0011339C"/>
    <w:rsid w:val="001135B0"/>
    <w:rsid w:val="00113FAA"/>
    <w:rsid w:val="00115AE5"/>
    <w:rsid w:val="00116489"/>
    <w:rsid w:val="0011648B"/>
    <w:rsid w:val="001166C1"/>
    <w:rsid w:val="00116874"/>
    <w:rsid w:val="001177A3"/>
    <w:rsid w:val="00120162"/>
    <w:rsid w:val="00120A86"/>
    <w:rsid w:val="00122BC3"/>
    <w:rsid w:val="001240EB"/>
    <w:rsid w:val="0012443D"/>
    <w:rsid w:val="00127053"/>
    <w:rsid w:val="00130B5E"/>
    <w:rsid w:val="001316F7"/>
    <w:rsid w:val="0013182D"/>
    <w:rsid w:val="0013199C"/>
    <w:rsid w:val="00131CEE"/>
    <w:rsid w:val="00133086"/>
    <w:rsid w:val="0013315B"/>
    <w:rsid w:val="00134FCF"/>
    <w:rsid w:val="00135AD8"/>
    <w:rsid w:val="0013630D"/>
    <w:rsid w:val="001367F2"/>
    <w:rsid w:val="001402DA"/>
    <w:rsid w:val="001412E8"/>
    <w:rsid w:val="0014250F"/>
    <w:rsid w:val="001432CF"/>
    <w:rsid w:val="00144B52"/>
    <w:rsid w:val="00145527"/>
    <w:rsid w:val="001457F7"/>
    <w:rsid w:val="00151749"/>
    <w:rsid w:val="001536D7"/>
    <w:rsid w:val="00153D66"/>
    <w:rsid w:val="001566CA"/>
    <w:rsid w:val="0015725E"/>
    <w:rsid w:val="00162E65"/>
    <w:rsid w:val="00162F69"/>
    <w:rsid w:val="00164946"/>
    <w:rsid w:val="0016545C"/>
    <w:rsid w:val="00165756"/>
    <w:rsid w:val="00166524"/>
    <w:rsid w:val="00171725"/>
    <w:rsid w:val="0017362C"/>
    <w:rsid w:val="0017392F"/>
    <w:rsid w:val="00174FFF"/>
    <w:rsid w:val="00180B9E"/>
    <w:rsid w:val="0018184C"/>
    <w:rsid w:val="0018198F"/>
    <w:rsid w:val="00181C62"/>
    <w:rsid w:val="00181DE8"/>
    <w:rsid w:val="001824B1"/>
    <w:rsid w:val="00182BB2"/>
    <w:rsid w:val="00183642"/>
    <w:rsid w:val="001860C4"/>
    <w:rsid w:val="00186FAE"/>
    <w:rsid w:val="001917D4"/>
    <w:rsid w:val="001917FC"/>
    <w:rsid w:val="00191CB0"/>
    <w:rsid w:val="00191D7F"/>
    <w:rsid w:val="00192193"/>
    <w:rsid w:val="001925A2"/>
    <w:rsid w:val="00193A69"/>
    <w:rsid w:val="00194E1D"/>
    <w:rsid w:val="00195218"/>
    <w:rsid w:val="00195292"/>
    <w:rsid w:val="00197A55"/>
    <w:rsid w:val="00197F7E"/>
    <w:rsid w:val="001A03AC"/>
    <w:rsid w:val="001A0A18"/>
    <w:rsid w:val="001A1034"/>
    <w:rsid w:val="001A1623"/>
    <w:rsid w:val="001A2263"/>
    <w:rsid w:val="001A25DB"/>
    <w:rsid w:val="001B1DD1"/>
    <w:rsid w:val="001B4531"/>
    <w:rsid w:val="001B4561"/>
    <w:rsid w:val="001B5BDB"/>
    <w:rsid w:val="001B6974"/>
    <w:rsid w:val="001B75F9"/>
    <w:rsid w:val="001C2B9E"/>
    <w:rsid w:val="001C38DA"/>
    <w:rsid w:val="001C7A48"/>
    <w:rsid w:val="001C7C12"/>
    <w:rsid w:val="001D029E"/>
    <w:rsid w:val="001D2797"/>
    <w:rsid w:val="001D2B67"/>
    <w:rsid w:val="001D3730"/>
    <w:rsid w:val="001D4727"/>
    <w:rsid w:val="001D5665"/>
    <w:rsid w:val="001D61DC"/>
    <w:rsid w:val="001D6377"/>
    <w:rsid w:val="001D68A8"/>
    <w:rsid w:val="001D6B88"/>
    <w:rsid w:val="001D6C5F"/>
    <w:rsid w:val="001D738C"/>
    <w:rsid w:val="001D7ECC"/>
    <w:rsid w:val="001E03F4"/>
    <w:rsid w:val="001E144C"/>
    <w:rsid w:val="001E247C"/>
    <w:rsid w:val="001E25FD"/>
    <w:rsid w:val="001E2A4F"/>
    <w:rsid w:val="001E3F8F"/>
    <w:rsid w:val="001E5250"/>
    <w:rsid w:val="001F2D5A"/>
    <w:rsid w:val="001F33EB"/>
    <w:rsid w:val="001F37FC"/>
    <w:rsid w:val="001F3AFD"/>
    <w:rsid w:val="001F3F49"/>
    <w:rsid w:val="001F4DEA"/>
    <w:rsid w:val="001F4ECB"/>
    <w:rsid w:val="001F4EE3"/>
    <w:rsid w:val="001F7353"/>
    <w:rsid w:val="001F751A"/>
    <w:rsid w:val="00201F27"/>
    <w:rsid w:val="00201F9B"/>
    <w:rsid w:val="00203597"/>
    <w:rsid w:val="002036CE"/>
    <w:rsid w:val="002039A1"/>
    <w:rsid w:val="00207303"/>
    <w:rsid w:val="002076AC"/>
    <w:rsid w:val="00212B27"/>
    <w:rsid w:val="00212BBA"/>
    <w:rsid w:val="0021469C"/>
    <w:rsid w:val="00215523"/>
    <w:rsid w:val="00216962"/>
    <w:rsid w:val="00217CA4"/>
    <w:rsid w:val="00217E59"/>
    <w:rsid w:val="00221112"/>
    <w:rsid w:val="00221A1B"/>
    <w:rsid w:val="002220A4"/>
    <w:rsid w:val="00223C19"/>
    <w:rsid w:val="00224421"/>
    <w:rsid w:val="0022595D"/>
    <w:rsid w:val="00226503"/>
    <w:rsid w:val="00226A60"/>
    <w:rsid w:val="002276C7"/>
    <w:rsid w:val="00227D20"/>
    <w:rsid w:val="00230616"/>
    <w:rsid w:val="002308B4"/>
    <w:rsid w:val="00231A62"/>
    <w:rsid w:val="0023578C"/>
    <w:rsid w:val="00235AC5"/>
    <w:rsid w:val="002377E0"/>
    <w:rsid w:val="00240BB6"/>
    <w:rsid w:val="002410A9"/>
    <w:rsid w:val="002432CA"/>
    <w:rsid w:val="00243D40"/>
    <w:rsid w:val="00243E99"/>
    <w:rsid w:val="0024455A"/>
    <w:rsid w:val="00245250"/>
    <w:rsid w:val="00246160"/>
    <w:rsid w:val="0024756E"/>
    <w:rsid w:val="002477CB"/>
    <w:rsid w:val="00247BF6"/>
    <w:rsid w:val="00250A33"/>
    <w:rsid w:val="00251126"/>
    <w:rsid w:val="002524D2"/>
    <w:rsid w:val="00252802"/>
    <w:rsid w:val="00260280"/>
    <w:rsid w:val="0026100B"/>
    <w:rsid w:val="00261A50"/>
    <w:rsid w:val="00261E1C"/>
    <w:rsid w:val="002634C3"/>
    <w:rsid w:val="00263FEA"/>
    <w:rsid w:val="0026530A"/>
    <w:rsid w:val="00265421"/>
    <w:rsid w:val="00265B3A"/>
    <w:rsid w:val="002702CD"/>
    <w:rsid w:val="0027052E"/>
    <w:rsid w:val="00271E9D"/>
    <w:rsid w:val="00271F7D"/>
    <w:rsid w:val="00274E85"/>
    <w:rsid w:val="0027595C"/>
    <w:rsid w:val="002777F6"/>
    <w:rsid w:val="00277907"/>
    <w:rsid w:val="00277928"/>
    <w:rsid w:val="00280C42"/>
    <w:rsid w:val="00281B73"/>
    <w:rsid w:val="00282183"/>
    <w:rsid w:val="002833C9"/>
    <w:rsid w:val="00285E5C"/>
    <w:rsid w:val="00290B63"/>
    <w:rsid w:val="00290E73"/>
    <w:rsid w:val="00293415"/>
    <w:rsid w:val="00293993"/>
    <w:rsid w:val="00294689"/>
    <w:rsid w:val="00294D0E"/>
    <w:rsid w:val="0029539A"/>
    <w:rsid w:val="0029555F"/>
    <w:rsid w:val="002A017E"/>
    <w:rsid w:val="002A1A82"/>
    <w:rsid w:val="002A20D9"/>
    <w:rsid w:val="002A2FB0"/>
    <w:rsid w:val="002A4D32"/>
    <w:rsid w:val="002A5F87"/>
    <w:rsid w:val="002A6C60"/>
    <w:rsid w:val="002A7147"/>
    <w:rsid w:val="002B017B"/>
    <w:rsid w:val="002B0DC0"/>
    <w:rsid w:val="002B2664"/>
    <w:rsid w:val="002B31C6"/>
    <w:rsid w:val="002B3A2E"/>
    <w:rsid w:val="002B4E21"/>
    <w:rsid w:val="002B5000"/>
    <w:rsid w:val="002B57A1"/>
    <w:rsid w:val="002B78AA"/>
    <w:rsid w:val="002C0E23"/>
    <w:rsid w:val="002C383C"/>
    <w:rsid w:val="002C5795"/>
    <w:rsid w:val="002D15BB"/>
    <w:rsid w:val="002D1C13"/>
    <w:rsid w:val="002D1FEB"/>
    <w:rsid w:val="002D3109"/>
    <w:rsid w:val="002D378C"/>
    <w:rsid w:val="002D6413"/>
    <w:rsid w:val="002D6F14"/>
    <w:rsid w:val="002D74D5"/>
    <w:rsid w:val="002E4922"/>
    <w:rsid w:val="002E4B2C"/>
    <w:rsid w:val="002E5261"/>
    <w:rsid w:val="002F00BB"/>
    <w:rsid w:val="002F0EAD"/>
    <w:rsid w:val="002F1B5B"/>
    <w:rsid w:val="002F1DE7"/>
    <w:rsid w:val="002F2627"/>
    <w:rsid w:val="002F2748"/>
    <w:rsid w:val="002F33CD"/>
    <w:rsid w:val="002F6445"/>
    <w:rsid w:val="002F64F8"/>
    <w:rsid w:val="002F6580"/>
    <w:rsid w:val="002F6DE8"/>
    <w:rsid w:val="002F6F79"/>
    <w:rsid w:val="002F74D8"/>
    <w:rsid w:val="002F7BBE"/>
    <w:rsid w:val="002F7C72"/>
    <w:rsid w:val="002F7EDC"/>
    <w:rsid w:val="003003A8"/>
    <w:rsid w:val="0030091B"/>
    <w:rsid w:val="00301D3B"/>
    <w:rsid w:val="00301E62"/>
    <w:rsid w:val="00302CA5"/>
    <w:rsid w:val="00304063"/>
    <w:rsid w:val="00304BE6"/>
    <w:rsid w:val="0030555F"/>
    <w:rsid w:val="00305A3B"/>
    <w:rsid w:val="00305BB4"/>
    <w:rsid w:val="0030645F"/>
    <w:rsid w:val="003073D4"/>
    <w:rsid w:val="00307E81"/>
    <w:rsid w:val="003117B9"/>
    <w:rsid w:val="00311C71"/>
    <w:rsid w:val="00313073"/>
    <w:rsid w:val="0031336C"/>
    <w:rsid w:val="0031339F"/>
    <w:rsid w:val="00313E58"/>
    <w:rsid w:val="00313F3E"/>
    <w:rsid w:val="003154CC"/>
    <w:rsid w:val="0032131C"/>
    <w:rsid w:val="00323F65"/>
    <w:rsid w:val="00324A27"/>
    <w:rsid w:val="00326147"/>
    <w:rsid w:val="00326AB2"/>
    <w:rsid w:val="00330064"/>
    <w:rsid w:val="0033051E"/>
    <w:rsid w:val="0033285A"/>
    <w:rsid w:val="0033401D"/>
    <w:rsid w:val="00334456"/>
    <w:rsid w:val="00336150"/>
    <w:rsid w:val="0033673B"/>
    <w:rsid w:val="00336E99"/>
    <w:rsid w:val="00340692"/>
    <w:rsid w:val="00342417"/>
    <w:rsid w:val="003434B8"/>
    <w:rsid w:val="003452BA"/>
    <w:rsid w:val="003454EC"/>
    <w:rsid w:val="00346537"/>
    <w:rsid w:val="00347B94"/>
    <w:rsid w:val="003527DD"/>
    <w:rsid w:val="003547A2"/>
    <w:rsid w:val="00355171"/>
    <w:rsid w:val="00357FF2"/>
    <w:rsid w:val="003609D7"/>
    <w:rsid w:val="00362702"/>
    <w:rsid w:val="00362A37"/>
    <w:rsid w:val="00362CF0"/>
    <w:rsid w:val="00362D5D"/>
    <w:rsid w:val="00363DC7"/>
    <w:rsid w:val="00364AC5"/>
    <w:rsid w:val="00365D15"/>
    <w:rsid w:val="0036702F"/>
    <w:rsid w:val="00367C56"/>
    <w:rsid w:val="00367F3A"/>
    <w:rsid w:val="00370BDF"/>
    <w:rsid w:val="00372280"/>
    <w:rsid w:val="00372FA2"/>
    <w:rsid w:val="003735E9"/>
    <w:rsid w:val="0037379E"/>
    <w:rsid w:val="003739FE"/>
    <w:rsid w:val="003749D5"/>
    <w:rsid w:val="003752D3"/>
    <w:rsid w:val="00377B7C"/>
    <w:rsid w:val="00380705"/>
    <w:rsid w:val="00381286"/>
    <w:rsid w:val="0038254F"/>
    <w:rsid w:val="003828EC"/>
    <w:rsid w:val="00382C41"/>
    <w:rsid w:val="00382F1A"/>
    <w:rsid w:val="00383488"/>
    <w:rsid w:val="003843BB"/>
    <w:rsid w:val="00384656"/>
    <w:rsid w:val="003859DA"/>
    <w:rsid w:val="00386153"/>
    <w:rsid w:val="00386BA7"/>
    <w:rsid w:val="00390B48"/>
    <w:rsid w:val="0039121E"/>
    <w:rsid w:val="0039213A"/>
    <w:rsid w:val="00393BF6"/>
    <w:rsid w:val="00395D4D"/>
    <w:rsid w:val="00396872"/>
    <w:rsid w:val="00396D64"/>
    <w:rsid w:val="00397A06"/>
    <w:rsid w:val="003A0FAF"/>
    <w:rsid w:val="003A2824"/>
    <w:rsid w:val="003A2895"/>
    <w:rsid w:val="003A2F09"/>
    <w:rsid w:val="003A3060"/>
    <w:rsid w:val="003A38BD"/>
    <w:rsid w:val="003A38C8"/>
    <w:rsid w:val="003A6045"/>
    <w:rsid w:val="003A72D0"/>
    <w:rsid w:val="003B22FD"/>
    <w:rsid w:val="003B23F7"/>
    <w:rsid w:val="003B3004"/>
    <w:rsid w:val="003B3680"/>
    <w:rsid w:val="003B3A47"/>
    <w:rsid w:val="003B4168"/>
    <w:rsid w:val="003B42FF"/>
    <w:rsid w:val="003B4C59"/>
    <w:rsid w:val="003B62D2"/>
    <w:rsid w:val="003B66A3"/>
    <w:rsid w:val="003C27F7"/>
    <w:rsid w:val="003C422B"/>
    <w:rsid w:val="003C62C1"/>
    <w:rsid w:val="003C67E2"/>
    <w:rsid w:val="003C6FA4"/>
    <w:rsid w:val="003D0B3E"/>
    <w:rsid w:val="003D2352"/>
    <w:rsid w:val="003D2B49"/>
    <w:rsid w:val="003D36B3"/>
    <w:rsid w:val="003D3863"/>
    <w:rsid w:val="003D3D0A"/>
    <w:rsid w:val="003E03DA"/>
    <w:rsid w:val="003E0800"/>
    <w:rsid w:val="003E1584"/>
    <w:rsid w:val="003E33DE"/>
    <w:rsid w:val="003E3593"/>
    <w:rsid w:val="003E585F"/>
    <w:rsid w:val="003E586E"/>
    <w:rsid w:val="003E595D"/>
    <w:rsid w:val="003E6049"/>
    <w:rsid w:val="003E67F9"/>
    <w:rsid w:val="003E76FD"/>
    <w:rsid w:val="003F0D27"/>
    <w:rsid w:val="003F1C98"/>
    <w:rsid w:val="003F2D96"/>
    <w:rsid w:val="003F317C"/>
    <w:rsid w:val="003F4813"/>
    <w:rsid w:val="003F5FCB"/>
    <w:rsid w:val="003F6F7D"/>
    <w:rsid w:val="00400D29"/>
    <w:rsid w:val="00403EE4"/>
    <w:rsid w:val="00406384"/>
    <w:rsid w:val="00406654"/>
    <w:rsid w:val="00406F61"/>
    <w:rsid w:val="0041100B"/>
    <w:rsid w:val="004114F3"/>
    <w:rsid w:val="0041282F"/>
    <w:rsid w:val="00412894"/>
    <w:rsid w:val="004130C3"/>
    <w:rsid w:val="00413E71"/>
    <w:rsid w:val="00414BE8"/>
    <w:rsid w:val="00416271"/>
    <w:rsid w:val="00417180"/>
    <w:rsid w:val="0041787F"/>
    <w:rsid w:val="00421363"/>
    <w:rsid w:val="00421921"/>
    <w:rsid w:val="00422100"/>
    <w:rsid w:val="00422D13"/>
    <w:rsid w:val="00422E73"/>
    <w:rsid w:val="004254D3"/>
    <w:rsid w:val="00425687"/>
    <w:rsid w:val="0042581A"/>
    <w:rsid w:val="004264C9"/>
    <w:rsid w:val="0042746B"/>
    <w:rsid w:val="00432AAC"/>
    <w:rsid w:val="00433B69"/>
    <w:rsid w:val="004369AD"/>
    <w:rsid w:val="00436DD6"/>
    <w:rsid w:val="004403DF"/>
    <w:rsid w:val="00442492"/>
    <w:rsid w:val="004425C1"/>
    <w:rsid w:val="00444FB7"/>
    <w:rsid w:val="00450674"/>
    <w:rsid w:val="004533FE"/>
    <w:rsid w:val="00454715"/>
    <w:rsid w:val="00454D80"/>
    <w:rsid w:val="00456785"/>
    <w:rsid w:val="00457C0A"/>
    <w:rsid w:val="00457C24"/>
    <w:rsid w:val="00460002"/>
    <w:rsid w:val="00462D15"/>
    <w:rsid w:val="00462EB0"/>
    <w:rsid w:val="00463933"/>
    <w:rsid w:val="00464346"/>
    <w:rsid w:val="00470325"/>
    <w:rsid w:val="00470F42"/>
    <w:rsid w:val="00471605"/>
    <w:rsid w:val="0047297A"/>
    <w:rsid w:val="00474709"/>
    <w:rsid w:val="00477FE0"/>
    <w:rsid w:val="00480184"/>
    <w:rsid w:val="00480516"/>
    <w:rsid w:val="00480658"/>
    <w:rsid w:val="00480D3C"/>
    <w:rsid w:val="0048170B"/>
    <w:rsid w:val="00481BD4"/>
    <w:rsid w:val="00482444"/>
    <w:rsid w:val="004828B5"/>
    <w:rsid w:val="00482AA2"/>
    <w:rsid w:val="0048579F"/>
    <w:rsid w:val="00487005"/>
    <w:rsid w:val="0048742D"/>
    <w:rsid w:val="00487BF2"/>
    <w:rsid w:val="004901A7"/>
    <w:rsid w:val="0049241C"/>
    <w:rsid w:val="00493194"/>
    <w:rsid w:val="0049738E"/>
    <w:rsid w:val="004A02DE"/>
    <w:rsid w:val="004A084F"/>
    <w:rsid w:val="004A177B"/>
    <w:rsid w:val="004A1FA1"/>
    <w:rsid w:val="004A3225"/>
    <w:rsid w:val="004A3D01"/>
    <w:rsid w:val="004A3F90"/>
    <w:rsid w:val="004A5F59"/>
    <w:rsid w:val="004A6F1F"/>
    <w:rsid w:val="004B0D7F"/>
    <w:rsid w:val="004B17D8"/>
    <w:rsid w:val="004B2323"/>
    <w:rsid w:val="004B2F59"/>
    <w:rsid w:val="004B6034"/>
    <w:rsid w:val="004B6078"/>
    <w:rsid w:val="004B62C3"/>
    <w:rsid w:val="004B7541"/>
    <w:rsid w:val="004C0BC8"/>
    <w:rsid w:val="004C461A"/>
    <w:rsid w:val="004C7D23"/>
    <w:rsid w:val="004D0634"/>
    <w:rsid w:val="004D0783"/>
    <w:rsid w:val="004D0CB5"/>
    <w:rsid w:val="004D11CB"/>
    <w:rsid w:val="004D282C"/>
    <w:rsid w:val="004D2DFB"/>
    <w:rsid w:val="004D49E3"/>
    <w:rsid w:val="004D4A3A"/>
    <w:rsid w:val="004D7163"/>
    <w:rsid w:val="004E0366"/>
    <w:rsid w:val="004E1C30"/>
    <w:rsid w:val="004E3342"/>
    <w:rsid w:val="004E45AC"/>
    <w:rsid w:val="004E4672"/>
    <w:rsid w:val="004E5593"/>
    <w:rsid w:val="004E7A1E"/>
    <w:rsid w:val="004E7C76"/>
    <w:rsid w:val="004E7F1A"/>
    <w:rsid w:val="004F0352"/>
    <w:rsid w:val="004F0740"/>
    <w:rsid w:val="004F2CAC"/>
    <w:rsid w:val="004F364F"/>
    <w:rsid w:val="004F3EE8"/>
    <w:rsid w:val="004F415D"/>
    <w:rsid w:val="004F4980"/>
    <w:rsid w:val="004F66F4"/>
    <w:rsid w:val="004F7710"/>
    <w:rsid w:val="004F772C"/>
    <w:rsid w:val="00502A45"/>
    <w:rsid w:val="00502E61"/>
    <w:rsid w:val="005042C1"/>
    <w:rsid w:val="0050542C"/>
    <w:rsid w:val="005061DB"/>
    <w:rsid w:val="00506741"/>
    <w:rsid w:val="0050699B"/>
    <w:rsid w:val="00506BF6"/>
    <w:rsid w:val="00510189"/>
    <w:rsid w:val="00512DC1"/>
    <w:rsid w:val="00514C6B"/>
    <w:rsid w:val="00516153"/>
    <w:rsid w:val="005161EC"/>
    <w:rsid w:val="00516F42"/>
    <w:rsid w:val="0051709F"/>
    <w:rsid w:val="005175EB"/>
    <w:rsid w:val="00520FB4"/>
    <w:rsid w:val="00521A18"/>
    <w:rsid w:val="00522079"/>
    <w:rsid w:val="00522622"/>
    <w:rsid w:val="0052450E"/>
    <w:rsid w:val="00524B12"/>
    <w:rsid w:val="005251FF"/>
    <w:rsid w:val="00525410"/>
    <w:rsid w:val="00527CD0"/>
    <w:rsid w:val="0053046C"/>
    <w:rsid w:val="00530703"/>
    <w:rsid w:val="00530763"/>
    <w:rsid w:val="00534EFD"/>
    <w:rsid w:val="005362F2"/>
    <w:rsid w:val="00541A1B"/>
    <w:rsid w:val="00543B42"/>
    <w:rsid w:val="00543EAF"/>
    <w:rsid w:val="0054651A"/>
    <w:rsid w:val="00546EA9"/>
    <w:rsid w:val="005474CD"/>
    <w:rsid w:val="00547D7E"/>
    <w:rsid w:val="005501B7"/>
    <w:rsid w:val="005505C1"/>
    <w:rsid w:val="0055152E"/>
    <w:rsid w:val="00552094"/>
    <w:rsid w:val="00553D73"/>
    <w:rsid w:val="00553DFA"/>
    <w:rsid w:val="00554BAF"/>
    <w:rsid w:val="00555702"/>
    <w:rsid w:val="00555A15"/>
    <w:rsid w:val="00556291"/>
    <w:rsid w:val="005569E4"/>
    <w:rsid w:val="00560E11"/>
    <w:rsid w:val="00561147"/>
    <w:rsid w:val="00561463"/>
    <w:rsid w:val="00561F8F"/>
    <w:rsid w:val="00563A0E"/>
    <w:rsid w:val="005647D0"/>
    <w:rsid w:val="005659E3"/>
    <w:rsid w:val="0056766D"/>
    <w:rsid w:val="005718D8"/>
    <w:rsid w:val="00573637"/>
    <w:rsid w:val="00574C59"/>
    <w:rsid w:val="00575771"/>
    <w:rsid w:val="00576CE2"/>
    <w:rsid w:val="005770AC"/>
    <w:rsid w:val="00577C1A"/>
    <w:rsid w:val="00577FAA"/>
    <w:rsid w:val="0058041D"/>
    <w:rsid w:val="0058047D"/>
    <w:rsid w:val="005826AA"/>
    <w:rsid w:val="00583CE7"/>
    <w:rsid w:val="00583D07"/>
    <w:rsid w:val="005849AC"/>
    <w:rsid w:val="00584C20"/>
    <w:rsid w:val="005850DE"/>
    <w:rsid w:val="00585674"/>
    <w:rsid w:val="005856E9"/>
    <w:rsid w:val="005867BB"/>
    <w:rsid w:val="00587452"/>
    <w:rsid w:val="00587F1F"/>
    <w:rsid w:val="00591C2A"/>
    <w:rsid w:val="00592461"/>
    <w:rsid w:val="00592539"/>
    <w:rsid w:val="00596A05"/>
    <w:rsid w:val="00596D6D"/>
    <w:rsid w:val="00597284"/>
    <w:rsid w:val="00597F8F"/>
    <w:rsid w:val="005A12E4"/>
    <w:rsid w:val="005A1EA2"/>
    <w:rsid w:val="005A2467"/>
    <w:rsid w:val="005A300D"/>
    <w:rsid w:val="005A4CCC"/>
    <w:rsid w:val="005A5858"/>
    <w:rsid w:val="005A6E51"/>
    <w:rsid w:val="005A7749"/>
    <w:rsid w:val="005A7C7F"/>
    <w:rsid w:val="005A7D88"/>
    <w:rsid w:val="005B130C"/>
    <w:rsid w:val="005B14FF"/>
    <w:rsid w:val="005B3B71"/>
    <w:rsid w:val="005B4B1B"/>
    <w:rsid w:val="005B4F0F"/>
    <w:rsid w:val="005B58F0"/>
    <w:rsid w:val="005C022E"/>
    <w:rsid w:val="005C0E62"/>
    <w:rsid w:val="005C0F5B"/>
    <w:rsid w:val="005C1FC5"/>
    <w:rsid w:val="005C2E15"/>
    <w:rsid w:val="005C403B"/>
    <w:rsid w:val="005C4908"/>
    <w:rsid w:val="005C63CB"/>
    <w:rsid w:val="005C6B3E"/>
    <w:rsid w:val="005D0AA6"/>
    <w:rsid w:val="005D0ED7"/>
    <w:rsid w:val="005D165F"/>
    <w:rsid w:val="005D21F3"/>
    <w:rsid w:val="005D242B"/>
    <w:rsid w:val="005D3CF8"/>
    <w:rsid w:val="005D5D89"/>
    <w:rsid w:val="005E0D2D"/>
    <w:rsid w:val="005E18B6"/>
    <w:rsid w:val="005E195B"/>
    <w:rsid w:val="005E39D0"/>
    <w:rsid w:val="005E3FB6"/>
    <w:rsid w:val="005E6A00"/>
    <w:rsid w:val="005E6B29"/>
    <w:rsid w:val="005F4583"/>
    <w:rsid w:val="005F4ABB"/>
    <w:rsid w:val="005F6066"/>
    <w:rsid w:val="005F6562"/>
    <w:rsid w:val="005F6C6D"/>
    <w:rsid w:val="005F6F09"/>
    <w:rsid w:val="005F787A"/>
    <w:rsid w:val="0060002A"/>
    <w:rsid w:val="006019C7"/>
    <w:rsid w:val="00601E7B"/>
    <w:rsid w:val="00601EBC"/>
    <w:rsid w:val="00602D32"/>
    <w:rsid w:val="00603A84"/>
    <w:rsid w:val="006067DC"/>
    <w:rsid w:val="00606968"/>
    <w:rsid w:val="0060775E"/>
    <w:rsid w:val="00610629"/>
    <w:rsid w:val="00611BCD"/>
    <w:rsid w:val="0061258D"/>
    <w:rsid w:val="00613691"/>
    <w:rsid w:val="006142EC"/>
    <w:rsid w:val="006155A5"/>
    <w:rsid w:val="00617824"/>
    <w:rsid w:val="0062078D"/>
    <w:rsid w:val="00624214"/>
    <w:rsid w:val="00624B61"/>
    <w:rsid w:val="00625419"/>
    <w:rsid w:val="006257C5"/>
    <w:rsid w:val="00626D1A"/>
    <w:rsid w:val="00627429"/>
    <w:rsid w:val="0063089C"/>
    <w:rsid w:val="0063206F"/>
    <w:rsid w:val="006321AD"/>
    <w:rsid w:val="00632A91"/>
    <w:rsid w:val="006345E8"/>
    <w:rsid w:val="006357B2"/>
    <w:rsid w:val="0063635E"/>
    <w:rsid w:val="0063765C"/>
    <w:rsid w:val="006403CB"/>
    <w:rsid w:val="006410B0"/>
    <w:rsid w:val="00641137"/>
    <w:rsid w:val="0064139F"/>
    <w:rsid w:val="00641404"/>
    <w:rsid w:val="00641EDA"/>
    <w:rsid w:val="00642A51"/>
    <w:rsid w:val="00642B97"/>
    <w:rsid w:val="00643680"/>
    <w:rsid w:val="00644453"/>
    <w:rsid w:val="00644B32"/>
    <w:rsid w:val="00644DDE"/>
    <w:rsid w:val="0064639A"/>
    <w:rsid w:val="0064646F"/>
    <w:rsid w:val="00646523"/>
    <w:rsid w:val="00646685"/>
    <w:rsid w:val="006470AE"/>
    <w:rsid w:val="00647BDD"/>
    <w:rsid w:val="006512AF"/>
    <w:rsid w:val="00651328"/>
    <w:rsid w:val="0065273C"/>
    <w:rsid w:val="00654AB5"/>
    <w:rsid w:val="00654ED8"/>
    <w:rsid w:val="00656A74"/>
    <w:rsid w:val="0065720A"/>
    <w:rsid w:val="00657221"/>
    <w:rsid w:val="00660EED"/>
    <w:rsid w:val="00661FC1"/>
    <w:rsid w:val="00662D44"/>
    <w:rsid w:val="006630E9"/>
    <w:rsid w:val="00663FED"/>
    <w:rsid w:val="00664B64"/>
    <w:rsid w:val="006678E3"/>
    <w:rsid w:val="00667A9C"/>
    <w:rsid w:val="006712E8"/>
    <w:rsid w:val="006775A4"/>
    <w:rsid w:val="00677DA7"/>
    <w:rsid w:val="00677E52"/>
    <w:rsid w:val="00680212"/>
    <w:rsid w:val="00680C90"/>
    <w:rsid w:val="00681036"/>
    <w:rsid w:val="006823AD"/>
    <w:rsid w:val="00682C29"/>
    <w:rsid w:val="00683D10"/>
    <w:rsid w:val="00684048"/>
    <w:rsid w:val="00685872"/>
    <w:rsid w:val="00685AD7"/>
    <w:rsid w:val="00686FD8"/>
    <w:rsid w:val="00691963"/>
    <w:rsid w:val="00692124"/>
    <w:rsid w:val="00692D96"/>
    <w:rsid w:val="00692EF3"/>
    <w:rsid w:val="00693C96"/>
    <w:rsid w:val="00696339"/>
    <w:rsid w:val="00696982"/>
    <w:rsid w:val="0069707C"/>
    <w:rsid w:val="006A039D"/>
    <w:rsid w:val="006A0FCD"/>
    <w:rsid w:val="006A3F85"/>
    <w:rsid w:val="006A48FA"/>
    <w:rsid w:val="006A56F1"/>
    <w:rsid w:val="006A6E5C"/>
    <w:rsid w:val="006B0972"/>
    <w:rsid w:val="006B13DC"/>
    <w:rsid w:val="006B3153"/>
    <w:rsid w:val="006B3254"/>
    <w:rsid w:val="006B3763"/>
    <w:rsid w:val="006B5871"/>
    <w:rsid w:val="006B6BB1"/>
    <w:rsid w:val="006B7212"/>
    <w:rsid w:val="006C14C3"/>
    <w:rsid w:val="006C29DC"/>
    <w:rsid w:val="006C2E2B"/>
    <w:rsid w:val="006C33DE"/>
    <w:rsid w:val="006C452D"/>
    <w:rsid w:val="006C4B6F"/>
    <w:rsid w:val="006C4E9B"/>
    <w:rsid w:val="006C589D"/>
    <w:rsid w:val="006C63A4"/>
    <w:rsid w:val="006C769C"/>
    <w:rsid w:val="006C7A95"/>
    <w:rsid w:val="006C7E65"/>
    <w:rsid w:val="006D0651"/>
    <w:rsid w:val="006D11E8"/>
    <w:rsid w:val="006D2D0F"/>
    <w:rsid w:val="006D3950"/>
    <w:rsid w:val="006D4436"/>
    <w:rsid w:val="006D4B0E"/>
    <w:rsid w:val="006D55A0"/>
    <w:rsid w:val="006D753C"/>
    <w:rsid w:val="006E079A"/>
    <w:rsid w:val="006E0A00"/>
    <w:rsid w:val="006E23D8"/>
    <w:rsid w:val="006E306D"/>
    <w:rsid w:val="006E459E"/>
    <w:rsid w:val="006E4B31"/>
    <w:rsid w:val="006E4BEC"/>
    <w:rsid w:val="006E6968"/>
    <w:rsid w:val="006F00BE"/>
    <w:rsid w:val="006F04C6"/>
    <w:rsid w:val="006F08A0"/>
    <w:rsid w:val="006F12AD"/>
    <w:rsid w:val="006F2A97"/>
    <w:rsid w:val="006F3275"/>
    <w:rsid w:val="006F7AD7"/>
    <w:rsid w:val="00702627"/>
    <w:rsid w:val="0070359F"/>
    <w:rsid w:val="00703A26"/>
    <w:rsid w:val="0070464C"/>
    <w:rsid w:val="0070471F"/>
    <w:rsid w:val="00705474"/>
    <w:rsid w:val="00705B46"/>
    <w:rsid w:val="007076B2"/>
    <w:rsid w:val="00711BBB"/>
    <w:rsid w:val="00712F3D"/>
    <w:rsid w:val="0071340A"/>
    <w:rsid w:val="00713FC7"/>
    <w:rsid w:val="00716FD1"/>
    <w:rsid w:val="00717295"/>
    <w:rsid w:val="00720D0F"/>
    <w:rsid w:val="007218A9"/>
    <w:rsid w:val="0072241C"/>
    <w:rsid w:val="007245A5"/>
    <w:rsid w:val="00724674"/>
    <w:rsid w:val="007272A9"/>
    <w:rsid w:val="00727DFF"/>
    <w:rsid w:val="00731628"/>
    <w:rsid w:val="00734108"/>
    <w:rsid w:val="007343AD"/>
    <w:rsid w:val="0073448D"/>
    <w:rsid w:val="00735087"/>
    <w:rsid w:val="00736B5A"/>
    <w:rsid w:val="00736FA0"/>
    <w:rsid w:val="0074053E"/>
    <w:rsid w:val="0074716A"/>
    <w:rsid w:val="007478D9"/>
    <w:rsid w:val="0075000E"/>
    <w:rsid w:val="00752156"/>
    <w:rsid w:val="00753A7A"/>
    <w:rsid w:val="00754CBA"/>
    <w:rsid w:val="00756E77"/>
    <w:rsid w:val="007577C2"/>
    <w:rsid w:val="00757C6A"/>
    <w:rsid w:val="0076038F"/>
    <w:rsid w:val="00760D77"/>
    <w:rsid w:val="007617E5"/>
    <w:rsid w:val="00765823"/>
    <w:rsid w:val="0077124E"/>
    <w:rsid w:val="00772FA7"/>
    <w:rsid w:val="007730D0"/>
    <w:rsid w:val="007730ED"/>
    <w:rsid w:val="0077578C"/>
    <w:rsid w:val="00777364"/>
    <w:rsid w:val="00780B73"/>
    <w:rsid w:val="007811AB"/>
    <w:rsid w:val="00781ABD"/>
    <w:rsid w:val="00781ACA"/>
    <w:rsid w:val="007823CF"/>
    <w:rsid w:val="00783E35"/>
    <w:rsid w:val="00784B2B"/>
    <w:rsid w:val="00784F67"/>
    <w:rsid w:val="007853E9"/>
    <w:rsid w:val="00786754"/>
    <w:rsid w:val="00786D49"/>
    <w:rsid w:val="00787061"/>
    <w:rsid w:val="00790F0A"/>
    <w:rsid w:val="00790F5E"/>
    <w:rsid w:val="007927A6"/>
    <w:rsid w:val="0079571C"/>
    <w:rsid w:val="00797F6E"/>
    <w:rsid w:val="007A1F4C"/>
    <w:rsid w:val="007A20B7"/>
    <w:rsid w:val="007A53F8"/>
    <w:rsid w:val="007A65B4"/>
    <w:rsid w:val="007B05BD"/>
    <w:rsid w:val="007B0C3A"/>
    <w:rsid w:val="007B31A5"/>
    <w:rsid w:val="007B3327"/>
    <w:rsid w:val="007B3533"/>
    <w:rsid w:val="007B4996"/>
    <w:rsid w:val="007B5E0C"/>
    <w:rsid w:val="007B6926"/>
    <w:rsid w:val="007B692B"/>
    <w:rsid w:val="007B6FA3"/>
    <w:rsid w:val="007B705D"/>
    <w:rsid w:val="007B7329"/>
    <w:rsid w:val="007C0DA5"/>
    <w:rsid w:val="007C18DF"/>
    <w:rsid w:val="007C20B5"/>
    <w:rsid w:val="007C2989"/>
    <w:rsid w:val="007C5764"/>
    <w:rsid w:val="007C61D0"/>
    <w:rsid w:val="007C6FAA"/>
    <w:rsid w:val="007C768F"/>
    <w:rsid w:val="007C7B44"/>
    <w:rsid w:val="007D251F"/>
    <w:rsid w:val="007D4F91"/>
    <w:rsid w:val="007D4FA2"/>
    <w:rsid w:val="007E02FA"/>
    <w:rsid w:val="007E0874"/>
    <w:rsid w:val="007E0FAD"/>
    <w:rsid w:val="007E60E9"/>
    <w:rsid w:val="007E63F3"/>
    <w:rsid w:val="007E6F5A"/>
    <w:rsid w:val="007F0916"/>
    <w:rsid w:val="007F1126"/>
    <w:rsid w:val="007F1A9D"/>
    <w:rsid w:val="007F1E7D"/>
    <w:rsid w:val="007F2A79"/>
    <w:rsid w:val="007F3026"/>
    <w:rsid w:val="007F417C"/>
    <w:rsid w:val="007F42DD"/>
    <w:rsid w:val="007F4E0F"/>
    <w:rsid w:val="007F77CA"/>
    <w:rsid w:val="00800E68"/>
    <w:rsid w:val="008011ED"/>
    <w:rsid w:val="00801636"/>
    <w:rsid w:val="00801D31"/>
    <w:rsid w:val="0080209C"/>
    <w:rsid w:val="00803935"/>
    <w:rsid w:val="008045D0"/>
    <w:rsid w:val="008059B8"/>
    <w:rsid w:val="00810333"/>
    <w:rsid w:val="0081415C"/>
    <w:rsid w:val="008155BC"/>
    <w:rsid w:val="0081590D"/>
    <w:rsid w:val="00815E57"/>
    <w:rsid w:val="008166F5"/>
    <w:rsid w:val="0081677E"/>
    <w:rsid w:val="00817467"/>
    <w:rsid w:val="0082043E"/>
    <w:rsid w:val="00821083"/>
    <w:rsid w:val="00822905"/>
    <w:rsid w:val="0082299E"/>
    <w:rsid w:val="00824ADD"/>
    <w:rsid w:val="00826DD1"/>
    <w:rsid w:val="00827CD1"/>
    <w:rsid w:val="00832164"/>
    <w:rsid w:val="00832F53"/>
    <w:rsid w:val="00834003"/>
    <w:rsid w:val="0083455F"/>
    <w:rsid w:val="00834EA0"/>
    <w:rsid w:val="00836144"/>
    <w:rsid w:val="00843042"/>
    <w:rsid w:val="00843255"/>
    <w:rsid w:val="00843C37"/>
    <w:rsid w:val="00844886"/>
    <w:rsid w:val="00844C2D"/>
    <w:rsid w:val="0084549F"/>
    <w:rsid w:val="00846D68"/>
    <w:rsid w:val="008518E5"/>
    <w:rsid w:val="0085249F"/>
    <w:rsid w:val="00852B15"/>
    <w:rsid w:val="008548C8"/>
    <w:rsid w:val="00855520"/>
    <w:rsid w:val="00856135"/>
    <w:rsid w:val="008575A3"/>
    <w:rsid w:val="00857A96"/>
    <w:rsid w:val="00861FE5"/>
    <w:rsid w:val="00862C54"/>
    <w:rsid w:val="0086376D"/>
    <w:rsid w:val="00865CB5"/>
    <w:rsid w:val="00866E08"/>
    <w:rsid w:val="008703C2"/>
    <w:rsid w:val="0087209F"/>
    <w:rsid w:val="00873C3F"/>
    <w:rsid w:val="008762F8"/>
    <w:rsid w:val="008806C1"/>
    <w:rsid w:val="008806CC"/>
    <w:rsid w:val="0088080E"/>
    <w:rsid w:val="00880AA8"/>
    <w:rsid w:val="00881BFF"/>
    <w:rsid w:val="008849E6"/>
    <w:rsid w:val="0088513E"/>
    <w:rsid w:val="00886300"/>
    <w:rsid w:val="00886443"/>
    <w:rsid w:val="0089004F"/>
    <w:rsid w:val="00890895"/>
    <w:rsid w:val="0089099F"/>
    <w:rsid w:val="00890AAF"/>
    <w:rsid w:val="0089155C"/>
    <w:rsid w:val="00892F7A"/>
    <w:rsid w:val="00894CEB"/>
    <w:rsid w:val="00896A62"/>
    <w:rsid w:val="00897B88"/>
    <w:rsid w:val="008A0759"/>
    <w:rsid w:val="008A113D"/>
    <w:rsid w:val="008A678B"/>
    <w:rsid w:val="008B0034"/>
    <w:rsid w:val="008B0702"/>
    <w:rsid w:val="008B1AC4"/>
    <w:rsid w:val="008B2397"/>
    <w:rsid w:val="008B33B5"/>
    <w:rsid w:val="008B3CD6"/>
    <w:rsid w:val="008B6003"/>
    <w:rsid w:val="008B691D"/>
    <w:rsid w:val="008C0477"/>
    <w:rsid w:val="008C4D11"/>
    <w:rsid w:val="008D11AE"/>
    <w:rsid w:val="008D3832"/>
    <w:rsid w:val="008D41B1"/>
    <w:rsid w:val="008D54FA"/>
    <w:rsid w:val="008D5C05"/>
    <w:rsid w:val="008D6490"/>
    <w:rsid w:val="008D6FFD"/>
    <w:rsid w:val="008E1191"/>
    <w:rsid w:val="008E2705"/>
    <w:rsid w:val="008E2FDD"/>
    <w:rsid w:val="008E342E"/>
    <w:rsid w:val="008E4D9C"/>
    <w:rsid w:val="008E5169"/>
    <w:rsid w:val="008E566D"/>
    <w:rsid w:val="008E588C"/>
    <w:rsid w:val="008F3E65"/>
    <w:rsid w:val="008F52D9"/>
    <w:rsid w:val="008F6739"/>
    <w:rsid w:val="008F6BC6"/>
    <w:rsid w:val="009026FC"/>
    <w:rsid w:val="0090273D"/>
    <w:rsid w:val="00902B4C"/>
    <w:rsid w:val="00903FC5"/>
    <w:rsid w:val="0090403F"/>
    <w:rsid w:val="00904F65"/>
    <w:rsid w:val="009071FF"/>
    <w:rsid w:val="009103D7"/>
    <w:rsid w:val="009108DB"/>
    <w:rsid w:val="009112EB"/>
    <w:rsid w:val="00913191"/>
    <w:rsid w:val="009131F2"/>
    <w:rsid w:val="00914A1E"/>
    <w:rsid w:val="00916431"/>
    <w:rsid w:val="00916D52"/>
    <w:rsid w:val="00917DBE"/>
    <w:rsid w:val="00924C08"/>
    <w:rsid w:val="00924C43"/>
    <w:rsid w:val="00924EB3"/>
    <w:rsid w:val="009255B1"/>
    <w:rsid w:val="00925B89"/>
    <w:rsid w:val="0092605A"/>
    <w:rsid w:val="0092689A"/>
    <w:rsid w:val="0093228E"/>
    <w:rsid w:val="009325E1"/>
    <w:rsid w:val="00933301"/>
    <w:rsid w:val="00933602"/>
    <w:rsid w:val="009338B2"/>
    <w:rsid w:val="009340FE"/>
    <w:rsid w:val="009351EF"/>
    <w:rsid w:val="0093698F"/>
    <w:rsid w:val="00940914"/>
    <w:rsid w:val="009409E8"/>
    <w:rsid w:val="00942250"/>
    <w:rsid w:val="009423AF"/>
    <w:rsid w:val="00942706"/>
    <w:rsid w:val="00942E51"/>
    <w:rsid w:val="0094687A"/>
    <w:rsid w:val="00946A6A"/>
    <w:rsid w:val="00947AE8"/>
    <w:rsid w:val="00947EB7"/>
    <w:rsid w:val="0095056B"/>
    <w:rsid w:val="00951FC3"/>
    <w:rsid w:val="009520BD"/>
    <w:rsid w:val="00952B29"/>
    <w:rsid w:val="00953DBA"/>
    <w:rsid w:val="00954137"/>
    <w:rsid w:val="00955882"/>
    <w:rsid w:val="00955ABF"/>
    <w:rsid w:val="00956F74"/>
    <w:rsid w:val="00956F84"/>
    <w:rsid w:val="00956F8A"/>
    <w:rsid w:val="009575A0"/>
    <w:rsid w:val="00957C6C"/>
    <w:rsid w:val="00960338"/>
    <w:rsid w:val="00960AA2"/>
    <w:rsid w:val="009618BB"/>
    <w:rsid w:val="00963A54"/>
    <w:rsid w:val="009649DC"/>
    <w:rsid w:val="00966EB2"/>
    <w:rsid w:val="00970C67"/>
    <w:rsid w:val="00971219"/>
    <w:rsid w:val="00971F0E"/>
    <w:rsid w:val="00974456"/>
    <w:rsid w:val="00975096"/>
    <w:rsid w:val="00980255"/>
    <w:rsid w:val="009808D3"/>
    <w:rsid w:val="009821AE"/>
    <w:rsid w:val="009901A2"/>
    <w:rsid w:val="00991483"/>
    <w:rsid w:val="00991763"/>
    <w:rsid w:val="0099296D"/>
    <w:rsid w:val="009935AA"/>
    <w:rsid w:val="00993F94"/>
    <w:rsid w:val="00994955"/>
    <w:rsid w:val="009951B2"/>
    <w:rsid w:val="009A039C"/>
    <w:rsid w:val="009A2859"/>
    <w:rsid w:val="009A4E90"/>
    <w:rsid w:val="009A50B8"/>
    <w:rsid w:val="009A737B"/>
    <w:rsid w:val="009B1823"/>
    <w:rsid w:val="009B406F"/>
    <w:rsid w:val="009B443A"/>
    <w:rsid w:val="009B44D8"/>
    <w:rsid w:val="009B4CC4"/>
    <w:rsid w:val="009B4D09"/>
    <w:rsid w:val="009B61ED"/>
    <w:rsid w:val="009B69FE"/>
    <w:rsid w:val="009B6DD1"/>
    <w:rsid w:val="009C1332"/>
    <w:rsid w:val="009C21A6"/>
    <w:rsid w:val="009C44D6"/>
    <w:rsid w:val="009C4A4F"/>
    <w:rsid w:val="009C633D"/>
    <w:rsid w:val="009C6D34"/>
    <w:rsid w:val="009C7CFA"/>
    <w:rsid w:val="009D0166"/>
    <w:rsid w:val="009D14AC"/>
    <w:rsid w:val="009D2E97"/>
    <w:rsid w:val="009D328E"/>
    <w:rsid w:val="009D3438"/>
    <w:rsid w:val="009D3B2E"/>
    <w:rsid w:val="009D3B88"/>
    <w:rsid w:val="009D3F03"/>
    <w:rsid w:val="009D40B6"/>
    <w:rsid w:val="009D4D3A"/>
    <w:rsid w:val="009D54E1"/>
    <w:rsid w:val="009D7AD4"/>
    <w:rsid w:val="009E1231"/>
    <w:rsid w:val="009E1A57"/>
    <w:rsid w:val="009E36CA"/>
    <w:rsid w:val="009E3B7F"/>
    <w:rsid w:val="009E4439"/>
    <w:rsid w:val="009E4B6B"/>
    <w:rsid w:val="009E6470"/>
    <w:rsid w:val="009E6793"/>
    <w:rsid w:val="009E7175"/>
    <w:rsid w:val="009F08CB"/>
    <w:rsid w:val="009F1E5E"/>
    <w:rsid w:val="009F34BA"/>
    <w:rsid w:val="009F403B"/>
    <w:rsid w:val="009F497B"/>
    <w:rsid w:val="009F4A76"/>
    <w:rsid w:val="009F5331"/>
    <w:rsid w:val="009F5E39"/>
    <w:rsid w:val="009F6453"/>
    <w:rsid w:val="009F6AD6"/>
    <w:rsid w:val="009F6F30"/>
    <w:rsid w:val="009F6F65"/>
    <w:rsid w:val="009F7BFB"/>
    <w:rsid w:val="00A0081F"/>
    <w:rsid w:val="00A01B61"/>
    <w:rsid w:val="00A03BCB"/>
    <w:rsid w:val="00A04028"/>
    <w:rsid w:val="00A048F3"/>
    <w:rsid w:val="00A04CA6"/>
    <w:rsid w:val="00A052DD"/>
    <w:rsid w:val="00A062A4"/>
    <w:rsid w:val="00A06E6F"/>
    <w:rsid w:val="00A07704"/>
    <w:rsid w:val="00A112C8"/>
    <w:rsid w:val="00A11C83"/>
    <w:rsid w:val="00A12A49"/>
    <w:rsid w:val="00A12D3C"/>
    <w:rsid w:val="00A135C4"/>
    <w:rsid w:val="00A13CB5"/>
    <w:rsid w:val="00A13FEC"/>
    <w:rsid w:val="00A15EFF"/>
    <w:rsid w:val="00A162F7"/>
    <w:rsid w:val="00A164E8"/>
    <w:rsid w:val="00A16CDF"/>
    <w:rsid w:val="00A200C3"/>
    <w:rsid w:val="00A21103"/>
    <w:rsid w:val="00A211CB"/>
    <w:rsid w:val="00A2173C"/>
    <w:rsid w:val="00A21E3C"/>
    <w:rsid w:val="00A23419"/>
    <w:rsid w:val="00A23EE9"/>
    <w:rsid w:val="00A24BBD"/>
    <w:rsid w:val="00A26D62"/>
    <w:rsid w:val="00A27D2E"/>
    <w:rsid w:val="00A30D78"/>
    <w:rsid w:val="00A31032"/>
    <w:rsid w:val="00A31CCF"/>
    <w:rsid w:val="00A32598"/>
    <w:rsid w:val="00A33A5D"/>
    <w:rsid w:val="00A33EF8"/>
    <w:rsid w:val="00A3432E"/>
    <w:rsid w:val="00A358F5"/>
    <w:rsid w:val="00A35EC6"/>
    <w:rsid w:val="00A36B0D"/>
    <w:rsid w:val="00A40DFB"/>
    <w:rsid w:val="00A435BF"/>
    <w:rsid w:val="00A448B0"/>
    <w:rsid w:val="00A4500E"/>
    <w:rsid w:val="00A46981"/>
    <w:rsid w:val="00A50024"/>
    <w:rsid w:val="00A50F8C"/>
    <w:rsid w:val="00A5210B"/>
    <w:rsid w:val="00A524EC"/>
    <w:rsid w:val="00A52F4A"/>
    <w:rsid w:val="00A531D6"/>
    <w:rsid w:val="00A53304"/>
    <w:rsid w:val="00A54346"/>
    <w:rsid w:val="00A55211"/>
    <w:rsid w:val="00A569C9"/>
    <w:rsid w:val="00A57E0C"/>
    <w:rsid w:val="00A6039D"/>
    <w:rsid w:val="00A61946"/>
    <w:rsid w:val="00A61DD9"/>
    <w:rsid w:val="00A621CF"/>
    <w:rsid w:val="00A631B5"/>
    <w:rsid w:val="00A63351"/>
    <w:rsid w:val="00A6487D"/>
    <w:rsid w:val="00A65788"/>
    <w:rsid w:val="00A65DF5"/>
    <w:rsid w:val="00A66D3E"/>
    <w:rsid w:val="00A676CE"/>
    <w:rsid w:val="00A67ABD"/>
    <w:rsid w:val="00A7001C"/>
    <w:rsid w:val="00A70A43"/>
    <w:rsid w:val="00A728EE"/>
    <w:rsid w:val="00A72DC2"/>
    <w:rsid w:val="00A74450"/>
    <w:rsid w:val="00A75807"/>
    <w:rsid w:val="00A77913"/>
    <w:rsid w:val="00A77D96"/>
    <w:rsid w:val="00A80039"/>
    <w:rsid w:val="00A80737"/>
    <w:rsid w:val="00A8209D"/>
    <w:rsid w:val="00A82740"/>
    <w:rsid w:val="00A82822"/>
    <w:rsid w:val="00A82BC8"/>
    <w:rsid w:val="00A846D5"/>
    <w:rsid w:val="00A853B2"/>
    <w:rsid w:val="00A860C9"/>
    <w:rsid w:val="00A8663E"/>
    <w:rsid w:val="00A86A53"/>
    <w:rsid w:val="00A878AB"/>
    <w:rsid w:val="00A9028F"/>
    <w:rsid w:val="00A9137F"/>
    <w:rsid w:val="00A9483B"/>
    <w:rsid w:val="00A94F2C"/>
    <w:rsid w:val="00A95BA8"/>
    <w:rsid w:val="00A972E1"/>
    <w:rsid w:val="00AA3F8C"/>
    <w:rsid w:val="00AA56DD"/>
    <w:rsid w:val="00AA6229"/>
    <w:rsid w:val="00AA6E6B"/>
    <w:rsid w:val="00AB3052"/>
    <w:rsid w:val="00AB3A13"/>
    <w:rsid w:val="00AB4248"/>
    <w:rsid w:val="00AB4520"/>
    <w:rsid w:val="00AB572D"/>
    <w:rsid w:val="00AB5A86"/>
    <w:rsid w:val="00AB6170"/>
    <w:rsid w:val="00AB707C"/>
    <w:rsid w:val="00AB7D16"/>
    <w:rsid w:val="00AC0B37"/>
    <w:rsid w:val="00AC2185"/>
    <w:rsid w:val="00AC3068"/>
    <w:rsid w:val="00AC3C48"/>
    <w:rsid w:val="00AC4067"/>
    <w:rsid w:val="00AC4159"/>
    <w:rsid w:val="00AC4956"/>
    <w:rsid w:val="00AC53DF"/>
    <w:rsid w:val="00AC54F8"/>
    <w:rsid w:val="00AC692A"/>
    <w:rsid w:val="00AD0F08"/>
    <w:rsid w:val="00AD1585"/>
    <w:rsid w:val="00AD1747"/>
    <w:rsid w:val="00AD235B"/>
    <w:rsid w:val="00AD3C33"/>
    <w:rsid w:val="00AD5036"/>
    <w:rsid w:val="00AD560B"/>
    <w:rsid w:val="00AD5BBB"/>
    <w:rsid w:val="00AE02B5"/>
    <w:rsid w:val="00AE0494"/>
    <w:rsid w:val="00AE06C8"/>
    <w:rsid w:val="00AE0B1B"/>
    <w:rsid w:val="00AE0B28"/>
    <w:rsid w:val="00AE0C8D"/>
    <w:rsid w:val="00AE0D50"/>
    <w:rsid w:val="00AE1947"/>
    <w:rsid w:val="00AE242E"/>
    <w:rsid w:val="00AE2D8E"/>
    <w:rsid w:val="00AE4405"/>
    <w:rsid w:val="00AE4C9F"/>
    <w:rsid w:val="00AE7A40"/>
    <w:rsid w:val="00AE7EF9"/>
    <w:rsid w:val="00AF0051"/>
    <w:rsid w:val="00AF0E1A"/>
    <w:rsid w:val="00AF2272"/>
    <w:rsid w:val="00AF4A88"/>
    <w:rsid w:val="00AF60FC"/>
    <w:rsid w:val="00AF619D"/>
    <w:rsid w:val="00AF62F2"/>
    <w:rsid w:val="00B001E7"/>
    <w:rsid w:val="00B0038A"/>
    <w:rsid w:val="00B018B0"/>
    <w:rsid w:val="00B01A75"/>
    <w:rsid w:val="00B02D39"/>
    <w:rsid w:val="00B03711"/>
    <w:rsid w:val="00B03B6B"/>
    <w:rsid w:val="00B04CC3"/>
    <w:rsid w:val="00B0552F"/>
    <w:rsid w:val="00B119BB"/>
    <w:rsid w:val="00B152BD"/>
    <w:rsid w:val="00B168D4"/>
    <w:rsid w:val="00B17DE2"/>
    <w:rsid w:val="00B17E18"/>
    <w:rsid w:val="00B2096A"/>
    <w:rsid w:val="00B20E8D"/>
    <w:rsid w:val="00B304DB"/>
    <w:rsid w:val="00B31C60"/>
    <w:rsid w:val="00B31D08"/>
    <w:rsid w:val="00B32541"/>
    <w:rsid w:val="00B3267F"/>
    <w:rsid w:val="00B342E4"/>
    <w:rsid w:val="00B35F87"/>
    <w:rsid w:val="00B379DA"/>
    <w:rsid w:val="00B37A67"/>
    <w:rsid w:val="00B41203"/>
    <w:rsid w:val="00B41500"/>
    <w:rsid w:val="00B43B6D"/>
    <w:rsid w:val="00B51050"/>
    <w:rsid w:val="00B5297F"/>
    <w:rsid w:val="00B52E16"/>
    <w:rsid w:val="00B532D1"/>
    <w:rsid w:val="00B53812"/>
    <w:rsid w:val="00B53C36"/>
    <w:rsid w:val="00B557BB"/>
    <w:rsid w:val="00B5652A"/>
    <w:rsid w:val="00B623DA"/>
    <w:rsid w:val="00B62736"/>
    <w:rsid w:val="00B62A71"/>
    <w:rsid w:val="00B62B38"/>
    <w:rsid w:val="00B62EF9"/>
    <w:rsid w:val="00B630C6"/>
    <w:rsid w:val="00B631F1"/>
    <w:rsid w:val="00B65B4B"/>
    <w:rsid w:val="00B65DC0"/>
    <w:rsid w:val="00B6674F"/>
    <w:rsid w:val="00B67C2D"/>
    <w:rsid w:val="00B67CB8"/>
    <w:rsid w:val="00B67DDF"/>
    <w:rsid w:val="00B70D91"/>
    <w:rsid w:val="00B71248"/>
    <w:rsid w:val="00B72FA0"/>
    <w:rsid w:val="00B73209"/>
    <w:rsid w:val="00B76D07"/>
    <w:rsid w:val="00B76FE6"/>
    <w:rsid w:val="00B7708B"/>
    <w:rsid w:val="00B7709A"/>
    <w:rsid w:val="00B7721B"/>
    <w:rsid w:val="00B80E25"/>
    <w:rsid w:val="00B81F83"/>
    <w:rsid w:val="00B8347E"/>
    <w:rsid w:val="00B83DA9"/>
    <w:rsid w:val="00B84B4A"/>
    <w:rsid w:val="00B8589C"/>
    <w:rsid w:val="00B86BAC"/>
    <w:rsid w:val="00B86FB3"/>
    <w:rsid w:val="00B87107"/>
    <w:rsid w:val="00B926F0"/>
    <w:rsid w:val="00B9418B"/>
    <w:rsid w:val="00B97924"/>
    <w:rsid w:val="00B97B35"/>
    <w:rsid w:val="00BA0DCC"/>
    <w:rsid w:val="00BA100F"/>
    <w:rsid w:val="00BA3196"/>
    <w:rsid w:val="00BA3509"/>
    <w:rsid w:val="00BA454E"/>
    <w:rsid w:val="00BA5877"/>
    <w:rsid w:val="00BA736F"/>
    <w:rsid w:val="00BB01F0"/>
    <w:rsid w:val="00BB124C"/>
    <w:rsid w:val="00BB17E3"/>
    <w:rsid w:val="00BB1CDB"/>
    <w:rsid w:val="00BB2110"/>
    <w:rsid w:val="00BB3147"/>
    <w:rsid w:val="00BB3645"/>
    <w:rsid w:val="00BB3D21"/>
    <w:rsid w:val="00BB4F2F"/>
    <w:rsid w:val="00BB547E"/>
    <w:rsid w:val="00BB69B7"/>
    <w:rsid w:val="00BC2581"/>
    <w:rsid w:val="00BC3F55"/>
    <w:rsid w:val="00BC481A"/>
    <w:rsid w:val="00BC4D26"/>
    <w:rsid w:val="00BC555D"/>
    <w:rsid w:val="00BC6112"/>
    <w:rsid w:val="00BC658E"/>
    <w:rsid w:val="00BC70BB"/>
    <w:rsid w:val="00BD0218"/>
    <w:rsid w:val="00BD1869"/>
    <w:rsid w:val="00BD200B"/>
    <w:rsid w:val="00BD3D77"/>
    <w:rsid w:val="00BD575D"/>
    <w:rsid w:val="00BD63DF"/>
    <w:rsid w:val="00BD64D4"/>
    <w:rsid w:val="00BD6F0F"/>
    <w:rsid w:val="00BD7C4B"/>
    <w:rsid w:val="00BE29F7"/>
    <w:rsid w:val="00BE33E8"/>
    <w:rsid w:val="00BE47C9"/>
    <w:rsid w:val="00BE51F8"/>
    <w:rsid w:val="00BE578E"/>
    <w:rsid w:val="00BE795E"/>
    <w:rsid w:val="00BF2332"/>
    <w:rsid w:val="00BF256A"/>
    <w:rsid w:val="00BF2BEB"/>
    <w:rsid w:val="00BF3197"/>
    <w:rsid w:val="00BF4C70"/>
    <w:rsid w:val="00BF5117"/>
    <w:rsid w:val="00BF59F3"/>
    <w:rsid w:val="00BF5E23"/>
    <w:rsid w:val="00BF6AD1"/>
    <w:rsid w:val="00C00EF9"/>
    <w:rsid w:val="00C01DB8"/>
    <w:rsid w:val="00C025BD"/>
    <w:rsid w:val="00C0300F"/>
    <w:rsid w:val="00C04C13"/>
    <w:rsid w:val="00C0523E"/>
    <w:rsid w:val="00C06C3C"/>
    <w:rsid w:val="00C0751C"/>
    <w:rsid w:val="00C07D40"/>
    <w:rsid w:val="00C07D81"/>
    <w:rsid w:val="00C07F14"/>
    <w:rsid w:val="00C11B64"/>
    <w:rsid w:val="00C1218B"/>
    <w:rsid w:val="00C12B6B"/>
    <w:rsid w:val="00C135F1"/>
    <w:rsid w:val="00C13700"/>
    <w:rsid w:val="00C140D0"/>
    <w:rsid w:val="00C14775"/>
    <w:rsid w:val="00C150A5"/>
    <w:rsid w:val="00C152CC"/>
    <w:rsid w:val="00C1720E"/>
    <w:rsid w:val="00C17A93"/>
    <w:rsid w:val="00C200CC"/>
    <w:rsid w:val="00C22B21"/>
    <w:rsid w:val="00C23593"/>
    <w:rsid w:val="00C2360E"/>
    <w:rsid w:val="00C23845"/>
    <w:rsid w:val="00C248E6"/>
    <w:rsid w:val="00C31846"/>
    <w:rsid w:val="00C32A33"/>
    <w:rsid w:val="00C345FA"/>
    <w:rsid w:val="00C367FB"/>
    <w:rsid w:val="00C36871"/>
    <w:rsid w:val="00C36D96"/>
    <w:rsid w:val="00C41389"/>
    <w:rsid w:val="00C41BB7"/>
    <w:rsid w:val="00C42379"/>
    <w:rsid w:val="00C44004"/>
    <w:rsid w:val="00C445F4"/>
    <w:rsid w:val="00C44B24"/>
    <w:rsid w:val="00C47A52"/>
    <w:rsid w:val="00C506F1"/>
    <w:rsid w:val="00C513FD"/>
    <w:rsid w:val="00C54DF3"/>
    <w:rsid w:val="00C60DDA"/>
    <w:rsid w:val="00C610B6"/>
    <w:rsid w:val="00C6257F"/>
    <w:rsid w:val="00C63117"/>
    <w:rsid w:val="00C640C7"/>
    <w:rsid w:val="00C644CE"/>
    <w:rsid w:val="00C651DB"/>
    <w:rsid w:val="00C65784"/>
    <w:rsid w:val="00C66AC0"/>
    <w:rsid w:val="00C67BDD"/>
    <w:rsid w:val="00C70B27"/>
    <w:rsid w:val="00C70F24"/>
    <w:rsid w:val="00C717F6"/>
    <w:rsid w:val="00C71EC4"/>
    <w:rsid w:val="00C72AA4"/>
    <w:rsid w:val="00C72B14"/>
    <w:rsid w:val="00C72FD7"/>
    <w:rsid w:val="00C730BB"/>
    <w:rsid w:val="00C7736B"/>
    <w:rsid w:val="00C80AF5"/>
    <w:rsid w:val="00C8155C"/>
    <w:rsid w:val="00C82421"/>
    <w:rsid w:val="00C826BC"/>
    <w:rsid w:val="00C82E3E"/>
    <w:rsid w:val="00C82F58"/>
    <w:rsid w:val="00C83E60"/>
    <w:rsid w:val="00C851B9"/>
    <w:rsid w:val="00C907F0"/>
    <w:rsid w:val="00C92D1B"/>
    <w:rsid w:val="00C93A91"/>
    <w:rsid w:val="00C95601"/>
    <w:rsid w:val="00C977C4"/>
    <w:rsid w:val="00C97C53"/>
    <w:rsid w:val="00CA1947"/>
    <w:rsid w:val="00CA1C91"/>
    <w:rsid w:val="00CA323D"/>
    <w:rsid w:val="00CA33E2"/>
    <w:rsid w:val="00CA54A0"/>
    <w:rsid w:val="00CA59D4"/>
    <w:rsid w:val="00CA69EB"/>
    <w:rsid w:val="00CA730B"/>
    <w:rsid w:val="00CA752F"/>
    <w:rsid w:val="00CB5286"/>
    <w:rsid w:val="00CB5444"/>
    <w:rsid w:val="00CB5515"/>
    <w:rsid w:val="00CB76EF"/>
    <w:rsid w:val="00CB7840"/>
    <w:rsid w:val="00CB7E62"/>
    <w:rsid w:val="00CC0500"/>
    <w:rsid w:val="00CC0E24"/>
    <w:rsid w:val="00CC164F"/>
    <w:rsid w:val="00CC2390"/>
    <w:rsid w:val="00CC34E2"/>
    <w:rsid w:val="00CC4A5C"/>
    <w:rsid w:val="00CC5BB7"/>
    <w:rsid w:val="00CC5F62"/>
    <w:rsid w:val="00CC695F"/>
    <w:rsid w:val="00CC69B4"/>
    <w:rsid w:val="00CC6D17"/>
    <w:rsid w:val="00CC7102"/>
    <w:rsid w:val="00CC7CF3"/>
    <w:rsid w:val="00CD1E85"/>
    <w:rsid w:val="00CD2695"/>
    <w:rsid w:val="00CD2808"/>
    <w:rsid w:val="00CD331E"/>
    <w:rsid w:val="00CD3AEA"/>
    <w:rsid w:val="00CD3C32"/>
    <w:rsid w:val="00CD4235"/>
    <w:rsid w:val="00CD56D7"/>
    <w:rsid w:val="00CD57FC"/>
    <w:rsid w:val="00CD632A"/>
    <w:rsid w:val="00CE0B6D"/>
    <w:rsid w:val="00CE127E"/>
    <w:rsid w:val="00CE12BD"/>
    <w:rsid w:val="00CE1C10"/>
    <w:rsid w:val="00CE217C"/>
    <w:rsid w:val="00CE4AE9"/>
    <w:rsid w:val="00CE4B91"/>
    <w:rsid w:val="00CF41D0"/>
    <w:rsid w:val="00CF4F9B"/>
    <w:rsid w:val="00D00A28"/>
    <w:rsid w:val="00D00CF9"/>
    <w:rsid w:val="00D012FF"/>
    <w:rsid w:val="00D02121"/>
    <w:rsid w:val="00D04CD8"/>
    <w:rsid w:val="00D04DEC"/>
    <w:rsid w:val="00D07C62"/>
    <w:rsid w:val="00D114ED"/>
    <w:rsid w:val="00D11A21"/>
    <w:rsid w:val="00D1261E"/>
    <w:rsid w:val="00D13F32"/>
    <w:rsid w:val="00D14B5E"/>
    <w:rsid w:val="00D15528"/>
    <w:rsid w:val="00D1685E"/>
    <w:rsid w:val="00D171BA"/>
    <w:rsid w:val="00D17ED0"/>
    <w:rsid w:val="00D25B74"/>
    <w:rsid w:val="00D25CA1"/>
    <w:rsid w:val="00D31474"/>
    <w:rsid w:val="00D32933"/>
    <w:rsid w:val="00D32D14"/>
    <w:rsid w:val="00D3579F"/>
    <w:rsid w:val="00D36B62"/>
    <w:rsid w:val="00D37BF5"/>
    <w:rsid w:val="00D421A7"/>
    <w:rsid w:val="00D42987"/>
    <w:rsid w:val="00D42C18"/>
    <w:rsid w:val="00D43F5E"/>
    <w:rsid w:val="00D44623"/>
    <w:rsid w:val="00D47CF6"/>
    <w:rsid w:val="00D50820"/>
    <w:rsid w:val="00D50C40"/>
    <w:rsid w:val="00D511C3"/>
    <w:rsid w:val="00D51603"/>
    <w:rsid w:val="00D5481D"/>
    <w:rsid w:val="00D55B2D"/>
    <w:rsid w:val="00D60045"/>
    <w:rsid w:val="00D60B7A"/>
    <w:rsid w:val="00D628AE"/>
    <w:rsid w:val="00D647C9"/>
    <w:rsid w:val="00D6632B"/>
    <w:rsid w:val="00D67995"/>
    <w:rsid w:val="00D7163F"/>
    <w:rsid w:val="00D7298C"/>
    <w:rsid w:val="00D73998"/>
    <w:rsid w:val="00D750E1"/>
    <w:rsid w:val="00D76FD9"/>
    <w:rsid w:val="00D7763E"/>
    <w:rsid w:val="00D800BD"/>
    <w:rsid w:val="00D803A3"/>
    <w:rsid w:val="00D816C8"/>
    <w:rsid w:val="00D81BC5"/>
    <w:rsid w:val="00D827CE"/>
    <w:rsid w:val="00D84DEB"/>
    <w:rsid w:val="00D85036"/>
    <w:rsid w:val="00D86D3B"/>
    <w:rsid w:val="00D877A6"/>
    <w:rsid w:val="00D87CF5"/>
    <w:rsid w:val="00D904D9"/>
    <w:rsid w:val="00D93E3A"/>
    <w:rsid w:val="00D946F0"/>
    <w:rsid w:val="00D95156"/>
    <w:rsid w:val="00D95B40"/>
    <w:rsid w:val="00D95BD9"/>
    <w:rsid w:val="00D95DC3"/>
    <w:rsid w:val="00D96A46"/>
    <w:rsid w:val="00D96A67"/>
    <w:rsid w:val="00DA0E33"/>
    <w:rsid w:val="00DA12D5"/>
    <w:rsid w:val="00DA30E1"/>
    <w:rsid w:val="00DA3326"/>
    <w:rsid w:val="00DA3644"/>
    <w:rsid w:val="00DA3FCB"/>
    <w:rsid w:val="00DA630F"/>
    <w:rsid w:val="00DA6A38"/>
    <w:rsid w:val="00DA6B30"/>
    <w:rsid w:val="00DA7040"/>
    <w:rsid w:val="00DB07B5"/>
    <w:rsid w:val="00DB07F9"/>
    <w:rsid w:val="00DB21D1"/>
    <w:rsid w:val="00DB3CAF"/>
    <w:rsid w:val="00DB4966"/>
    <w:rsid w:val="00DB656E"/>
    <w:rsid w:val="00DB72B1"/>
    <w:rsid w:val="00DC1386"/>
    <w:rsid w:val="00DC23CC"/>
    <w:rsid w:val="00DC3206"/>
    <w:rsid w:val="00DC33EC"/>
    <w:rsid w:val="00DC4159"/>
    <w:rsid w:val="00DC58E5"/>
    <w:rsid w:val="00DC6DF2"/>
    <w:rsid w:val="00DC7A46"/>
    <w:rsid w:val="00DC7B69"/>
    <w:rsid w:val="00DD0F54"/>
    <w:rsid w:val="00DD27CD"/>
    <w:rsid w:val="00DD4F7A"/>
    <w:rsid w:val="00DD5050"/>
    <w:rsid w:val="00DD5306"/>
    <w:rsid w:val="00DD5903"/>
    <w:rsid w:val="00DD5E1E"/>
    <w:rsid w:val="00DD7758"/>
    <w:rsid w:val="00DE1828"/>
    <w:rsid w:val="00DE229B"/>
    <w:rsid w:val="00DE3582"/>
    <w:rsid w:val="00DE3A2B"/>
    <w:rsid w:val="00DE4A81"/>
    <w:rsid w:val="00DE7184"/>
    <w:rsid w:val="00DE7AB8"/>
    <w:rsid w:val="00DF23AF"/>
    <w:rsid w:val="00DF3188"/>
    <w:rsid w:val="00DF53D3"/>
    <w:rsid w:val="00DF5529"/>
    <w:rsid w:val="00DF58B1"/>
    <w:rsid w:val="00DF6DE8"/>
    <w:rsid w:val="00DF6FB0"/>
    <w:rsid w:val="00DF76B3"/>
    <w:rsid w:val="00DF76F2"/>
    <w:rsid w:val="00E00083"/>
    <w:rsid w:val="00E009E2"/>
    <w:rsid w:val="00E01DE7"/>
    <w:rsid w:val="00E02488"/>
    <w:rsid w:val="00E0411F"/>
    <w:rsid w:val="00E0494E"/>
    <w:rsid w:val="00E0560C"/>
    <w:rsid w:val="00E0572E"/>
    <w:rsid w:val="00E10005"/>
    <w:rsid w:val="00E104DC"/>
    <w:rsid w:val="00E1238E"/>
    <w:rsid w:val="00E124B9"/>
    <w:rsid w:val="00E12AFE"/>
    <w:rsid w:val="00E13F21"/>
    <w:rsid w:val="00E1612B"/>
    <w:rsid w:val="00E17515"/>
    <w:rsid w:val="00E20591"/>
    <w:rsid w:val="00E22766"/>
    <w:rsid w:val="00E2572E"/>
    <w:rsid w:val="00E2692D"/>
    <w:rsid w:val="00E271C2"/>
    <w:rsid w:val="00E27AC2"/>
    <w:rsid w:val="00E30031"/>
    <w:rsid w:val="00E321B0"/>
    <w:rsid w:val="00E329A6"/>
    <w:rsid w:val="00E33928"/>
    <w:rsid w:val="00E345CE"/>
    <w:rsid w:val="00E34CB5"/>
    <w:rsid w:val="00E3604E"/>
    <w:rsid w:val="00E36419"/>
    <w:rsid w:val="00E36607"/>
    <w:rsid w:val="00E36C16"/>
    <w:rsid w:val="00E37789"/>
    <w:rsid w:val="00E37E61"/>
    <w:rsid w:val="00E407F9"/>
    <w:rsid w:val="00E42265"/>
    <w:rsid w:val="00E43366"/>
    <w:rsid w:val="00E45D83"/>
    <w:rsid w:val="00E45DAA"/>
    <w:rsid w:val="00E46560"/>
    <w:rsid w:val="00E4692F"/>
    <w:rsid w:val="00E47307"/>
    <w:rsid w:val="00E47601"/>
    <w:rsid w:val="00E50456"/>
    <w:rsid w:val="00E50DB1"/>
    <w:rsid w:val="00E51053"/>
    <w:rsid w:val="00E5195C"/>
    <w:rsid w:val="00E51A6B"/>
    <w:rsid w:val="00E51A9F"/>
    <w:rsid w:val="00E51D3B"/>
    <w:rsid w:val="00E52A7B"/>
    <w:rsid w:val="00E52CA8"/>
    <w:rsid w:val="00E550CE"/>
    <w:rsid w:val="00E56BD5"/>
    <w:rsid w:val="00E60B86"/>
    <w:rsid w:val="00E615F9"/>
    <w:rsid w:val="00E62C43"/>
    <w:rsid w:val="00E62E45"/>
    <w:rsid w:val="00E62F7D"/>
    <w:rsid w:val="00E63766"/>
    <w:rsid w:val="00E63E29"/>
    <w:rsid w:val="00E700B8"/>
    <w:rsid w:val="00E702B9"/>
    <w:rsid w:val="00E70588"/>
    <w:rsid w:val="00E71C3C"/>
    <w:rsid w:val="00E75FA1"/>
    <w:rsid w:val="00E76419"/>
    <w:rsid w:val="00E77787"/>
    <w:rsid w:val="00E77CD7"/>
    <w:rsid w:val="00E81954"/>
    <w:rsid w:val="00E82017"/>
    <w:rsid w:val="00E82792"/>
    <w:rsid w:val="00E83B6B"/>
    <w:rsid w:val="00E844D7"/>
    <w:rsid w:val="00E84579"/>
    <w:rsid w:val="00E86349"/>
    <w:rsid w:val="00E9268F"/>
    <w:rsid w:val="00E92E9D"/>
    <w:rsid w:val="00E93B3C"/>
    <w:rsid w:val="00E94F24"/>
    <w:rsid w:val="00E96A7F"/>
    <w:rsid w:val="00EA031A"/>
    <w:rsid w:val="00EA0CE9"/>
    <w:rsid w:val="00EA1A40"/>
    <w:rsid w:val="00EA20D7"/>
    <w:rsid w:val="00EA2421"/>
    <w:rsid w:val="00EA330D"/>
    <w:rsid w:val="00EA33F7"/>
    <w:rsid w:val="00EA5190"/>
    <w:rsid w:val="00EA566E"/>
    <w:rsid w:val="00EA5F4C"/>
    <w:rsid w:val="00EA6109"/>
    <w:rsid w:val="00EA7FA9"/>
    <w:rsid w:val="00EB2688"/>
    <w:rsid w:val="00EB480E"/>
    <w:rsid w:val="00EB4E6A"/>
    <w:rsid w:val="00EB6181"/>
    <w:rsid w:val="00EB664F"/>
    <w:rsid w:val="00EB7E37"/>
    <w:rsid w:val="00EC0A45"/>
    <w:rsid w:val="00EC12E8"/>
    <w:rsid w:val="00EC1357"/>
    <w:rsid w:val="00EC1F07"/>
    <w:rsid w:val="00EC5ACF"/>
    <w:rsid w:val="00ED0183"/>
    <w:rsid w:val="00ED1C54"/>
    <w:rsid w:val="00ED22A8"/>
    <w:rsid w:val="00ED2479"/>
    <w:rsid w:val="00ED4EB4"/>
    <w:rsid w:val="00ED5498"/>
    <w:rsid w:val="00ED58C8"/>
    <w:rsid w:val="00ED5D09"/>
    <w:rsid w:val="00ED5EAE"/>
    <w:rsid w:val="00ED6BDF"/>
    <w:rsid w:val="00ED7107"/>
    <w:rsid w:val="00EE0BFC"/>
    <w:rsid w:val="00EE2221"/>
    <w:rsid w:val="00EE276F"/>
    <w:rsid w:val="00EE2982"/>
    <w:rsid w:val="00EE5AE3"/>
    <w:rsid w:val="00EE634F"/>
    <w:rsid w:val="00EE783D"/>
    <w:rsid w:val="00EF0A7D"/>
    <w:rsid w:val="00EF369D"/>
    <w:rsid w:val="00EF38A7"/>
    <w:rsid w:val="00EF6A39"/>
    <w:rsid w:val="00F00127"/>
    <w:rsid w:val="00F00B38"/>
    <w:rsid w:val="00F0376E"/>
    <w:rsid w:val="00F044B3"/>
    <w:rsid w:val="00F04540"/>
    <w:rsid w:val="00F04917"/>
    <w:rsid w:val="00F053E9"/>
    <w:rsid w:val="00F05E83"/>
    <w:rsid w:val="00F0698E"/>
    <w:rsid w:val="00F07DC4"/>
    <w:rsid w:val="00F07E05"/>
    <w:rsid w:val="00F10842"/>
    <w:rsid w:val="00F11CF7"/>
    <w:rsid w:val="00F13C42"/>
    <w:rsid w:val="00F1513E"/>
    <w:rsid w:val="00F1536C"/>
    <w:rsid w:val="00F161F7"/>
    <w:rsid w:val="00F164D0"/>
    <w:rsid w:val="00F202F5"/>
    <w:rsid w:val="00F206E8"/>
    <w:rsid w:val="00F208E8"/>
    <w:rsid w:val="00F21755"/>
    <w:rsid w:val="00F21F2E"/>
    <w:rsid w:val="00F23947"/>
    <w:rsid w:val="00F23B61"/>
    <w:rsid w:val="00F276F1"/>
    <w:rsid w:val="00F32071"/>
    <w:rsid w:val="00F32680"/>
    <w:rsid w:val="00F33A66"/>
    <w:rsid w:val="00F34368"/>
    <w:rsid w:val="00F34E5A"/>
    <w:rsid w:val="00F35452"/>
    <w:rsid w:val="00F41DC3"/>
    <w:rsid w:val="00F45532"/>
    <w:rsid w:val="00F45840"/>
    <w:rsid w:val="00F45ED2"/>
    <w:rsid w:val="00F46A29"/>
    <w:rsid w:val="00F46C71"/>
    <w:rsid w:val="00F505B5"/>
    <w:rsid w:val="00F50EB6"/>
    <w:rsid w:val="00F53C4F"/>
    <w:rsid w:val="00F56905"/>
    <w:rsid w:val="00F5693E"/>
    <w:rsid w:val="00F56A51"/>
    <w:rsid w:val="00F57D0C"/>
    <w:rsid w:val="00F610AF"/>
    <w:rsid w:val="00F61899"/>
    <w:rsid w:val="00F63A4E"/>
    <w:rsid w:val="00F650A0"/>
    <w:rsid w:val="00F66CD4"/>
    <w:rsid w:val="00F66E01"/>
    <w:rsid w:val="00F70C35"/>
    <w:rsid w:val="00F7129A"/>
    <w:rsid w:val="00F7180D"/>
    <w:rsid w:val="00F727A7"/>
    <w:rsid w:val="00F729D7"/>
    <w:rsid w:val="00F75572"/>
    <w:rsid w:val="00F7660E"/>
    <w:rsid w:val="00F774CD"/>
    <w:rsid w:val="00F80A5B"/>
    <w:rsid w:val="00F80F59"/>
    <w:rsid w:val="00F8256B"/>
    <w:rsid w:val="00F82E69"/>
    <w:rsid w:val="00F8414D"/>
    <w:rsid w:val="00F84181"/>
    <w:rsid w:val="00F849B4"/>
    <w:rsid w:val="00F84C5D"/>
    <w:rsid w:val="00F86271"/>
    <w:rsid w:val="00F87176"/>
    <w:rsid w:val="00F87303"/>
    <w:rsid w:val="00F91287"/>
    <w:rsid w:val="00F917FA"/>
    <w:rsid w:val="00F91B28"/>
    <w:rsid w:val="00F91DA0"/>
    <w:rsid w:val="00F9306F"/>
    <w:rsid w:val="00F94B4E"/>
    <w:rsid w:val="00F94FD2"/>
    <w:rsid w:val="00F978B7"/>
    <w:rsid w:val="00FA2FCD"/>
    <w:rsid w:val="00FA37CE"/>
    <w:rsid w:val="00FA3FA8"/>
    <w:rsid w:val="00FA4718"/>
    <w:rsid w:val="00FA6E64"/>
    <w:rsid w:val="00FB1B3D"/>
    <w:rsid w:val="00FB1DCD"/>
    <w:rsid w:val="00FB2F0E"/>
    <w:rsid w:val="00FB31CC"/>
    <w:rsid w:val="00FC05EE"/>
    <w:rsid w:val="00FC2EC6"/>
    <w:rsid w:val="00FC339A"/>
    <w:rsid w:val="00FC36E0"/>
    <w:rsid w:val="00FC546F"/>
    <w:rsid w:val="00FC601F"/>
    <w:rsid w:val="00FC6F5E"/>
    <w:rsid w:val="00FC711A"/>
    <w:rsid w:val="00FC7D31"/>
    <w:rsid w:val="00FD13AC"/>
    <w:rsid w:val="00FD2D28"/>
    <w:rsid w:val="00FD5D71"/>
    <w:rsid w:val="00FD6BFE"/>
    <w:rsid w:val="00FE3408"/>
    <w:rsid w:val="00FE3FF3"/>
    <w:rsid w:val="00FE4B04"/>
    <w:rsid w:val="00FE518A"/>
    <w:rsid w:val="00FE6D8B"/>
    <w:rsid w:val="00FF18E6"/>
    <w:rsid w:val="00FF39EF"/>
    <w:rsid w:val="00FF459F"/>
    <w:rsid w:val="00FF4D4F"/>
    <w:rsid w:val="1A113708"/>
    <w:rsid w:val="3955267F"/>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EB122"/>
  <w15:docId w15:val="{328E989D-7AC3-4719-B2D5-54FB2D1E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Document Map"/>
    <w:basedOn w:val="a"/>
    <w:link w:val="a5"/>
    <w:uiPriority w:val="99"/>
    <w:unhideWhenUsed/>
    <w:qFormat/>
    <w:rPr>
      <w:rFonts w:ascii="宋体"/>
      <w:sz w:val="18"/>
      <w:szCs w:val="18"/>
    </w:rPr>
  </w:style>
  <w:style w:type="paragraph" w:styleId="a6">
    <w:name w:val="annotation text"/>
    <w:basedOn w:val="a"/>
    <w:link w:val="a7"/>
    <w:unhideWhenUsed/>
    <w:qFormat/>
    <w:pPr>
      <w:jc w:val="left"/>
    </w:pPr>
  </w:style>
  <w:style w:type="paragraph" w:styleId="a8">
    <w:name w:val="Balloon Text"/>
    <w:basedOn w:val="a"/>
    <w:semiHidden/>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kern w:val="0"/>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unhideWhenUsed/>
    <w:qFormat/>
  </w:style>
  <w:style w:type="paragraph" w:styleId="ad">
    <w:name w:val="Subtitle"/>
    <w:basedOn w:val="a"/>
    <w:next w:val="a"/>
    <w:link w:val="ae"/>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qFormat/>
    <w:pPr>
      <w:ind w:leftChars="200" w:left="480"/>
    </w:p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af1"/>
    <w:uiPriority w:val="99"/>
    <w:unhideWhenUsed/>
    <w:qFormat/>
    <w:rPr>
      <w:b/>
      <w:bCs/>
    </w:rPr>
  </w:style>
  <w:style w:type="table" w:styleId="af2">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af3">
    <w:name w:val="Hyperlink"/>
    <w:uiPriority w:val="99"/>
    <w:unhideWhenUsed/>
    <w:rPr>
      <w:color w:val="0000FF"/>
      <w:u w:val="single"/>
    </w:rPr>
  </w:style>
  <w:style w:type="character" w:styleId="af4">
    <w:name w:val="annotation reference"/>
    <w:unhideWhenUsed/>
    <w:qFormat/>
    <w:rPr>
      <w:sz w:val="21"/>
      <w:szCs w:val="21"/>
    </w:rPr>
  </w:style>
  <w:style w:type="paragraph" w:customStyle="1" w:styleId="Style19">
    <w:name w:val="_Style 19"/>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d"/>
    <w:next w:val="4"/>
    <w:qFormat/>
    <w:pPr>
      <w:keepNext/>
      <w:keepLines/>
      <w:numPr>
        <w:ilvl w:val="5"/>
        <w:numId w:val="1"/>
      </w:numPr>
      <w:ind w:left="0" w:firstLine="0"/>
      <w:jc w:val="left"/>
    </w:pPr>
    <w:rPr>
      <w:bCs w:val="0"/>
      <w:sz w:val="24"/>
    </w:rPr>
  </w:style>
  <w:style w:type="paragraph" w:customStyle="1" w:styleId="Style21">
    <w:name w:val="_Style 21"/>
    <w:uiPriority w:val="99"/>
    <w:semiHidden/>
    <w:qFormat/>
    <w:rPr>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d"/>
    <w:next w:val="4"/>
    <w:qFormat/>
    <w:pPr>
      <w:keepNext/>
      <w:keepLines/>
      <w:numPr>
        <w:ilvl w:val="1"/>
        <w:numId w:val="1"/>
      </w:numPr>
      <w:jc w:val="left"/>
    </w:pPr>
    <w:rPr>
      <w:bCs w:val="0"/>
      <w:sz w:val="24"/>
    </w:rPr>
  </w:style>
  <w:style w:type="paragraph" w:customStyle="1" w:styleId="XBRLTitle3">
    <w:name w:val="XBRLTitle3"/>
    <w:basedOn w:val="ad"/>
    <w:next w:val="4"/>
    <w:qFormat/>
    <w:pPr>
      <w:keepNext/>
      <w:keepLines/>
      <w:numPr>
        <w:ilvl w:val="2"/>
        <w:numId w:val="1"/>
      </w:numPr>
      <w:ind w:left="0" w:firstLine="0"/>
      <w:jc w:val="left"/>
    </w:pPr>
    <w:rPr>
      <w:bCs w:val="0"/>
      <w:sz w:val="24"/>
    </w:rPr>
  </w:style>
  <w:style w:type="paragraph" w:customStyle="1" w:styleId="XBRLTitle5">
    <w:name w:val="XBRLTitle5"/>
    <w:basedOn w:val="ad"/>
    <w:next w:val="4"/>
    <w:qFormat/>
    <w:pPr>
      <w:keepNext/>
      <w:keepLines/>
      <w:numPr>
        <w:ilvl w:val="4"/>
        <w:numId w:val="1"/>
      </w:numPr>
      <w:ind w:left="0" w:firstLine="0"/>
      <w:jc w:val="left"/>
    </w:pPr>
    <w:rPr>
      <w:bCs w:val="0"/>
      <w:sz w:val="24"/>
    </w:rPr>
  </w:style>
  <w:style w:type="paragraph" w:customStyle="1" w:styleId="XBRLTitle4">
    <w:name w:val="XBRLTitle4"/>
    <w:basedOn w:val="ad"/>
    <w:next w:val="4"/>
    <w:qFormat/>
    <w:pPr>
      <w:keepNext/>
      <w:keepLines/>
      <w:numPr>
        <w:ilvl w:val="3"/>
        <w:numId w:val="1"/>
      </w:numPr>
      <w:ind w:left="0" w:firstLine="0"/>
      <w:jc w:val="left"/>
    </w:pPr>
    <w:rPr>
      <w:bCs w:val="0"/>
      <w:sz w:val="24"/>
    </w:rPr>
  </w:style>
  <w:style w:type="character" w:customStyle="1" w:styleId="Char1">
    <w:name w:val="副标题 Char1"/>
    <w:qFormat/>
    <w:rPr>
      <w:rFonts w:ascii="Cambria" w:hAnsi="Cambria"/>
      <w:b/>
      <w:kern w:val="28"/>
      <w:sz w:val="24"/>
      <w:szCs w:val="32"/>
    </w:rPr>
  </w:style>
  <w:style w:type="character" w:customStyle="1" w:styleId="txtcontent11">
    <w:name w:val="txtcontent11"/>
    <w:qFormat/>
    <w:rPr>
      <w:rFonts w:ascii="ˎ̥" w:hAnsi="ˎ̥" w:hint="default"/>
      <w:color w:val="000000"/>
      <w:sz w:val="21"/>
      <w:szCs w:val="21"/>
    </w:rPr>
  </w:style>
  <w:style w:type="character" w:customStyle="1" w:styleId="a7">
    <w:name w:val="批注文字 字符"/>
    <w:link w:val="a6"/>
    <w:qFormat/>
    <w:rPr>
      <w:kern w:val="2"/>
      <w:sz w:val="21"/>
      <w:szCs w:val="22"/>
    </w:rPr>
  </w:style>
  <w:style w:type="character" w:customStyle="1" w:styleId="af1">
    <w:name w:val="批注主题 字符"/>
    <w:link w:val="af0"/>
    <w:uiPriority w:val="99"/>
    <w:semiHidden/>
    <w:rPr>
      <w:b/>
      <w:bCs/>
      <w:kern w:val="2"/>
      <w:sz w:val="21"/>
      <w:szCs w:val="22"/>
    </w:rPr>
  </w:style>
  <w:style w:type="character" w:customStyle="1" w:styleId="ac">
    <w:name w:val="页眉 字符"/>
    <w:link w:val="ab"/>
    <w:uiPriority w:val="99"/>
    <w:qFormat/>
    <w:rPr>
      <w:sz w:val="18"/>
      <w:szCs w:val="18"/>
    </w:rPr>
  </w:style>
  <w:style w:type="character" w:customStyle="1" w:styleId="ae">
    <w:name w:val="副标题 字符"/>
    <w:link w:val="ad"/>
    <w:qFormat/>
    <w:rPr>
      <w:rFonts w:ascii="Cambria" w:hAnsi="Cambria" w:cs="Times New Roman"/>
      <w:b/>
      <w:bCs/>
      <w:kern w:val="28"/>
      <w:sz w:val="32"/>
      <w:szCs w:val="32"/>
    </w:rPr>
  </w:style>
  <w:style w:type="character" w:customStyle="1" w:styleId="a5">
    <w:name w:val="文档结构图 字符"/>
    <w:link w:val="a4"/>
    <w:uiPriority w:val="99"/>
    <w:semiHidden/>
    <w:qFormat/>
    <w:rPr>
      <w:rFonts w:ascii="宋体"/>
      <w:kern w:val="2"/>
      <w:sz w:val="18"/>
      <w:szCs w:val="18"/>
    </w:rPr>
  </w:style>
  <w:style w:type="character" w:customStyle="1" w:styleId="aa">
    <w:name w:val="页脚 字符"/>
    <w:link w:val="a9"/>
    <w:uiPriority w:val="99"/>
    <w:qFormat/>
    <w:rPr>
      <w:sz w:val="18"/>
      <w:szCs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qFormat/>
    <w:rPr>
      <w:b/>
      <w:bCs/>
      <w:kern w:val="44"/>
      <w:sz w:val="28"/>
      <w:szCs w:val="44"/>
    </w:rPr>
  </w:style>
  <w:style w:type="character" w:customStyle="1" w:styleId="Char">
    <w:name w:val="批注文字 Char"/>
    <w:qFormat/>
    <w:rPr>
      <w:kern w:val="2"/>
      <w:sz w:val="21"/>
    </w:rPr>
  </w:style>
  <w:style w:type="paragraph" w:customStyle="1" w:styleId="12">
    <w:name w:val="修订1"/>
    <w:hidden/>
    <w:uiPriority w:val="99"/>
    <w:semiHidden/>
    <w:qFormat/>
    <w:rPr>
      <w:kern w:val="2"/>
      <w:sz w:val="21"/>
      <w:szCs w:val="22"/>
    </w:rPr>
  </w:style>
  <w:style w:type="character" w:customStyle="1" w:styleId="13">
    <w:name w:val="批注文字 字符1"/>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24DB96-D18B-42A2-A9CC-8A749BA6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12793</Words>
  <Characters>72922</Characters>
  <Application>Microsoft Office Word</Application>
  <DocSecurity>0</DocSecurity>
  <Lines>607</Lines>
  <Paragraphs>171</Paragraphs>
  <ScaleCrop>false</ScaleCrop>
  <Company>Microsoft</Company>
  <LinksUpToDate>false</LinksUpToDate>
  <CharactersWithSpaces>85544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张婧</cp:lastModifiedBy>
  <cp:revision>3</cp:revision>
  <cp:lastPrinted>2025-04-22T02:16:00Z</cp:lastPrinted>
  <dcterms:created xsi:type="dcterms:W3CDTF">2025-08-13T05:59:00Z</dcterms:created>
  <dcterms:modified xsi:type="dcterms:W3CDTF">2025-08-13T06:00:00Z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7E64305BD3FD4780B7A48969A0B8EF3D</vt:lpwstr>
  </property>
</Properties>
</file>