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交银施罗德稳安30天滚动持有债券型证券投资基金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招募说明书(更新)</w:t>
      </w:r>
    </w:p>
    <w:p>
      <w:pPr>
        <w:snapToGrid w:val="0"/>
        <w:spacing w:line="360" w:lineRule="auto"/>
        <w:jc w:val="center"/>
        <w:rPr>
          <w:rFonts w:ascii="宋体" w:hAnsi="宋体"/>
          <w:b/>
          <w:sz w:val="30"/>
          <w:szCs w:val="30"/>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基金托管人：招商银行股份有限公司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lang w:val="en-US" w:eastAsia="zh-CN"/>
        </w:rPr>
        <w:t>五</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324920538"/>
      <w:bookmarkStart w:id="1" w:name="_Toc496884613"/>
      <w:bookmarkStart w:id="2" w:name="_Toc183509509"/>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交银施罗德稳安30天滚动持有债券型证券投资基金（以下简称“本基金”）经2022年8月18日中国证券监督管理委员会（以下简称“中国证监会”）证监许可【2022】1914号文准予募集注册。本基金基金合同于2022年11月24日正式生效。</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hint="eastAsia"/>
          <w:kern w:val="0"/>
          <w:sz w:val="24"/>
        </w:rPr>
        <w:t>本基金经</w:t>
      </w:r>
      <w:r>
        <w:rPr>
          <w:rFonts w:ascii="Times New Roman" w:hAnsi="Times New Roman"/>
          <w:kern w:val="0"/>
          <w:sz w:val="24"/>
        </w:rPr>
        <w:t>2024年11月25日中国证监会证监许可【2024】1695号文</w:t>
      </w:r>
      <w:r>
        <w:rPr>
          <w:rFonts w:hint="eastAsia" w:ascii="Times New Roman" w:hAnsi="Times New Roman"/>
          <w:kern w:val="0"/>
          <w:sz w:val="24"/>
        </w:rPr>
        <w:t>准予变更注册</w:t>
      </w:r>
      <w:r>
        <w:rPr>
          <w:rFonts w:ascii="Times New Roman" w:hAnsi="Times New Roman"/>
          <w:kern w:val="0"/>
          <w:sz w:val="24"/>
        </w:rPr>
        <w:t>。交银施罗德稳安30天滚动持有债券型证券投资基金</w:t>
      </w:r>
      <w:r>
        <w:rPr>
          <w:rFonts w:hint="eastAsia" w:ascii="Times New Roman" w:hAnsi="Times New Roman"/>
          <w:kern w:val="0"/>
          <w:sz w:val="24"/>
        </w:rPr>
        <w:t>以通讯方式召开基金份额持有人大会，大会于</w:t>
      </w:r>
      <w:r>
        <w:rPr>
          <w:rFonts w:ascii="Times New Roman" w:hAnsi="Times New Roman"/>
          <w:kern w:val="0"/>
          <w:sz w:val="24"/>
        </w:rPr>
        <w:t>2025</w:t>
      </w:r>
      <w:r>
        <w:rPr>
          <w:rFonts w:hint="eastAsia" w:ascii="Times New Roman" w:hAnsi="Times New Roman"/>
          <w:kern w:val="0"/>
          <w:sz w:val="24"/>
        </w:rPr>
        <w:t>年</w:t>
      </w:r>
      <w:r>
        <w:rPr>
          <w:rFonts w:ascii="Times New Roman" w:hAnsi="Times New Roman"/>
          <w:kern w:val="0"/>
          <w:sz w:val="24"/>
        </w:rPr>
        <w:t>1月14日</w:t>
      </w:r>
      <w:r>
        <w:rPr>
          <w:rFonts w:hint="eastAsia" w:ascii="Times New Roman" w:hAnsi="Times New Roman"/>
          <w:kern w:val="0"/>
          <w:sz w:val="24"/>
        </w:rPr>
        <w:t>表决通过了《关于</w:t>
      </w:r>
      <w:r>
        <w:rPr>
          <w:rFonts w:ascii="Times New Roman" w:hAnsi="Times New Roman"/>
          <w:kern w:val="0"/>
          <w:sz w:val="24"/>
        </w:rPr>
        <w:t>交银施罗德稳安30天滚动持有债券型证券投资基金</w:t>
      </w:r>
      <w:r>
        <w:rPr>
          <w:rFonts w:hint="eastAsia" w:ascii="Times New Roman" w:hAnsi="Times New Roman"/>
          <w:kern w:val="0"/>
          <w:sz w:val="24"/>
        </w:rPr>
        <w:t>调整投资范围及修改基金合同有关事项的议案》，同意在</w:t>
      </w:r>
      <w:r>
        <w:rPr>
          <w:rFonts w:ascii="Times New Roman" w:hAnsi="Times New Roman"/>
          <w:kern w:val="0"/>
          <w:sz w:val="24"/>
        </w:rPr>
        <w:t>交银施罗德稳安30天滚动持有债券型证券投资基金</w:t>
      </w:r>
      <w:r>
        <w:rPr>
          <w:rFonts w:hint="eastAsia" w:ascii="Times New Roman" w:hAnsi="Times New Roman"/>
          <w:kern w:val="0"/>
          <w:sz w:val="24"/>
        </w:rPr>
        <w:t>投资范围中增加国债期货，相应调整投资策略、投资比例限制、估值方法等内容，并修改基金合同中根据上述调整需要同步进行修订的其他部分条款，上述基金份额持有人大会决议事项自表决通过之日起生效。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自2</w:t>
      </w:r>
      <w:r>
        <w:rPr>
          <w:rFonts w:ascii="Times New Roman" w:hAnsi="Times New Roman"/>
          <w:kern w:val="0"/>
          <w:sz w:val="24"/>
        </w:rPr>
        <w:t>025</w:t>
      </w:r>
      <w:r>
        <w:rPr>
          <w:rFonts w:hint="eastAsia" w:ascii="Times New Roman" w:hAnsi="Times New Roman"/>
          <w:kern w:val="0"/>
          <w:sz w:val="24"/>
        </w:rPr>
        <w:t>年</w:t>
      </w:r>
      <w:r>
        <w:rPr>
          <w:rFonts w:ascii="Times New Roman" w:hAnsi="Times New Roman"/>
          <w:kern w:val="0"/>
          <w:sz w:val="24"/>
        </w:rPr>
        <w:t>1</w:t>
      </w:r>
      <w:r>
        <w:rPr>
          <w:rFonts w:hint="eastAsia" w:ascii="Times New Roman" w:hAnsi="Times New Roman"/>
          <w:kern w:val="0"/>
          <w:sz w:val="24"/>
        </w:rPr>
        <w:t>月</w:t>
      </w:r>
      <w:r>
        <w:rPr>
          <w:rFonts w:ascii="Times New Roman" w:hAnsi="Times New Roman"/>
          <w:kern w:val="0"/>
          <w:sz w:val="24"/>
        </w:rPr>
        <w:t>15</w:t>
      </w:r>
      <w:r>
        <w:rPr>
          <w:rFonts w:hint="eastAsia" w:ascii="Times New Roman" w:hAnsi="Times New Roman"/>
          <w:kern w:val="0"/>
          <w:sz w:val="24"/>
        </w:rPr>
        <w:t>日起，根据《关于</w:t>
      </w:r>
      <w:r>
        <w:rPr>
          <w:rFonts w:ascii="Times New Roman" w:hAnsi="Times New Roman"/>
          <w:kern w:val="0"/>
          <w:sz w:val="24"/>
        </w:rPr>
        <w:t>交银施罗德稳安30天滚动持有债券型证券投资基金</w:t>
      </w:r>
      <w:r>
        <w:rPr>
          <w:rFonts w:hint="eastAsia" w:ascii="Times New Roman" w:hAnsi="Times New Roman"/>
          <w:kern w:val="0"/>
          <w:sz w:val="24"/>
        </w:rPr>
        <w:t>调整投资范围及修改基金合同有关事项的议案》修订的《交银施罗德稳安3</w:t>
      </w:r>
      <w:r>
        <w:rPr>
          <w:rFonts w:ascii="Times New Roman" w:hAnsi="Times New Roman"/>
          <w:kern w:val="0"/>
          <w:sz w:val="24"/>
        </w:rPr>
        <w:t>0</w:t>
      </w:r>
      <w:r>
        <w:rPr>
          <w:rFonts w:hint="eastAsia" w:ascii="Times New Roman" w:hAnsi="Times New Roman"/>
          <w:kern w:val="0"/>
          <w:sz w:val="24"/>
        </w:rPr>
        <w:t>天滚动持有债券型证券投资基金基金合同》生效。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运作过程中产生的基金管理风险；流动性风险（包括实施侧袋机制时的特定风险）；交易对手违约风险；本基金的特有风险；</w:t>
      </w:r>
      <w:r>
        <w:rPr>
          <w:rFonts w:hint="eastAsia" w:ascii="宋体" w:hAnsi="宋体"/>
          <w:sz w:val="24"/>
        </w:rPr>
        <w:t>投资国债期货的特定风险；</w:t>
      </w:r>
      <w:r>
        <w:rPr>
          <w:rFonts w:ascii="Times New Roman" w:hAnsi="Times New Roman"/>
          <w:kern w:val="0"/>
          <w:sz w:val="24"/>
        </w:rPr>
        <w:t>投资资产支持证券的特定风险；连续50个工作日出现基金份额持有人数量不满200人或基金资产净值低于5000万元情形时基金合同终止的风险；投资本基金的其他风险等等。</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本基金可投资国债期货，国债期货的投资可能面临市场风险、基差风险、流动性风险。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本基金是一只债券型基金，其预期风险与预期收益理论上高于货币市场基金，低于混合型基金和股票型基金。</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本基金单一投资者持有基金份额数不得超过基金份额总数的50%，但在基金运作过程中因基金份额赎回等情形导致被动超过前述50%比例的除外。</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次更新招募说明书主要对基金经理变更相关事项进行了相应更新，更新截止日为2025年05月30日，对基金合同变更相关事项进行的更新，更新截止日为2025年01月15日，除非另有说明，本招募说明书其他所载内容截止日为2024年09月10日，有关财务数据和净值表现截止日为2024年06月30日。本招募说明书所载的财务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6"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"_Toc183509509"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_Toc183509509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"_Toc183509510"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_Toc183509510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"_Toc183509511"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_Toc183509511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"_Toc183509512"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_Toc183509512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"_Toc183509513"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_Toc183509513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"_Toc183509514"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_Toc183509514 \h </w:instrText>
      </w:r>
      <w:r>
        <w:rPr>
          <w:rFonts w:ascii="宋体" w:hAnsi="宋体"/>
          <w:sz w:val="24"/>
        </w:rPr>
        <w:fldChar w:fldCharType="separate"/>
      </w:r>
      <w:r>
        <w:rPr>
          <w:rFonts w:ascii="宋体" w:hAnsi="宋体"/>
          <w:sz w:val="24"/>
        </w:rPr>
        <w:t>26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"_Toc183509515"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_Toc183509515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"_Toc183509516"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_Toc183509516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"_Toc183509517" </w:instrText>
      </w:r>
      <w:r>
        <w:fldChar w:fldCharType="separate"/>
      </w:r>
      <w:r>
        <w:rPr>
          <w:rStyle w:val="18"/>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_Toc183509517 \h </w:instrText>
      </w:r>
      <w:r>
        <w:rPr>
          <w:rFonts w:ascii="宋体" w:hAnsi="宋体"/>
          <w:sz w:val="24"/>
        </w:rPr>
        <w:fldChar w:fldCharType="separate"/>
      </w:r>
      <w:r>
        <w:rPr>
          <w:rFonts w:ascii="宋体" w:hAnsi="宋体"/>
          <w:sz w:val="24"/>
        </w:rPr>
        <w:t>37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"_Toc183509518" </w:instrText>
      </w:r>
      <w:r>
        <w:fldChar w:fldCharType="separate"/>
      </w:r>
      <w:r>
        <w:rPr>
          <w:rStyle w:val="18"/>
          <w:rFonts w:hint="eastAsia" w:ascii="宋体" w:hAnsi="宋体"/>
          <w:sz w:val="24"/>
        </w:rPr>
        <w:t>九、基金的投资</w:t>
      </w:r>
      <w:r>
        <w:rPr>
          <w:rFonts w:ascii="宋体" w:hAnsi="宋体"/>
          <w:sz w:val="24"/>
        </w:rPr>
        <w:tab/>
      </w:r>
      <w:r>
        <w:rPr>
          <w:rFonts w:ascii="宋体" w:hAnsi="宋体"/>
          <w:sz w:val="24"/>
        </w:rPr>
        <w:fldChar w:fldCharType="begin"/>
      </w:r>
      <w:r>
        <w:rPr>
          <w:rFonts w:ascii="宋体" w:hAnsi="宋体"/>
          <w:sz w:val="24"/>
        </w:rPr>
        <w:instrText xml:space="preserve"> PAGEREF _Toc183509518 \h </w:instrText>
      </w:r>
      <w:r>
        <w:rPr>
          <w:rFonts w:ascii="宋体" w:hAnsi="宋体"/>
          <w:sz w:val="24"/>
        </w:rPr>
        <w:fldChar w:fldCharType="separate"/>
      </w:r>
      <w:r>
        <w:rPr>
          <w:rFonts w:ascii="宋体" w:hAnsi="宋体"/>
          <w:sz w:val="24"/>
        </w:rPr>
        <w:t>50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"_Toc183509519" </w:instrText>
      </w:r>
      <w:r>
        <w:fldChar w:fldCharType="separate"/>
      </w:r>
      <w:r>
        <w:rPr>
          <w:rStyle w:val="18"/>
          <w:rFonts w:hint="eastAsia" w:ascii="宋体" w:hAnsi="宋体"/>
          <w:sz w:val="24"/>
        </w:rPr>
        <w:t>十、基金的业绩</w:t>
      </w:r>
      <w:r>
        <w:rPr>
          <w:rFonts w:ascii="宋体" w:hAnsi="宋体"/>
          <w:sz w:val="24"/>
        </w:rPr>
        <w:tab/>
      </w:r>
      <w:r>
        <w:rPr>
          <w:rFonts w:ascii="宋体" w:hAnsi="宋体"/>
          <w:sz w:val="24"/>
        </w:rPr>
        <w:fldChar w:fldCharType="begin"/>
      </w:r>
      <w:r>
        <w:rPr>
          <w:rFonts w:ascii="宋体" w:hAnsi="宋体"/>
          <w:sz w:val="24"/>
        </w:rPr>
        <w:instrText xml:space="preserve"> PAGEREF _Toc183509519 \h </w:instrText>
      </w:r>
      <w:r>
        <w:rPr>
          <w:rFonts w:ascii="宋体" w:hAnsi="宋体"/>
          <w:sz w:val="24"/>
        </w:rPr>
        <w:fldChar w:fldCharType="separate"/>
      </w:r>
      <w:r>
        <w:rPr>
          <w:rFonts w:ascii="宋体" w:hAnsi="宋体"/>
          <w:sz w:val="24"/>
        </w:rPr>
        <w:t>61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"_Toc183509520" </w:instrText>
      </w:r>
      <w:r>
        <w:fldChar w:fldCharType="separate"/>
      </w:r>
      <w:r>
        <w:rPr>
          <w:rStyle w:val="18"/>
          <w:rFonts w:hint="eastAsia" w:ascii="宋体" w:hAnsi="宋体"/>
          <w:sz w:val="24"/>
        </w:rPr>
        <w:t>十一、基金的财产</w:t>
      </w:r>
      <w:r>
        <w:rPr>
          <w:rFonts w:ascii="宋体" w:hAnsi="宋体"/>
          <w:sz w:val="24"/>
        </w:rPr>
        <w:tab/>
      </w:r>
      <w:r>
        <w:rPr>
          <w:rFonts w:ascii="宋体" w:hAnsi="宋体"/>
          <w:sz w:val="24"/>
        </w:rPr>
        <w:fldChar w:fldCharType="begin"/>
      </w:r>
      <w:r>
        <w:rPr>
          <w:rFonts w:ascii="宋体" w:hAnsi="宋体"/>
          <w:sz w:val="24"/>
        </w:rPr>
        <w:instrText xml:space="preserve"> PAGEREF _Toc183509520 \h </w:instrText>
      </w:r>
      <w:r>
        <w:rPr>
          <w:rFonts w:ascii="宋体" w:hAnsi="宋体"/>
          <w:sz w:val="24"/>
        </w:rPr>
        <w:fldChar w:fldCharType="separate"/>
      </w:r>
      <w:r>
        <w:rPr>
          <w:rFonts w:ascii="宋体" w:hAnsi="宋体"/>
          <w:sz w:val="24"/>
        </w:rPr>
        <w:t>64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"_Toc183509521" </w:instrText>
      </w:r>
      <w:r>
        <w:fldChar w:fldCharType="separate"/>
      </w:r>
      <w:r>
        <w:rPr>
          <w:rStyle w:val="18"/>
          <w:rFonts w:hint="eastAsia" w:ascii="宋体" w:hAnsi="宋体"/>
          <w:sz w:val="24"/>
        </w:rPr>
        <w:t>十二、基金资产的估值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_Toc183509521 \h </w:instrText>
      </w:r>
      <w:r>
        <w:rPr>
          <w:rFonts w:ascii="宋体" w:hAnsi="宋体"/>
          <w:sz w:val="24"/>
        </w:rPr>
        <w:fldChar w:fldCharType="separate"/>
      </w:r>
      <w:r>
        <w:rPr>
          <w:rFonts w:ascii="宋体" w:hAnsi="宋体"/>
          <w:sz w:val="24"/>
        </w:rPr>
        <w:t>65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"_Toc183509522" </w:instrText>
      </w:r>
      <w:r>
        <w:fldChar w:fldCharType="separate"/>
      </w:r>
      <w:r>
        <w:rPr>
          <w:rStyle w:val="18"/>
          <w:rFonts w:hint="eastAsia" w:ascii="宋体" w:hAnsi="宋体"/>
          <w:sz w:val="24"/>
        </w:rPr>
        <w:t>十三、基金收益与分配</w:t>
      </w:r>
      <w:r>
        <w:rPr>
          <w:rFonts w:ascii="宋体" w:hAnsi="宋体"/>
          <w:sz w:val="24"/>
        </w:rPr>
        <w:tab/>
      </w:r>
      <w:r>
        <w:rPr>
          <w:rFonts w:ascii="宋体" w:hAnsi="宋体"/>
          <w:sz w:val="24"/>
        </w:rPr>
        <w:fldChar w:fldCharType="begin"/>
      </w:r>
      <w:r>
        <w:rPr>
          <w:rFonts w:ascii="宋体" w:hAnsi="宋体"/>
          <w:sz w:val="24"/>
        </w:rPr>
        <w:instrText xml:space="preserve"> PAGEREF _Toc183509522 \h </w:instrText>
      </w:r>
      <w:r>
        <w:rPr>
          <w:rFonts w:ascii="宋体" w:hAnsi="宋体"/>
          <w:sz w:val="24"/>
        </w:rPr>
        <w:fldChar w:fldCharType="separate"/>
      </w:r>
      <w:r>
        <w:rPr>
          <w:rFonts w:ascii="宋体" w:hAnsi="宋体"/>
          <w:sz w:val="24"/>
        </w:rPr>
        <w:t>71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"_Toc183509523" </w:instrText>
      </w:r>
      <w:r>
        <w:fldChar w:fldCharType="separate"/>
      </w:r>
      <w:r>
        <w:rPr>
          <w:rStyle w:val="18"/>
          <w:rFonts w:hint="eastAsia" w:ascii="宋体" w:hAnsi="宋体"/>
          <w:sz w:val="24"/>
        </w:rPr>
        <w:t>十四、基金的费用与税收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_Toc183509523 \h </w:instrText>
      </w:r>
      <w:r>
        <w:rPr>
          <w:rFonts w:ascii="宋体" w:hAnsi="宋体"/>
          <w:sz w:val="24"/>
        </w:rPr>
        <w:fldChar w:fldCharType="separate"/>
      </w:r>
      <w:r>
        <w:rPr>
          <w:rFonts w:ascii="宋体" w:hAnsi="宋体"/>
          <w:sz w:val="24"/>
        </w:rPr>
        <w:t>73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"_Toc183509524" </w:instrText>
      </w:r>
      <w:r>
        <w:fldChar w:fldCharType="separate"/>
      </w:r>
      <w:r>
        <w:rPr>
          <w:rStyle w:val="18"/>
          <w:rFonts w:hint="eastAsia" w:ascii="宋体" w:hAnsi="宋体"/>
          <w:sz w:val="24"/>
        </w:rPr>
        <w:t>十五、基金的会计与审计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_Toc183509524 \h </w:instrText>
      </w:r>
      <w:r>
        <w:rPr>
          <w:rFonts w:ascii="宋体" w:hAnsi="宋体"/>
          <w:sz w:val="24"/>
        </w:rPr>
        <w:fldChar w:fldCharType="separate"/>
      </w:r>
      <w:r>
        <w:rPr>
          <w:rFonts w:ascii="宋体" w:hAnsi="宋体"/>
          <w:sz w:val="24"/>
        </w:rPr>
        <w:t>76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"_Toc183509525" </w:instrText>
      </w:r>
      <w:r>
        <w:fldChar w:fldCharType="separate"/>
      </w:r>
      <w:r>
        <w:rPr>
          <w:rStyle w:val="18"/>
          <w:rFonts w:hint="eastAsia" w:ascii="宋体" w:hAnsi="宋体"/>
          <w:sz w:val="24"/>
        </w:rPr>
        <w:t>十六、基金的信息披露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_Toc183509525 \h </w:instrText>
      </w:r>
      <w:r>
        <w:rPr>
          <w:rFonts w:ascii="宋体" w:hAnsi="宋体"/>
          <w:sz w:val="24"/>
        </w:rPr>
        <w:fldChar w:fldCharType="separate"/>
      </w:r>
      <w:r>
        <w:rPr>
          <w:rFonts w:ascii="宋体" w:hAnsi="宋体"/>
          <w:sz w:val="24"/>
        </w:rPr>
        <w:t>77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"_Toc183509526" </w:instrText>
      </w:r>
      <w:r>
        <w:fldChar w:fldCharType="separate"/>
      </w:r>
      <w:r>
        <w:rPr>
          <w:rStyle w:val="18"/>
          <w:rFonts w:hint="eastAsia" w:ascii="宋体" w:hAnsi="宋体"/>
          <w:sz w:val="24"/>
        </w:rPr>
        <w:t>十七、侧袋机制</w:t>
      </w:r>
      <w:r>
        <w:rPr>
          <w:rFonts w:ascii="宋体" w:hAnsi="宋体"/>
          <w:sz w:val="24"/>
        </w:rPr>
        <w:tab/>
      </w:r>
      <w:r>
        <w:rPr>
          <w:rFonts w:ascii="宋体" w:hAnsi="宋体"/>
          <w:sz w:val="24"/>
        </w:rPr>
        <w:fldChar w:fldCharType="begin"/>
      </w:r>
      <w:r>
        <w:rPr>
          <w:rFonts w:ascii="宋体" w:hAnsi="宋体"/>
          <w:sz w:val="24"/>
        </w:rPr>
        <w:instrText xml:space="preserve"> PAGEREF _Toc183509526 \h </w:instrText>
      </w:r>
      <w:r>
        <w:rPr>
          <w:rFonts w:ascii="宋体" w:hAnsi="宋体"/>
          <w:sz w:val="24"/>
        </w:rPr>
        <w:fldChar w:fldCharType="separate"/>
      </w:r>
      <w:r>
        <w:rPr>
          <w:rFonts w:ascii="宋体" w:hAnsi="宋体"/>
          <w:sz w:val="24"/>
        </w:rPr>
        <w:t>84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"_Toc183509527" </w:instrText>
      </w:r>
      <w:r>
        <w:fldChar w:fldCharType="separate"/>
      </w:r>
      <w:r>
        <w:rPr>
          <w:rStyle w:val="18"/>
          <w:rFonts w:hint="eastAsia" w:ascii="宋体" w:hAnsi="宋体"/>
          <w:sz w:val="24"/>
        </w:rPr>
        <w:t>十八、风险揭示</w:t>
      </w:r>
      <w:r>
        <w:rPr>
          <w:rFonts w:ascii="宋体" w:hAnsi="宋体"/>
          <w:sz w:val="24"/>
        </w:rPr>
        <w:tab/>
      </w:r>
      <w:r>
        <w:rPr>
          <w:rFonts w:ascii="宋体" w:hAnsi="宋体"/>
          <w:sz w:val="24"/>
        </w:rPr>
        <w:fldChar w:fldCharType="begin"/>
      </w:r>
      <w:r>
        <w:rPr>
          <w:rFonts w:ascii="宋体" w:hAnsi="宋体"/>
          <w:sz w:val="24"/>
        </w:rPr>
        <w:instrText xml:space="preserve"> PAGEREF _Toc183509527 \h </w:instrText>
      </w:r>
      <w:r>
        <w:rPr>
          <w:rFonts w:ascii="宋体" w:hAnsi="宋体"/>
          <w:sz w:val="24"/>
        </w:rPr>
        <w:fldChar w:fldCharType="separate"/>
      </w:r>
      <w:r>
        <w:rPr>
          <w:rFonts w:ascii="宋体" w:hAnsi="宋体"/>
          <w:sz w:val="24"/>
        </w:rPr>
        <w:t>87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"_Toc183509528" </w:instrText>
      </w:r>
      <w:r>
        <w:fldChar w:fldCharType="separate"/>
      </w:r>
      <w:r>
        <w:rPr>
          <w:rStyle w:val="18"/>
          <w:rFonts w:hint="eastAsia" w:ascii="宋体" w:hAnsi="宋体"/>
          <w:sz w:val="24"/>
        </w:rPr>
        <w:t>十九、基金合同的变更、终止与基金财产的清算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_Toc183509528 \h </w:instrText>
      </w:r>
      <w:r>
        <w:rPr>
          <w:rFonts w:ascii="宋体" w:hAnsi="宋体"/>
          <w:sz w:val="24"/>
        </w:rPr>
        <w:fldChar w:fldCharType="separate"/>
      </w:r>
      <w:r>
        <w:rPr>
          <w:rFonts w:ascii="宋体" w:hAnsi="宋体"/>
          <w:sz w:val="24"/>
        </w:rPr>
        <w:t>94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"_Toc183509529" </w:instrText>
      </w:r>
      <w:r>
        <w:fldChar w:fldCharType="separate"/>
      </w:r>
      <w:r>
        <w:rPr>
          <w:rStyle w:val="18"/>
          <w:rFonts w:hint="eastAsia" w:ascii="宋体" w:hAnsi="宋体"/>
          <w:sz w:val="24"/>
        </w:rPr>
        <w:t>二十、基金合同内容摘要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_Toc183509529 \h </w:instrText>
      </w:r>
      <w:r>
        <w:rPr>
          <w:rFonts w:ascii="宋体" w:hAnsi="宋体"/>
          <w:sz w:val="24"/>
        </w:rPr>
        <w:fldChar w:fldCharType="separate"/>
      </w:r>
      <w:r>
        <w:rPr>
          <w:rFonts w:ascii="宋体" w:hAnsi="宋体"/>
          <w:sz w:val="24"/>
        </w:rPr>
        <w:t>96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"_Toc183509530" </w:instrText>
      </w:r>
      <w:r>
        <w:fldChar w:fldCharType="separate"/>
      </w:r>
      <w:r>
        <w:rPr>
          <w:rStyle w:val="18"/>
          <w:rFonts w:hint="eastAsia" w:ascii="宋体" w:hAnsi="宋体"/>
          <w:sz w:val="24"/>
        </w:rPr>
        <w:t>二十一、托管协议的内容摘要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_Toc183509530 \h </w:instrText>
      </w:r>
      <w:r>
        <w:rPr>
          <w:rFonts w:ascii="宋体" w:hAnsi="宋体"/>
          <w:sz w:val="24"/>
        </w:rPr>
        <w:fldChar w:fldCharType="separate"/>
      </w:r>
      <w:r>
        <w:rPr>
          <w:rFonts w:ascii="宋体" w:hAnsi="宋体"/>
          <w:sz w:val="24"/>
        </w:rPr>
        <w:t>113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"_Toc183509531" </w:instrText>
      </w:r>
      <w:r>
        <w:fldChar w:fldCharType="separate"/>
      </w:r>
      <w:r>
        <w:rPr>
          <w:rStyle w:val="18"/>
          <w:rFonts w:hint="eastAsia" w:ascii="宋体" w:hAnsi="宋体"/>
          <w:sz w:val="24"/>
        </w:rPr>
        <w:t>二十二、对基金份额持有人的服务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_Toc183509531 \h </w:instrText>
      </w:r>
      <w:r>
        <w:rPr>
          <w:rFonts w:ascii="宋体" w:hAnsi="宋体"/>
          <w:sz w:val="24"/>
        </w:rPr>
        <w:fldChar w:fldCharType="separate"/>
      </w:r>
      <w:r>
        <w:rPr>
          <w:rFonts w:ascii="宋体" w:hAnsi="宋体"/>
          <w:sz w:val="24"/>
        </w:rPr>
        <w:t>129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"_Toc183509532" </w:instrText>
      </w:r>
      <w:r>
        <w:fldChar w:fldCharType="separate"/>
      </w:r>
      <w:r>
        <w:rPr>
          <w:rStyle w:val="18"/>
          <w:rFonts w:hint="eastAsia" w:ascii="宋体" w:hAnsi="宋体"/>
          <w:sz w:val="24"/>
        </w:rPr>
        <w:t>二十三、其他应披露事项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_Toc183509532 \h </w:instrText>
      </w:r>
      <w:r>
        <w:rPr>
          <w:rFonts w:ascii="宋体" w:hAnsi="宋体"/>
          <w:sz w:val="24"/>
        </w:rPr>
        <w:fldChar w:fldCharType="separate"/>
      </w:r>
      <w:r>
        <w:rPr>
          <w:rFonts w:ascii="宋体" w:hAnsi="宋体"/>
          <w:sz w:val="24"/>
        </w:rPr>
        <w:t>131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"_Toc183509533" </w:instrText>
      </w:r>
      <w:r>
        <w:fldChar w:fldCharType="separate"/>
      </w:r>
      <w:r>
        <w:rPr>
          <w:rStyle w:val="18"/>
          <w:rFonts w:hint="eastAsia" w:ascii="宋体" w:hAnsi="宋体"/>
          <w:sz w:val="24"/>
        </w:rPr>
        <w:t>二十四、招募说明书的存放及查阅方式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_Toc183509533 \h </w:instrText>
      </w:r>
      <w:r>
        <w:rPr>
          <w:rFonts w:ascii="宋体" w:hAnsi="宋体"/>
          <w:sz w:val="24"/>
        </w:rPr>
        <w:fldChar w:fldCharType="separate"/>
      </w:r>
      <w:r>
        <w:rPr>
          <w:rFonts w:ascii="宋体" w:hAnsi="宋体"/>
          <w:sz w:val="24"/>
        </w:rPr>
        <w:t>135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"_Toc183509534" </w:instrText>
      </w:r>
      <w:r>
        <w:fldChar w:fldCharType="separate"/>
      </w:r>
      <w:r>
        <w:rPr>
          <w:rStyle w:val="18"/>
          <w:rFonts w:hint="eastAsia" w:ascii="宋体" w:hAnsi="宋体"/>
          <w:sz w:val="24"/>
        </w:rPr>
        <w:t>二十五、备查文件</w:t>
      </w:r>
      <w:r>
        <w:rPr>
          <w:rFonts w:ascii="宋体" w:hAnsi="宋体"/>
          <w:sz w:val="24"/>
        </w:rPr>
        <w:tab/>
      </w:r>
      <w:r>
        <w:rPr>
          <w:rFonts w:ascii="宋体" w:hAnsi="宋体"/>
          <w:sz w:val="24"/>
        </w:rPr>
        <w:fldChar w:fldCharType="begin"/>
      </w:r>
      <w:r>
        <w:rPr>
          <w:rFonts w:ascii="宋体" w:hAnsi="宋体"/>
          <w:sz w:val="24"/>
        </w:rPr>
        <w:instrText xml:space="preserve"> PAGEREF _Toc183509534 \h </w:instrText>
      </w:r>
      <w:r>
        <w:rPr>
          <w:rFonts w:ascii="宋体" w:hAnsi="宋体"/>
          <w:sz w:val="24"/>
        </w:rPr>
        <w:fldChar w:fldCharType="separate"/>
      </w:r>
      <w:r>
        <w:rPr>
          <w:rFonts w:ascii="宋体" w:hAnsi="宋体"/>
          <w:sz w:val="24"/>
        </w:rPr>
        <w:t>136</w:t>
      </w:r>
      <w:r>
        <w:rPr>
          <w:rFonts w:ascii="宋体" w:hAnsi="宋体"/>
          <w:sz w:val="24"/>
        </w:rPr>
        <w:fldChar w:fldCharType="end"/>
      </w:r>
      <w:r>
        <w:rPr>
          <w:rFonts w:ascii="宋体" w:hAnsi="宋体"/>
          <w:sz w:val="24"/>
        </w:rPr>
        <w:fldChar w:fldCharType="end"/>
      </w:r>
    </w:p>
    <w:p>
      <w:pPr>
        <w:pStyle w:val="2"/>
        <w:snapToGrid w:val="0"/>
        <w:spacing w:before="240" w:beforeLines="0" w:after="240"/>
        <w:rPr>
          <w:rFonts w:ascii="宋体" w:hAnsi="宋体"/>
          <w:szCs w:val="30"/>
        </w:rPr>
      </w:pPr>
      <w:r>
        <w:rPr>
          <w:rFonts w:ascii="宋体" w:hAnsi="宋体"/>
          <w:color w:val="000000"/>
          <w:position w:val="-4"/>
          <w:sz w:val="24"/>
          <w:szCs w:val="30"/>
        </w:rPr>
        <w:fldChar w:fldCharType="end"/>
      </w:r>
      <w:bookmarkStart w:id="3" w:name="_Toc183509510"/>
      <w:r>
        <w:rPr>
          <w:rFonts w:ascii="Times New Roman" w:hAnsi="Times New Roman"/>
          <w:sz w:val="30"/>
        </w:rPr>
        <w:t>一、绪言</w:t>
      </w:r>
      <w:bookmarkEnd w:id="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稳安30天滚动持有债券型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稳安30天滚动持有债券型证券投资基金基金合同》（以下简称“基金合同”）编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183509511"/>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1、基金或本基金：指交银施罗德稳安30天滚动持有债券型证券投资基金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2、基金管理人或本基金管理人：指交银施罗德基金管理有限公司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3、基金托管人或本基金托管人：指招商银行股份有限公司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4、基金合同、《基金合同》：指《交银施罗德稳安30天滚动持有债券型证券投资基金基金合同》及对基金合同的任何有效修订和补充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5、托管协议：指基金管理人与基金托管人就本基金签订之《交银施罗德稳安30天滚动持有债券型证券投资基金托管协议》及对该托管协议的任何有效修订和补充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6、招募说明书、《招募说明书》或本招募说明书：指《交银施罗德稳安30天滚动持有债券型证券投资基金招募说明书》及其更新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7、基金产品资料概要：指《交银施罗德稳安30天滚动持有债券型证券投资基金基金产品资料概要》及其更新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8、基金份额发售公告：指《交银施罗德稳安30天滚动持有债券型证券投资基金基金份额发售公告》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10、《基金法》：指《中华人民共和国证券投资基金法》及颁布机关对其不时做出的修订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11、《销售办法》：指《公开募集证券投资基金销售机构监督管理办法》及颁布机关对其不时做出的修订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12、《信息披露办法》：指《公开募集证券投资基金信息披露管理办法》及颁布机关对其不时做出的修订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13、《运作办法》：指《公开募集证券投资基金运作管理办法》及颁布机关对其不时做出的修订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15、中国证监会：指中国证券监督管理委员会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16、银行业监督管理机构：指中国人民银行和/或中国银行保险监督管理委员会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18、个人投资者：指依据有关法律法规规定可投资于证券投资基金的自然人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21、投资人、投资者：指个人投资者、机构投资者、合格境外投资者以及法律法规或中国证监会允许购买证券投资基金的其他投资人的合称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22、基金份额持有人：指依基金合同和招募说明书合法取得基金份额的投资人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26、登记机构：指办理登记业务的机构。基金的登记机构为交银施罗德基金管理有限公司或接受交银施罗德基金管理有限公司委托代为办理登记业务的机构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28、基金交易账户：指销售机构为投资人开立的、记录投资人通过该销售机构办理认购、申购、赎回、转换及转托管等业务而引起的基金份额变动及结余情况的账户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29、基金合同生效日：指基金募集达到法律法规规定及基金合同规定的条件，基金管理人向中国证监会办理基金备案手续完毕，并获得中国证监会书面确认的日期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31、基金募集期：指自基金份额发售之日起至发售结束之日止的期间，最长不得超过3个月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32、存续期：指基金合同生效至终止之间的不定期期限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运作期起始日：对于每份认购份额，第一个运作期起始日指基金合同生效日；对于每份申购份额，第一个运作期起始日指该基金份额申购确认日；对于上一运作期到期日未赎回的每份基金份额，下一运作期起始日指该基金份额上一运作期到期日的次一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运作期到期日：对于每份基金份额，第一个运作期到期日指基金合同生效日（对认购份额而言，下同）或基金份额申购申请日（对申购份额而言，下同）后的第30天（如该日为非工作日，则顺延至下一工作日）。第二个运作期到期日指基金合同生效日或基金份额申购申请日后的第60天（如该日为非工作日，则顺延至下一工作日），以此类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35、工作日：指上海证券交易所、深圳证券交易所的正常交易日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36、T日：指销售机构在规定时间受理投资人申购、赎回或其他业务申请的开放日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37、T+n日：指自T日起第n个工作日（不包含T日）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38、开放日：指为投资人办理基金份额申购、赎回或其他业务的工作日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39、开放时间：指开放日基金接受申购、赎回或其他交易的时间段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40、《业务规则》：指《交银施罗德基金管理有限公司开放式基金业务规则》，是规范基金管理人所管理的开放式证券投资基金登记方面的业务规则，由基金管理人和投资人共同遵守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41、认购：指在基金募集期内，投资人根据基金合同和招募说明书的规定申请购买基金份额的行为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42、申购：指基金合同生效后，投资人根据基金合同和招募说明书的规定申请购买基金份额的行为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43、赎回：指基金合同生效后，基金份额持有人按基金合同和招募说明书规定的条件要求将基金份额兑换为现金的行为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44、基金转换：指基金份额持有人按照基金合同和基金管理人届时有效公告规定的条件，申请将其持有基金管理人管理的、某一基金的基金份额转换为基金管理人管理的其他基金基金份额的行为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45、转托管：指基金份额持有人在本基金的不同销售机构之间实施的变更所持基金份额销售机构的操作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48、元：指人民币元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49、基金收益：指基金投资所得债券利息、买卖证券价差、银行存款利息、已实现的其他合法收入及因运用基金财产带来的成本和费用的节约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50、基金资产总值：指基金拥有的各类有价证券、</w:t>
      </w:r>
      <w:r>
        <w:rPr>
          <w:rFonts w:hint="eastAsia"/>
          <w:bCs/>
          <w:sz w:val="24"/>
        </w:rPr>
        <w:t>国债期货合约、</w:t>
      </w:r>
      <w:r>
        <w:rPr>
          <w:rFonts w:ascii="宋体" w:hAnsi="宋体"/>
          <w:sz w:val="24"/>
        </w:rPr>
        <w:t>银行存款本息、基金应收款项及其他资产的价值总和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51、基金资产净值：指基金资产总值减去基金负债后的价值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52、基金份额净值：指计算日基金资产净值除以计算日基金份额总数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54、规定媒介：指符合中国证监会规定条件的用以进行信息披露的全国性报刊及《信息披露办法》规定的互联网网站（包括基金管理人网站、基金托管人网站、中国证监会基金电子披露网站）等媒介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55、销售服务费：指从基金财产中计提的，用于本基金市场推广、销售以及基金份额持有人服务的费用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56、A类基金份额：指在投资人认购/申购时收取认购/申购费用且不从本类别基金资产中计提销售服务费的基金份额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57、C类基金份额：指在投资人认购/申购时不收取认购/申购费用并从本类别基金资产中计提销售服务费的基金份额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62、不可抗力：指基金合同当事人不能预见、不能避免且不能克服的客观事件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183509512"/>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4115"/>
        <w:gridCol w:w="4555"/>
      </w:tblGrid>
      <w:tr>
        <w:tblPrEx>
          <w:tblCellMar>
            <w:top w:w="0" w:type="dxa"/>
            <w:left w:w="0" w:type="dxa"/>
            <w:bottom w:w="0" w:type="dxa"/>
            <w:right w:w="0" w:type="dxa"/>
          </w:tblCellMar>
        </w:tblPrEx>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1、基金管理人董事会成员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2、基金管理人监事会成员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3、基金管理人高级管理人员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谢卫先生，总经理。简历同上。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黄莹洁女士:基金经理。香港大学工商管理硕士、北京大学经济学、管理学双学士。17年证券投资行业从业经验。2008年至2012年任中海基金管理有限公司交易员。2012年加入交银施罗德基金管理有限公司，曾任中央交易室交易员，现任固定收益部基金经理。曾任交银施罗德理财21天债券型证券投资基金(2015年05月27日至2020年07月27日)、交银施罗德货币市场证券投资基金(2015年05月27日至2019年08月02日)、交银施罗德现金宝货币市场基金(2015年05月27日至2019年08月02日)、交银施罗德丰泽收益债券型证券投资基金(2015年07月25日至2018年03月18日)、交银施罗德裕通纯债债券型证券投资基金(2015年12月29日至2019年10月23日)、交银施罗德天鑫宝货币市场基金(2016年12月07日至2019年08月02日)、交银施罗德境尚收益债券型证券投资基金(2017年03月03日至2024年04月12日)、交银施罗德稳鑫短债债券型证券投资基金(2019年01月24日至2024年11月09日)、交银施罗德中高等级信用债债券型证券投资基金(2020年07月28日至2022年07月05日)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稳利中短债债券型证券投资基金(2019年12月13日至今)、交银施罗德稳益短债债券型证券投资基金(2022年09月21日至今)、交银施罗德稳安30天滚动持有债券型证券投资基金(2022年11月24日至今)、交银施罗德稳安60天滚动持有债券型证券投资基金(2023年11月16日至今)、交银施罗德丰盈收益债券型证券投资基金(2024年12月04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季参平先生:基金经理。美国密歇根大学金融工程硕士、对外经济贸易大学经济学学士，13年金融行业从业经验。2012年至2017年任瑞士银行外汇和利率交易员、联席董事。2017年加入交银施罗德基金管理有限公司，曾任基金经理助理，现任固定收益部基金经理。曾任交银施罗德天运宝货币市场基金(2019年07月26日至2019年09月18日)、交银施罗德裕通纯债债券型证券投资基金(2019年10月12日至2024年12月17日)、交银施罗德裕祥纯债债券型证券投资基金(2020年07月09日至2024年02月20日)、交银施罗德中债1-3年政策性金融债指数证券投资基金(2020年08月20日至2023年08月30日)、交银施罗德中债1-3年农发行债券指数证券投资基金(2021年08月19日至2024年05月12日)、交银施罗德丰润收益债券型证券投资基金(2021年08月19日至2025年01月09日)、交银施罗德裕景纯债一年定期开放债券型证券投资基金(2021年09月09日至2024年05月12日)、交银施罗德裕道纯债一年定期开放债券型发起式证券投资基金(2022年03月29日至2025年01月15日)、交银施罗德中债1-5年政策性金融债指数证券投资基金(2022年06月08日至2023年11月15日)的基金经理。现任交银施罗德货币市场证券投资基金(2019年07月26日至今)、交银施罗德现金宝货币市场基金(2019年07月26日至今)、交银施罗德天鑫宝货币市场基金(2019年07月26日至今)、交银施罗德中证同业存单AAA指数7天持有期证券投资基金(2023年12月19日至今)、交银施罗德中债0-3年政策性金融债指数证券投资基金(2024年03月22日至今)、交银施罗德稳安30天滚动持有债券型证券投资基金(2024年11月23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本基金历任基金经理：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姜承操女士(2024年01月10日至2025年05月30日)。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5、投资决策委员会成员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委员：谢卫（总经理）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王少成（权益部一级专家、基金经理）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于海颖（混合资产投资总监兼多元资产管理总监、基金经理）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马韬（研究总监）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上述人员之间不存在近亲属关系，上述各项人员信息更新截止日为2025年05月30日，期后变动（如有）敬请关注基金管理人发布的相关公告。</w:t>
      </w:r>
    </w:p>
    <w:p>
      <w:pPr>
        <w:autoSpaceDE w:val="0"/>
        <w:autoSpaceDN w:val="0"/>
        <w:adjustRightInd w:val="0"/>
        <w:snapToGrid w:val="0"/>
        <w:spacing w:line="360" w:lineRule="auto"/>
        <w:ind w:firstLine="480" w:firstLineChars="200"/>
        <w:jc w:val="left"/>
        <w:rPr>
          <w:rFonts w:ascii="宋体" w:hAnsi="宋体"/>
          <w:szCs w:val="24"/>
        </w:rPr>
      </w:pPr>
      <w:bookmarkStart w:id="28" w:name="_GoBack"/>
      <w:bookmarkEnd w:id="28"/>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12、有关法律法规和中国证监会规定的其他职责。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（5）侵占、挪用基金财产；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（6）法律、行政法规和中国证监会禁止的其他行为。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4、不以任何形式为其他组织或个人进行证券交易。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1、风险管理的原则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（1）全面性原则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（2）独立性原则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（3）相互制约原则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（4）定性和定量相结合原则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建立完备的风险管理指标体系，使风险管理更具客观性和操作性。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（1）董事会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负责制定公司的风险管理政策，对风险管理负完全的和最终的责任。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（3）合规审核及风险管理委员会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（4）风险控制委员会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（5）督察长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（6）风险管理部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（7）审计部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（8）内控合规及法律事务部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（9）业务部门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（1）建立内控体系，完善内控制度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（2）建立相互分离、相互制衡的内控机制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（3）建立、健全岗位责任制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（4）建立风险分类、识别、评估、报告、提示程序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（5）建立有效的内部监控系统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（6）使用数量化的风险管理手段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（7）提供足够的培训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183509513"/>
      <w:r>
        <w:rPr>
          <w:rFonts w:ascii="Times New Roman" w:hAnsi="Times New Roman"/>
          <w:sz w:val="30"/>
        </w:rPr>
        <w:t>四、基金托管人</w:t>
      </w:r>
      <w:bookmarkEnd w:id="6"/>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（一）基金托管人情况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名称：招商银行股份有限公司（以下简称“招商银行”）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设立日期：1987年4月8日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注册资本：252.20亿元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行长：王良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资产托管业务批准文号：证监基金字[2002]83号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电话：4006195555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资产托管部信息披露负责人：张姗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2、发展概况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2024年6月30日，本集团总资产115，747.83亿元人民币，高级法下资本充足率17.95%，权重法下资本充足率14.60%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228人。2002年11月，经中国人民银行和中国证监会批准获得证券投资基金托管业务资格，成为国内第一家获得该项业务资格上市银行；2003年4月，正式办理基金托管业务。招商银行作为托管业务资质最全的商业银行之一，拥有证券投资基金托管资格、基本养老保险基金托管机构资格、受托投资管理托管业务托管资格、保险资金托管业务资格、企业年金基金托管业务资格、合格境外机构投资者托管（QFII）资格、合格境内机构投资者托管（QDII）资格、私募基金业务外包服务资格、存托凭证试点存托业务等业务资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资产托管结合自身在托管行业深耕22年的专业能力和创新精神，推出“招商银行托管+”服务品牌，以“践行价值银行战略，致力于成为服务更佳、科技更强、协同更好的客户首选全球托管银行”品牌愿景为指引，以“值得信赖的专家、贴心服务的管家、让价值持续增加、客户的体验更佳”的“4+目标”，以创新的“服务产品化”为方法论，全方位助力资管机构实现可持续的高质量发展。招商银行资产托管围绕资管全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招商银行资产托管业务持续稳健发展，社会影响力不断提升,近年来获得业内各类奖项荣誉。2016年5月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财经权威媒体《亚洲银行家》“中国年度托管银行奖”；12月荣获2018东方财富风云榜“2018年度最佳托管银行”、“20年最值得信赖托管银行”奖。2019年3月荣获《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募基金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募基金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2024年4月，荣获中国基金报“中国基金业英华奖-ETF20周年特别评选“优秀ETF托管人””奖。2024年6月，荣获上海清算所“2023年度优秀托管机构”奖。</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良先生，本行党委书记、执行董事、行长。中国人民大学经济学硕士，高级经济师。1995年6月加入本行，历任本行北京分行行长助理、副行长、行长，2012年6月起历任本行行长助理、副行长、常务副行长，2022年4月18日起全面主持本行工作，2022年5月19日起任本行党委书记，2022年6月15日起任本行行长。兼任本行香港上市相关事宜之授权代表、招银国际金融控股有限公司董事长、招银国际金融有限公司董事长、招商永隆银行董事长、招联消费金融有限公司副董事长、招商局金融控股有限公司董事、中国支付清算协会副会长、中国银行业协会中间业务专业委员会第四届主任、中国金融会计学会第六届常务理事、广东省第十四届人大代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王颖女士，本行副行长，南京大学政治经济学专业硕士，经济师。王颖女士1997年1月加入本行，历任本行北京分行行长助理、副行长，天津分行行长，深圳分行行长，本行行长助理。2023年11月起任本行副行长。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截至2024年6月30日，招商银行股份有限公司累计托管1484只证券投资基金。</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（四）托管人的内部控制制度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内部控制目标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内部控制组织结构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招商银行资产托管业务建立三级内部控制及风险防范体系：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一级内部控制及风险防范是在招商银行总行风险管控层面对风险进行预防和控制；总行风险管理部、法律合规部、审计部独立对资产托管业务进行评估监督，并提出内控提升管理建议。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二级内部控制及风险防范是招商银行资产托管部设立风险合规管理相关团队，负责部门内部风险预防和控制，及时发现内部控制缺陷，提出整改方案，跟踪整改情况，并直接向部门总经理室报告。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内部控制原则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（1）全面性原则。内部控制覆盖各项业务过程和操作环节、覆盖所有团队和岗位，并由全部人员参与。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（7）重要性原则。内部控制在实现全面控制的基础上，关注重要托管业务重要事项和高风险环节。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内部控制措施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183509514"/>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本基金直销机构为本公司直销柜台以及本公司的网上直销交易平台（网站及APP，下同）。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w:t>
      </w:r>
      <w:r>
        <w:rPr>
          <w:rFonts w:hint="eastAsia" w:ascii="宋体" w:hAnsi="宋体"/>
          <w:sz w:val="24"/>
        </w:rPr>
        <w:t>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个人投资者可以通过基金管理人网上直销交易平台办理开户、本基金的申购、赎回、定期定额投资等业务，具体交易细则请参阅基金管理人网站。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 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2、其他销售机构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（3）名称：宁波银行股份有限公司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住所：宁波市江东区中山东路294号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法定代表人：陆华裕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电话：（021）63586210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传真：（021）63586215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联系人：胡技勋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客户服务电话：96528（上海地区962528）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网址：www.nbcb.com.cn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（4）名称：上海浦东发展银行股份有限公司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法定代表人：郑杨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网址：www.spdb.com.cn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（5）名称：国信证券股份有限公司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法定代表人：张纳沙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电话：（0755）82130833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传真：（0755）82133952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联系人：于智勇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网址：www.guosen.com.cn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（7）名称：国泰君安证券股份有限公司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注册地址：中国（上海）自由贸易试验区商城路618号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办公地址：上海市静安区南京西路768号国泰君安大厦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法定代表人：贺青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联系电话：021-38676666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传真：021-38670666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联系人：朱雅崴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服务热线 : 95521 / 4008888666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网址：www.gtja.com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（8）名称：东方财富证券股份有限公司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住所：西藏自治区拉萨市柳梧新区国际总部城10栋楼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电话：（021）021-23586603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传真：（021）021-23586860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网址：http://www.18.cn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（9）名称：西部证券股份有限公司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办公地址：陕西省西安市新城区东新街 319 号 8 幢 10000 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法定代表人：徐朝晖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电话：029-87211668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联系人：张吉安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网址：www.west95582.com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（10）名称：东方证券股份有限公司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住所：上海市中山南路318号2号楼22层-29层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法定代表人：王益民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电话：（021）63325888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传真：（021）63326173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（12）名称：京东肯特瑞基金销售有限公司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（13）名称：腾安基金销售（深圳）有限公司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办公地址：深圳市南山区海天二路33号腾讯滨海大厦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联系人：谭广峰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网址：http://www.tenganxinxi.com/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注册地址：北京市海淀区西北旺东路10号院西区4号楼1层103室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法定代表人：葛新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办公地址：北京市海淀区西北旺东路10号院西区4号楼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机构联系人：王笑宇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联系人电话：010-59403028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联系人传真：010-59403027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客户服务电话：95055-4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公司网址：www.baiyingfund.com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办公地址：上海市徐汇区宛平南路88号金座东方财富大厦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联系人：屠彦洋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电话：（0571）28829790，（021）60897869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传真：（0571）26698533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办公地址：上海市虹口区东大名路1098号浦江国际金融广场53层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法定代表人：李兴春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伍豪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客服电话：400-032-5885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（18）名称：博时财富基金销售有限公司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法定代表人：王德英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客户服务电话：400-610-5568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网址：www.boserawealth.com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（19）名称：深圳众禄基金销售股份有限公司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（21）名称：珠海盈米基金销售有限公司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住所：北京市朝阳区创远路 34 号院6号楼15层1501室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联系人：武安广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网址：danjuanfunds.com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（23）名称：上海华夏财富投资管理有限公司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住所：上海市虹口区东大名路687号1幢2楼268室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北京市西城区金融大街33号通泰大厦B座8层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毛淮平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电话：010-88066632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传真：010-63136184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张静怡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客户服务电话：400-817-5666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www.amcfortune.com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办公地址：上海市杨浦区昆明路518号A1002室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联系人：俞申莉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客户服务电话：（021）65370077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名称：上海市通力律师事务所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负责人：韩炯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电话：（021）31358666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传真：（021）31358600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联系人：丁媛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经办律师：黎明、丁媛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（四）审计基金财产的会计师事务所</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名称：毕马威华振会计师事务所(特殊普通合伙)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住所：北京市东城区东长安街1 号东方广场 2 座办公楼 8 层</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办公地址：中国上海南京西路1266号恒隆广场2期25楼</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执行事务合伙人：邹俊</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电话：+86 (21) 2212 2888</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传真：+86 (21) 6288 1889</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联系人：侯雯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经办注册会计师：王国蓓、侯雯</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183509515"/>
      <w:r>
        <w:rPr>
          <w:rFonts w:ascii="Times New Roman" w:hAnsi="Times New Roman"/>
          <w:sz w:val="30"/>
        </w:rPr>
        <w:t>六、基金的</w:t>
      </w:r>
      <w:bookmarkEnd w:id="8"/>
      <w:r>
        <w:rPr>
          <w:rFonts w:hint="eastAsia" w:ascii="Times New Roman" w:hAnsi="Times New Roman"/>
          <w:sz w:val="30"/>
        </w:rPr>
        <w:t>历史沿革</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本基金由基金管理人依照《基金法》、《运作办法》、《销售办法》、基金合同及其他有关规定，并经中国证监会2022年8月18日证监许可【2022】1914号文准予募集注册。本基金自2022年11月14日起向社会公开募集，于2022年11月22日结束募集工作，并于2022年11月24日获得中国证监会的书面确认，《交银施罗德稳安30天滚动持有债券型证券投资基金基金合同》自该日起生效。</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交银施罗德稳安30天滚动持有债券型证券投资基金经2024年</w:t>
      </w:r>
      <w:r>
        <w:rPr>
          <w:rFonts w:ascii="宋体" w:hAnsi="宋体"/>
          <w:sz w:val="24"/>
        </w:rPr>
        <w:t>11</w:t>
      </w:r>
      <w:r>
        <w:rPr>
          <w:rFonts w:hint="eastAsia" w:ascii="宋体" w:hAnsi="宋体"/>
          <w:sz w:val="24"/>
        </w:rPr>
        <w:t>月</w:t>
      </w:r>
      <w:r>
        <w:rPr>
          <w:rFonts w:ascii="宋体" w:hAnsi="宋体"/>
          <w:sz w:val="24"/>
        </w:rPr>
        <w:t>25</w:t>
      </w:r>
      <w:r>
        <w:rPr>
          <w:rFonts w:hint="eastAsia" w:ascii="宋体" w:hAnsi="宋体"/>
          <w:sz w:val="24"/>
        </w:rPr>
        <w:t>日中国证监会证监许可【2024】</w:t>
      </w:r>
      <w:r>
        <w:rPr>
          <w:rFonts w:ascii="宋体" w:hAnsi="宋体"/>
          <w:sz w:val="24"/>
        </w:rPr>
        <w:t>1695</w:t>
      </w:r>
      <w:r>
        <w:rPr>
          <w:rFonts w:hint="eastAsia" w:ascii="宋体" w:hAnsi="宋体"/>
          <w:sz w:val="24"/>
        </w:rPr>
        <w:t>号文准予变更注册，自2024年</w:t>
      </w:r>
      <w:r>
        <w:rPr>
          <w:rFonts w:ascii="宋体" w:hAnsi="宋体"/>
          <w:sz w:val="24"/>
        </w:rPr>
        <w:t>12</w:t>
      </w:r>
      <w:r>
        <w:rPr>
          <w:rFonts w:hint="eastAsia" w:ascii="宋体" w:hAnsi="宋体"/>
          <w:sz w:val="24"/>
        </w:rPr>
        <w:t>月</w:t>
      </w:r>
      <w:r>
        <w:rPr>
          <w:rFonts w:ascii="宋体" w:hAnsi="宋体"/>
          <w:sz w:val="24"/>
        </w:rPr>
        <w:t>12</w:t>
      </w:r>
      <w:r>
        <w:rPr>
          <w:rFonts w:hint="eastAsia" w:ascii="宋体" w:hAnsi="宋体"/>
          <w:sz w:val="24"/>
        </w:rPr>
        <w:t>日至202</w:t>
      </w:r>
      <w:r>
        <w:rPr>
          <w:rFonts w:ascii="宋体" w:hAnsi="宋体"/>
          <w:sz w:val="24"/>
        </w:rPr>
        <w:t>5</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13</w:t>
      </w:r>
      <w:r>
        <w:rPr>
          <w:rFonts w:hint="eastAsia" w:ascii="宋体" w:hAnsi="宋体"/>
          <w:sz w:val="24"/>
        </w:rPr>
        <w:t>日交银施罗德稳安30天滚动持有债券型证券投资基金以通讯方式召开基金份额持有人大会，大会于202</w:t>
      </w:r>
      <w:r>
        <w:rPr>
          <w:rFonts w:ascii="宋体" w:hAnsi="宋体"/>
          <w:sz w:val="24"/>
        </w:rPr>
        <w:t>5</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14</w:t>
      </w:r>
      <w:r>
        <w:rPr>
          <w:rFonts w:hint="eastAsia" w:ascii="宋体" w:hAnsi="宋体"/>
          <w:sz w:val="24"/>
        </w:rPr>
        <w:t>日审议通过了《关于交银施罗德稳安30天滚动持有债券型证券投资基金调整投资范围及修改基金合同有关事项的议案》，内容包括在交银施罗德稳安30天滚动持有债券型证券投资基金投资范围中增加国债期货，相应调整投资策略、投资比例限制、估值方法等内容，并修改基金合同中根据上述调整需要同步进行修订的其他部分条款，上述基金份额持有人大会决议事项自表决通过之日起生效。</w:t>
      </w:r>
    </w:p>
    <w:p>
      <w:pPr>
        <w:autoSpaceDE w:val="0"/>
        <w:autoSpaceDN w:val="0"/>
        <w:adjustRightInd w:val="0"/>
        <w:spacing w:line="360" w:lineRule="auto"/>
        <w:ind w:firstLine="480" w:firstLineChars="200"/>
        <w:rPr>
          <w:rFonts w:ascii="宋体" w:hAnsi="宋体"/>
          <w:szCs w:val="24"/>
        </w:rPr>
      </w:pPr>
      <w:r>
        <w:rPr>
          <w:rFonts w:hint="eastAsia" w:ascii="宋体" w:hAnsi="宋体"/>
          <w:sz w:val="24"/>
        </w:rPr>
        <w:t>自202</w:t>
      </w:r>
      <w:r>
        <w:rPr>
          <w:rFonts w:ascii="宋体" w:hAnsi="宋体"/>
          <w:sz w:val="24"/>
        </w:rPr>
        <w:t>5</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15</w:t>
      </w:r>
      <w:r>
        <w:rPr>
          <w:rFonts w:hint="eastAsia" w:ascii="宋体" w:hAnsi="宋体"/>
          <w:sz w:val="24"/>
        </w:rPr>
        <w:t>日起，根据《关于交银施罗德稳安30天滚动持有债券型证券投资基金调整投资范围及修改基金合同有关事项的议案》修改而成的《交银施罗德稳安30天滚动持有债券型证券投资基金基金合同》生效。</w:t>
      </w:r>
      <w:r>
        <w:rPr>
          <w:rFonts w:ascii="宋体" w:hAnsi="宋体"/>
          <w:sz w:val="24"/>
        </w:rPr>
        <w:br w:type="page"/>
      </w:r>
    </w:p>
    <w:p>
      <w:pPr>
        <w:pStyle w:val="2"/>
        <w:snapToGrid w:val="0"/>
        <w:spacing w:before="240" w:beforeLines="0" w:after="240"/>
        <w:rPr>
          <w:rFonts w:ascii="宋体" w:hAnsi="宋体"/>
          <w:szCs w:val="30"/>
        </w:rPr>
      </w:pPr>
      <w:bookmarkStart w:id="9" w:name="_Toc183509516"/>
      <w:r>
        <w:rPr>
          <w:rFonts w:ascii="Times New Roman" w:hAnsi="Times New Roman"/>
          <w:sz w:val="30"/>
        </w:rPr>
        <w:t>七、基金合同的</w:t>
      </w:r>
      <w:bookmarkEnd w:id="9"/>
      <w:r>
        <w:rPr>
          <w:rFonts w:hint="eastAsia" w:ascii="Times New Roman" w:hAnsi="Times New Roman"/>
          <w:sz w:val="30"/>
        </w:rPr>
        <w:t>存续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法律法规或中国证监会另有规定时，从其规定。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183509517"/>
      <w:r>
        <w:rPr>
          <w:rFonts w:ascii="Times New Roman" w:hAnsi="Times New Roman"/>
          <w:sz w:val="30"/>
        </w:rPr>
        <w:t>八、基金份额的申购与赎回</w:t>
      </w:r>
      <w:bookmarkEnd w:id="10"/>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1、本基金管理人的直销机构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本基金直销机构为基金管理人直销柜台以及基金管理人的网上直销交易平台。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个人投资者可以通过基金管理人网上直销交易平台办理开户、本基金的申购、赎回、定期定额投资等业务，具体交易细则请参阅基金管理人网站。网上直销交易平台网址：www.fund001.com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2、除基金管理人之外的其他销售机构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本基金除基金管理人之外的其他销售机构参见本招募说明书“五、相关服务机构”章节或拨打基金管理人客户服务电话进行咨询。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（二）申购和赎回的开放日及时间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在开放日办理基金份额的申购和赎回，但对于每份基金份额，基金管理人仅在该基金份额的每个运作期到期日为基金份额持有人办理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基金合同生效后，若出现新的证券</w:t>
      </w:r>
      <w:r>
        <w:rPr>
          <w:rFonts w:hint="eastAsia" w:ascii="宋体" w:hAnsi="宋体"/>
          <w:sz w:val="24"/>
        </w:rPr>
        <w:t>/期货</w:t>
      </w:r>
      <w:r>
        <w:rPr>
          <w:rFonts w:ascii="宋体" w:hAnsi="宋体"/>
          <w:sz w:val="24"/>
        </w:rPr>
        <w:t>交易市场、证券</w:t>
      </w:r>
      <w:r>
        <w:rPr>
          <w:rFonts w:hint="eastAsia" w:ascii="宋体" w:hAnsi="宋体"/>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2、申购、赎回开始日及业务办理时间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本基金已于2022年12月12日起开放申购业务。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本基金已于2022年12月23日起开放赎回业务。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每份基金份额，基金管理人仅在该基金份额的每个运作期到期日为基金份额持有人办理赎回。对于每份基金份额，第一个运作期指基金合同生效日（对认购份额而言，下同）或基金份额申购确认日（对申购份额而言，下同）起（即第一个运作期起始日），至基金合同生效日或基金份额申购申请日后的第30天（即第一个运作期到期日，如该日为非工作日，则顺延至下一工作日）止。第二个运作期指第一个运作期到期日的次一日起，至基金合同生效日或基金份额申购申请日后的第60天（如该日为非工作日，则顺延至下一工作日）止。以此类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（三）申购与赎回的原则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1、“未知价”原则，即申购、赎回价格以申请当日收市后计算的基金份额净值为基准进行计算；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2、“金额申购、份额赎回”原则，即申购以金额申请，赎回以份额申请；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3、当日的申购与赎回申请可以在基金管理人规定的时间以内撤销，但申请经登记机构受理的不得撤销；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4、赎回遵循“先进先出”原则，即按照投资人认购、申购的先后次序进行顺序赎回；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本基金暂不向金融机构自营账户销售（基金管理人自有资金除外），如未来本基金开放向金融机构自营账户公开销售或对销售对象的范围予以进一步限定，基金管理人将另行公告。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单一投资者单日申购金额不超过1000万元（个人投资者、公募资产管理产品、职业年金计划、企业年金计划、养老金产品和基金管理人自有资金除外）。基金管理人可以调整单一投资者单日申购金额上限，具体规定请参见更新的招募说明书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3、最低基金份额余额的限制</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本基金暂无最低保留余额限制。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（五）申购和赎回的程序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1、申购和赎回的申请方式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投资人可以多次申购本基金，申购费用按每笔申购申请单独计算。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本基金A类基金份额（非养老金客户）的申购费率如下：</w:t>
      </w:r>
    </w:p>
    <w:tbl>
      <w:tblPr>
        <w:tblStyle w:val="14"/>
        <w:tblW w:w="5000" w:type="pct"/>
        <w:tblInd w:w="0" w:type="dxa"/>
        <w:tblLayout w:type="autofit"/>
        <w:tblCellMar>
          <w:top w:w="0" w:type="dxa"/>
          <w:left w:w="0" w:type="dxa"/>
          <w:bottom w:w="0" w:type="dxa"/>
          <w:right w:w="0" w:type="dxa"/>
        </w:tblCellMar>
      </w:tblPr>
      <w:tblGrid>
        <w:gridCol w:w="4115"/>
        <w:gridCol w:w="4555"/>
      </w:tblGrid>
      <w:tr>
        <w:tblPrEx>
          <w:tblCellMar>
            <w:top w:w="0" w:type="dxa"/>
            <w:left w:w="0" w:type="dxa"/>
            <w:bottom w:w="0" w:type="dxa"/>
            <w:right w:w="0" w:type="dxa"/>
          </w:tblCellMar>
        </w:tblPrEx>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A类基金份额申购费率</w:t>
            </w:r>
          </w:p>
        </w:tc>
      </w:tr>
      <w:tr>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1000万元以下</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tblPrEx>
          <w:tblCellMar>
            <w:top w:w="0" w:type="dxa"/>
            <w:left w:w="0" w:type="dxa"/>
            <w:bottom w:w="0" w:type="dxa"/>
            <w:right w:w="0" w:type="dxa"/>
          </w:tblCellMar>
        </w:tblPrEx>
        <w:trPr>
          <w:cantSplit/>
          <w:trHeight w:val="375" w:hRule="atLeast"/>
        </w:trPr>
        <w:tc>
          <w:tcPr>
            <w:tcW w:w="2373"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1000万元以上（含1000万元）</w:t>
            </w:r>
          </w:p>
        </w:tc>
        <w:tc>
          <w:tcPr>
            <w:tcW w:w="262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持有A类基金份额的投资人因红利自动再投资而产生的A类基金份额，不收取相应的申购费用。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本基金对通过基金管理人直销柜台申购A类基金份额的养老金客户实施特定申购费率。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1）全国社会保障基金；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2）可以投资基金的地方社会保障基金；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3）企业年金单一计划以及集合计划；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4）企业年金理事会委托的特定客户资产管理计划；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5）企业年金养老金产品。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通过基金管理人直销柜台申购本基金A类基金份额的养老金客户特定申购费率如下表：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3973"/>
        <w:gridCol w:w="4697"/>
      </w:tblGrid>
      <w:tr>
        <w:tblPrEx>
          <w:tblCellMar>
            <w:top w:w="0" w:type="dxa"/>
            <w:left w:w="0" w:type="dxa"/>
            <w:bottom w:w="0" w:type="dxa"/>
            <w:right w:w="0" w:type="dxa"/>
          </w:tblCellMar>
        </w:tblPrEx>
        <w:trPr>
          <w:cantSplit/>
          <w:trHeight w:val="375" w:hRule="atLeast"/>
        </w:trPr>
        <w:tc>
          <w:tcPr>
            <w:tcW w:w="229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70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A类基金份额特定申购费率</w:t>
            </w:r>
          </w:p>
        </w:tc>
      </w:tr>
      <w:tr>
        <w:tblPrEx>
          <w:tblCellMar>
            <w:top w:w="0" w:type="dxa"/>
            <w:left w:w="0" w:type="dxa"/>
            <w:bottom w:w="0" w:type="dxa"/>
            <w:right w:w="0" w:type="dxa"/>
          </w:tblCellMar>
        </w:tblPrEx>
        <w:trPr>
          <w:cantSplit/>
          <w:trHeight w:val="375" w:hRule="atLeast"/>
        </w:trPr>
        <w:tc>
          <w:tcPr>
            <w:tcW w:w="2291"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1000万元以下</w:t>
            </w:r>
          </w:p>
        </w:tc>
        <w:tc>
          <w:tcPr>
            <w:tcW w:w="270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tblPrEx>
          <w:tblCellMar>
            <w:top w:w="0" w:type="dxa"/>
            <w:left w:w="0" w:type="dxa"/>
            <w:bottom w:w="0" w:type="dxa"/>
            <w:right w:w="0" w:type="dxa"/>
          </w:tblCellMar>
        </w:tblPrEx>
        <w:trPr>
          <w:cantSplit/>
          <w:trHeight w:val="375" w:hRule="atLeast"/>
        </w:trPr>
        <w:tc>
          <w:tcPr>
            <w:tcW w:w="2291"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1000万元以上（含1000万元）</w:t>
            </w:r>
          </w:p>
        </w:tc>
        <w:tc>
          <w:tcPr>
            <w:tcW w:w="270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本基金对于每份基金份额设置30天的滚动运作期。每个运作期到期日，基金份额持有人可提出赎回申请。基金份额持有人在每个运作期到期日申请赎回A类基金份额和C类基金份额不收取赎回费。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（七）申购和赎回的数额和价格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（1）A类基金份额的申购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（注：对于适用固定金额申购费用的申购，申购费用＝固定申购费用金额）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申购份额=（申购总金额-申购费用）/T日A类基金份额净值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例四：某投资者（非养老金客户）投资100,000元申购本基金的A类基金份额，假设申购当日A类基金份额净值为1.0400元，申购费率为0.2%，则其可得到的申购份额为：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净申购金额=100,000/（1+0.2%）=99,800.40元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申购费用=100,000-99,800.40=199.60元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申购份额=（100,000-199.60）/1.0400=95,961.92份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即：某投资者（非养老金客户）投资100,000元申购本基金的A类基金份额，假设申购当日A类基金份额净值为1.0400元，则其可得到95,961.92份A类基金份额。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例五：某养老金客户投资1,000,000元通过基金管理人的直销柜台申购本基金的A类基金份额，假设申购当日A类基金份额净值为1.0400元，申购费率为0.08%，则其可得到的申购份额为：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申购总金额＝1,000,000元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净申购金额=1,000,000/（1+0.08%）=999,200.64元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申购费用=1,000,000-999,200.64=799.36元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申购份额=（1,000,000-799.36）/1.0400=960,769.85份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即：该养老金客户投资1,000,000元通过基金管理人的直销柜台申购本基金的A类基金份额，假设申购当日A类基金份额净值为1.0400元，则其可得到960,769.85份A类基金份额。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（2）C类基金份额的申购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如果投资者选择申购C类基金份额，则申购份额的计算方法如下：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申购份额=申购总金额/T日C类基金份额净值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申购份额＝100,000/1.0400＝96,153.85份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赎回金额=赎回份额×T日该类基金份额净值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例七：某投资者通过认购持有10,000份A类基金份额，在基金合同生效日后第一个运作期到期日申请赎回该10,000份A类基金份额，假设赎回当日A类基金份额净值是1.0025元，则其可得到的赎回金额为：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赎回金额=10,000×1.0025＝10,025.00元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即：某投资者通过认购持有10,000份A类基金份额，在基金合同生效日后第一个运作期到期日申请赎回该10,000份A类基金份额，假设赎回当日A类基金份额净值是1.0025元，则其可得到的赎回金额为10,025.00元。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A类基金份额净值＝A类基金份额的基金资产净值总额/发行在外的A类基金份额总数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C类基金份额净值＝C类基金份额的基金资产净值总额/发行在外的C类基金份额总数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（八）拒绝或暂停申购的情形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发生下列情况时，基金管理人可拒绝或暂停接受投资人的申购申请：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w:t>
      </w:r>
      <w:r>
        <w:rPr>
          <w:rFonts w:hint="eastAsia" w:ascii="宋体" w:hAnsi="宋体"/>
          <w:sz w:val="24"/>
        </w:rPr>
        <w:t>/期货</w:t>
      </w:r>
      <w:r>
        <w:rPr>
          <w:rFonts w:ascii="宋体" w:hAnsi="宋体"/>
          <w:sz w:val="24"/>
        </w:rPr>
        <w:t>交易所交易时间非正常停市，导致基金管理人无法计算当日基金资产净值。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4、接受某笔或某些申购申请可能会影响或损害现有基金份额持有人利益时。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（九）暂停赎回或延缓支付赎回款项的情形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发生下列情形时，基金管理人可暂停接受投资人的赎回申请或延缓支付赎回款项：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1、因不可抗力导致基金管理人不能支付赎回款项。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w:t>
      </w:r>
      <w:r>
        <w:rPr>
          <w:rFonts w:hint="eastAsia" w:ascii="宋体" w:hAnsi="宋体"/>
          <w:sz w:val="24"/>
        </w:rPr>
        <w:t>/期货</w:t>
      </w:r>
      <w:r>
        <w:rPr>
          <w:rFonts w:ascii="宋体" w:hAnsi="宋体"/>
          <w:sz w:val="24"/>
        </w:rPr>
        <w:t>交易所交易时间非正常停市，导致基金管理人无法计算当日基金资产净值。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4、连续两个或两个以上开放日发生巨额赎回。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（十）巨额赎回的情形及处理方式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（十一）暂停申购或赎回的公告和重新开放申购或赎回的公告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1、发生上述暂停申购或赎回情况的，基金管理人应在规定期限内在规定媒介上刊登暂停公告。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2、如发生暂停的时间为1日，基金管理人应于重新开放日，在规定媒介上刊登基金重新开放申购或赎回公告，并公布最近1个开放日的各类基金份额净值。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（十二）基金转换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（十三）基金的非交易过户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（十四）基金的转托管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本基金2022年12月8日刊登公告自2022年12月12日起开通定期定额投资计划业务，具体开通销售机构名单和业务规则参见相关公告。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（十六）基金份额的冻结和解冻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（十七）基金份额的转让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（十八）实施侧袋机制期间本基金的申购与赎回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本基金实施侧袋机制的，本基金的申购和赎回安排详见本招募说明书“侧袋机制”部分的规定或相关公告。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（十九）其他业务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183509518"/>
      <w:r>
        <w:rPr>
          <w:rFonts w:ascii="Times New Roman" w:hAnsi="Times New Roman"/>
          <w:sz w:val="30"/>
        </w:rPr>
        <w:t>九、基金的投资</w:t>
      </w:r>
      <w:bookmarkEnd w:id="1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在严格控制风险和保持较高流动性的前提下，力求获得高于业绩比较基准的投资收益。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w:t>
      </w:r>
      <w:r>
        <w:rPr>
          <w:rFonts w:hint="eastAsia" w:ascii="宋体" w:hAnsi="宋体"/>
          <w:sz w:val="24"/>
        </w:rPr>
        <w:t>、</w:t>
      </w:r>
      <w:r>
        <w:rPr>
          <w:rFonts w:hint="eastAsia"/>
          <w:bCs/>
          <w:sz w:val="24"/>
        </w:rPr>
        <w:t>国债期货</w:t>
      </w:r>
      <w:r>
        <w:rPr>
          <w:rFonts w:ascii="宋体" w:hAnsi="宋体"/>
          <w:sz w:val="24"/>
        </w:rPr>
        <w:t>以及法律法规或中国证监会允许基金投资的其他金融工具（但须符合中国证监会相关规定）。本基金不投资于股票等权益类资产，也不投资于可转换债券（可分离交易可转债的纯债部分除外）、可交换债券。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本基金的投资组合比例为：本基金投资于债券资产的比例不低于基金资产的80%。</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（1）久期调整策略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（2）债券的类属配置策略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（3）期限结构配置策略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（4）回购策略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（5）信用债券（含资产支持证券，下同）投资策略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①信用债券研究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②信用债券筛选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本基金从信用债券池中精选债券构建信用债券投资组合。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50%，投资于评级AAA的信用债比例不低于信用债资产的50%。因信用评级下降、证券市场波动、基金规模变动等基金管理人之外的因素致使基金投资比例不符合上述规定的，基金管理人应当在评级报告发布之日或不符合上述规定之日起3个月内进行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本基金构建和管理信用债券投资组合时主要考虑以下因素：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a、信用债券信用评级的变化。</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pPr>
        <w:spacing w:line="360" w:lineRule="auto"/>
        <w:ind w:firstLine="480" w:firstLineChars="200"/>
        <w:rPr>
          <w:bCs/>
          <w:sz w:val="24"/>
        </w:rPr>
      </w:pPr>
      <w:r>
        <w:rPr>
          <w:rFonts w:hint="eastAsia"/>
          <w:bCs/>
          <w:sz w:val="24"/>
        </w:rPr>
        <w:t>（</w:t>
      </w:r>
      <w:r>
        <w:rPr>
          <w:rFonts w:asciiTheme="minorEastAsia" w:hAnsiTheme="minorEastAsia" w:eastAsiaTheme="minorEastAsia"/>
          <w:bCs/>
          <w:sz w:val="24"/>
        </w:rPr>
        <w:t>6</w:t>
      </w:r>
      <w:r>
        <w:rPr>
          <w:rFonts w:hint="eastAsia"/>
          <w:bCs/>
          <w:sz w:val="24"/>
        </w:rPr>
        <w:t>）国债期货投资策略</w:t>
      </w:r>
    </w:p>
    <w:p>
      <w:pPr>
        <w:autoSpaceDE w:val="0"/>
        <w:autoSpaceDN w:val="0"/>
        <w:adjustRightInd w:val="0"/>
        <w:snapToGrid w:val="0"/>
        <w:spacing w:line="360" w:lineRule="auto"/>
        <w:ind w:firstLine="480" w:firstLineChars="200"/>
        <w:jc w:val="left"/>
        <w:rPr>
          <w:rFonts w:ascii="宋体" w:hAnsi="宋体"/>
          <w:szCs w:val="24"/>
        </w:rPr>
      </w:pPr>
      <w:r>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（1）本基金投资于债券资产的比例不低于基金资产的80%；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（9）本基金应投资于信用级别评级为AA+以上（含AA+）的资产支持证券。基金持有资产支持证券期间，如果其信用等级下降、不再符合投资标准，应在评级报告发布之日起3个月内予以全部卖出；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（10）</w:t>
      </w:r>
      <w:r>
        <w:rPr>
          <w:rFonts w:hint="eastAsia" w:ascii="Times New Roman" w:hAnsi="Times New Roman"/>
          <w:sz w:val="24"/>
        </w:rPr>
        <w:t>本基金</w:t>
      </w:r>
      <w:r>
        <w:rPr>
          <w:rFonts w:hint="eastAsia" w:ascii="Times New Roman" w:hAnsi="Times New Roman"/>
          <w:bCs/>
          <w:sz w:val="24"/>
        </w:rPr>
        <w:t>参与国债期货交易，需遵守下列投资比例限制：</w:t>
      </w:r>
    </w:p>
    <w:p>
      <w:pPr>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）在任何交易日日终，持有</w:t>
      </w:r>
      <w:r>
        <w:rPr>
          <w:rFonts w:hint="eastAsia" w:ascii="Times New Roman" w:hAnsi="Times New Roman"/>
          <w:sz w:val="24"/>
        </w:rPr>
        <w:t>的</w:t>
      </w:r>
      <w:r>
        <w:rPr>
          <w:rFonts w:hint="eastAsia" w:ascii="Times New Roman" w:hAnsi="Times New Roman"/>
          <w:bCs/>
          <w:sz w:val="24"/>
        </w:rPr>
        <w:t>买入国债期货合约价值，</w:t>
      </w:r>
      <w:r>
        <w:rPr>
          <w:rFonts w:hint="eastAsia" w:ascii="Times New Roman" w:hAnsi="Times New Roman"/>
          <w:sz w:val="24"/>
        </w:rPr>
        <w:t>不得超过基金资产净值的</w:t>
      </w:r>
      <w:r>
        <w:rPr>
          <w:rFonts w:ascii="Times New Roman" w:hAnsi="Times New Roman"/>
          <w:bCs/>
          <w:sz w:val="24"/>
        </w:rPr>
        <w:t>15%</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Cs/>
          <w:sz w:val="24"/>
        </w:rPr>
        <w:t>2</w:t>
      </w:r>
      <w:r>
        <w:rPr>
          <w:rFonts w:hint="eastAsia" w:ascii="Times New Roman" w:hAnsi="Times New Roman"/>
          <w:bCs/>
          <w:sz w:val="24"/>
        </w:rPr>
        <w:t>）在任何交易日日终，持有的卖出国债期货合约价值不得超过基金持有的债券总市值的</w:t>
      </w:r>
      <w:r>
        <w:rPr>
          <w:rFonts w:ascii="Times New Roman" w:hAnsi="Times New Roman"/>
          <w:bCs/>
          <w:sz w:val="24"/>
        </w:rPr>
        <w:t>30%</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Cs/>
          <w:sz w:val="24"/>
        </w:rPr>
        <w:t>3</w:t>
      </w:r>
      <w:r>
        <w:rPr>
          <w:rFonts w:hint="eastAsia" w:ascii="Times New Roman" w:hAnsi="Times New Roman"/>
          <w:bCs/>
          <w:sz w:val="24"/>
        </w:rPr>
        <w:t>）基金在任何交易日内交易（不包括平仓）的国债期货合约的成交金额不得超过上一交易日基金资产净值的</w:t>
      </w:r>
      <w:r>
        <w:rPr>
          <w:rFonts w:ascii="Times New Roman" w:hAnsi="Times New Roman"/>
          <w:bCs/>
          <w:sz w:val="24"/>
        </w:rPr>
        <w:t>30%</w:t>
      </w:r>
      <w:r>
        <w:rPr>
          <w:rFonts w:hint="eastAsia" w:ascii="Times New Roman" w:hAnsi="Times New Roman"/>
          <w:bCs/>
          <w:sz w:val="24"/>
        </w:rPr>
        <w:t>；</w:t>
      </w:r>
    </w:p>
    <w:p>
      <w:pPr>
        <w:autoSpaceDE w:val="0"/>
        <w:autoSpaceDN w:val="0"/>
        <w:adjustRightInd w:val="0"/>
        <w:snapToGrid w:val="0"/>
        <w:spacing w:line="360" w:lineRule="auto"/>
        <w:ind w:firstLine="480" w:firstLineChars="200"/>
        <w:jc w:val="left"/>
        <w:rPr>
          <w:rFonts w:ascii="Times New Roman" w:hAnsi="Times New Roman"/>
          <w:bCs/>
          <w:sz w:val="24"/>
        </w:rPr>
      </w:pPr>
      <w:r>
        <w:rPr>
          <w:rFonts w:ascii="Times New Roman" w:hAnsi="Times New Roman"/>
          <w:bCs/>
          <w:sz w:val="24"/>
        </w:rPr>
        <w:t>4</w:t>
      </w:r>
      <w:r>
        <w:rPr>
          <w:rFonts w:hint="eastAsia" w:ascii="Times New Roman" w:hAnsi="Times New Roman"/>
          <w:bCs/>
          <w:sz w:val="24"/>
        </w:rPr>
        <w:t>）本基金所持有的</w:t>
      </w:r>
      <w:r>
        <w:rPr>
          <w:rFonts w:hint="eastAsia" w:ascii="Times New Roman" w:hAnsi="Times New Roman"/>
          <w:sz w:val="24"/>
        </w:rPr>
        <w:t>债券</w:t>
      </w:r>
      <w:r>
        <w:rPr>
          <w:rFonts w:hint="eastAsia" w:ascii="Times New Roman" w:hAnsi="Times New Roman"/>
          <w:bCs/>
          <w:sz w:val="24"/>
        </w:rPr>
        <w:t>（不含</w:t>
      </w:r>
      <w:r>
        <w:rPr>
          <w:rFonts w:hint="eastAsia" w:ascii="Times New Roman" w:hAnsi="Times New Roman"/>
          <w:sz w:val="24"/>
        </w:rPr>
        <w:t>到期</w:t>
      </w:r>
      <w:r>
        <w:rPr>
          <w:rFonts w:hint="eastAsia" w:ascii="Times New Roman" w:hAnsi="Times New Roman"/>
          <w:bCs/>
          <w:sz w:val="24"/>
        </w:rPr>
        <w:t>日在一年以内的政府债券）市值和买入、卖出国债期货合约价值，合计（轧差计算）应当符合基金合同关于债券投资比例的有关约定；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未来法律法规或监管部门取消或变更公开募集证券投资基金参与国债期货交易相关限制的，则本基金投资不再受相关限制或以变更以后的规定为准，无需召开基金份额持有人大会；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（13）本基金资产总值不超过基金资产净值的140%；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除上述（2）、（9）、（11）、（12）情形之外，因证券</w:t>
      </w:r>
      <w:r>
        <w:rPr>
          <w:rFonts w:hint="eastAsia" w:ascii="宋体" w:hAnsi="宋体"/>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为维护基金份额持有人的合法权益，基金财产不得用于下列投资或者活动：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（7）法律、行政法规和中国证监会规定禁止的其他活动。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中债综合全价指数收益率×80%+人民币活期存款利率(税后)×20%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本基金是一只债券型基金，其预期风险与预期收益理论上高于货币市场基金，低于混合型基金和股票型基金。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（七）基金管理人代表基金行使债权人权利的处理原则及方法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3、不通过关联交易为自身、雇员、授权代理人或任何存在利害关系的第三人牟取任何不当利益。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本基金托管人招商银行股份有限公司根据本基金合同规定，于2024年07月17日复核了本报告中的财务指标、净值表现和投资组合报告等内容，保证复核内容不存在虚假记载、误导性陈述或者重大遗漏。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本投资组合报告期为2024年04月01日至06月30日。所载财务数据未经审计师审计。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122,647,467.31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122,647,467.31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99.30</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119,004.57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748,653.19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123,515,125.07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2、报告期末按行业分类的股票投资组合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 报告期末按行业分类的境内股票投资组合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 报告期末按行业分类的港股通投资股票投资组合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3、期末按公允价值占基金资产净值比例大小排序的股票投资明细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 报告期末按公允价值占基金资产净值比例大小排序的前十名股票投资明细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4、报告期末按债券品种分类的债券投资组合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3,717,432.08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66,408,251.94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54.08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2,539,971.31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13,480,534.05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10.98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6,016,544.88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4.90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33,024,704.36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26.89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122,647,467.31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99.88</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5、报告期末按公允价值占基金资产净值比例大小排序的前五名债券投资明细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20农业银行二级01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10,139,049.32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20浦发银行二级01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7,384,779.67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102280688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22邹城城资MTN001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7,148,006.85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20新华人寿</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7,107,408.77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2028024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20中信银行二级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6,325,428.20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9、报告期末本基金投资的国债期货交易情况说明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 本期国债期货投资政策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 报告期末本基金投资的国债期货持仓和损益明细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 本期国债期货投资评价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2023年12月15日，国家金融监督管理总局公示金罚决字[2023]39号行政处罚决定书，给予新华人寿保险股份有限公司80万元人民币罚款的行政处罚。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2024年1月26日，央行北京市分行公示银京罚决字[2024]9号行政处罚决定书，给予新华人寿保险股份有限公司428.74万元人民币罚款的行政处罚。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2023年10月20日，国家金融监督管理总局公示金罚决字[2023]12号行政处罚决定书，给予英大泰和人寿保险股份有限公司280万元人民币罚款的行政处罚。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2023年8月18日，国家金融监督管理总局公示金罚决字[2023]7号行政处罚决定书，给予中国民生银行股份有限公司4430万元人民币罚款，没收违法所得2.46万元的行政处罚。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2023年8月15日，国家金融监督管理总局公示金罚决字[2023]8号行政处罚决定书，给予中国农业银行股份有限公司罚款176万元，没收违法所得60万元人民币罚款的行政处罚。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2023年11月17日，国家外汇管理局北京市分局公示京汇罚[2023]32号行政处罚决定书，给予中国农业银行股份有限公司罚款553万元，没收违法所得141.85万元人民币罚款的行政处罚。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2023年12月1日，国家金融监督管理总局公示金罚决字[2023]21号行政处罚决定书，给予中国农业银行股份有限公司罚没共计570.97万元人民币罚款的行政处罚。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2024年1月5日，央行深圳市分行公示深人银罚[2023]10号行政处罚决定书，给予中国平安人寿保险股份有限公司480万元人民币罚款的行政处罚。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2023年12月1日，央行公示银罚决字[2023]93号行政处罚决定书，给予中国银行股份有限公司罚款3664.20万元，没收违法所得37.34万元人民币罚款的行政处罚。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2024年1月5日，国家金融监督管理总局公示金罚决字[2023]68号行政处罚决定书，给予中国银行股份有限公司430万元人民币罚款的行政处罚。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2024年4月3日，国家外汇管理局北京市分局公示京汇罚[2024]9号行政处罚决定书，给予中国银行股份有限公司罚没共计40.22万元人民币的行政处罚。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2023年12月1日，国家金融监督管理总局公示金罚决字[2023]15号行政处罚决定书，给予中信银行股份有限公司罚款15242.59万元，没收违法所得462.59万元人民币的行政处罚。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2024年1月5日，国家金融监督管理总局公示金罚决字[2023]69号行政处罚决定书，给予中信银行股份有限公司400万元人民币罚款的行政处罚。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本基金管理人对证券投资决策程序的说明如下：本基金管理人对证券投资特别是重仓证券的投资有严格的投资决策流程控制，对上述主体发行证券的投资决策程序符合公司投资制度的规定。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除上述主体外，本基金投资的前十名证券的其他发行主体本期没有出现被监管部门立案调查，或在报告编制日前一年内受到公开谴责、处罚的情形。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787.32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597,865.87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748,653.19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 报告期末持有的处于转股期的可转换债券明细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 报告期末前十名股票中存在流通受限情况的说明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183509519"/>
      <w:r>
        <w:rPr>
          <w:rFonts w:ascii="Times New Roman" w:hAnsi="Times New Roman"/>
          <w:sz w:val="30"/>
        </w:rPr>
        <w:t>十、基金的业绩</w:t>
      </w:r>
      <w:bookmarkEnd w:id="1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基金业绩截止日为2024年06月30日，所载财务数据未经审计师审计。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1、本报告期基金份额净值收益率及其与同期业绩比较基准收益率的比较</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1）交银稳安30天A：</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2022年度（自基金合同生效日起至2022年12月31日）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bl>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2）交银稳安30天C：</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份额净值收益率标准差②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2024上半年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2022年度（自基金分级日起至2022年12月31日）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注：本基金的业绩比较基准为中债综合全价指数收益率×80%+人民币活期存款利率(税后)×20%，每日进行再平衡过程。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2、自基金合同生效以来基金份额累计净值收益率变动及其与同期业绩比较基准收益率变动的比较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交银施罗德稳安30天滚动持有债券型证券投资基金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份额累计净值收益率与业绩比较基准收益率历史走势对比图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（2022年11月24日至2024年06月30日）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1、交银稳安30天A</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0" distR="0">
            <wp:extent cx="5581650" cy="340995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212566102420208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81650" cy="340995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2、交银稳安30天C</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0" distR="0">
            <wp:extent cx="5581650" cy="3409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81650" cy="340995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183509520"/>
      <w:r>
        <w:rPr>
          <w:rFonts w:ascii="Times New Roman" w:hAnsi="Times New Roman"/>
          <w:sz w:val="30"/>
        </w:rPr>
        <w:t>十一、基金的财产</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w:t>
      </w:r>
      <w:r>
        <w:rPr>
          <w:rFonts w:hint="eastAsia"/>
          <w:bCs/>
          <w:sz w:val="24"/>
        </w:rPr>
        <w:t>国债期货合约、</w:t>
      </w:r>
      <w:r>
        <w:rPr>
          <w:rFonts w:ascii="宋体" w:hAnsi="宋体"/>
          <w:sz w:val="24"/>
        </w:rPr>
        <w:t>银行存款本息、基金应收款项及其他资产的价值总和。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（四）基金财产的保管和处分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183509521"/>
      <w:r>
        <w:rPr>
          <w:rFonts w:ascii="Times New Roman" w:hAnsi="Times New Roman"/>
          <w:sz w:val="30"/>
        </w:rPr>
        <w:t>十二、基金资产的估值</w:t>
      </w:r>
      <w:bookmarkEnd w:id="1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（一）估值日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基金所拥有的债券、</w:t>
      </w:r>
      <w:r>
        <w:rPr>
          <w:rFonts w:hint="eastAsia"/>
          <w:bCs/>
          <w:sz w:val="24"/>
        </w:rPr>
        <w:t>国债期货合约</w:t>
      </w:r>
      <w:r>
        <w:rPr>
          <w:rFonts w:ascii="宋体" w:hAnsi="宋体"/>
          <w:sz w:val="24"/>
        </w:rPr>
        <w:t>、资产支持证券和其他投资等持续以公允价值计量的金融资产及负债。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（三）估值原则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基金管理人在确定相关金融资产和金融负债的公允价值时，应符合《企业会计准则》、监管部门有关规定。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1、证券交易所上市的有价证券的估值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（2）交易所上市交易的可转换债券以每日收盘价作为估值全价；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2、首次公开发行未上市的债券，采用估值技术确定公允价值。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采用估值技术确定公允价值。</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4、同一债券同时在两个或两个以上市场交易的，按债券所处的市场分别估值。</w:t>
      </w:r>
    </w:p>
    <w:p>
      <w:pPr>
        <w:autoSpaceDE w:val="0"/>
        <w:autoSpaceDN w:val="0"/>
        <w:adjustRightInd w:val="0"/>
        <w:snapToGrid w:val="0"/>
        <w:spacing w:line="360" w:lineRule="auto"/>
        <w:ind w:firstLine="480" w:firstLineChars="200"/>
        <w:jc w:val="left"/>
        <w:rPr>
          <w:rFonts w:ascii="宋体" w:hAnsi="宋体"/>
          <w:szCs w:val="24"/>
        </w:rPr>
      </w:pPr>
      <w:r>
        <w:rPr>
          <w:rFonts w:ascii="Times New Roman" w:hAnsi="Times New Roman"/>
          <w:bCs/>
          <w:sz w:val="24"/>
        </w:rPr>
        <w:t>5</w:t>
      </w:r>
      <w:r>
        <w:rPr>
          <w:rFonts w:hint="eastAsia" w:ascii="Times New Roman" w:hAnsi="Times New Roman"/>
          <w:bCs/>
          <w:sz w:val="24"/>
        </w:rPr>
        <w:t>、</w:t>
      </w:r>
      <w:r>
        <w:rPr>
          <w:rFonts w:hint="eastAsia"/>
          <w:bCs/>
          <w:sz w:val="24"/>
        </w:rPr>
        <w:t>本基金投资国债期货合约，一般以估值当日结算价进行估值，估值当日无结算价的，且最近交易日后经济环境未发生重大变化的，采用最近交易日结算价估值。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7、当发生大额申购或赎回情形时，基金管理人可以采用摆动定价机制，以确保基金估值的公平性。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8、对于因税收规定调整或其他原因导致产品实际交纳税金与估算的应交税金有差异的，产品将在相关税金调整日或实际支付日进行相应的会计处理。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9、相关法律法规以及监管部门有强制规定的，从其规定。如有新增事项，按国家最新规定估值。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基金合同的当事人应按照以下约定处理：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（4）估值错误调整采用尽量恢复至假设未发生估值错误的正确情形的方式。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（5）按法律法规规定的其他原则处理估值错误。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3、估值错误处理程序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估值错误被发现后，有关的当事人应当及时进行处理，处理的程序如下：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4、基金份额净值估值错误处理的方法如下：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（4）前述内容如法律法规或监管机关另有规定的，从其规定处理。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（七）暂停估值的情形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w:t>
      </w:r>
      <w:r>
        <w:rPr>
          <w:rFonts w:hint="eastAsia"/>
          <w:bCs/>
          <w:sz w:val="24"/>
        </w:rPr>
        <w:t>/期货</w:t>
      </w:r>
      <w:r>
        <w:rPr>
          <w:rFonts w:ascii="宋体" w:hAnsi="宋体"/>
          <w:sz w:val="24"/>
        </w:rPr>
        <w:t>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4、法律法规、中国证监会和基金合同认定的其它情形。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2、由于不可抗力原因，或由于证券</w:t>
      </w:r>
      <w:r>
        <w:rPr>
          <w:rFonts w:hint="eastAsia" w:ascii="宋体" w:hAnsi="宋体"/>
          <w:sz w:val="24"/>
        </w:rPr>
        <w:t>/期货</w:t>
      </w:r>
      <w:r>
        <w:rPr>
          <w:rFonts w:ascii="宋体" w:hAnsi="宋体"/>
          <w:sz w:val="24"/>
        </w:rPr>
        <w:t>交易所、证券</w:t>
      </w:r>
      <w:r>
        <w:rPr>
          <w:rFonts w:hint="eastAsia" w:ascii="宋体" w:hAnsi="宋体"/>
          <w:sz w:val="24"/>
        </w:rPr>
        <w:t>/期货</w:t>
      </w:r>
      <w:r>
        <w:rPr>
          <w:rFonts w:ascii="宋体" w:hAnsi="宋体"/>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183509522"/>
      <w:r>
        <w:rPr>
          <w:rFonts w:ascii="Times New Roman" w:hAnsi="Times New Roman"/>
          <w:sz w:val="30"/>
        </w:rPr>
        <w:t>十三、基金收益与分配</w:t>
      </w:r>
      <w:bookmarkEnd w:id="1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（一）基金利润的构成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（二）基金可供分配利润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5、本基金同一基金份额类别的每一基金份额享有同等分配权；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6、对于收益分配方式为红利再投资的基金份额，每份基金份额（原份额）所获得的红利再投资份额的运作期到期日，与该原份额的运作期到期日一致；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（五）收益分配方案的确定、公告与实施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法律法规或监管机关另有规定的，从其规定。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（六）基金收益分配中发生的费用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（八）实施侧袋机制期间的收益分配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本基金实施侧袋机制的，侧袋账户不进行收益分配。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183509523"/>
      <w:r>
        <w:rPr>
          <w:rFonts w:ascii="Times New Roman" w:hAnsi="Times New Roman"/>
          <w:sz w:val="30"/>
        </w:rPr>
        <w:t>十四、基金的费用与税收</w:t>
      </w:r>
      <w:bookmarkEnd w:id="1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3、《基金合同》生效后与基金相关的信息披露费用；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4、《基金合同》生效后与基金相关的会计师费、律师费、仲裁费和诉讼费；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6、基金的证券</w:t>
      </w:r>
      <w:r>
        <w:rPr>
          <w:rFonts w:hint="eastAsia"/>
          <w:bCs/>
          <w:sz w:val="24"/>
        </w:rPr>
        <w:t>、期货</w:t>
      </w:r>
      <w:r>
        <w:rPr>
          <w:rFonts w:ascii="宋体" w:hAnsi="宋体"/>
          <w:sz w:val="24"/>
        </w:rPr>
        <w:t>交易</w:t>
      </w:r>
      <w:r>
        <w:rPr>
          <w:rFonts w:hint="eastAsia" w:ascii="宋体" w:hAnsi="宋体"/>
          <w:sz w:val="24"/>
        </w:rPr>
        <w:t>/</w:t>
      </w:r>
      <w:r>
        <w:rPr>
          <w:rFonts w:hint="eastAsia"/>
          <w:bCs/>
          <w:sz w:val="24"/>
        </w:rPr>
        <w:t>结算</w:t>
      </w:r>
      <w:r>
        <w:rPr>
          <w:rFonts w:ascii="宋体" w:hAnsi="宋体"/>
          <w:sz w:val="24"/>
        </w:rPr>
        <w:t>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7、基金的银行汇划费用；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8、基金的开户费用、账户维护费用；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9、本基金从C类基金份额的基金财产中计提的销售服务费；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10、按照国家有关规定和《基金合同》约定，可以在基金财产中列支的其他费用。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（二）基金费用计提方法、计提标准和支付方式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本基金的管理费按前一日基金资产净值的0.20%年费率计提。管理费的计算方法如下：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H＝E×0.20%÷当年天数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本基金的托管费按前一日基金资产净值的0.05%年费率计提。托管费的计算方法如下：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H＝E×0.05%÷当年天数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（3）C类基金份额的销售服务费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本基金A类基金份额不收取销售服务费，C类基金份额的销售服务费按前一日C类基金资产净值的0.15%年费率计提。计算方法如下：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H＝E×0.15%÷当年天数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H为C类基金份额每日应计提的销售服务费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E为C类基金份额前一日基金资产净值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销售服务费每日计提，逐日累计至每月月末，按月支付。由基金管理人与基金托管人核对一致后，由基金托管人按照与基金管理人协商一致的方式于次月首日起5个工作日内从基金财产中一次性支付给基金管理人，由基金管理人代付给销售机构，若遇法定节假日、休息日或不可抗力致使无法按时支付的，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C类基金份额的销售服务费将专门用于本基金的推广、销售与基金份额持有人服务。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下列费用不列入基金费用：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1、基金管理人和基金托管人因未履行或未完全履行义务导致的费用支出或基金财产的损失；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2、基金管理人和基金托管人处理与基金运作无关的事项发生的费用；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3、《基金合同》生效前的相关费用；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4、其他根据相关法律法规及中国证监会的有关规定不得列入基金费用的项目。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（四）实施侧袋机制期间的基金费用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183509524"/>
      <w:r>
        <w:rPr>
          <w:rFonts w:ascii="Times New Roman" w:hAnsi="Times New Roman"/>
          <w:sz w:val="30"/>
        </w:rPr>
        <w:t>十五、基金的会计与审计</w:t>
      </w:r>
      <w:bookmarkEnd w:id="1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1、基金管理人为本基金的基金会计责任方；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7、基金托管人每月与基金管理人就基金的会计核算、报表编制等进行核对并以书面方式确认。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（二）基金的年度审计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183509525"/>
      <w:r>
        <w:rPr>
          <w:rFonts w:ascii="Times New Roman" w:hAnsi="Times New Roman"/>
          <w:sz w:val="30"/>
        </w:rPr>
        <w:t>十六、基金的信息披露</w:t>
      </w:r>
      <w:bookmarkEnd w:id="1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（三）本基金信息披露义务人承诺公开披露的基金信息，不得有下列行为：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本基金公开披露的信息采用阿拉伯数字；除特别说明外，货币单位为人民币元。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1、基金招募说明书、《基金合同》、基金托管协议、基金产品资料概要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基金管理人应当在收到中国证监会确认文件的次日在规定媒介上登载《基金合同》生效公告。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《基金合同》生效后，在开始办理基金份额申购或者赎回前，基金管理人应当至少每周在规定网站分别披露一次A类基金份额和C类基金份额所对应的基金份额净值和基金份额累计净值。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份额申购或者赎回后，基金管理人应当在不晚于每个开放日的次日，通过规定网站、基金销售机构网站或者营业网点，分别披露开放日的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基金管理人应当在不晚于半年度和年度最后一日的次日，在规定网站披露半年度和年度最后一日A类基金份额和C类基金份额所对应的基金份额净值和基金份额累计净值。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6、基金定期报告，包括基金年度报告、基金中期报告和基金季度报告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7、临时报告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（15）管理费、托管费、销售服务费、申购费、赎回费等费用计提标准、计提方式和费率发生变更；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（16）任一类基金份额净值计价错误达该类基金份额净值百分之零点五；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（22）基金管理人采用摆动定价机制进行估值；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（23）本基金增加或调整基金份额类别；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（24）本基金推出新业务或服务；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11、基金投资资产支持证券情况</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rFonts w:hint="eastAsia" w:ascii="Times New Roman" w:hAnsi="Times New Roman"/>
          <w:bCs/>
          <w:sz w:val="24"/>
        </w:rPr>
        <w:t>1</w:t>
      </w:r>
      <w:r>
        <w:rPr>
          <w:rFonts w:ascii="Times New Roman" w:hAnsi="Times New Roman"/>
          <w:bCs/>
          <w:sz w:val="24"/>
        </w:rPr>
        <w:t>2</w:t>
      </w:r>
      <w:r>
        <w:rPr>
          <w:rFonts w:hint="eastAsia" w:ascii="Times New Roman" w:hAnsi="Times New Roman"/>
          <w:bCs/>
          <w:sz w:val="24"/>
        </w:rPr>
        <w:t>、基金</w:t>
      </w:r>
      <w:r>
        <w:rPr>
          <w:rFonts w:hint="eastAsia"/>
          <w:bCs/>
          <w:sz w:val="24"/>
        </w:rPr>
        <w:t>投资国债期货的情况</w:t>
      </w:r>
    </w:p>
    <w:p>
      <w:pPr>
        <w:autoSpaceDE w:val="0"/>
        <w:autoSpaceDN w:val="0"/>
        <w:adjustRightInd w:val="0"/>
        <w:snapToGrid w:val="0"/>
        <w:spacing w:line="360" w:lineRule="auto"/>
        <w:ind w:firstLine="480" w:firstLineChars="200"/>
        <w:jc w:val="left"/>
        <w:rPr>
          <w:rFonts w:ascii="宋体" w:hAnsi="宋体"/>
          <w:szCs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13、实施侧袋机制期间的信息披露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基金管理人、基金托管人应当在规定报刊中选择披露信息的报刊。基金管理人、基金托管人应当向中国证监会基金电子披露网站报送拟披露的基金信息，并保证相关报送信息的真实、准确、完整、及时。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183509526"/>
      <w:r>
        <w:rPr>
          <w:rFonts w:ascii="Times New Roman" w:hAnsi="Times New Roman"/>
          <w:sz w:val="30"/>
        </w:rPr>
        <w:t>十七、侧袋机制</w:t>
      </w:r>
      <w:bookmarkEnd w:id="19"/>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（一）侧袋机制的实施条件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（二）实施侧袋机制期间基金份额的申购与赎回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（三）实施侧袋机制期间的基金投资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基金管理人不得在侧袋账户中进行除特定资产处置变现以外的其他投资操作。</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（四）实施侧袋机制期间的基金估值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（五）实施侧袋账户期间的基金费用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1、本基金实施侧袋机制的，管理费和托管费等按主袋账户基金资产净值作为基数计提。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（六）侧袋账户中特定资产的处置变现和支付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（七）侧袋机制的信息披露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3、定期报告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r>
        <w:rPr>
          <w:rFonts w:ascii="宋体" w:hAnsi="宋体"/>
          <w:sz w:val="24"/>
        </w:rPr>
        <w:br w:type="page"/>
      </w:r>
    </w:p>
    <w:p>
      <w:pPr>
        <w:pStyle w:val="2"/>
        <w:snapToGrid w:val="0"/>
        <w:spacing w:before="240" w:beforeLines="0" w:after="240"/>
        <w:rPr>
          <w:rFonts w:ascii="宋体" w:hAnsi="宋体"/>
          <w:szCs w:val="30"/>
        </w:rPr>
      </w:pPr>
      <w:bookmarkStart w:id="20" w:name="_Toc183509527"/>
      <w:r>
        <w:rPr>
          <w:rFonts w:ascii="Times New Roman" w:hAnsi="Times New Roman"/>
          <w:sz w:val="30"/>
        </w:rPr>
        <w:t>十八、风险揭示</w:t>
      </w:r>
      <w:bookmarkEnd w:id="20"/>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10%时，投资人将可能无法及时赎回持有的全部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基金份额持有人须了解并承受以下风险：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6、债券收益率曲线变动风险。是指收益率曲线没有按预期变化导致基金投资决策出现偏差。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开放方式运作，基金管理人在开放日办理基金份额的申购和赎回，但对于每份基金份额，基金管理人仅在该基金份额的每个运作期到期日为基金份额持有人办理赎回，具体办理时间为上海证券交易所、深圳证券交易所的正常交易日的交易时间，但基金管理人根据法律法规、中国证监会的要求或基金合同的规定公告暂停申购、赎回时除外。基金管理人可根据实际情况依法决定本基金开始办理申购的具体日期，具体业务办理时间在申购开始公告中规定。对于每份基金份额，第一个运作期指基金合同生效日（对认购份额而言，下同）或基金份额申购确认日（对申购份额而言，下同）起（即第一个运作期起始日），至基金合同生效日或基金份额申购申请日后的第30天（即第一个运作期到期日，如该日为非工作日，则顺延至下一工作日）止。第二个运作期指第一个运作期到期日的次一日起，至基金合同生效日或基金份额申购申请日后的第60天（如该日为非工作日，则顺延至下一工作日）止。以此类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（四）交易对手违约风险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（五）本基金的特有风险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4、基金合同提前终止风险。连续50个工作日出现基金份额持有人数量不满200人或者基金资产净值低于5000万元情形的，基金合同终止，不需召开基金份额持有人大会。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（六）</w:t>
      </w:r>
      <w:r>
        <w:rPr>
          <w:rFonts w:hint="eastAsia" w:ascii="宋体" w:hAnsi="宋体"/>
          <w:sz w:val="24"/>
        </w:rPr>
        <w:t>投资国债期货的特定风险</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szCs w:val="24"/>
        </w:rPr>
        <w:t>本基金可投资</w:t>
      </w:r>
      <w:r>
        <w:rPr>
          <w:rFonts w:hint="eastAsia" w:ascii="宋体" w:hAnsi="宋体"/>
          <w:sz w:val="24"/>
        </w:rPr>
        <w:t>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w:t>
      </w:r>
      <w:r>
        <w:rPr>
          <w:rFonts w:hint="eastAsia" w:ascii="宋体" w:hAnsi="宋体"/>
          <w:sz w:val="24"/>
        </w:rPr>
        <w:t>七）</w:t>
      </w:r>
      <w:r>
        <w:rPr>
          <w:rFonts w:ascii="宋体" w:hAnsi="宋体"/>
          <w:sz w:val="24"/>
        </w:rPr>
        <w:t>投资资产支持证券的特定风险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w:t>
      </w:r>
      <w:r>
        <w:rPr>
          <w:rFonts w:hint="eastAsia" w:ascii="宋体" w:hAnsi="宋体"/>
          <w:sz w:val="24"/>
        </w:rPr>
        <w:t>八</w:t>
      </w:r>
      <w:r>
        <w:rPr>
          <w:rFonts w:ascii="宋体" w:hAnsi="宋体"/>
          <w:sz w:val="24"/>
        </w:rPr>
        <w:t>）其他风险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1、因技术因素而产生的风险，如电脑系统不可靠产生的风险；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183509528"/>
      <w:r>
        <w:rPr>
          <w:rFonts w:ascii="Times New Roman" w:hAnsi="Times New Roman"/>
          <w:sz w:val="30"/>
        </w:rPr>
        <w:t>十九、基金合同的变更、终止与基金财产的清算</w:t>
      </w:r>
      <w:bookmarkEnd w:id="2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有下列情形之一的，经履行相关程序后，《基金合同》应当终止：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基金财产清算账册及有关文件由基金托管人保存不低于法律法规规定的最低期限。</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183509529"/>
      <w:r>
        <w:rPr>
          <w:rFonts w:ascii="Times New Roman" w:hAnsi="Times New Roman"/>
          <w:sz w:val="30"/>
        </w:rPr>
        <w:t>二十、基金合同内容摘要</w:t>
      </w:r>
      <w:bookmarkEnd w:id="2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（一）基金份额持有人、基金管理人和基金托管人的权利与义务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（1）根据《基金法》、《运作办法》及其他有关规定，基金管理人的权利包括但不限于：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2）自《基金合同》生效之日起，根据法律法规和《基金合同》独立运用并管理基金财产；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3）依照《基金合同》收取基金管理费以及法律法规规定或中国证监会批准的其他费用；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4）销售基金份额；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8）选择、更换基金销售机构，对基金销售机构的相关行为进行监督和处理；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9）担任或委托其他符合条件的机构担任基金登记机构办理基金登记业务并获得《基金合同》规定的费用；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10）依据《基金合同》及有关法律规定决定基金收益的分配方案；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11）在《基金合同》约定的范围内，拒绝或暂停受理申购与赎回申请；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12）依照法律法规为基金的利益行使因基金财产投资于证券所产生的权利；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13）在法律法规允许的前提下，为基金的利益依法为基金进行融资；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14）以基金管理人的名义，代表基金份额持有人的利益行使诉讼权利或者实施其他法律行为；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15）选择、更换律师事务所、会计师事务所、证券</w:t>
      </w:r>
      <w:r>
        <w:rPr>
          <w:rFonts w:hint="eastAsia"/>
          <w:bCs/>
          <w:sz w:val="24"/>
        </w:rPr>
        <w:t>/期货</w:t>
      </w:r>
      <w:r>
        <w:rPr>
          <w:rFonts w:ascii="宋体" w:hAnsi="宋体"/>
          <w:sz w:val="24"/>
        </w:rPr>
        <w:t>经纪商或其他为基金提供服务的外部机构；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16）在符合有关法律、法规的前提下，制定和调整有关基金认购、申购、赎回、转换等的业务规则；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（2）根据《基金法》、《运作办法》及其他有关规定，基金管理人的义务包括但不限于：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3）自《基金合同》生效之日起，以诚实信用、谨慎勤勉的原则管理和运用基金财产；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11）严格按照《基金法》、《基金合同》及其他有关规定，履行信息披露及报告义务；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13）按《基金合同》的约定确定基金收益分配方案，及时向基金份额持有人分配基金收益；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14）按规定受理申购与赎回申请，及时、足额支付赎回款项；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22）当基金管理人将其义务委托第三方处理时，应当对第三方处理有关基金事务的行为承担责任；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23）以基金管理人名义，代表基金份额持有人利益行使诉讼权利或实施其他法律行为；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（1）根据《基金法》、《运作办法》及其他有关规定，基金托管人的权利包括但不限于：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1）自《基金合同》生效之日起，依法律法规和《基金合同》的规定安全保管基金财产；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2）依《基金合同》约定获得基金托管费以及法律法规规定或监管部门批准的其他费用；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4）根据相关市场规则，为基金开设资金账户、证券账户等投资所需账户，为基金办理证券交易资金清算；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5）提议召开或召集基金份额持有人大会；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6）在基金管理人更换时，提名新的基金管理人；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（2）根据《基金法》、《运作办法》及其他有关规定，基金托管人的义务包括但不限于：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1）以诚实信用、勤勉尽责的原则持有并安全保管基金财产；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8）复核、审查基金管理人计算的基金资产净值、基金份额净值、基金份额申购、赎回价格；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11）保存基金托管业务活动的记录、账册、报表和其他相关资料不低于法律法规规定的最低期限；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16）按照法律法规和《基金合同》的规定监督基金管理人的投资运作；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19）因违反《基金合同》导致基金财产损失时，应承担赔偿责任，其赔偿责任不因其退任而免除；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同一类别每份基金份额具有同等的合法权益。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（1）根据《基金法》、《运作办法》及其他有关规定，基金份额持有人的权利包括但不限于：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3）依法并按照基金合同和招募说明书的规定转让或者申请赎回其持有的基金份额；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4）按照规定要求召开基金份额持有人大会或者召集基金份额持有人大会；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8）对基金管理人、基金托管人、基金服务机构损害其合法权益的行为依法提起诉讼或仲裁；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（2）根据《基金法》、《运作办法》及其他有关规定，基金份额持有人的义务包括但不限于：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1）认真阅读并遵守《基金合同》、招募说明书等信息披露文件；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3）关注基金信息披露，及时行使权利和履行义务；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4）交纳基金认购、申购款项及法律法规和《基金合同》所规定的费用；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5）在其持有的基金份额范围内，承担基金亏损或者《基金合同》终止的有限责任；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8）返还在基金交易过程中因任何原因获得的不当得利；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9）遵守基金管理人、基金托管人、销售机构和登记机构的相关交易及业务规则；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10）提供基金管理人和监管机构依法要求提供的信息，以及不时的更新和补充，并保证其真实性；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11）法律法规及中国证监会规定的和《基金合同》约定的其他义务。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（二）基金份额持有人大会召集、议事及表决的程序和规则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本基金份额持有人大会不设日常机构。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（1）当出现或需要决定下列事由之一的，应当召开基金份额持有人大会，法律法规、中国证监会或基金合同另有规定的除外：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1）终止《基金合同》；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2）更换基金管理人；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3）更换基金托管人；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5）调整基金管理人、基金托管人的报酬标准和提高销售服务费；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8）变更基金投资目标、范围或策略；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9）变更基金份额持有人大会程序；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10）基金管理人或基金托管人要求召开基金份额持有人大会；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12）对基金合同当事人权利和义务产生重大影响的其他事项；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13）法律法规、《基金合同》或中国证监会规定的其他应当召开基金份额持有人大会的事项。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2）法律法规要求增加的基金费用的收取；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4）因相应的法律法规、登记机构的相关业务规则发生变动而应当对《基金合同》进行修改；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9）按照法律法规和《基金合同》规定不需召开基金份额持有人大会的其他情形。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2、会议召集人及召集方式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（1）除法律法规规定或《基金合同》另有约定外，基金份额持有人大会由基金管理人召集；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（2）基金管理人未按规定召集或不能召集时，由基金托管人召集；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（6）基金份额持有人会议的召集人负责选择确定开会时间、地点、方式和权益登记日。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2）会议拟审议的事项、议事程序和表决方式；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3）有权出席基金份额持有人大会的基金份额持有人的权益登记日；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5）会务常设联系人姓名及联系电话；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在同时符合以下条件时，通讯开会的方式视为有效：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1）会议召集人按《基金合同》约定公布会议通知后，在2个工作日内连续公布相关提示性公告；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5、议事内容与程序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基金份额持有人大会不得对未事先公告的议事内容进行表决。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基金份额持有人所持每份基金份额有一票表决权。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2）监票人应当在基金份额持有人表决后立即进行清点并由大会主持人当场公布计票结果。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4）计票过程应由公证机关予以公证，基金管理人或基金托管人拒不出席大会的，不影响计票的效力。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8、生效与公告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基金份额持有人大会的决议，召集人应当自通过之日起5日内报中国证监会备案。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基金份额持有人大会的决议自表决通过之日起生效。法律法规另有规定的，从其规定。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9、实施侧袋机制期间基金份额持有人大会的特殊约定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（1）基金份额持有人行使提议权、召集权、提名权所需单独或合计代表相关基金份额10%以上（含10%）；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（6）一般决议须经参加大会的基金份额持有人或其代理人所持表决权的二分之一以上（含二分之一）通过；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同一主侧袋账户内的每份基金份额具有平等的表决权。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（三）基金合同解除和终止的事由、程序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有下列情形之一的，经履行相关程序后，《基金合同》应当终止：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《基金合同》受中国法律（不含港澳台地区法律）管辖。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（五）基金合同存放地和投资者取得基金合同的方式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183509530"/>
      <w:r>
        <w:rPr>
          <w:rFonts w:ascii="Times New Roman" w:hAnsi="Times New Roman"/>
          <w:sz w:val="30"/>
        </w:rPr>
        <w:t>二十一、托管协议的内容摘要</w:t>
      </w:r>
      <w:bookmarkEnd w:id="2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（一）托管协议当事人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批准设立文号：中国证监会证监基金字[2005]128号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邮政编码：518040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成立时间：1987年4月8日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批准设立机关和批准设立文号：中国人民银行银复字（1986）175号文、银复（1987）86号文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基金托管业务批准文号：证监基金字[2002]83号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注册资本：人民币252.20亿元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（1）本基金的投资范围为：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w:t>
      </w:r>
      <w:r>
        <w:rPr>
          <w:rFonts w:hint="eastAsia"/>
          <w:bCs/>
          <w:sz w:val="24"/>
        </w:rPr>
        <w:t>、国债期货</w:t>
      </w:r>
      <w:r>
        <w:rPr>
          <w:rFonts w:ascii="宋体" w:hAnsi="宋体"/>
          <w:sz w:val="24"/>
        </w:rPr>
        <w:t>以及法律法规或中国证监会允许基金投资的其他金融工具（但须符合中国证监会相关规定）。本基金不投资于股票等权益类资产，也不投资于可转换债券（可分离交易可转债的纯债部分除外）、可交换债券。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（2）本基金各类品种的投资比例、投资限制为：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基金的投资组合比例为：本基金投资于债券资产的比例不低于基金资产的80%。</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1）本基金投资于债券资产的比例不低于基金资产的80%；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9）本基金应投资于信用级别评级为AA+以上（含AA+）的资产支持证券。基金持有资产支持证券期间，如果其信用等级下降、不再符合投资标准，应在评级报告发布之日起3个月内予以全部卖出；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sz w:val="24"/>
        </w:rPr>
      </w:pPr>
      <w:r>
        <w:rPr>
          <w:rFonts w:ascii="宋体" w:hAnsi="宋体"/>
          <w:sz w:val="24"/>
        </w:rPr>
        <w:t>10）</w:t>
      </w:r>
      <w:r>
        <w:rPr>
          <w:rFonts w:hint="eastAsia"/>
          <w:sz w:val="24"/>
        </w:rPr>
        <w:t>本基金</w:t>
      </w:r>
      <w:r>
        <w:rPr>
          <w:rFonts w:hint="eastAsia"/>
          <w:bCs/>
          <w:sz w:val="24"/>
        </w:rPr>
        <w:t>参与国债期货交易，需遵守下列投资比例限制：</w:t>
      </w:r>
    </w:p>
    <w:p>
      <w:pPr>
        <w:spacing w:line="360" w:lineRule="auto"/>
        <w:ind w:firstLine="480" w:firstLineChars="200"/>
        <w:rPr>
          <w:bCs/>
          <w:sz w:val="24"/>
        </w:rPr>
      </w:pPr>
      <w:r>
        <w:rPr>
          <w:rFonts w:hint="eastAsia" w:ascii="等线" w:hAnsi="等线" w:eastAsia="等线"/>
          <w:bCs/>
          <w:sz w:val="24"/>
        </w:rPr>
        <w:t>①</w:t>
      </w:r>
      <w:r>
        <w:rPr>
          <w:rFonts w:hint="eastAsia"/>
          <w:bCs/>
          <w:sz w:val="24"/>
        </w:rPr>
        <w:t>在任何交易日日终，持有</w:t>
      </w:r>
      <w:r>
        <w:rPr>
          <w:rFonts w:hint="eastAsia"/>
          <w:sz w:val="24"/>
        </w:rPr>
        <w:t>的</w:t>
      </w:r>
      <w:r>
        <w:rPr>
          <w:rFonts w:hint="eastAsia"/>
          <w:bCs/>
          <w:sz w:val="24"/>
        </w:rPr>
        <w:t>买入国债期货合约价值，</w:t>
      </w:r>
      <w:r>
        <w:rPr>
          <w:rFonts w:hint="eastAsia"/>
          <w:sz w:val="24"/>
        </w:rPr>
        <w:t>不得超过基金资产净值的</w:t>
      </w:r>
      <w:r>
        <w:rPr>
          <w:rFonts w:hint="eastAsia"/>
          <w:bCs/>
          <w:sz w:val="24"/>
        </w:rPr>
        <w:t>15%；</w:t>
      </w:r>
    </w:p>
    <w:p>
      <w:pPr>
        <w:spacing w:line="360" w:lineRule="auto"/>
        <w:ind w:firstLine="480" w:firstLineChars="200"/>
        <w:rPr>
          <w:bCs/>
          <w:sz w:val="24"/>
        </w:rPr>
      </w:pPr>
      <w:r>
        <w:rPr>
          <w:rFonts w:hint="eastAsia" w:ascii="等线" w:hAnsi="等线" w:eastAsia="等线"/>
          <w:bCs/>
          <w:sz w:val="24"/>
        </w:rPr>
        <w:t>②</w:t>
      </w:r>
      <w:r>
        <w:rPr>
          <w:rFonts w:hint="eastAsia"/>
          <w:bCs/>
          <w:sz w:val="24"/>
        </w:rPr>
        <w:t>在任何交易日日终，持有的卖出国债期货合约价值不得超过基金持有的债券总市值的30%；</w:t>
      </w:r>
    </w:p>
    <w:p>
      <w:pPr>
        <w:spacing w:line="360" w:lineRule="auto"/>
        <w:ind w:firstLine="480" w:firstLineChars="200"/>
        <w:rPr>
          <w:bCs/>
          <w:sz w:val="24"/>
        </w:rPr>
      </w:pPr>
      <w:r>
        <w:rPr>
          <w:rFonts w:hint="eastAsia" w:ascii="等线" w:hAnsi="等线" w:eastAsia="等线"/>
          <w:bCs/>
          <w:sz w:val="24"/>
        </w:rPr>
        <w:t>③</w:t>
      </w:r>
      <w:r>
        <w:rPr>
          <w:rFonts w:hint="eastAsia"/>
          <w:bCs/>
          <w:sz w:val="24"/>
        </w:rPr>
        <w:t>基金在任何交易日内交易（不包括平仓）的国债期货合约的成交金额不得超过上一交易日基金资产净值的30%；</w:t>
      </w:r>
    </w:p>
    <w:p>
      <w:pPr>
        <w:autoSpaceDE w:val="0"/>
        <w:autoSpaceDN w:val="0"/>
        <w:adjustRightInd w:val="0"/>
        <w:snapToGrid w:val="0"/>
        <w:spacing w:line="360" w:lineRule="auto"/>
        <w:ind w:firstLine="480" w:firstLineChars="200"/>
        <w:jc w:val="left"/>
        <w:rPr>
          <w:bCs/>
          <w:sz w:val="24"/>
        </w:rPr>
      </w:pPr>
      <w:r>
        <w:rPr>
          <w:rFonts w:hint="eastAsia" w:ascii="等线" w:hAnsi="等线" w:eastAsia="等线"/>
          <w:bCs/>
          <w:sz w:val="24"/>
        </w:rPr>
        <w:t>④</w:t>
      </w:r>
      <w:r>
        <w:rPr>
          <w:rFonts w:hint="eastAsia"/>
          <w:bCs/>
          <w:sz w:val="24"/>
        </w:rPr>
        <w:t>本基金所持有的</w:t>
      </w:r>
      <w:r>
        <w:rPr>
          <w:rFonts w:hint="eastAsia"/>
          <w:sz w:val="24"/>
        </w:rPr>
        <w:t>债券</w:t>
      </w:r>
      <w:r>
        <w:rPr>
          <w:rFonts w:hint="eastAsia"/>
          <w:bCs/>
          <w:sz w:val="24"/>
        </w:rPr>
        <w:t>（不含</w:t>
      </w:r>
      <w:r>
        <w:rPr>
          <w:rFonts w:hint="eastAsia"/>
          <w:sz w:val="24"/>
        </w:rPr>
        <w:t>到期</w:t>
      </w:r>
      <w:r>
        <w:rPr>
          <w:rFonts w:hint="eastAsia"/>
          <w:bCs/>
          <w:sz w:val="24"/>
        </w:rPr>
        <w:t>日在一年以内的政府债券）市值和买入、卖出国债期货合约价值，合计（轧差计算）应当符合基金合同关于债券投资比例的有关约定；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未来法律法规或监管部门取消或变更公开募集证券投资基金参与国债期货交易相关限制的，则本基金投资不再受相关限制或以变更以后的规定为准，无需召开基金份额持有人大会；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13）本基金资产总值不超过基金资产净值的140%；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除上述2）、9）、11）、12）情形之外，因证券</w:t>
      </w:r>
      <w:r>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（3）本基金财产不得用于以下投资或者活动：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7）法律、行政法规和中国证监会规定禁止的其他活动。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本基金投资银行存款应符合如下规定：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3、基金投资银行存款协议的签订、账户开设与管理、投资指令与资金划付、账目核对、到期兑付、提前支取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（1）基金投资银行存款协议的签订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1）基金管理人应与符合资格的存款银行总行或其授权分行签订《存款协议书》。《存款协议书》的格式范本由基金托管人、基金管理人、存款银行总行或其授权分行共同商定。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2）基金托管人依据相关法规对《存款协议书》的内容进行复核，审查存款银行资格等。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6）基金管理人应在《存款协议书》中规定，在存期内，如本基金银行账户、预留印鉴发生变更，</w:t>
      </w:r>
      <w:r>
        <w:rPr>
          <w:rFonts w:hint="eastAsia" w:ascii="宋体" w:hAnsi="宋体"/>
          <w:sz w:val="24"/>
        </w:rPr>
        <w:t>基金</w:t>
      </w:r>
      <w:r>
        <w:rPr>
          <w:rFonts w:ascii="宋体" w:hAnsi="宋体"/>
          <w:sz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（2）基金投资银行存款时的账户开设与管理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1）基金投资于银行存款时，基金管理人应当依据基金管理人与存款银行签订的《存款协议书》等，以基金的名义在存款银行总行或授权分行指定的分支机构开立银行账户。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2）基金投资于银行存款时的预留印鉴由基金托管人保管和使用。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（3）存款凭证传递、账目核对及到期兑付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1）存款证实书等存款凭证传递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2）存款凭证的遗失补办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存款凭证在邮寄过程中遗失的，由基金管理人向存款银行提出补办申请，基金管理人应督促存款银行尽快补办存款凭证，并按以上（1）的方式快递或上门交付至托管人，原存款凭证自动作废。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3）账目核对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每个工作日，基金管理人应与基金托管人核对各项银行存款投资余额及应计利息。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4）到期兑付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如果存款到期日为法定节假日，存款银行顺延至到期后第一个工作日支付，存款银行需按原协议约定利率和实际延期天数支付延期利息。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（4）提前支取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提前支取的具体事项按照基金管理人与存款银行签订的《存款协议书》执行。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（5）基金投资银行存款的监督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5、基金管理人应当对投资中期票据业务进行研究，认真评估中期票据投资业务的风险，本着审慎、勤勉尽责的原则进行中期票据的投资业务，并应符合法律法规及监管机构的相关规定。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10、基金托管人发现基金管理人有重大违规行为，应及时报告中国证监会，同时通知基金管理人限期纠正。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11、侧袋机制的实施和投资运作安排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侧袋机制实施期间，基金合同约定的投资组合比例、投资策略、组合限制、业绩比较基准、风险收益特征等约定仅适用于主袋账户。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（3）基金托管人按照规定开设基金财产的资金账户和证券账户等投资所需的相关账户。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（4）基金托管人对所托管的不同基金财产分别设置账户，确保基金财产的完整与独立。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（7）基金托管人对因为基金管理人投资产生的存放或存管在基金托管人以外机构的基金资产，或交由</w:t>
      </w:r>
      <w:r>
        <w:rPr>
          <w:rFonts w:hint="eastAsia" w:ascii="宋体" w:hAnsi="宋体"/>
          <w:sz w:val="24"/>
        </w:rPr>
        <w:t>期货公司或</w:t>
      </w:r>
      <w:r>
        <w:rPr>
          <w:rFonts w:ascii="宋体" w:hAnsi="宋体"/>
          <w:sz w:val="24"/>
        </w:rPr>
        <w:t>证券公司负责清算交收的基金资产</w:t>
      </w:r>
      <w:r>
        <w:rPr>
          <w:rFonts w:hint="eastAsia" w:ascii="宋体" w:hAnsi="宋体"/>
          <w:sz w:val="24"/>
        </w:rPr>
        <w:t>（包括但不限于期货保证金账户内的资金、期货合约等）</w:t>
      </w:r>
      <w:r>
        <w:rPr>
          <w:rFonts w:ascii="宋体" w:hAnsi="宋体"/>
          <w:sz w:val="24"/>
        </w:rPr>
        <w:t>及其收益，由于该等机构或该机构会员单位等本协议当事人外第三方的欺诈、疏忽、过失或破产等原因给基金资产造成的损失等不承担责任。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（8）除依据法律法规和基金合同的规定外，基金托管人不得委托第三人托管基金财产。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2、基金募集期间及募集资金的验资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（3）若基金募集期限届满，未能达到基金合同生效的条件，由基金管理人按规定办理退款等事宜。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3、基金资金账户的开立和管理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交银施罗德稳安30天滚动持有债券型证券投资基金”，预留印鉴为基金托管人印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（3）基金资金账户的开立和管理应符合法律法规及银行业监督管理机构的有关规定。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4、基金证券账户和结算备付金账户的开立和管理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5、债券托管账户的开设和管理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6、其他账户的开立和管理</w:t>
      </w:r>
    </w:p>
    <w:p>
      <w:pPr>
        <w:adjustRightInd w:val="0"/>
        <w:snapToGrid w:val="0"/>
        <w:spacing w:line="360" w:lineRule="auto"/>
        <w:ind w:firstLine="480" w:firstLineChars="200"/>
        <w:rPr>
          <w:rFonts w:ascii="宋体" w:hAnsi="宋体"/>
          <w:sz w:val="24"/>
        </w:rPr>
      </w:pPr>
      <w:r>
        <w:rPr>
          <w:rFonts w:hint="eastAsia" w:ascii="宋体" w:hAnsi="宋体"/>
          <w:sz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（2）因业务发展需要而开立的其他账户，可以根据法律法规和基金合同的规定，由基金管理人协助基金托管人按照有关法律法规和本协议的约定协商后开立。新账户按有关规定使用并管理。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（3）法律法规等有关规定对相关账户的开立和管理另有规定的，从其规定办理。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7、基金财产投资的有关有价凭证等的保管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（五）基金资产净值计算与复核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1、基金资产净值的计算、复核与完成的时间及程序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类基金份额的基金份额净值是按照每个工作日闭市后，任一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基金管理人于每个工作日分别计算各类基金份额的基金资产净值、基金份额净值，经基金托管人复核，按规定公告，但基金管理人根据法律法规或基金合同的规定暂停估值时除外。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2、基金资产的估值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基金管理人及基金托管人应当按照《基金合同》的约定进行估值。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3、基金份额净值错误的处理方式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基金管理人及基金托管人应当按照《基金合同》的约定处理份额净值错误。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按国家有关部门规定的会计制度执行。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5、基金账册的建立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6、基金财务报表与报告的编制和复核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（1）财务报表的编制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基金财务报表由基金管理人编制，基金托管人复核。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（2）报表复核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（3）财务报表的编制与复核时间安排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7、在有需要时，基金管理人应每季度向基金托管人提供基金业绩比较基准的基础数据和编制结果。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8、实施侧袋机制期间的基金资产估值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本基金实施侧袋机制的，应根据基金合同的约定对主袋账户资产进行估值并披露主袋账户的基金净值信息，暂停披露侧袋账户份额净值。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（六）基金份额持有人名册的保管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本协议受中华人民共和国法律（不含港澳台地区法律）管辖。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（八）托管协议的变更、终止与基金财产的清算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2、基金托管协议终止的情形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（3）基金管理人因解散、破产、撤销等事由，不能继续担任基金管理人的职务，而在6个月内无其他适当的基金管理机构承接其原有权利义务；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（4）发生法律法规或《基金合同》规定的其他终止事项。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基金管理人与基金托管人按照《基金合同》的约定处理基金财产的清算。</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183509531"/>
      <w:r>
        <w:rPr>
          <w:rFonts w:ascii="Times New Roman" w:hAnsi="Times New Roman"/>
          <w:sz w:val="30"/>
        </w:rPr>
        <w:t>二十二、对基金份额持有人的服务</w:t>
      </w:r>
      <w:bookmarkEnd w:id="2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1、每次交易结束后，投资人可在T+2个工作日后通过销售机构的网点查询和打印确认单；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场外申购、赎回、定期定额投资等业务。通过网上直销交易平台办理本基金A类基金份额申购业务的个人投资者将享受申购费率的优惠，其他费率标准不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基金网上直销交易平台已开通的银行卡及各银行卡交易金额限额请参阅本基金管理人网站。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投资人可以拨打本基金管理人客户服务电话投诉直销机构的人员和服务。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（四）基金红利再投资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本基金已开通定期定额投资计划，具体实施方法请参见相关公告。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投资者也可登录本基金管理人网站，直接提出有关本基金的问题和建议。</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183509532"/>
      <w:r>
        <w:rPr>
          <w:rFonts w:ascii="Times New Roman" w:hAnsi="Times New Roman"/>
          <w:sz w:val="30"/>
        </w:rPr>
        <w:t>二十三、其他应披露事项</w:t>
      </w:r>
      <w:bookmarkEnd w:id="2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交银施罗德基金管理有限公司关于旗下部分基金调整销售对象并修改招募说明书的公告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交银施罗德稳安30天滚动持有债券型证券投资基金（A类份额）基金产品资料概要更新(2023年第1号)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交银施罗德稳安30天滚动持有债券型证券投资基金（C类份额）基金产品资料概要更新(2023年第1号)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交银施罗德稳安30天滚动持有债券型证券投资基金（更新）招募说明书(2023年第1号)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交银施罗德基金管理有限公司关于增加国泰君安证券股份有限公司为旗下基金的销售机构的公告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交银施罗德稳安30天滚动持有债券型证券投资基金(更新)招募说明书(2023年第2号)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交银施罗德稳安30天滚动持有债券型证券投资基金（A类份额）基金产品资料概要更新(2023年第2号)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交银施罗德稳安30天滚动持有债券型证券投资基金（C类份额）基金产品资料概要更新(2023年第2号)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交银施罗德稳安30天滚动持有债券型证券投资基金2023年第三季度报告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交银施罗德基金管理有限公司关于增加东方财富证券股份有限公司为旗下基金销售机构的公告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交银施罗德基金管理有限公司关于交银施罗德稳安30天滚动持有债券型证券投资基金基金经理变更的公告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2024-01-10</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交银施罗德稳安30天滚动持有债券型证券投资基金(更新)招募说明书(2024年第1号)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交银施罗德稳安30天滚动持有债券型证券投资基金（A类份额）基金产品资料概要更新(2024年第1号)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交银施罗德稳安30天滚动持有债券型证券投资基金（C类份额）基金产品资料概要更新(2024年第1号)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交银施罗德稳安30天滚动持有债券型证券投资基金2023年第4季度报告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交银施罗德基金管理有限公司关于增加玄元保险代理有限公司为旗下基金销售机构的公告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交银施罗德基金管理有限公司关于增加珠海盈米基金销售有限公司为旗下基金销售机构的公告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交银施罗德稳安30天滚动持有债券型证券投资基金2023年年度报告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交银施罗德基金管理有限公司关于交银施罗德稳安30天滚动持有债券型证券投资基金基金资产净值连续低于5000万元的提示性公告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交银施罗德基金管理有限公司关于增加北京雪球基金销售有限公司为旗下基金销售机构的公告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交银施罗德稳安30天滚动持有债券型证券投资基金2024年第1季度报告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交银施罗德稳安30天滚动持有债券型证券投资基金（A类份额）基金产品资料概要更新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交银施罗德稳安30天滚动持有债券型证券投资基金（C类份额）基金产品资料概要更新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交银施罗德基金管理有限公司关于增加上海华夏财富投资管理有限公司为旗下基金销售机构的公告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交银施罗德稳安30天滚动持有债券型证券投资基金2024年第2季度报告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交银施罗德基金管理有限公司关于增加上海基煜基金销售有限公司为旗下基金的销售机构的公告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交银施罗德基金管理有限公司旗下全部基金2024年中期报告提示性公告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交银施罗德稳安30天滚动持有债券型证券投资基金2024年中期报告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交银施罗德基金管理有限公司关于增加上海浦东发展银行股份有限公司为旗下基金的销售机构的公告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2024-09-02</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183509533"/>
      <w:r>
        <w:rPr>
          <w:rFonts w:ascii="Times New Roman" w:hAnsi="Times New Roman"/>
          <w:sz w:val="30"/>
        </w:rPr>
        <w:t>二十四、招募说明书的存放及查阅方式</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183509534"/>
      <w:r>
        <w:rPr>
          <w:rFonts w:ascii="Times New Roman" w:hAnsi="Times New Roman"/>
          <w:sz w:val="30"/>
        </w:rPr>
        <w:t>二十五、备查文件</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（一）中国证监会准予交银施罗德稳安30天滚动持有债券型证券投资基金募集注册的文件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（二）《交银施罗德稳安30天滚动持有债券型证券投资基金基金合同》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（三）《交银施罗德稳安30天滚动持有债券型证券投资基金托管协议》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（六）关于申请募集注册交银施罗德稳安30天滚动持有债券型证券投资基金的法律意见书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iTJ32gAAAA0BAAAPAAAAAAAAAAEAIAAAACIAAABkcnMvZG93bnJl&#10;di54bWxQSwECFAAUAAAACACHTuJAvfUcm/sBAAADBAAADgAAAAAAAAABACAAAAApAQAAZHJzL2Uy&#10;b0RvYy54bWxQSwUGAAAAAAYABgBZAQAAlg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134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j7vjaAAAADQEAAA8AAAAAAAAAAQAgAAAAIgAAAGRycy9kb3du&#10;cmV2LnhtbFBLAQIUABQAAAAIAIdO4kCqBm2W/QEAAAQEAAAOAAAAAAAAAAEAIAAAACkBAABkcnMv&#10;ZTJvRG9jLnhtbFBLBQYAAAAABgAGAFkBAACY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134</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交银施罗德稳安30天滚动持有债券型证券投资基金招募说明书更新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交银施罗德稳安30天滚动持有债券型证券投资基金招募说明书更新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交银施罗德稳安30天滚动持有债券型证券投资基金招募说明书更新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revisionView w:markup="0"/>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11FF"/>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1413"/>
    <w:rsid w:val="0007638A"/>
    <w:rsid w:val="00076B6E"/>
    <w:rsid w:val="000816EA"/>
    <w:rsid w:val="00081744"/>
    <w:rsid w:val="000828CE"/>
    <w:rsid w:val="000833CB"/>
    <w:rsid w:val="00083491"/>
    <w:rsid w:val="00084078"/>
    <w:rsid w:val="000843B3"/>
    <w:rsid w:val="000869C2"/>
    <w:rsid w:val="00087F4C"/>
    <w:rsid w:val="00090648"/>
    <w:rsid w:val="00091A50"/>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0370"/>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1781"/>
    <w:rsid w:val="00341F8F"/>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6A6"/>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4F3B"/>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6B33"/>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2CD"/>
    <w:rsid w:val="004D49E3"/>
    <w:rsid w:val="004D7163"/>
    <w:rsid w:val="004E0366"/>
    <w:rsid w:val="004E1C30"/>
    <w:rsid w:val="004E3342"/>
    <w:rsid w:val="004E45AC"/>
    <w:rsid w:val="004E4672"/>
    <w:rsid w:val="004E5593"/>
    <w:rsid w:val="004E7A1E"/>
    <w:rsid w:val="004E7F1A"/>
    <w:rsid w:val="004F0352"/>
    <w:rsid w:val="004F0740"/>
    <w:rsid w:val="004F2FE2"/>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0CAF"/>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797"/>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C62"/>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2F08"/>
    <w:rsid w:val="007D4B1A"/>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10D4"/>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21D6"/>
    <w:rsid w:val="008C4D11"/>
    <w:rsid w:val="008D1F2D"/>
    <w:rsid w:val="008D3FE9"/>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95DF7"/>
    <w:rsid w:val="00996FA6"/>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77B"/>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4A8E"/>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59DF"/>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3CD5"/>
    <w:rsid w:val="00AC4067"/>
    <w:rsid w:val="00AC53DF"/>
    <w:rsid w:val="00AC54F8"/>
    <w:rsid w:val="00AC692A"/>
    <w:rsid w:val="00AD0F08"/>
    <w:rsid w:val="00AD14E2"/>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3290"/>
    <w:rsid w:val="00CB5515"/>
    <w:rsid w:val="00CB76EF"/>
    <w:rsid w:val="00CB7840"/>
    <w:rsid w:val="00CC0184"/>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5D0"/>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651D"/>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2E37DBB"/>
    <w:rsid w:val="19E87265"/>
    <w:rsid w:val="1A113708"/>
    <w:rsid w:val="2F70251F"/>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uiPriority w:val="0"/>
    <w:pPr>
      <w:jc w:val="left"/>
    </w:pPr>
  </w:style>
  <w:style w:type="paragraph" w:styleId="7">
    <w:name w:val="Balloon Text"/>
    <w:basedOn w:val="1"/>
    <w:semiHidden/>
    <w:qFormat/>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 w:type="paragraph" w:customStyle="1" w:styleId="4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136</Pages>
  <Words>14703</Words>
  <Characters>83808</Characters>
  <Lines>698</Lines>
  <Paragraphs>196</Paragraphs>
  <TotalTime>0</TotalTime>
  <ScaleCrop>false</ScaleCrop>
  <LinksUpToDate>false</LinksUpToDate>
  <CharactersWithSpaces>98315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2025-01-14T01:27:00Z</dcterms:created>
  <dc:creator>系统用户</dc:creator>
  <cp:lastModifiedBy>haotingting</cp:lastModifiedBy>
  <cp:lastPrinted>2013-02-18T03:10:00Z</cp:lastPrinted>
  <dcterms:modified xsi:type="dcterms:W3CDTF">2025-06-04T06:29:57Z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869DE305FCBC4E4FB54A5277D2D9E2FD</vt:lpwstr>
  </property>
</Properties>
</file>