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DC1D8D" w14:textId="77777777" w:rsidR="00B80D0C" w:rsidRDefault="00B80D0C">
      <w:pPr>
        <w:adjustRightInd w:val="0"/>
        <w:snapToGrid w:val="0"/>
        <w:jc w:val="center"/>
        <w:rPr>
          <w:rFonts w:ascii="彩虹粗仿宋" w:eastAsia="彩虹粗仿宋" w:hAnsi="宋体" w:cs="Arial"/>
          <w:b/>
          <w:sz w:val="44"/>
        </w:rPr>
      </w:pPr>
      <w:bookmarkStart w:id="0" w:name="_GoBack"/>
      <w:bookmarkEnd w:id="0"/>
    </w:p>
    <w:p w14:paraId="6866627E" w14:textId="77777777" w:rsidR="00B80D0C" w:rsidRDefault="00B80D0C">
      <w:pPr>
        <w:adjustRightInd w:val="0"/>
        <w:snapToGrid w:val="0"/>
        <w:jc w:val="center"/>
        <w:rPr>
          <w:rFonts w:ascii="彩虹粗仿宋" w:eastAsia="彩虹粗仿宋" w:hAnsi="宋体" w:cs="Arial"/>
          <w:b/>
          <w:sz w:val="44"/>
        </w:rPr>
      </w:pPr>
    </w:p>
    <w:p w14:paraId="3ADD656C" w14:textId="77777777" w:rsidR="00B80D0C" w:rsidRDefault="00B80D0C">
      <w:pPr>
        <w:adjustRightInd w:val="0"/>
        <w:snapToGrid w:val="0"/>
        <w:jc w:val="center"/>
        <w:rPr>
          <w:rFonts w:ascii="彩虹粗仿宋" w:eastAsia="彩虹粗仿宋" w:hAnsi="宋体" w:cs="Arial"/>
          <w:b/>
          <w:sz w:val="44"/>
        </w:rPr>
      </w:pPr>
    </w:p>
    <w:p w14:paraId="5A88BE6B" w14:textId="3F1C3770" w:rsidR="00B80D0C" w:rsidRDefault="00067AC8">
      <w:pPr>
        <w:adjustRightInd w:val="0"/>
        <w:snapToGrid w:val="0"/>
        <w:jc w:val="center"/>
        <w:rPr>
          <w:rFonts w:ascii="彩虹粗仿宋" w:eastAsia="彩虹粗仿宋" w:hAnsi="宋体" w:cs="Arial"/>
          <w:b/>
          <w:sz w:val="44"/>
        </w:rPr>
      </w:pPr>
      <w:r>
        <w:rPr>
          <w:rFonts w:ascii="彩虹粗仿宋" w:eastAsia="彩虹粗仿宋" w:hAnsi="宋体" w:cs="Arial"/>
          <w:b/>
          <w:noProof/>
          <w:sz w:val="44"/>
        </w:rPr>
        <w:drawing>
          <wp:inline distT="0" distB="0" distL="0" distR="0" wp14:anchorId="74D121C0" wp14:editId="72443E70">
            <wp:extent cx="4356100" cy="584200"/>
            <wp:effectExtent l="0" t="0" r="0" b="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56100" cy="584200"/>
                    </a:xfrm>
                    <a:prstGeom prst="rect">
                      <a:avLst/>
                    </a:prstGeom>
                    <a:noFill/>
                    <a:ln>
                      <a:noFill/>
                    </a:ln>
                  </pic:spPr>
                </pic:pic>
              </a:graphicData>
            </a:graphic>
          </wp:inline>
        </w:drawing>
      </w:r>
    </w:p>
    <w:p w14:paraId="4AFDF513" w14:textId="77777777" w:rsidR="00B80D0C" w:rsidRDefault="00B80D0C">
      <w:pPr>
        <w:adjustRightInd w:val="0"/>
        <w:snapToGrid w:val="0"/>
        <w:jc w:val="center"/>
        <w:rPr>
          <w:rFonts w:ascii="彩虹粗仿宋" w:eastAsia="彩虹粗仿宋" w:hAnsi="宋体" w:cs="Arial"/>
          <w:b/>
          <w:sz w:val="44"/>
        </w:rPr>
      </w:pPr>
    </w:p>
    <w:p w14:paraId="0BAFAA74" w14:textId="77777777" w:rsidR="00B80D0C" w:rsidRDefault="00B80D0C">
      <w:pPr>
        <w:adjustRightInd w:val="0"/>
        <w:snapToGrid w:val="0"/>
        <w:jc w:val="center"/>
        <w:rPr>
          <w:rFonts w:ascii="彩虹粗仿宋" w:eastAsia="彩虹粗仿宋" w:hAnsi="宋体" w:cs="Arial"/>
          <w:b/>
          <w:sz w:val="44"/>
        </w:rPr>
      </w:pPr>
    </w:p>
    <w:p w14:paraId="6D2AE1BB" w14:textId="36C0EFAA" w:rsidR="00B80D0C" w:rsidRDefault="00916999">
      <w:pPr>
        <w:adjustRightInd w:val="0"/>
        <w:snapToGrid w:val="0"/>
        <w:jc w:val="center"/>
        <w:rPr>
          <w:rFonts w:ascii="彩虹粗仿宋" w:eastAsia="彩虹粗仿宋" w:hAnsi="宋体" w:cs="Arial"/>
          <w:b/>
          <w:sz w:val="44"/>
        </w:rPr>
      </w:pPr>
      <w:r w:rsidRPr="00B66555">
        <w:rPr>
          <w:rFonts w:ascii="彩虹粗仿宋" w:eastAsia="彩虹粗仿宋" w:hAnsi="宋体" w:cs="Arial" w:hint="eastAsia"/>
          <w:b/>
          <w:sz w:val="44"/>
        </w:rPr>
        <w:t>交银施罗德国证新能源指数证券投资基金（</w:t>
      </w:r>
      <w:r w:rsidRPr="00B66555">
        <w:rPr>
          <w:rFonts w:ascii="彩虹粗仿宋" w:eastAsia="彩虹粗仿宋" w:hAnsi="宋体" w:cs="Arial"/>
          <w:b/>
          <w:sz w:val="44"/>
        </w:rPr>
        <w:t>LOF</w:t>
      </w:r>
      <w:r w:rsidRPr="00B66555">
        <w:rPr>
          <w:rFonts w:ascii="彩虹粗仿宋" w:eastAsia="彩虹粗仿宋" w:hAnsi="宋体" w:cs="Arial" w:hint="eastAsia"/>
          <w:b/>
          <w:sz w:val="44"/>
        </w:rPr>
        <w:t>）</w:t>
      </w:r>
    </w:p>
    <w:p w14:paraId="2122A89D" w14:textId="3663FF1E" w:rsidR="00B80D0C" w:rsidRDefault="00916999">
      <w:pPr>
        <w:adjustRightInd w:val="0"/>
        <w:snapToGrid w:val="0"/>
        <w:jc w:val="center"/>
        <w:rPr>
          <w:rFonts w:ascii="彩虹粗仿宋" w:eastAsia="彩虹粗仿宋" w:hAnsi="宋体" w:cs="Arial"/>
          <w:b/>
          <w:sz w:val="44"/>
        </w:rPr>
      </w:pPr>
      <w:r>
        <w:rPr>
          <w:rFonts w:ascii="彩虹粗仿宋" w:eastAsia="彩虹粗仿宋" w:hAnsi="宋体" w:cs="Arial" w:hint="eastAsia"/>
          <w:b/>
          <w:sz w:val="44"/>
        </w:rPr>
        <w:t>托管协议</w:t>
      </w:r>
    </w:p>
    <w:p w14:paraId="49AB553E" w14:textId="77777777" w:rsidR="00B80D0C" w:rsidRDefault="00B80D0C">
      <w:pPr>
        <w:adjustRightInd w:val="0"/>
        <w:snapToGrid w:val="0"/>
        <w:ind w:firstLineChars="200" w:firstLine="480"/>
        <w:jc w:val="center"/>
        <w:rPr>
          <w:rFonts w:ascii="彩虹粗仿宋" w:eastAsia="彩虹粗仿宋" w:hAnsi="宋体" w:cs="Arial"/>
          <w:sz w:val="24"/>
        </w:rPr>
      </w:pPr>
    </w:p>
    <w:p w14:paraId="4CF20CEE" w14:textId="77777777" w:rsidR="00B80D0C" w:rsidRDefault="00B80D0C">
      <w:pPr>
        <w:adjustRightInd w:val="0"/>
        <w:snapToGrid w:val="0"/>
        <w:ind w:firstLineChars="200" w:firstLine="480"/>
        <w:jc w:val="center"/>
        <w:rPr>
          <w:rFonts w:ascii="彩虹粗仿宋" w:eastAsia="彩虹粗仿宋" w:hAnsi="宋体" w:cs="Arial"/>
          <w:sz w:val="24"/>
        </w:rPr>
      </w:pPr>
    </w:p>
    <w:p w14:paraId="7CE6E564" w14:textId="77777777" w:rsidR="00B80D0C" w:rsidRDefault="00B80D0C">
      <w:pPr>
        <w:adjustRightInd w:val="0"/>
        <w:snapToGrid w:val="0"/>
        <w:ind w:firstLineChars="200" w:firstLine="480"/>
        <w:jc w:val="center"/>
        <w:rPr>
          <w:rFonts w:ascii="彩虹粗仿宋" w:eastAsia="彩虹粗仿宋" w:hAnsi="宋体" w:cs="Arial"/>
          <w:sz w:val="24"/>
        </w:rPr>
      </w:pPr>
    </w:p>
    <w:p w14:paraId="40FB32DA" w14:textId="77777777" w:rsidR="00B80D0C" w:rsidRDefault="00B80D0C">
      <w:pPr>
        <w:adjustRightInd w:val="0"/>
        <w:snapToGrid w:val="0"/>
        <w:ind w:firstLineChars="200" w:firstLine="480"/>
        <w:jc w:val="center"/>
        <w:rPr>
          <w:rFonts w:ascii="彩虹粗仿宋" w:eastAsia="彩虹粗仿宋" w:hAnsi="宋体" w:cs="Arial"/>
          <w:sz w:val="24"/>
        </w:rPr>
      </w:pPr>
    </w:p>
    <w:p w14:paraId="7FDAA30B" w14:textId="77777777" w:rsidR="00B80D0C" w:rsidRDefault="00B80D0C">
      <w:pPr>
        <w:adjustRightInd w:val="0"/>
        <w:snapToGrid w:val="0"/>
        <w:ind w:firstLineChars="200" w:firstLine="480"/>
        <w:jc w:val="center"/>
        <w:rPr>
          <w:rFonts w:ascii="彩虹粗仿宋" w:eastAsia="彩虹粗仿宋" w:hAnsi="宋体" w:cs="Arial"/>
          <w:sz w:val="24"/>
        </w:rPr>
      </w:pPr>
    </w:p>
    <w:p w14:paraId="01ADD2A3" w14:textId="77777777" w:rsidR="00B80D0C" w:rsidRDefault="00B80D0C">
      <w:pPr>
        <w:adjustRightInd w:val="0"/>
        <w:snapToGrid w:val="0"/>
        <w:ind w:firstLineChars="200" w:firstLine="480"/>
        <w:jc w:val="center"/>
        <w:rPr>
          <w:rFonts w:ascii="彩虹粗仿宋" w:eastAsia="彩虹粗仿宋" w:hAnsi="宋体" w:cs="Arial"/>
          <w:sz w:val="24"/>
        </w:rPr>
      </w:pPr>
    </w:p>
    <w:p w14:paraId="04767197" w14:textId="77777777" w:rsidR="00B80D0C" w:rsidRDefault="00B80D0C">
      <w:pPr>
        <w:adjustRightInd w:val="0"/>
        <w:snapToGrid w:val="0"/>
        <w:ind w:firstLineChars="200" w:firstLine="480"/>
        <w:jc w:val="center"/>
        <w:rPr>
          <w:rFonts w:ascii="彩虹粗仿宋" w:eastAsia="彩虹粗仿宋" w:hAnsi="宋体" w:cs="Arial"/>
          <w:sz w:val="24"/>
        </w:rPr>
      </w:pPr>
    </w:p>
    <w:p w14:paraId="4EF04E14" w14:textId="77777777" w:rsidR="00B80D0C" w:rsidRDefault="00B80D0C">
      <w:pPr>
        <w:adjustRightInd w:val="0"/>
        <w:snapToGrid w:val="0"/>
        <w:ind w:firstLineChars="200" w:firstLine="480"/>
        <w:jc w:val="center"/>
        <w:rPr>
          <w:rFonts w:ascii="彩虹粗仿宋" w:eastAsia="彩虹粗仿宋" w:hAnsi="宋体" w:cs="Arial"/>
          <w:sz w:val="24"/>
        </w:rPr>
      </w:pPr>
    </w:p>
    <w:p w14:paraId="73F023C7" w14:textId="77777777" w:rsidR="00B80D0C" w:rsidRDefault="00B80D0C">
      <w:pPr>
        <w:adjustRightInd w:val="0"/>
        <w:snapToGrid w:val="0"/>
        <w:ind w:firstLineChars="200" w:firstLine="480"/>
        <w:jc w:val="center"/>
        <w:rPr>
          <w:rFonts w:ascii="彩虹粗仿宋" w:eastAsia="彩虹粗仿宋" w:hAnsi="宋体" w:cs="Arial"/>
          <w:sz w:val="24"/>
        </w:rPr>
      </w:pPr>
    </w:p>
    <w:p w14:paraId="5E9987FF" w14:textId="77777777" w:rsidR="00B80D0C" w:rsidRDefault="00B80D0C">
      <w:pPr>
        <w:adjustRightInd w:val="0"/>
        <w:snapToGrid w:val="0"/>
        <w:ind w:firstLineChars="200" w:firstLine="480"/>
        <w:jc w:val="center"/>
        <w:rPr>
          <w:rFonts w:ascii="彩虹粗仿宋" w:eastAsia="彩虹粗仿宋" w:hAnsi="宋体" w:cs="Arial"/>
          <w:sz w:val="24"/>
        </w:rPr>
      </w:pPr>
    </w:p>
    <w:p w14:paraId="43032178"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基金管理人：交银</w:t>
      </w:r>
      <w:r>
        <w:rPr>
          <w:rFonts w:ascii="彩虹粗仿宋" w:eastAsia="彩虹粗仿宋" w:hAnsi="宋体" w:cs="Arial"/>
          <w:sz w:val="24"/>
        </w:rPr>
        <w:t>施罗德</w:t>
      </w:r>
      <w:r>
        <w:rPr>
          <w:rFonts w:ascii="彩虹粗仿宋" w:eastAsia="彩虹粗仿宋" w:hAnsi="宋体" w:cs="Arial" w:hint="eastAsia"/>
          <w:sz w:val="24"/>
        </w:rPr>
        <w:t>基金管理有限公司</w:t>
      </w:r>
    </w:p>
    <w:p w14:paraId="6A27DEA5" w14:textId="77777777"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基金托管人：中国建设银行股份有限公司</w:t>
      </w:r>
    </w:p>
    <w:p w14:paraId="169548EB" w14:textId="77777777" w:rsidR="00B80D0C" w:rsidRDefault="00B80D0C">
      <w:pPr>
        <w:adjustRightInd w:val="0"/>
        <w:snapToGrid w:val="0"/>
        <w:ind w:firstLineChars="200" w:firstLine="480"/>
        <w:jc w:val="center"/>
        <w:rPr>
          <w:rFonts w:ascii="彩虹粗仿宋" w:eastAsia="彩虹粗仿宋" w:hAnsi="宋体" w:cs="Arial"/>
          <w:sz w:val="24"/>
        </w:rPr>
      </w:pPr>
    </w:p>
    <w:p w14:paraId="781B2533" w14:textId="77777777" w:rsidR="00B80D0C" w:rsidRDefault="00B80D0C">
      <w:pPr>
        <w:adjustRightInd w:val="0"/>
        <w:snapToGrid w:val="0"/>
        <w:ind w:firstLineChars="200" w:firstLine="480"/>
        <w:jc w:val="center"/>
        <w:rPr>
          <w:rFonts w:ascii="彩虹粗仿宋" w:eastAsia="彩虹粗仿宋" w:hAnsi="宋体" w:cs="Arial"/>
          <w:sz w:val="24"/>
        </w:rPr>
      </w:pPr>
    </w:p>
    <w:p w14:paraId="446F20D2" w14:textId="77777777" w:rsidR="00B80D0C" w:rsidRDefault="00B80D0C">
      <w:pPr>
        <w:adjustRightInd w:val="0"/>
        <w:snapToGrid w:val="0"/>
        <w:ind w:firstLineChars="200" w:firstLine="480"/>
        <w:jc w:val="center"/>
        <w:rPr>
          <w:rFonts w:ascii="彩虹粗仿宋" w:eastAsia="彩虹粗仿宋" w:hAnsi="宋体" w:cs="Arial"/>
          <w:sz w:val="24"/>
        </w:rPr>
      </w:pPr>
    </w:p>
    <w:p w14:paraId="764AE58A" w14:textId="6CA78E85" w:rsidR="00B80D0C" w:rsidRDefault="00916999">
      <w:pPr>
        <w:adjustRightInd w:val="0"/>
        <w:snapToGrid w:val="0"/>
        <w:ind w:firstLineChars="200" w:firstLine="480"/>
        <w:jc w:val="center"/>
        <w:rPr>
          <w:rFonts w:ascii="彩虹粗仿宋" w:eastAsia="彩虹粗仿宋" w:hAnsi="宋体" w:cs="Arial"/>
          <w:sz w:val="24"/>
        </w:rPr>
      </w:pPr>
      <w:r>
        <w:rPr>
          <w:rFonts w:ascii="彩虹粗仿宋" w:eastAsia="彩虹粗仿宋" w:hAnsi="宋体" w:cs="Arial" w:hint="eastAsia"/>
          <w:sz w:val="24"/>
        </w:rPr>
        <w:t>二零二</w:t>
      </w:r>
      <w:r w:rsidR="00154B93">
        <w:rPr>
          <w:rFonts w:ascii="彩虹粗仿宋" w:eastAsia="彩虹粗仿宋" w:hAnsi="宋体" w:cs="Arial" w:hint="eastAsia"/>
          <w:sz w:val="24"/>
        </w:rPr>
        <w:t>五</w:t>
      </w:r>
      <w:r>
        <w:rPr>
          <w:rFonts w:ascii="彩虹粗仿宋" w:eastAsia="彩虹粗仿宋" w:hAnsi="宋体" w:cs="Arial" w:hint="eastAsia"/>
          <w:sz w:val="24"/>
        </w:rPr>
        <w:t>年</w:t>
      </w:r>
      <w:r w:rsidR="00154B93">
        <w:rPr>
          <w:rFonts w:ascii="彩虹粗仿宋" w:eastAsia="彩虹粗仿宋" w:hAnsi="宋体" w:cs="Arial" w:hint="eastAsia"/>
          <w:sz w:val="24"/>
        </w:rPr>
        <w:t>三</w:t>
      </w:r>
      <w:r>
        <w:rPr>
          <w:rFonts w:ascii="彩虹粗仿宋" w:eastAsia="彩虹粗仿宋" w:hAnsi="宋体" w:cs="Arial" w:hint="eastAsia"/>
          <w:sz w:val="24"/>
        </w:rPr>
        <w:t>月</w:t>
      </w:r>
    </w:p>
    <w:p w14:paraId="3254C363" w14:textId="77777777" w:rsidR="00B80D0C" w:rsidRDefault="00B80D0C">
      <w:pPr>
        <w:adjustRightInd w:val="0"/>
        <w:snapToGrid w:val="0"/>
        <w:ind w:firstLineChars="200" w:firstLine="480"/>
        <w:jc w:val="center"/>
        <w:rPr>
          <w:rFonts w:ascii="彩虹粗仿宋" w:eastAsia="彩虹粗仿宋" w:hAnsi="宋体" w:cs="Arial"/>
          <w:sz w:val="24"/>
        </w:rPr>
      </w:pPr>
    </w:p>
    <w:p w14:paraId="78D8884D" w14:textId="77777777" w:rsidR="00B80D0C" w:rsidRDefault="00B80D0C">
      <w:pPr>
        <w:adjustRightInd w:val="0"/>
        <w:snapToGrid w:val="0"/>
        <w:jc w:val="center"/>
        <w:rPr>
          <w:rFonts w:ascii="彩虹粗仿宋" w:eastAsia="彩虹粗仿宋" w:hAnsi="宋体" w:cs="Arial"/>
          <w:bCs/>
          <w:sz w:val="24"/>
        </w:rPr>
        <w:sectPr w:rsidR="00B80D0C">
          <w:footerReference w:type="even" r:id="rId8"/>
          <w:footerReference w:type="default" r:id="rId9"/>
          <w:pgSz w:w="11906" w:h="16838"/>
          <w:pgMar w:top="1418" w:right="1701" w:bottom="1418" w:left="1701" w:header="851" w:footer="992" w:gutter="0"/>
          <w:cols w:space="425"/>
          <w:docGrid w:type="lines" w:linePitch="312"/>
        </w:sectPr>
      </w:pPr>
    </w:p>
    <w:p w14:paraId="25F1DBEC" w14:textId="77777777" w:rsidR="00B80D0C" w:rsidRDefault="00916999">
      <w:pPr>
        <w:jc w:val="center"/>
        <w:rPr>
          <w:rFonts w:ascii="彩虹粗仿宋" w:eastAsia="彩虹粗仿宋"/>
          <w:b/>
          <w:bCs/>
          <w:sz w:val="30"/>
        </w:rPr>
      </w:pPr>
      <w:r>
        <w:rPr>
          <w:rFonts w:ascii="彩虹粗仿宋" w:eastAsia="彩虹粗仿宋" w:hint="eastAsia"/>
          <w:b/>
          <w:bCs/>
          <w:sz w:val="30"/>
        </w:rPr>
        <w:lastRenderedPageBreak/>
        <w:t>目    录</w:t>
      </w:r>
    </w:p>
    <w:p w14:paraId="4A8EC094" w14:textId="0F38C556" w:rsidR="00B80D0C" w:rsidRDefault="00916999">
      <w:pPr>
        <w:pStyle w:val="23"/>
        <w:tabs>
          <w:tab w:val="right" w:leader="dot" w:pos="8494"/>
        </w:tabs>
        <w:rPr>
          <w:rFonts w:ascii="彩虹粗仿宋" w:eastAsia="彩虹粗仿宋" w:hAnsi="宋体"/>
          <w:noProof/>
          <w:sz w:val="28"/>
        </w:rPr>
      </w:pPr>
      <w:r>
        <w:rPr>
          <w:rFonts w:ascii="彩虹粗仿宋" w:eastAsia="彩虹粗仿宋" w:hAnsi="宋体" w:hint="eastAsia"/>
          <w:sz w:val="28"/>
        </w:rPr>
        <w:fldChar w:fldCharType="begin"/>
      </w:r>
      <w:r>
        <w:rPr>
          <w:rFonts w:ascii="彩虹粗仿宋" w:eastAsia="彩虹粗仿宋" w:hAnsi="宋体" w:hint="eastAsia"/>
          <w:sz w:val="28"/>
        </w:rPr>
        <w:instrText xml:space="preserve"> TOC \o "1-2" \h \z </w:instrText>
      </w:r>
      <w:r>
        <w:rPr>
          <w:rFonts w:ascii="彩虹粗仿宋" w:eastAsia="彩虹粗仿宋" w:hAnsi="宋体" w:hint="eastAsia"/>
          <w:sz w:val="28"/>
        </w:rPr>
        <w:fldChar w:fldCharType="separate"/>
      </w:r>
      <w:hyperlink w:anchor="_Toc124325885" w:history="1">
        <w:r>
          <w:rPr>
            <w:rStyle w:val="af6"/>
            <w:rFonts w:ascii="彩虹粗仿宋" w:eastAsia="彩虹粗仿宋" w:hAnsi="宋体" w:hint="eastAsia"/>
            <w:noProof/>
            <w:sz w:val="28"/>
            <w:szCs w:val="32"/>
          </w:rPr>
          <w:t>一、基金托管协议当事人</w:t>
        </w:r>
        <w:r>
          <w:rPr>
            <w:rFonts w:ascii="彩虹粗仿宋" w:eastAsia="彩虹粗仿宋" w:hAnsi="宋体" w:hint="eastAsia"/>
            <w:noProof/>
            <w:sz w:val="28"/>
          </w:rPr>
          <w:tab/>
        </w:r>
        <w:r>
          <w:rPr>
            <w:rFonts w:ascii="彩虹粗仿宋" w:eastAsia="彩虹粗仿宋" w:hAnsi="宋体" w:hint="eastAsia"/>
            <w:noProof/>
            <w:sz w:val="28"/>
          </w:rPr>
          <w:fldChar w:fldCharType="begin"/>
        </w:r>
        <w:r>
          <w:rPr>
            <w:rFonts w:ascii="彩虹粗仿宋" w:eastAsia="彩虹粗仿宋" w:hAnsi="宋体" w:hint="eastAsia"/>
            <w:noProof/>
            <w:sz w:val="28"/>
          </w:rPr>
          <w:instrText xml:space="preserve"> PAGEREF _Toc124325885 \h </w:instrText>
        </w:r>
        <w:r>
          <w:rPr>
            <w:rFonts w:ascii="彩虹粗仿宋" w:eastAsia="彩虹粗仿宋" w:hAnsi="宋体" w:hint="eastAsia"/>
            <w:noProof/>
            <w:sz w:val="28"/>
          </w:rPr>
        </w:r>
        <w:r>
          <w:rPr>
            <w:rFonts w:ascii="彩虹粗仿宋" w:eastAsia="彩虹粗仿宋" w:hAnsi="宋体" w:hint="eastAsia"/>
            <w:noProof/>
            <w:sz w:val="28"/>
          </w:rPr>
          <w:fldChar w:fldCharType="separate"/>
        </w:r>
        <w:r w:rsidR="007872B3">
          <w:rPr>
            <w:rFonts w:ascii="彩虹粗仿宋" w:eastAsia="彩虹粗仿宋" w:hAnsi="宋体"/>
            <w:noProof/>
            <w:sz w:val="28"/>
          </w:rPr>
          <w:t>3</w:t>
        </w:r>
        <w:r>
          <w:rPr>
            <w:rFonts w:ascii="彩虹粗仿宋" w:eastAsia="彩虹粗仿宋" w:hAnsi="宋体" w:hint="eastAsia"/>
            <w:noProof/>
            <w:sz w:val="28"/>
          </w:rPr>
          <w:fldChar w:fldCharType="end"/>
        </w:r>
      </w:hyperlink>
    </w:p>
    <w:p w14:paraId="617ED16B" w14:textId="07BCE5D0" w:rsidR="00B80D0C" w:rsidRDefault="0053167E">
      <w:pPr>
        <w:pStyle w:val="23"/>
        <w:tabs>
          <w:tab w:val="right" w:leader="dot" w:pos="8494"/>
        </w:tabs>
        <w:rPr>
          <w:rFonts w:ascii="彩虹粗仿宋" w:eastAsia="彩虹粗仿宋" w:hAnsi="宋体"/>
          <w:noProof/>
          <w:sz w:val="28"/>
        </w:rPr>
      </w:pPr>
      <w:hyperlink w:anchor="_Toc124325886" w:history="1">
        <w:r w:rsidR="00916999">
          <w:rPr>
            <w:rStyle w:val="af6"/>
            <w:rFonts w:ascii="彩虹粗仿宋" w:eastAsia="彩虹粗仿宋" w:hAnsi="宋体" w:hint="eastAsia"/>
            <w:noProof/>
            <w:sz w:val="28"/>
            <w:szCs w:val="32"/>
          </w:rPr>
          <w:t>二、基金托管协议的依据、目的和原则</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934E60A" w14:textId="396DC91A" w:rsidR="00B80D0C" w:rsidRDefault="0053167E">
      <w:pPr>
        <w:pStyle w:val="23"/>
        <w:tabs>
          <w:tab w:val="right" w:leader="dot" w:pos="8494"/>
        </w:tabs>
        <w:rPr>
          <w:rFonts w:ascii="彩虹粗仿宋" w:eastAsia="彩虹粗仿宋" w:hAnsi="宋体"/>
          <w:noProof/>
          <w:sz w:val="28"/>
        </w:rPr>
      </w:pPr>
      <w:hyperlink w:anchor="_Toc124325887" w:history="1">
        <w:r w:rsidR="00916999">
          <w:rPr>
            <w:rStyle w:val="af6"/>
            <w:rFonts w:ascii="彩虹粗仿宋" w:eastAsia="彩虹粗仿宋" w:hAnsi="宋体" w:hint="eastAsia"/>
            <w:noProof/>
            <w:sz w:val="28"/>
            <w:szCs w:val="32"/>
          </w:rPr>
          <w:t>三、基金托管人对基金管理人的业务监督和核查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4</w:t>
        </w:r>
        <w:r w:rsidR="00916999">
          <w:rPr>
            <w:rFonts w:ascii="彩虹粗仿宋" w:eastAsia="彩虹粗仿宋" w:hAnsi="宋体" w:hint="eastAsia"/>
            <w:noProof/>
            <w:sz w:val="28"/>
          </w:rPr>
          <w:fldChar w:fldCharType="end"/>
        </w:r>
      </w:hyperlink>
    </w:p>
    <w:p w14:paraId="5D69E440" w14:textId="5A1D6D74" w:rsidR="00B80D0C" w:rsidRDefault="0053167E">
      <w:pPr>
        <w:pStyle w:val="23"/>
        <w:tabs>
          <w:tab w:val="right" w:leader="dot" w:pos="8494"/>
        </w:tabs>
        <w:rPr>
          <w:rFonts w:ascii="彩虹粗仿宋" w:eastAsia="彩虹粗仿宋" w:hAnsi="宋体"/>
          <w:noProof/>
          <w:sz w:val="28"/>
        </w:rPr>
      </w:pPr>
      <w:hyperlink w:anchor="_Toc124325888" w:history="1">
        <w:r w:rsidR="00916999">
          <w:rPr>
            <w:rStyle w:val="af6"/>
            <w:rFonts w:ascii="彩虹粗仿宋" w:eastAsia="彩虹粗仿宋" w:hAnsi="宋体" w:hint="eastAsia"/>
            <w:noProof/>
            <w:sz w:val="28"/>
            <w:szCs w:val="32"/>
          </w:rPr>
          <w:t>四、基金管理人对基金托管人的业务核查</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8</w:t>
        </w:r>
        <w:r w:rsidR="00916999">
          <w:rPr>
            <w:rFonts w:ascii="彩虹粗仿宋" w:eastAsia="彩虹粗仿宋" w:hAnsi="宋体" w:hint="eastAsia"/>
            <w:noProof/>
            <w:sz w:val="28"/>
          </w:rPr>
          <w:fldChar w:fldCharType="end"/>
        </w:r>
      </w:hyperlink>
    </w:p>
    <w:p w14:paraId="42664431" w14:textId="7969173B" w:rsidR="00B80D0C" w:rsidRDefault="0053167E">
      <w:pPr>
        <w:pStyle w:val="23"/>
        <w:tabs>
          <w:tab w:val="right" w:leader="dot" w:pos="8494"/>
        </w:tabs>
        <w:rPr>
          <w:rFonts w:ascii="彩虹粗仿宋" w:eastAsia="彩虹粗仿宋" w:hAnsi="宋体"/>
          <w:noProof/>
          <w:sz w:val="28"/>
        </w:rPr>
      </w:pPr>
      <w:hyperlink w:anchor="_Toc124325889" w:history="1">
        <w:r w:rsidR="00916999">
          <w:rPr>
            <w:rStyle w:val="af6"/>
            <w:rFonts w:ascii="彩虹粗仿宋" w:eastAsia="彩虹粗仿宋" w:hAnsi="宋体" w:hint="eastAsia"/>
            <w:noProof/>
            <w:sz w:val="28"/>
            <w:szCs w:val="32"/>
          </w:rPr>
          <w:t>五、基金财产的保管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_Toc124325889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9</w:t>
        </w:r>
        <w:r w:rsidR="00916999">
          <w:rPr>
            <w:rFonts w:ascii="彩虹粗仿宋" w:eastAsia="彩虹粗仿宋" w:hAnsi="宋体" w:hint="eastAsia"/>
            <w:noProof/>
            <w:sz w:val="28"/>
          </w:rPr>
          <w:fldChar w:fldCharType="end"/>
        </w:r>
      </w:hyperlink>
    </w:p>
    <w:p w14:paraId="6852D694" w14:textId="532B8BF6" w:rsidR="00B80D0C" w:rsidRDefault="0053167E">
      <w:pPr>
        <w:pStyle w:val="23"/>
        <w:tabs>
          <w:tab w:val="right" w:leader="dot" w:pos="8494"/>
        </w:tabs>
        <w:rPr>
          <w:rFonts w:ascii="彩虹粗仿宋" w:eastAsia="彩虹粗仿宋" w:hAnsi="宋体"/>
          <w:noProof/>
          <w:sz w:val="28"/>
        </w:rPr>
      </w:pPr>
      <w:hyperlink w:anchor="_Toc124325890" w:history="1">
        <w:r w:rsidR="00916999">
          <w:rPr>
            <w:rStyle w:val="af6"/>
            <w:rFonts w:ascii="彩虹粗仿宋" w:eastAsia="彩虹粗仿宋" w:hAnsi="宋体" w:hint="eastAsia"/>
            <w:noProof/>
            <w:sz w:val="28"/>
            <w:szCs w:val="32"/>
          </w:rPr>
          <w:t>六、指令的发送、确认及执行</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11</w:t>
        </w:r>
        <w:r w:rsidR="00916999">
          <w:rPr>
            <w:rFonts w:ascii="彩虹粗仿宋" w:eastAsia="彩虹粗仿宋" w:hAnsi="宋体" w:hint="eastAsia"/>
            <w:noProof/>
            <w:sz w:val="28"/>
          </w:rPr>
          <w:fldChar w:fldCharType="end"/>
        </w:r>
      </w:hyperlink>
    </w:p>
    <w:p w14:paraId="4CFED03E" w14:textId="1E0E9845" w:rsidR="00B80D0C" w:rsidRDefault="0053167E">
      <w:pPr>
        <w:pStyle w:val="23"/>
        <w:tabs>
          <w:tab w:val="right" w:leader="dot" w:pos="8494"/>
        </w:tabs>
        <w:rPr>
          <w:rFonts w:ascii="彩虹粗仿宋" w:eastAsia="彩虹粗仿宋" w:hAnsi="宋体"/>
          <w:noProof/>
          <w:sz w:val="28"/>
        </w:rPr>
      </w:pPr>
      <w:hyperlink w:anchor="_Toc124325891" w:history="1">
        <w:r w:rsidR="00916999">
          <w:rPr>
            <w:rStyle w:val="af6"/>
            <w:rFonts w:ascii="彩虹粗仿宋" w:eastAsia="彩虹粗仿宋" w:hAnsi="宋体" w:hint="eastAsia"/>
            <w:noProof/>
            <w:sz w:val="28"/>
            <w:szCs w:val="32"/>
          </w:rPr>
          <w:t>七、交易及清算交收安排</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12</w:t>
        </w:r>
        <w:r w:rsidR="00916999">
          <w:rPr>
            <w:rFonts w:ascii="彩虹粗仿宋" w:eastAsia="彩虹粗仿宋" w:hAnsi="宋体" w:hint="eastAsia"/>
            <w:noProof/>
            <w:sz w:val="28"/>
          </w:rPr>
          <w:fldChar w:fldCharType="end"/>
        </w:r>
      </w:hyperlink>
    </w:p>
    <w:p w14:paraId="6687CA9D" w14:textId="365FDBDF" w:rsidR="00B80D0C" w:rsidRDefault="0053167E">
      <w:pPr>
        <w:pStyle w:val="23"/>
        <w:tabs>
          <w:tab w:val="right" w:leader="dot" w:pos="8494"/>
        </w:tabs>
        <w:rPr>
          <w:rFonts w:ascii="彩虹粗仿宋" w:eastAsia="彩虹粗仿宋" w:hAnsi="宋体"/>
          <w:noProof/>
          <w:sz w:val="28"/>
        </w:rPr>
      </w:pPr>
      <w:hyperlink w:anchor="_Toc124325892" w:history="1">
        <w:r w:rsidR="00916999">
          <w:rPr>
            <w:rStyle w:val="af6"/>
            <w:rFonts w:ascii="彩虹粗仿宋" w:eastAsia="彩虹粗仿宋" w:hAnsi="宋体" w:hint="eastAsia"/>
            <w:noProof/>
            <w:sz w:val="28"/>
            <w:szCs w:val="32"/>
          </w:rPr>
          <w:t>八、基金资产净值计算和会计核算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16</w:t>
        </w:r>
        <w:r w:rsidR="00916999">
          <w:rPr>
            <w:rFonts w:ascii="彩虹粗仿宋" w:eastAsia="彩虹粗仿宋" w:hAnsi="宋体" w:hint="eastAsia"/>
            <w:noProof/>
            <w:sz w:val="28"/>
          </w:rPr>
          <w:fldChar w:fldCharType="end"/>
        </w:r>
      </w:hyperlink>
    </w:p>
    <w:p w14:paraId="0274DF0D" w14:textId="609BEC4A" w:rsidR="00B80D0C" w:rsidRDefault="0053167E">
      <w:pPr>
        <w:pStyle w:val="23"/>
        <w:tabs>
          <w:tab w:val="right" w:leader="dot" w:pos="8494"/>
        </w:tabs>
        <w:rPr>
          <w:rFonts w:ascii="彩虹粗仿宋" w:eastAsia="彩虹粗仿宋" w:hAnsi="宋体"/>
          <w:noProof/>
          <w:sz w:val="28"/>
        </w:rPr>
      </w:pPr>
      <w:hyperlink w:anchor="_Toc124325893" w:history="1">
        <w:r w:rsidR="00916999">
          <w:rPr>
            <w:rStyle w:val="af6"/>
            <w:rFonts w:ascii="彩虹粗仿宋" w:eastAsia="彩虹粗仿宋" w:hAnsi="宋体" w:hint="eastAsia"/>
            <w:noProof/>
            <w:sz w:val="28"/>
            <w:szCs w:val="32"/>
          </w:rPr>
          <w:t>九、基金收益分配</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19</w:t>
        </w:r>
        <w:r w:rsidR="00916999">
          <w:rPr>
            <w:rFonts w:ascii="彩虹粗仿宋" w:eastAsia="彩虹粗仿宋" w:hAnsi="宋体" w:hint="eastAsia"/>
            <w:noProof/>
            <w:sz w:val="28"/>
          </w:rPr>
          <w:fldChar w:fldCharType="end"/>
        </w:r>
      </w:hyperlink>
    </w:p>
    <w:p w14:paraId="589DAC6B" w14:textId="402F1657" w:rsidR="00B80D0C" w:rsidRDefault="0053167E">
      <w:pPr>
        <w:pStyle w:val="23"/>
        <w:tabs>
          <w:tab w:val="right" w:leader="dot" w:pos="8494"/>
        </w:tabs>
        <w:rPr>
          <w:rFonts w:ascii="彩虹粗仿宋" w:eastAsia="彩虹粗仿宋" w:hAnsi="宋体"/>
          <w:noProof/>
          <w:sz w:val="28"/>
        </w:rPr>
      </w:pPr>
      <w:hyperlink w:anchor="_Toc124325894" w:history="1">
        <w:r w:rsidR="00916999">
          <w:rPr>
            <w:rStyle w:val="af6"/>
            <w:rFonts w:ascii="彩虹粗仿宋" w:eastAsia="彩虹粗仿宋" w:hAnsi="宋体" w:hint="eastAsia"/>
            <w:noProof/>
            <w:sz w:val="28"/>
            <w:szCs w:val="32"/>
          </w:rPr>
          <w:t>十、基金信息披露</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20</w:t>
        </w:r>
        <w:r w:rsidR="00916999">
          <w:rPr>
            <w:rFonts w:ascii="彩虹粗仿宋" w:eastAsia="彩虹粗仿宋" w:hAnsi="宋体" w:hint="eastAsia"/>
            <w:noProof/>
            <w:sz w:val="28"/>
          </w:rPr>
          <w:fldChar w:fldCharType="end"/>
        </w:r>
      </w:hyperlink>
    </w:p>
    <w:p w14:paraId="33EC75A4" w14:textId="22E3C05B" w:rsidR="00B80D0C" w:rsidRDefault="0053167E">
      <w:pPr>
        <w:pStyle w:val="23"/>
        <w:tabs>
          <w:tab w:val="right" w:leader="dot" w:pos="8494"/>
        </w:tabs>
        <w:rPr>
          <w:rFonts w:ascii="彩虹粗仿宋" w:eastAsia="彩虹粗仿宋" w:hAnsi="宋体"/>
          <w:noProof/>
          <w:sz w:val="28"/>
        </w:rPr>
      </w:pPr>
      <w:hyperlink w:anchor="_Toc124325895" w:history="1">
        <w:r w:rsidR="00916999">
          <w:rPr>
            <w:rStyle w:val="af6"/>
            <w:rFonts w:ascii="彩虹粗仿宋" w:eastAsia="彩虹粗仿宋" w:hAnsi="宋体" w:hint="eastAsia"/>
            <w:noProof/>
            <w:sz w:val="28"/>
            <w:szCs w:val="32"/>
          </w:rPr>
          <w:t>十一、基金费用</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21</w:t>
        </w:r>
        <w:r w:rsidR="00916999">
          <w:rPr>
            <w:rFonts w:ascii="彩虹粗仿宋" w:eastAsia="彩虹粗仿宋" w:hAnsi="宋体" w:hint="eastAsia"/>
            <w:noProof/>
            <w:sz w:val="28"/>
          </w:rPr>
          <w:fldChar w:fldCharType="end"/>
        </w:r>
      </w:hyperlink>
    </w:p>
    <w:p w14:paraId="1169ED39" w14:textId="4E87D75F" w:rsidR="00B80D0C" w:rsidRDefault="0053167E">
      <w:pPr>
        <w:pStyle w:val="23"/>
        <w:tabs>
          <w:tab w:val="right" w:leader="dot" w:pos="8494"/>
        </w:tabs>
        <w:rPr>
          <w:rFonts w:ascii="彩虹粗仿宋" w:eastAsia="彩虹粗仿宋" w:hAnsi="宋体"/>
          <w:noProof/>
          <w:sz w:val="28"/>
        </w:rPr>
      </w:pPr>
      <w:hyperlink w:anchor="_Toc124325896" w:history="1">
        <w:r w:rsidR="00916999">
          <w:rPr>
            <w:rStyle w:val="af6"/>
            <w:rFonts w:ascii="彩虹粗仿宋" w:eastAsia="彩虹粗仿宋" w:hAnsi="宋体" w:hint="eastAsia"/>
            <w:noProof/>
            <w:sz w:val="28"/>
            <w:szCs w:val="32"/>
          </w:rPr>
          <w:t>十二、基金份额持有人名册的保管</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_Toc124325896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22</w:t>
        </w:r>
        <w:r w:rsidR="00916999">
          <w:rPr>
            <w:rFonts w:ascii="彩虹粗仿宋" w:eastAsia="彩虹粗仿宋" w:hAnsi="宋体" w:hint="eastAsia"/>
            <w:noProof/>
            <w:sz w:val="28"/>
          </w:rPr>
          <w:fldChar w:fldCharType="end"/>
        </w:r>
      </w:hyperlink>
    </w:p>
    <w:p w14:paraId="27BE529D" w14:textId="463DEC4C" w:rsidR="00B80D0C" w:rsidRDefault="0053167E">
      <w:pPr>
        <w:pStyle w:val="23"/>
        <w:tabs>
          <w:tab w:val="right" w:leader="dot" w:pos="8494"/>
        </w:tabs>
        <w:rPr>
          <w:rFonts w:ascii="彩虹粗仿宋" w:eastAsia="彩虹粗仿宋" w:hAnsi="宋体"/>
          <w:noProof/>
          <w:sz w:val="28"/>
        </w:rPr>
      </w:pPr>
      <w:hyperlink w:anchor="_Toc124325897" w:history="1">
        <w:r w:rsidR="00916999">
          <w:rPr>
            <w:rStyle w:val="af6"/>
            <w:rFonts w:ascii="彩虹粗仿宋" w:eastAsia="彩虹粗仿宋" w:hAnsi="宋体" w:hint="eastAsia"/>
            <w:noProof/>
            <w:sz w:val="28"/>
            <w:szCs w:val="32"/>
          </w:rPr>
          <w:t>十三、基金有关文件档案的保存</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_Toc124325897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B741FA2" w14:textId="456D4714" w:rsidR="00B80D0C" w:rsidRDefault="0053167E">
      <w:pPr>
        <w:pStyle w:val="23"/>
        <w:tabs>
          <w:tab w:val="right" w:leader="dot" w:pos="8494"/>
        </w:tabs>
        <w:rPr>
          <w:rFonts w:ascii="彩虹粗仿宋" w:eastAsia="彩虹粗仿宋" w:hAnsi="宋体"/>
          <w:noProof/>
          <w:sz w:val="28"/>
        </w:rPr>
      </w:pPr>
      <w:hyperlink w:anchor="_Toc124325898" w:history="1">
        <w:r w:rsidR="00916999">
          <w:rPr>
            <w:rStyle w:val="af6"/>
            <w:rFonts w:ascii="彩虹粗仿宋" w:eastAsia="彩虹粗仿宋" w:hAnsi="宋体" w:hint="eastAsia"/>
            <w:noProof/>
            <w:sz w:val="28"/>
            <w:szCs w:val="32"/>
          </w:rPr>
          <w:t>十四、基金管理人和基金托管人的更换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_Toc124325898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23</w:t>
        </w:r>
        <w:r w:rsidR="00916999">
          <w:rPr>
            <w:rFonts w:ascii="彩虹粗仿宋" w:eastAsia="彩虹粗仿宋" w:hAnsi="宋体" w:hint="eastAsia"/>
            <w:noProof/>
            <w:sz w:val="28"/>
          </w:rPr>
          <w:fldChar w:fldCharType="end"/>
        </w:r>
      </w:hyperlink>
    </w:p>
    <w:p w14:paraId="40EE7872" w14:textId="783767A4" w:rsidR="00B80D0C" w:rsidRDefault="0053167E">
      <w:pPr>
        <w:pStyle w:val="23"/>
        <w:tabs>
          <w:tab w:val="right" w:leader="dot" w:pos="8494"/>
        </w:tabs>
        <w:rPr>
          <w:rFonts w:ascii="彩虹粗仿宋" w:eastAsia="彩虹粗仿宋" w:hAnsi="宋体"/>
          <w:noProof/>
          <w:sz w:val="28"/>
        </w:rPr>
      </w:pPr>
      <w:hyperlink w:anchor="_Toc124325899" w:history="1">
        <w:r w:rsidR="00916999">
          <w:rPr>
            <w:rStyle w:val="af6"/>
            <w:rFonts w:ascii="彩虹粗仿宋" w:eastAsia="彩虹粗仿宋" w:hAnsi="宋体" w:hint="eastAsia"/>
            <w:noProof/>
            <w:sz w:val="28"/>
            <w:szCs w:val="32"/>
          </w:rPr>
          <w:t>十五、禁止行为</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_Toc124325899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178F8B27" w14:textId="4C5E32D9" w:rsidR="00B80D0C" w:rsidRDefault="0053167E">
      <w:pPr>
        <w:pStyle w:val="23"/>
        <w:tabs>
          <w:tab w:val="right" w:leader="dot" w:pos="8494"/>
        </w:tabs>
        <w:rPr>
          <w:rFonts w:ascii="彩虹粗仿宋" w:eastAsia="彩虹粗仿宋" w:hAnsi="宋体"/>
          <w:noProof/>
          <w:sz w:val="28"/>
        </w:rPr>
      </w:pPr>
      <w:hyperlink w:anchor="_Toc124325900" w:history="1">
        <w:r w:rsidR="00916999">
          <w:rPr>
            <w:rStyle w:val="af6"/>
            <w:rFonts w:ascii="彩虹粗仿宋" w:eastAsia="彩虹粗仿宋" w:hAnsi="宋体" w:hint="eastAsia"/>
            <w:noProof/>
            <w:sz w:val="28"/>
            <w:szCs w:val="32"/>
          </w:rPr>
          <w:t>十六、托管协议的变更、终止与基金财产的清算</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_Toc124325900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25</w:t>
        </w:r>
        <w:r w:rsidR="00916999">
          <w:rPr>
            <w:rFonts w:ascii="彩虹粗仿宋" w:eastAsia="彩虹粗仿宋" w:hAnsi="宋体" w:hint="eastAsia"/>
            <w:noProof/>
            <w:sz w:val="28"/>
          </w:rPr>
          <w:fldChar w:fldCharType="end"/>
        </w:r>
      </w:hyperlink>
    </w:p>
    <w:p w14:paraId="78DA138F" w14:textId="54D198C8" w:rsidR="00B80D0C" w:rsidRDefault="0053167E">
      <w:pPr>
        <w:pStyle w:val="23"/>
        <w:tabs>
          <w:tab w:val="right" w:leader="dot" w:pos="8494"/>
        </w:tabs>
        <w:rPr>
          <w:rFonts w:ascii="彩虹粗仿宋" w:eastAsia="彩虹粗仿宋" w:hAnsi="宋体"/>
          <w:noProof/>
          <w:sz w:val="28"/>
        </w:rPr>
      </w:pPr>
      <w:hyperlink w:anchor="_Toc124325901" w:history="1">
        <w:r w:rsidR="00916999">
          <w:rPr>
            <w:rStyle w:val="af6"/>
            <w:rFonts w:ascii="彩虹粗仿宋" w:eastAsia="彩虹粗仿宋" w:hAnsi="宋体" w:hint="eastAsia"/>
            <w:noProof/>
            <w:sz w:val="28"/>
            <w:szCs w:val="32"/>
          </w:rPr>
          <w:t>十七、违约责任</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_Toc124325901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26</w:t>
        </w:r>
        <w:r w:rsidR="00916999">
          <w:rPr>
            <w:rFonts w:ascii="彩虹粗仿宋" w:eastAsia="彩虹粗仿宋" w:hAnsi="宋体" w:hint="eastAsia"/>
            <w:noProof/>
            <w:sz w:val="28"/>
          </w:rPr>
          <w:fldChar w:fldCharType="end"/>
        </w:r>
      </w:hyperlink>
    </w:p>
    <w:p w14:paraId="612D3E39" w14:textId="7E8C5A2B" w:rsidR="00B80D0C" w:rsidRDefault="0053167E">
      <w:pPr>
        <w:pStyle w:val="23"/>
        <w:tabs>
          <w:tab w:val="right" w:leader="dot" w:pos="8494"/>
        </w:tabs>
        <w:rPr>
          <w:rFonts w:ascii="彩虹粗仿宋" w:eastAsia="彩虹粗仿宋" w:hAnsi="宋体"/>
          <w:noProof/>
          <w:sz w:val="28"/>
        </w:rPr>
      </w:pPr>
      <w:hyperlink w:anchor="_Toc124325902" w:history="1">
        <w:r w:rsidR="00916999">
          <w:rPr>
            <w:rStyle w:val="af6"/>
            <w:rFonts w:ascii="彩虹粗仿宋" w:eastAsia="彩虹粗仿宋" w:hAnsi="宋体" w:hint="eastAsia"/>
            <w:noProof/>
            <w:sz w:val="28"/>
            <w:szCs w:val="32"/>
          </w:rPr>
          <w:t>十八、争议解决方式</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_Toc124325902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1FB8F27E" w14:textId="07DF045B" w:rsidR="00B80D0C" w:rsidRDefault="0053167E">
      <w:pPr>
        <w:pStyle w:val="23"/>
        <w:tabs>
          <w:tab w:val="right" w:leader="dot" w:pos="8494"/>
        </w:tabs>
        <w:rPr>
          <w:rFonts w:ascii="彩虹粗仿宋" w:eastAsia="彩虹粗仿宋" w:hAnsi="宋体"/>
          <w:noProof/>
          <w:sz w:val="28"/>
        </w:rPr>
      </w:pPr>
      <w:hyperlink w:anchor="_Toc124325903" w:history="1">
        <w:r w:rsidR="00916999">
          <w:rPr>
            <w:rStyle w:val="af6"/>
            <w:rFonts w:ascii="彩虹粗仿宋" w:eastAsia="彩虹粗仿宋" w:hAnsi="宋体" w:hint="eastAsia"/>
            <w:noProof/>
            <w:sz w:val="28"/>
            <w:szCs w:val="32"/>
          </w:rPr>
          <w:t>十九、托管协议的效力</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_Toc124325903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27</w:t>
        </w:r>
        <w:r w:rsidR="00916999">
          <w:rPr>
            <w:rFonts w:ascii="彩虹粗仿宋" w:eastAsia="彩虹粗仿宋" w:hAnsi="宋体" w:hint="eastAsia"/>
            <w:noProof/>
            <w:sz w:val="28"/>
          </w:rPr>
          <w:fldChar w:fldCharType="end"/>
        </w:r>
      </w:hyperlink>
    </w:p>
    <w:p w14:paraId="153B80D3" w14:textId="73B9A2D0" w:rsidR="00B80D0C" w:rsidRDefault="0053167E">
      <w:pPr>
        <w:pStyle w:val="23"/>
        <w:tabs>
          <w:tab w:val="right" w:leader="dot" w:pos="8494"/>
        </w:tabs>
        <w:rPr>
          <w:rFonts w:ascii="彩虹粗仿宋" w:eastAsia="彩虹粗仿宋" w:hAnsi="宋体"/>
          <w:noProof/>
          <w:sz w:val="28"/>
        </w:rPr>
      </w:pPr>
      <w:hyperlink w:anchor="_Toc124325904" w:history="1">
        <w:r w:rsidR="00916999">
          <w:rPr>
            <w:rStyle w:val="af6"/>
            <w:rFonts w:ascii="彩虹粗仿宋" w:eastAsia="彩虹粗仿宋" w:hAnsi="宋体" w:hint="eastAsia"/>
            <w:noProof/>
            <w:sz w:val="28"/>
            <w:szCs w:val="32"/>
          </w:rPr>
          <w:t>二十、其他事项</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_Toc124325904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6C9E935" w14:textId="0A67DD2B" w:rsidR="00B80D0C" w:rsidRDefault="0053167E">
      <w:pPr>
        <w:pStyle w:val="23"/>
        <w:tabs>
          <w:tab w:val="right" w:leader="dot" w:pos="8494"/>
        </w:tabs>
        <w:rPr>
          <w:rFonts w:ascii="彩虹粗仿宋" w:eastAsia="彩虹粗仿宋" w:hAnsi="宋体"/>
          <w:noProof/>
          <w:sz w:val="28"/>
        </w:rPr>
      </w:pPr>
      <w:hyperlink w:anchor="_Toc124325905" w:history="1">
        <w:r w:rsidR="00916999">
          <w:rPr>
            <w:rStyle w:val="af6"/>
            <w:rFonts w:ascii="彩虹粗仿宋" w:eastAsia="彩虹粗仿宋" w:hAnsi="宋体" w:hint="eastAsia"/>
            <w:noProof/>
            <w:sz w:val="28"/>
            <w:szCs w:val="32"/>
          </w:rPr>
          <w:t>二十一、托管协议的签订</w:t>
        </w:r>
        <w:r w:rsidR="00916999">
          <w:rPr>
            <w:rFonts w:ascii="彩虹粗仿宋" w:eastAsia="彩虹粗仿宋" w:hAnsi="宋体" w:hint="eastAsia"/>
            <w:noProof/>
            <w:sz w:val="28"/>
          </w:rPr>
          <w:tab/>
        </w:r>
        <w:r w:rsidR="00916999">
          <w:rPr>
            <w:rFonts w:ascii="彩虹粗仿宋" w:eastAsia="彩虹粗仿宋" w:hAnsi="宋体" w:hint="eastAsia"/>
            <w:noProof/>
            <w:sz w:val="28"/>
          </w:rPr>
          <w:fldChar w:fldCharType="begin"/>
        </w:r>
        <w:r w:rsidR="00916999">
          <w:rPr>
            <w:rFonts w:ascii="彩虹粗仿宋" w:eastAsia="彩虹粗仿宋" w:hAnsi="宋体" w:hint="eastAsia"/>
            <w:noProof/>
            <w:sz w:val="28"/>
          </w:rPr>
          <w:instrText xml:space="preserve"> PAGEREF _Toc124325905 \h </w:instrText>
        </w:r>
        <w:r w:rsidR="00916999">
          <w:rPr>
            <w:rFonts w:ascii="彩虹粗仿宋" w:eastAsia="彩虹粗仿宋" w:hAnsi="宋体" w:hint="eastAsia"/>
            <w:noProof/>
            <w:sz w:val="28"/>
          </w:rPr>
        </w:r>
        <w:r w:rsidR="00916999">
          <w:rPr>
            <w:rFonts w:ascii="彩虹粗仿宋" w:eastAsia="彩虹粗仿宋" w:hAnsi="宋体" w:hint="eastAsia"/>
            <w:noProof/>
            <w:sz w:val="28"/>
          </w:rPr>
          <w:fldChar w:fldCharType="separate"/>
        </w:r>
        <w:r w:rsidR="007872B3">
          <w:rPr>
            <w:rFonts w:ascii="彩虹粗仿宋" w:eastAsia="彩虹粗仿宋" w:hAnsi="宋体"/>
            <w:noProof/>
            <w:sz w:val="28"/>
          </w:rPr>
          <w:t>28</w:t>
        </w:r>
        <w:r w:rsidR="00916999">
          <w:rPr>
            <w:rFonts w:ascii="彩虹粗仿宋" w:eastAsia="彩虹粗仿宋" w:hAnsi="宋体" w:hint="eastAsia"/>
            <w:noProof/>
            <w:sz w:val="28"/>
          </w:rPr>
          <w:fldChar w:fldCharType="end"/>
        </w:r>
      </w:hyperlink>
    </w:p>
    <w:p w14:paraId="2B0465D4" w14:textId="77777777" w:rsidR="00B80D0C" w:rsidRDefault="00916999">
      <w:pPr>
        <w:rPr>
          <w:rFonts w:ascii="彩虹粗仿宋" w:eastAsia="彩虹粗仿宋"/>
          <w:sz w:val="24"/>
        </w:rPr>
      </w:pPr>
      <w:r>
        <w:rPr>
          <w:rFonts w:ascii="彩虹粗仿宋" w:eastAsia="彩虹粗仿宋" w:hAnsi="宋体" w:hint="eastAsia"/>
          <w:sz w:val="28"/>
        </w:rPr>
        <w:lastRenderedPageBreak/>
        <w:fldChar w:fldCharType="end"/>
      </w:r>
    </w:p>
    <w:p w14:paraId="62C34C1B" w14:textId="4FF30D1D"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鉴于交银施罗德基金管理有限公司系一家依照中国法律合法成立并有效存续的有限责任公司，按照相关法律法规的规定具备担任基金管理人的资格和能力，拟</w:t>
      </w:r>
      <w:r w:rsidRPr="00663775">
        <w:rPr>
          <w:rFonts w:ascii="彩虹粗仿宋" w:eastAsia="彩虹粗仿宋" w:hAnsi="宋体" w:cs="Arial" w:hint="eastAsia"/>
          <w:sz w:val="24"/>
        </w:rPr>
        <w:t>管理交银施罗德国证新能源指数证券投资基金（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w:t>
      </w:r>
    </w:p>
    <w:p w14:paraId="794B9CB2" w14:textId="77777777"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鉴于中国建设银行股份有限公司系一家依照中国法律合法成立并有效存续的银行，按照相关法律法规的规定具备担任基金托管人的资格和能力；</w:t>
      </w:r>
    </w:p>
    <w:p w14:paraId="64C7404A" w14:textId="65AD71B5"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鉴于交银施罗德基金管理有限公司拟担任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的基金管理人，中国建设银行股份有限公司拟担任</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）（由交银施罗德国证新能源指数分级证券投资基金转型而来）</w:t>
      </w:r>
      <w:r w:rsidRPr="00663775">
        <w:rPr>
          <w:rFonts w:ascii="彩虹粗仿宋" w:eastAsia="彩虹粗仿宋" w:hAnsi="宋体" w:cs="Arial"/>
          <w:sz w:val="24"/>
        </w:rPr>
        <w:t>的基金托管人；</w:t>
      </w:r>
    </w:p>
    <w:p w14:paraId="4AFA38D0" w14:textId="1D7B0A5E"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为明确</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的基金管理人和基金托管人之间的权利义务关系，特制订本托管协议；</w:t>
      </w:r>
    </w:p>
    <w:p w14:paraId="7C626CE9" w14:textId="63CEBB76" w:rsidR="00B80D0C" w:rsidRPr="00663775" w:rsidRDefault="00916999">
      <w:pPr>
        <w:widowControl/>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除非另有约定，《</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w:t>
      </w:r>
      <w:r w:rsidRPr="00663775">
        <w:rPr>
          <w:rFonts w:ascii="彩虹粗仿宋" w:eastAsia="彩虹粗仿宋" w:hAnsi="宋体" w:cs="Arial" w:hint="eastAsia"/>
          <w:sz w:val="24"/>
        </w:rPr>
        <w:t>）</w:t>
      </w:r>
      <w:r w:rsidRPr="00663775">
        <w:rPr>
          <w:rFonts w:ascii="彩虹粗仿宋" w:eastAsia="彩虹粗仿宋" w:hAnsi="宋体" w:cs="Arial"/>
          <w:sz w:val="24"/>
        </w:rPr>
        <w:t>基金合同》(以下简称</w:t>
      </w:r>
      <w:r w:rsidRPr="00663775">
        <w:rPr>
          <w:rFonts w:ascii="彩虹粗仿宋" w:eastAsia="彩虹粗仿宋" w:hAnsi="宋体" w:cs="Arial"/>
          <w:sz w:val="24"/>
        </w:rPr>
        <w:t>“</w:t>
      </w:r>
      <w:r w:rsidRPr="00663775">
        <w:rPr>
          <w:rFonts w:ascii="彩虹粗仿宋" w:eastAsia="彩虹粗仿宋" w:hAnsi="宋体" w:cs="Arial"/>
          <w:sz w:val="24"/>
        </w:rPr>
        <w:t>基金合同</w:t>
      </w:r>
      <w:r w:rsidRPr="00663775">
        <w:rPr>
          <w:rFonts w:ascii="彩虹粗仿宋" w:eastAsia="彩虹粗仿宋" w:hAnsi="宋体" w:cs="Arial"/>
          <w:sz w:val="24"/>
        </w:rPr>
        <w:t>”</w:t>
      </w:r>
      <w:r w:rsidRPr="00663775">
        <w:rPr>
          <w:rFonts w:ascii="彩虹粗仿宋" w:eastAsia="彩虹粗仿宋" w:hAnsi="宋体" w:cs="Arial"/>
          <w:sz w:val="24"/>
        </w:rPr>
        <w:t>)中定义的术语在用于本托管协议时应具有相同的含义；若有抵触应以《基金合同》为准，并依其条款解释。</w:t>
      </w:r>
    </w:p>
    <w:p w14:paraId="66F90F51" w14:textId="77777777" w:rsidR="00B80D0C" w:rsidRDefault="00B80D0C">
      <w:pPr>
        <w:rPr>
          <w:rFonts w:ascii="彩虹粗仿宋" w:eastAsia="彩虹粗仿宋"/>
          <w:sz w:val="24"/>
        </w:rPr>
      </w:pPr>
    </w:p>
    <w:p w14:paraId="7BCD8D2F" w14:textId="77777777" w:rsidR="00B80D0C" w:rsidRDefault="00916999">
      <w:pPr>
        <w:pStyle w:val="2"/>
        <w:jc w:val="center"/>
        <w:rPr>
          <w:rFonts w:ascii="彩虹粗仿宋" w:eastAsia="彩虹粗仿宋"/>
        </w:rPr>
      </w:pPr>
      <w:bookmarkStart w:id="1" w:name="_Toc124325885"/>
      <w:r>
        <w:rPr>
          <w:rFonts w:ascii="彩虹粗仿宋" w:eastAsia="彩虹粗仿宋" w:hint="eastAsia"/>
        </w:rPr>
        <w:t>一、基金托管协议当事人</w:t>
      </w:r>
      <w:bookmarkEnd w:id="1"/>
    </w:p>
    <w:p w14:paraId="17AE407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w:t>
      </w:r>
    </w:p>
    <w:p w14:paraId="12EB9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名称：交银施罗德基金管理有限公司</w:t>
      </w:r>
    </w:p>
    <w:p w14:paraId="72027B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注册地址：中国（上海）自由贸易试验区银城中路188号交通银行大楼二层（裙）</w:t>
      </w:r>
    </w:p>
    <w:p w14:paraId="643D0EA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办公地址：上海市浦东新区世纪大道</w:t>
      </w:r>
      <w:r>
        <w:rPr>
          <w:rFonts w:ascii="彩虹粗仿宋" w:eastAsia="彩虹粗仿宋" w:hAnsi="宋体" w:cs="Arial"/>
          <w:sz w:val="24"/>
        </w:rPr>
        <w:t>8号国</w:t>
      </w:r>
      <w:r>
        <w:rPr>
          <w:rFonts w:ascii="彩虹粗仿宋" w:eastAsia="彩虹粗仿宋" w:hAnsi="宋体" w:cs="Arial" w:hint="eastAsia"/>
          <w:sz w:val="24"/>
        </w:rPr>
        <w:t>金中心二期</w:t>
      </w:r>
      <w:r>
        <w:rPr>
          <w:rFonts w:ascii="彩虹粗仿宋" w:eastAsia="彩虹粗仿宋" w:hAnsi="宋体" w:cs="Arial"/>
          <w:sz w:val="24"/>
        </w:rPr>
        <w:t>21-22楼</w:t>
      </w:r>
    </w:p>
    <w:p w14:paraId="1567B5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w:t>
      </w:r>
      <w:r>
        <w:rPr>
          <w:rFonts w:ascii="彩虹粗仿宋" w:eastAsia="彩虹粗仿宋" w:hAnsi="宋体" w:cs="Arial"/>
          <w:sz w:val="24"/>
        </w:rPr>
        <w:t>200120</w:t>
      </w:r>
    </w:p>
    <w:p w14:paraId="46BADA61" w14:textId="11B6C66B"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154B93">
        <w:rPr>
          <w:rFonts w:ascii="彩虹粗仿宋" w:eastAsia="彩虹粗仿宋" w:hAnsi="宋体" w:cs="Arial" w:hint="eastAsia"/>
          <w:sz w:val="24"/>
        </w:rPr>
        <w:t>张宏良</w:t>
      </w:r>
    </w:p>
    <w:p w14:paraId="0958853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成立日期：2005年8月4日</w:t>
      </w:r>
    </w:p>
    <w:p w14:paraId="23FA8D5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批准设立机关及批准设立文号：中国证监会证监基金字</w:t>
      </w:r>
      <w:r>
        <w:rPr>
          <w:rFonts w:hint="eastAsia"/>
        </w:rPr>
        <w:t>[</w:t>
      </w:r>
      <w:r>
        <w:t>2005</w:t>
      </w:r>
      <w:r>
        <w:rPr>
          <w:rFonts w:hint="eastAsia"/>
        </w:rPr>
        <w:t>]</w:t>
      </w:r>
      <w:r>
        <w:t>128</w:t>
      </w:r>
      <w:r>
        <w:rPr>
          <w:rFonts w:ascii="彩虹粗仿宋" w:eastAsia="彩虹粗仿宋" w:hAnsi="宋体" w:cs="Arial" w:hint="eastAsia"/>
          <w:sz w:val="24"/>
        </w:rPr>
        <w:t>号</w:t>
      </w:r>
    </w:p>
    <w:p w14:paraId="5E0DACC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组织形式：有限</w:t>
      </w:r>
      <w:r>
        <w:rPr>
          <w:rFonts w:ascii="彩虹粗仿宋" w:eastAsia="彩虹粗仿宋" w:hAnsi="宋体" w:cs="Arial"/>
          <w:sz w:val="24"/>
        </w:rPr>
        <w:t>责任公司</w:t>
      </w:r>
    </w:p>
    <w:p w14:paraId="4DA95A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注册资本：贰亿元</w:t>
      </w:r>
    </w:p>
    <w:p w14:paraId="74EEB5C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w:t>
      </w:r>
      <w:r>
        <w:rPr>
          <w:rFonts w:ascii="彩虹粗仿宋" w:eastAsia="彩虹粗仿宋" w:hAnsi="宋体" w:cs="Arial"/>
          <w:sz w:val="24"/>
        </w:rPr>
        <w:t>经营</w:t>
      </w:r>
    </w:p>
    <w:p w14:paraId="04C140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经营范围：基金募集、基金销售、资产管理和中国证监会许可的其它业务。</w:t>
      </w:r>
    </w:p>
    <w:p w14:paraId="04CEB6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w:t>
      </w:r>
    </w:p>
    <w:p w14:paraId="0940201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名称：中国建设银行股份有限公司(简称：中国建设银行)</w:t>
      </w:r>
    </w:p>
    <w:p w14:paraId="7C1BECA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住所：北京市西城区金融大街25号</w:t>
      </w:r>
    </w:p>
    <w:p w14:paraId="56524B0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办公地址：北京市西城区闹市口大街1号院1号楼</w:t>
      </w:r>
    </w:p>
    <w:p w14:paraId="2E16657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邮政编码：100033</w:t>
      </w:r>
    </w:p>
    <w:p w14:paraId="2C3FC9CB" w14:textId="2BE6A28E"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法定代表人：</w:t>
      </w:r>
      <w:r w:rsidR="00154B93" w:rsidRPr="00154B93">
        <w:rPr>
          <w:rFonts w:ascii="彩虹粗仿宋" w:eastAsia="彩虹粗仿宋" w:hAnsi="宋体" w:cs="Arial" w:hint="eastAsia"/>
          <w:sz w:val="24"/>
        </w:rPr>
        <w:t>张金良</w:t>
      </w:r>
    </w:p>
    <w:p w14:paraId="262D4D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成立日期：2004年09月17日</w:t>
      </w:r>
    </w:p>
    <w:p w14:paraId="330BE8B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基金托管业务批准文号：中国证监会证监基字[1998</w:t>
      </w:r>
      <w:bookmarkStart w:id="2" w:name="OLE_LINK3"/>
      <w:r>
        <w:rPr>
          <w:rFonts w:ascii="彩虹粗仿宋" w:eastAsia="彩虹粗仿宋" w:hAnsi="宋体" w:cs="Arial" w:hint="eastAsia"/>
          <w:sz w:val="24"/>
        </w:rPr>
        <w:t>]</w:t>
      </w:r>
      <w:bookmarkEnd w:id="2"/>
      <w:r>
        <w:rPr>
          <w:rFonts w:ascii="彩虹粗仿宋" w:eastAsia="彩虹粗仿宋" w:hAnsi="宋体" w:cs="Arial" w:hint="eastAsia"/>
          <w:sz w:val="24"/>
        </w:rPr>
        <w:t>12号</w:t>
      </w:r>
    </w:p>
    <w:p w14:paraId="6AEC3A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组织形式：股份有限公司</w:t>
      </w:r>
    </w:p>
    <w:p w14:paraId="037C09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注册资本：</w:t>
      </w:r>
      <w:r>
        <w:rPr>
          <w:rFonts w:ascii="彩虹粗仿宋" w:eastAsia="彩虹粗仿宋" w:hint="eastAsia"/>
          <w:sz w:val="24"/>
        </w:rPr>
        <w:t>贰仟伍佰亿壹仟零玖拾柒万柒仟肆佰捌拾陆元整</w:t>
      </w:r>
    </w:p>
    <w:p w14:paraId="4873E2C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存续期间：持续经营</w:t>
      </w:r>
    </w:p>
    <w:p w14:paraId="20D0E3B0" w14:textId="77777777" w:rsidR="00B80D0C" w:rsidRDefault="00916999">
      <w:pPr>
        <w:tabs>
          <w:tab w:val="left" w:pos="540"/>
        </w:tabs>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08BB8B2B" w14:textId="77777777" w:rsidR="00B80D0C" w:rsidRDefault="00B80D0C">
      <w:pPr>
        <w:rPr>
          <w:rFonts w:ascii="彩虹粗仿宋" w:eastAsia="彩虹粗仿宋"/>
          <w:sz w:val="24"/>
        </w:rPr>
      </w:pPr>
    </w:p>
    <w:p w14:paraId="1DD694E4" w14:textId="77777777" w:rsidR="00B80D0C" w:rsidRDefault="00916999">
      <w:pPr>
        <w:pStyle w:val="2"/>
        <w:jc w:val="center"/>
        <w:rPr>
          <w:rFonts w:ascii="彩虹粗仿宋" w:eastAsia="彩虹粗仿宋"/>
          <w:sz w:val="30"/>
        </w:rPr>
      </w:pPr>
      <w:bookmarkStart w:id="3" w:name="_Toc124325886"/>
      <w:r>
        <w:rPr>
          <w:rFonts w:ascii="彩虹粗仿宋" w:eastAsia="彩虹粗仿宋" w:hint="eastAsia"/>
          <w:sz w:val="30"/>
        </w:rPr>
        <w:t>二、基金托管协议的依据、目的和原则</w:t>
      </w:r>
      <w:bookmarkEnd w:id="3"/>
    </w:p>
    <w:p w14:paraId="4C1A9F02"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（一）订立托管协议的依据</w:t>
      </w:r>
    </w:p>
    <w:p w14:paraId="3452E1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本协议依据《中华人民共和国证券投资基金法》(以下简称“《基金法》”)等有关法律法规、《基金合同》及其他有关规定制订。</w:t>
      </w:r>
    </w:p>
    <w:p w14:paraId="6AA95EE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（二）订立托管协议的目的</w:t>
      </w:r>
    </w:p>
    <w:p w14:paraId="7EAB8E33" w14:textId="77777777" w:rsidR="00B80D0C" w:rsidRDefault="00916999">
      <w:pPr>
        <w:adjustRightInd w:val="0"/>
        <w:snapToGrid w:val="0"/>
        <w:ind w:firstLineChars="200" w:firstLine="480"/>
        <w:rPr>
          <w:rFonts w:ascii="彩虹粗仿宋" w:eastAsia="彩虹粗仿宋"/>
          <w:sz w:val="24"/>
          <w:szCs w:val="30"/>
        </w:rPr>
      </w:pPr>
      <w:r>
        <w:rPr>
          <w:rFonts w:ascii="彩虹粗仿宋" w:eastAsia="彩虹粗仿宋" w:hAnsi="宋体" w:cs="Arial" w:hint="eastAsia"/>
          <w:sz w:val="24"/>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14:paraId="167B2E2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（三）订立托管协议的原则</w:t>
      </w:r>
    </w:p>
    <w:p w14:paraId="0EA5FF6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基金管理人和基金托管人本着平等自愿、诚实信用、充分保护基金份额持有人合法权益的原则，经协商一致，签订本协议。</w:t>
      </w:r>
    </w:p>
    <w:p w14:paraId="11441AF1" w14:textId="77777777" w:rsidR="00B80D0C" w:rsidRDefault="00B80D0C">
      <w:pPr>
        <w:rPr>
          <w:rFonts w:ascii="彩虹粗仿宋" w:eastAsia="彩虹粗仿宋"/>
          <w:sz w:val="24"/>
        </w:rPr>
      </w:pPr>
    </w:p>
    <w:p w14:paraId="7CCA4113" w14:textId="77777777" w:rsidR="00B80D0C" w:rsidRDefault="00916999">
      <w:pPr>
        <w:pStyle w:val="2"/>
        <w:jc w:val="center"/>
        <w:rPr>
          <w:rFonts w:ascii="彩虹粗仿宋" w:eastAsia="彩虹粗仿宋"/>
          <w:sz w:val="30"/>
          <w:szCs w:val="24"/>
        </w:rPr>
      </w:pPr>
      <w:bookmarkStart w:id="4" w:name="_Toc124325887"/>
      <w:r>
        <w:rPr>
          <w:rFonts w:ascii="彩虹粗仿宋" w:eastAsia="彩虹粗仿宋" w:hint="eastAsia"/>
          <w:sz w:val="30"/>
        </w:rPr>
        <w:t>三、基金托管人对基金管理人的业务监督和核查</w:t>
      </w:r>
      <w:bookmarkEnd w:id="4"/>
    </w:p>
    <w:p w14:paraId="762F789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托管人根据有关法律法规的规定及《基金合同》的约定，对基金投资范围、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2C6F750D" w14:textId="77777777" w:rsidR="001A6650" w:rsidRPr="001A6650" w:rsidRDefault="001A6650" w:rsidP="001A6650">
      <w:pPr>
        <w:adjustRightInd w:val="0"/>
        <w:snapToGrid w:val="0"/>
        <w:ind w:firstLineChars="200" w:firstLine="480"/>
        <w:rPr>
          <w:rFonts w:ascii="彩虹粗仿宋" w:eastAsia="彩虹粗仿宋" w:hAnsi="宋体" w:cs="Arial"/>
          <w:sz w:val="24"/>
        </w:rPr>
      </w:pPr>
      <w:bookmarkStart w:id="5" w:name="_Hlk499715022"/>
      <w:r w:rsidRPr="001A6650">
        <w:rPr>
          <w:rFonts w:ascii="彩虹粗仿宋" w:eastAsia="彩虹粗仿宋" w:hAnsi="宋体" w:cs="Arial" w:hint="eastAsia"/>
          <w:sz w:val="24"/>
        </w:rPr>
        <w:t>本基金投资于具有良好流动性的金融工具，以国证新能源指数的成份股及其备选成份股(含中小板、创业板及其他经中国证监会核准或注册上市的股票)为主要投资对象。为更好地实现投资目标，本基金也可少量投资于其他股票(非标的指数成份股及其备选成份股)、债券、中期票据、货币市场工具、债券回购、资产支持证券、股指期货以及法律法规或中国证监会允许基金投资的其他金融工具（但须符合中国证监会相关规定）。</w:t>
      </w:r>
    </w:p>
    <w:p w14:paraId="16319737" w14:textId="53594DB1" w:rsidR="00B80D0C" w:rsidRPr="00663775" w:rsidRDefault="001A6650" w:rsidP="001A6650">
      <w:pPr>
        <w:adjustRightInd w:val="0"/>
        <w:snapToGrid w:val="0"/>
        <w:ind w:firstLineChars="200" w:firstLine="480"/>
        <w:rPr>
          <w:rFonts w:ascii="彩虹粗仿宋" w:eastAsia="彩虹粗仿宋" w:hAnsi="宋体" w:cs="Arial"/>
          <w:sz w:val="24"/>
        </w:rPr>
      </w:pPr>
      <w:r w:rsidRPr="001A6650">
        <w:rPr>
          <w:rFonts w:ascii="彩虹粗仿宋" w:eastAsia="彩虹粗仿宋" w:hAnsi="宋体" w:cs="Arial" w:hint="eastAsia"/>
          <w:sz w:val="24"/>
        </w:rPr>
        <w:t>如法律法规或监管机构以后允许基金投资其他品种，基金管理人在履行适当程序后，可以将其纳入投资范围。</w:t>
      </w:r>
    </w:p>
    <w:p w14:paraId="577AC4CF" w14:textId="15C31D65" w:rsidR="00B80D0C"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基金的投资组合比例为：本基金的股票资产投资比例不低于基金资产的</w:t>
      </w:r>
      <w:r w:rsidRPr="00663775">
        <w:rPr>
          <w:rFonts w:ascii="彩虹粗仿宋" w:eastAsia="彩虹粗仿宋" w:hAnsi="宋体" w:cs="Arial"/>
          <w:sz w:val="24"/>
        </w:rPr>
        <w:t xml:space="preserve"> 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，每个交易日日终在扣除股指期货合约需缴纳的交易保证金以后，持有现金或到期日在一年以内的政府债券的比例不低于基金资产净值的</w:t>
      </w:r>
      <w:r w:rsidRPr="00663775">
        <w:rPr>
          <w:rFonts w:ascii="彩虹粗仿宋" w:eastAsia="彩虹粗仿宋" w:hAnsi="宋体" w:cs="Arial"/>
          <w:sz w:val="24"/>
        </w:rPr>
        <w:t>5%</w:t>
      </w:r>
      <w:r w:rsidRPr="00663775">
        <w:rPr>
          <w:rFonts w:ascii="彩虹粗仿宋" w:eastAsia="彩虹粗仿宋" w:hAnsi="宋体" w:cs="Arial" w:hint="eastAsia"/>
          <w:sz w:val="24"/>
        </w:rPr>
        <w:t>，其中现金不包括结算备付金、存出保证金、应收申购款等。如果法律法规或中国证监会变更投资品种的投资比例限制，基金管理人在履行适当程序后，可以调整上述投资品种的投资比例。</w:t>
      </w:r>
    </w:p>
    <w:p w14:paraId="40FC32E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lastRenderedPageBreak/>
        <w:t>（二）基金托管人根据有关法律法规的规定及《基金合同》的约定，对基金投资、融资比例进行监督。基金托管人按下述比例和调整期限进行监督：</w:t>
      </w:r>
    </w:p>
    <w:p w14:paraId="2639107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、本基金的股票资产投资比例不低于基金资产的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，本基金投资于国证新能源指数的成份股及其备选成份股的比例不低于非现金基金资产的</w:t>
      </w:r>
      <w:r w:rsidRPr="00663775">
        <w:rPr>
          <w:rFonts w:ascii="彩虹粗仿宋" w:eastAsia="彩虹粗仿宋" w:hAnsi="宋体" w:cs="Arial"/>
          <w:sz w:val="24"/>
        </w:rPr>
        <w:t>90%</w:t>
      </w:r>
      <w:r w:rsidRPr="00663775">
        <w:rPr>
          <w:rFonts w:ascii="彩虹粗仿宋" w:eastAsia="彩虹粗仿宋" w:hAnsi="宋体" w:cs="Arial" w:hint="eastAsia"/>
          <w:sz w:val="24"/>
        </w:rPr>
        <w:t>；</w:t>
      </w:r>
    </w:p>
    <w:p w14:paraId="7639BBE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、本基金每个交易日日终在扣除股指期货合约需缴纳的交易保证金后，保持不低于基金资产净值</w:t>
      </w:r>
      <w:r w:rsidRPr="00663775">
        <w:rPr>
          <w:rFonts w:ascii="彩虹粗仿宋" w:eastAsia="彩虹粗仿宋" w:hAnsi="宋体" w:cs="Arial"/>
          <w:sz w:val="24"/>
        </w:rPr>
        <w:t>5</w:t>
      </w:r>
      <w:r w:rsidRPr="00663775">
        <w:rPr>
          <w:rFonts w:ascii="彩虹粗仿宋" w:eastAsia="彩虹粗仿宋" w:hAnsi="宋体" w:cs="Arial" w:hint="eastAsia"/>
          <w:sz w:val="24"/>
        </w:rPr>
        <w:t>％的现金或者到期日在一年以内的政府债券，其中现金不包括结算备付金、存出保证金、应收申购款等；</w:t>
      </w:r>
    </w:p>
    <w:p w14:paraId="1FEABE33"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、本基金投资于同一原始权益人的各类资产支持证券的比例，不得超过基金资产净值的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0B8F7B6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4、本基金持有的全部资产支持证券，其市值不得超过基金资产净值的20%</w:t>
      </w:r>
      <w:r w:rsidRPr="00663775">
        <w:rPr>
          <w:rFonts w:ascii="彩虹粗仿宋" w:eastAsia="彩虹粗仿宋" w:hAnsi="宋体" w:cs="Arial" w:hint="eastAsia"/>
          <w:sz w:val="24"/>
        </w:rPr>
        <w:t>；</w:t>
      </w:r>
    </w:p>
    <w:p w14:paraId="1A7CEB5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5、本基金持有的同一(</w:t>
      </w:r>
      <w:r w:rsidRPr="00663775">
        <w:rPr>
          <w:rFonts w:ascii="彩虹粗仿宋" w:eastAsia="彩虹粗仿宋" w:hAnsi="宋体" w:cs="Arial" w:hint="eastAsia"/>
          <w:sz w:val="24"/>
        </w:rPr>
        <w:t>指同一信用级别</w:t>
      </w:r>
      <w:r w:rsidRPr="00663775">
        <w:rPr>
          <w:rFonts w:ascii="彩虹粗仿宋" w:eastAsia="彩虹粗仿宋" w:hAnsi="宋体" w:cs="Arial"/>
          <w:sz w:val="24"/>
        </w:rPr>
        <w:t>)</w:t>
      </w:r>
      <w:r w:rsidRPr="00663775">
        <w:rPr>
          <w:rFonts w:ascii="彩虹粗仿宋" w:eastAsia="彩虹粗仿宋" w:hAnsi="宋体" w:cs="Arial" w:hint="eastAsia"/>
          <w:sz w:val="24"/>
        </w:rPr>
        <w:t>资产支持证券的比例，不得超过该资产支持证券规模的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55D3DCD" w14:textId="673B9BA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6、本基金管理人管理</w:t>
      </w:r>
      <w:r w:rsidR="005814F8">
        <w:rPr>
          <w:rFonts w:ascii="彩虹粗仿宋" w:eastAsia="彩虹粗仿宋" w:hAnsi="宋体" w:cs="Arial" w:hint="eastAsia"/>
          <w:sz w:val="24"/>
        </w:rPr>
        <w:t>且由本基金托管人托管</w:t>
      </w:r>
      <w:r w:rsidRPr="00663775">
        <w:rPr>
          <w:rFonts w:ascii="彩虹粗仿宋" w:eastAsia="彩虹粗仿宋" w:hAnsi="宋体" w:cs="Arial"/>
          <w:sz w:val="24"/>
        </w:rPr>
        <w:t>的全部基金投资于同一原始权益人的各类资产支持证券，不得超过其各类资产支持证券合计规模的10%</w:t>
      </w:r>
      <w:r w:rsidRPr="00663775">
        <w:rPr>
          <w:rFonts w:ascii="彩虹粗仿宋" w:eastAsia="彩虹粗仿宋" w:hAnsi="宋体" w:cs="Arial" w:hint="eastAsia"/>
          <w:sz w:val="24"/>
        </w:rPr>
        <w:t>；</w:t>
      </w:r>
    </w:p>
    <w:p w14:paraId="2518A91B"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7、本基金应投资于信用级别评级为BBB</w:t>
      </w:r>
      <w:r w:rsidRPr="00663775">
        <w:rPr>
          <w:rFonts w:ascii="彩虹粗仿宋" w:eastAsia="彩虹粗仿宋" w:hAnsi="宋体" w:cs="Arial" w:hint="eastAsia"/>
          <w:sz w:val="24"/>
        </w:rPr>
        <w:t>以上</w:t>
      </w:r>
      <w:r w:rsidRPr="00663775">
        <w:rPr>
          <w:rFonts w:ascii="彩虹粗仿宋" w:eastAsia="彩虹粗仿宋" w:hAnsi="宋体" w:cs="Arial"/>
          <w:sz w:val="24"/>
        </w:rPr>
        <w:t>(</w:t>
      </w:r>
      <w:r w:rsidRPr="00663775">
        <w:rPr>
          <w:rFonts w:ascii="彩虹粗仿宋" w:eastAsia="彩虹粗仿宋" w:hAnsi="宋体" w:cs="Arial" w:hint="eastAsia"/>
          <w:sz w:val="24"/>
        </w:rPr>
        <w:t>含</w:t>
      </w:r>
      <w:r w:rsidRPr="00663775">
        <w:rPr>
          <w:rFonts w:ascii="彩虹粗仿宋" w:eastAsia="彩虹粗仿宋" w:hAnsi="宋体" w:cs="Arial"/>
          <w:sz w:val="24"/>
        </w:rPr>
        <w:t>BBB)</w:t>
      </w:r>
      <w:r w:rsidRPr="00663775">
        <w:rPr>
          <w:rFonts w:ascii="彩虹粗仿宋" w:eastAsia="彩虹粗仿宋" w:hAnsi="宋体" w:cs="Arial" w:hint="eastAsia"/>
          <w:sz w:val="24"/>
        </w:rPr>
        <w:t>的资产支持证券。基金持有资产支持证券期间，如果其信用等级下降、不再符合投资标准，应在评级报告发布之日起</w:t>
      </w:r>
      <w:r w:rsidRPr="00663775">
        <w:rPr>
          <w:rFonts w:ascii="彩虹粗仿宋" w:eastAsia="彩虹粗仿宋" w:hAnsi="宋体" w:cs="Arial"/>
          <w:sz w:val="24"/>
        </w:rPr>
        <w:t>3</w:t>
      </w:r>
      <w:r w:rsidRPr="00663775">
        <w:rPr>
          <w:rFonts w:ascii="彩虹粗仿宋" w:eastAsia="彩虹粗仿宋" w:hAnsi="宋体" w:cs="Arial" w:hint="eastAsia"/>
          <w:sz w:val="24"/>
        </w:rPr>
        <w:t>个月内予以全部卖出；</w:t>
      </w:r>
    </w:p>
    <w:p w14:paraId="3E1C3D2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8、基金财产参与股票发行申购，本基金所申报的金额不超过本基金的总资产，本基金所申报的股票数量不超过拟发行股票公司本次发行股票的总量；</w:t>
      </w:r>
    </w:p>
    <w:p w14:paraId="5C632B41"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9、本基金进入全国银行间同业市场进行债券回购的资金余额不得超过基金资产净值的40%</w:t>
      </w:r>
      <w:r w:rsidRPr="00663775">
        <w:rPr>
          <w:rFonts w:ascii="彩虹粗仿宋" w:eastAsia="彩虹粗仿宋" w:hAnsi="宋体" w:cs="Arial" w:hint="eastAsia"/>
          <w:sz w:val="24"/>
        </w:rPr>
        <w:t>，进入全国银行间同业市场进行债券回购的最长期限为</w:t>
      </w:r>
      <w:r w:rsidRPr="00663775">
        <w:rPr>
          <w:rFonts w:ascii="彩虹粗仿宋" w:eastAsia="彩虹粗仿宋" w:hAnsi="宋体" w:cs="Arial"/>
          <w:sz w:val="24"/>
        </w:rPr>
        <w:t>1年，债券回购到期后不得展期</w:t>
      </w:r>
      <w:r w:rsidRPr="00663775">
        <w:rPr>
          <w:rFonts w:ascii="彩虹粗仿宋" w:eastAsia="彩虹粗仿宋" w:hAnsi="宋体" w:cs="Arial" w:hint="eastAsia"/>
          <w:sz w:val="24"/>
        </w:rPr>
        <w:t>；</w:t>
      </w:r>
    </w:p>
    <w:p w14:paraId="637F42E3" w14:textId="77777777" w:rsidR="00B80D0C" w:rsidRPr="00663775" w:rsidRDefault="00916999" w:rsidP="00663775">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10</w:t>
      </w:r>
      <w:r w:rsidRPr="00663775">
        <w:rPr>
          <w:rFonts w:ascii="彩虹粗仿宋" w:eastAsia="彩虹粗仿宋" w:hAnsi="宋体" w:cs="Arial" w:hint="eastAsia"/>
          <w:sz w:val="24"/>
        </w:rPr>
        <w:t>、本基金参与股指期货交易，则：</w:t>
      </w:r>
    </w:p>
    <w:p w14:paraId="2435FC59"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w:t>
      </w:r>
      <w:r w:rsidRPr="00663775">
        <w:rPr>
          <w:rFonts w:ascii="彩虹粗仿宋" w:eastAsia="彩虹粗仿宋" w:hAnsi="宋体" w:cs="Arial" w:hint="eastAsia"/>
          <w:sz w:val="24"/>
        </w:rPr>
        <w:t>）本基金在任何交易日日终，持有的买入股指期货合约价值，不得超过基金资产净值的</w:t>
      </w:r>
      <w:r w:rsidRPr="00663775">
        <w:rPr>
          <w:rFonts w:ascii="彩虹粗仿宋" w:eastAsia="彩虹粗仿宋" w:hAnsi="宋体" w:cs="Arial"/>
          <w:sz w:val="24"/>
        </w:rPr>
        <w:t>10%</w:t>
      </w:r>
      <w:r w:rsidRPr="00663775">
        <w:rPr>
          <w:rFonts w:ascii="彩虹粗仿宋" w:eastAsia="彩虹粗仿宋" w:hAnsi="宋体" w:cs="Arial" w:hint="eastAsia"/>
          <w:sz w:val="24"/>
        </w:rPr>
        <w:t>；</w:t>
      </w:r>
    </w:p>
    <w:p w14:paraId="461E9BC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2</w:t>
      </w:r>
      <w:r w:rsidRPr="00663775">
        <w:rPr>
          <w:rFonts w:ascii="彩虹粗仿宋" w:eastAsia="彩虹粗仿宋" w:hAnsi="宋体" w:cs="Arial" w:hint="eastAsia"/>
          <w:sz w:val="24"/>
        </w:rPr>
        <w:t>）本基金在任何交易日日终，持有的买入股指期货合约价值与有价证券市值之和</w:t>
      </w:r>
      <w:r w:rsidRPr="00663775">
        <w:rPr>
          <w:rFonts w:ascii="彩虹粗仿宋" w:eastAsia="彩虹粗仿宋" w:hAnsi="宋体" w:cs="Arial"/>
          <w:sz w:val="24"/>
        </w:rPr>
        <w:t>,</w:t>
      </w:r>
      <w:r w:rsidRPr="00663775">
        <w:rPr>
          <w:rFonts w:ascii="彩虹粗仿宋" w:eastAsia="彩虹粗仿宋" w:hAnsi="宋体" w:cs="Arial" w:hint="eastAsia"/>
          <w:sz w:val="24"/>
        </w:rPr>
        <w:t>不得超过基金资产净值的</w:t>
      </w:r>
      <w:r w:rsidRPr="00663775">
        <w:rPr>
          <w:rFonts w:ascii="彩虹粗仿宋" w:eastAsia="彩虹粗仿宋" w:hAnsi="宋体" w:cs="Arial"/>
          <w:sz w:val="24"/>
        </w:rPr>
        <w:t>100%</w:t>
      </w:r>
      <w:r w:rsidRPr="00663775">
        <w:rPr>
          <w:rFonts w:ascii="彩虹粗仿宋" w:eastAsia="彩虹粗仿宋" w:hAnsi="宋体" w:cs="Arial" w:hint="eastAsia"/>
          <w:sz w:val="24"/>
        </w:rPr>
        <w:t>。其中，有价证券指股票、债券（不含到期日在一年以内的政府债券）、资产支持证券、买入返售金融资产（不含质押式回购）等；</w:t>
      </w:r>
    </w:p>
    <w:p w14:paraId="1F4BED8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3</w:t>
      </w:r>
      <w:r w:rsidRPr="00663775">
        <w:rPr>
          <w:rFonts w:ascii="彩虹粗仿宋" w:eastAsia="彩虹粗仿宋" w:hAnsi="宋体" w:cs="Arial" w:hint="eastAsia"/>
          <w:sz w:val="24"/>
        </w:rPr>
        <w:t>）本基金在任何交易日日终，持有的卖出股指期货合约价值不得超过基金持有的股票总市值的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3EE416A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4</w:t>
      </w:r>
      <w:r w:rsidRPr="00663775">
        <w:rPr>
          <w:rFonts w:ascii="彩虹粗仿宋" w:eastAsia="彩虹粗仿宋" w:hAnsi="宋体" w:cs="Arial" w:hint="eastAsia"/>
          <w:sz w:val="24"/>
        </w:rPr>
        <w:t>）本基金所持有的股票市值和买入、卖出股指期货合约价值，合计（轧差计算）应当符合基金合同关于股票投资比例的有关约定；</w:t>
      </w:r>
    </w:p>
    <w:p w14:paraId="4F45F0DD"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5</w:t>
      </w:r>
      <w:r w:rsidRPr="00663775">
        <w:rPr>
          <w:rFonts w:ascii="彩虹粗仿宋" w:eastAsia="彩虹粗仿宋" w:hAnsi="宋体" w:cs="Arial" w:hint="eastAsia"/>
          <w:sz w:val="24"/>
        </w:rPr>
        <w:t>）本基金在任何交易日内交易（不包括平仓）的股指期货合约的成交金额不得超过上一交易日基金资产净值的</w:t>
      </w:r>
      <w:r w:rsidRPr="00663775">
        <w:rPr>
          <w:rFonts w:ascii="彩虹粗仿宋" w:eastAsia="彩虹粗仿宋" w:hAnsi="宋体" w:cs="Arial"/>
          <w:sz w:val="24"/>
        </w:rPr>
        <w:t>20%</w:t>
      </w:r>
      <w:r w:rsidRPr="00663775">
        <w:rPr>
          <w:rFonts w:ascii="彩虹粗仿宋" w:eastAsia="彩虹粗仿宋" w:hAnsi="宋体" w:cs="Arial" w:hint="eastAsia"/>
          <w:sz w:val="24"/>
        </w:rPr>
        <w:t>；</w:t>
      </w:r>
    </w:p>
    <w:p w14:paraId="49363337"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11</w:t>
      </w:r>
      <w:r w:rsidRPr="00663775">
        <w:rPr>
          <w:rFonts w:ascii="彩虹粗仿宋" w:eastAsia="彩虹粗仿宋" w:hAnsi="宋体" w:cs="Arial" w:hint="eastAsia"/>
          <w:sz w:val="24"/>
        </w:rPr>
        <w:t>、本基金的基金资产总值不得超过基金资产净值的</w:t>
      </w:r>
      <w:r w:rsidRPr="00663775">
        <w:rPr>
          <w:rFonts w:ascii="彩虹粗仿宋" w:eastAsia="彩虹粗仿宋" w:hAnsi="宋体" w:cs="Arial"/>
          <w:sz w:val="24"/>
        </w:rPr>
        <w:t>140%</w:t>
      </w:r>
      <w:r w:rsidRPr="00663775">
        <w:rPr>
          <w:rFonts w:ascii="彩虹粗仿宋" w:eastAsia="彩虹粗仿宋" w:hAnsi="宋体" w:cs="Arial" w:hint="eastAsia"/>
          <w:sz w:val="24"/>
        </w:rPr>
        <w:t>；</w:t>
      </w:r>
    </w:p>
    <w:p w14:paraId="3F579228" w14:textId="77777777"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sz w:val="24"/>
        </w:rPr>
        <w:t>12</w:t>
      </w:r>
      <w:r w:rsidRPr="00663775">
        <w:rPr>
          <w:rFonts w:ascii="彩虹粗仿宋" w:eastAsia="彩虹粗仿宋" w:hAnsi="宋体" w:cs="Arial" w:hint="eastAsia"/>
          <w:sz w:val="24"/>
        </w:rPr>
        <w:t>、本基金主动投资于流动性受限资产的市值合计不得超过基金资产净值的</w:t>
      </w:r>
      <w:r w:rsidRPr="00663775">
        <w:rPr>
          <w:rFonts w:ascii="彩虹粗仿宋" w:eastAsia="彩虹粗仿宋" w:hAnsi="宋体" w:cs="Arial"/>
          <w:sz w:val="24"/>
        </w:rPr>
        <w:t>15%</w:t>
      </w:r>
      <w:r w:rsidRPr="00663775">
        <w:rPr>
          <w:rFonts w:ascii="彩虹粗仿宋" w:eastAsia="彩虹粗仿宋" w:hAnsi="宋体" w:cs="Arial" w:hint="eastAsia"/>
          <w:sz w:val="24"/>
        </w:rPr>
        <w:t>；因证券市场波动、上市公司股票停牌、基金规模变动等基金管理人之外的因素致使基金不符合该比例限制的，基金管理人不得主动新增流动性受限资产的投资；</w:t>
      </w:r>
    </w:p>
    <w:p w14:paraId="0E13623D" w14:textId="502CC1F5" w:rsidR="00B80D0C" w:rsidRPr="00663775" w:rsidRDefault="005E0DAD">
      <w:pPr>
        <w:adjustRightInd w:val="0"/>
        <w:snapToGrid w:val="0"/>
        <w:ind w:firstLineChars="200" w:firstLine="480"/>
        <w:rPr>
          <w:rFonts w:ascii="彩虹粗仿宋" w:eastAsia="彩虹粗仿宋" w:hAnsi="宋体" w:cs="Arial"/>
          <w:sz w:val="24"/>
        </w:rPr>
      </w:pPr>
      <w:r>
        <w:rPr>
          <w:rFonts w:ascii="彩虹粗仿宋" w:eastAsia="彩虹粗仿宋" w:hAnsi="宋体" w:cs="Arial"/>
          <w:sz w:val="24"/>
        </w:rPr>
        <w:t>13</w:t>
      </w:r>
      <w:r w:rsidR="00916999" w:rsidRPr="00663775">
        <w:rPr>
          <w:rFonts w:ascii="彩虹粗仿宋" w:eastAsia="彩虹粗仿宋" w:hAnsi="宋体" w:cs="Arial" w:hint="eastAsia"/>
          <w:sz w:val="24"/>
        </w:rPr>
        <w:t>、法律法规及中国证监会规定的和《基金合同》约定的其他投资限制。</w:t>
      </w:r>
    </w:p>
    <w:p w14:paraId="18AC7370" w14:textId="52ADDA78"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除上述第</w:t>
      </w:r>
      <w:r w:rsidRPr="00663775">
        <w:rPr>
          <w:rFonts w:ascii="彩虹粗仿宋" w:eastAsia="彩虹粗仿宋" w:hAnsi="宋体" w:cs="Arial"/>
          <w:sz w:val="24"/>
        </w:rPr>
        <w:t>2</w:t>
      </w:r>
      <w:r w:rsidRPr="00663775">
        <w:rPr>
          <w:rFonts w:ascii="彩虹粗仿宋" w:eastAsia="彩虹粗仿宋" w:hAnsi="宋体" w:cs="Arial" w:hint="eastAsia"/>
          <w:sz w:val="24"/>
        </w:rPr>
        <w:t>、</w:t>
      </w:r>
      <w:r w:rsidRPr="00663775">
        <w:rPr>
          <w:rFonts w:ascii="彩虹粗仿宋" w:eastAsia="彩虹粗仿宋" w:hAnsi="宋体" w:cs="Arial"/>
          <w:sz w:val="24"/>
        </w:rPr>
        <w:t>7</w:t>
      </w:r>
      <w:r w:rsidRPr="00663775">
        <w:rPr>
          <w:rFonts w:ascii="彩虹粗仿宋" w:eastAsia="彩虹粗仿宋" w:hAnsi="宋体" w:cs="Arial" w:hint="eastAsia"/>
          <w:sz w:val="24"/>
        </w:rPr>
        <w:t>、</w:t>
      </w:r>
      <w:r w:rsidRPr="00663775">
        <w:rPr>
          <w:rFonts w:ascii="彩虹粗仿宋" w:eastAsia="彩虹粗仿宋" w:hAnsi="宋体" w:cs="Arial"/>
          <w:sz w:val="24"/>
        </w:rPr>
        <w:t>12</w:t>
      </w:r>
      <w:r w:rsidRPr="00663775">
        <w:rPr>
          <w:rFonts w:ascii="彩虹粗仿宋" w:eastAsia="彩虹粗仿宋" w:hAnsi="宋体" w:cs="Arial" w:hint="eastAsia"/>
          <w:sz w:val="24"/>
        </w:rPr>
        <w:t>项外，因证券、期货市场波动、证券发行人合并、基金规模变动、标的指数成份股调整、标的指数成份股流动性限制等基金管理人之外的因素致使基金投资比例不符合上述规定投资比例的，基金管理人应当在</w:t>
      </w:r>
      <w:r w:rsidRPr="00663775">
        <w:rPr>
          <w:rFonts w:ascii="彩虹粗仿宋" w:eastAsia="彩虹粗仿宋" w:hAnsi="宋体" w:cs="Arial"/>
          <w:sz w:val="24"/>
        </w:rPr>
        <w:t>10</w:t>
      </w:r>
      <w:r w:rsidRPr="00663775">
        <w:rPr>
          <w:rFonts w:ascii="彩虹粗仿宋" w:eastAsia="彩虹粗仿宋" w:hAnsi="宋体" w:cs="Arial" w:hint="eastAsia"/>
          <w:sz w:val="24"/>
        </w:rPr>
        <w:t>个交易日</w:t>
      </w:r>
      <w:r w:rsidRPr="00663775">
        <w:rPr>
          <w:rFonts w:ascii="彩虹粗仿宋" w:eastAsia="彩虹粗仿宋" w:hAnsi="宋体" w:cs="Arial" w:hint="eastAsia"/>
          <w:sz w:val="24"/>
        </w:rPr>
        <w:lastRenderedPageBreak/>
        <w:t>内进行调整，但中国证监会规定的特殊情形除外。法律法规另有规定的，从其规定。</w:t>
      </w:r>
    </w:p>
    <w:p w14:paraId="2AD548C9" w14:textId="6448C1FB"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基金管理人应当自基金合同生效之日起</w:t>
      </w:r>
      <w:r w:rsidRPr="00663775">
        <w:rPr>
          <w:rFonts w:ascii="彩虹粗仿宋" w:eastAsia="彩虹粗仿宋" w:hAnsi="宋体" w:cs="Arial"/>
          <w:sz w:val="24"/>
        </w:rPr>
        <w:t>6</w:t>
      </w:r>
      <w:r w:rsidRPr="00663775">
        <w:rPr>
          <w:rFonts w:ascii="彩虹粗仿宋" w:eastAsia="彩虹粗仿宋" w:hAnsi="宋体" w:cs="Arial" w:hint="eastAsia"/>
          <w:sz w:val="24"/>
        </w:rPr>
        <w:t>个月内使基金的投资组合比例符合基金合同的有关约定。在上述期间内，本基金的投资范围、投资策略应当符合基金合同的约定。基金托管人对基金的投资的监督与检查自基金合同生效之日起开始。</w:t>
      </w:r>
    </w:p>
    <w:p w14:paraId="26D350A7" w14:textId="72362E93" w:rsidR="00B80D0C" w:rsidRPr="00663775" w:rsidRDefault="00916999">
      <w:pPr>
        <w:adjustRightInd w:val="0"/>
        <w:snapToGrid w:val="0"/>
        <w:ind w:firstLineChars="200" w:firstLine="480"/>
        <w:rPr>
          <w:rFonts w:ascii="彩虹粗仿宋" w:eastAsia="彩虹粗仿宋" w:hAnsi="宋体" w:cs="Arial"/>
          <w:sz w:val="24"/>
        </w:rPr>
      </w:pPr>
      <w:r w:rsidRPr="00663775">
        <w:rPr>
          <w:rFonts w:ascii="彩虹粗仿宋" w:eastAsia="彩虹粗仿宋" w:hAnsi="宋体" w:cs="Arial" w:hint="eastAsia"/>
          <w:sz w:val="24"/>
        </w:rPr>
        <w:t>法律法规对上述投资组合比例限制进行变更的，以变更后的规定为准。法律法规或监管部门取消上述限制，如适用于本基金，基金管理人在履行适当程序后，则本基金投资不再受相关限制。</w:t>
      </w:r>
    </w:p>
    <w:bookmarkEnd w:id="5"/>
    <w:p w14:paraId="1E1A4C2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w:t>
      </w:r>
      <w:bookmarkStart w:id="6" w:name="OLE_LINK1"/>
      <w:r>
        <w:rPr>
          <w:rFonts w:ascii="彩虹粗仿宋" w:eastAsia="彩虹粗仿宋" w:hAnsi="宋体" w:cs="Arial" w:hint="eastAsia"/>
          <w:sz w:val="24"/>
        </w:rPr>
        <w:t>根据有关法律法规的规定及《基金合同》的约定，</w:t>
      </w:r>
      <w:bookmarkEnd w:id="6"/>
      <w:r>
        <w:rPr>
          <w:rFonts w:ascii="彩虹粗仿宋" w:eastAsia="彩虹粗仿宋" w:hAnsi="宋体" w:cs="Arial" w:hint="eastAsia"/>
          <w:sz w:val="24"/>
        </w:rPr>
        <w:t>对本托管协议第十五条第九款基金投资禁止行为通过事后监督方式进行监督。</w:t>
      </w:r>
    </w:p>
    <w:p w14:paraId="71E748CE"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50E0F73A"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如法律、行政法规或监管部门取消上述规定，如适用于本基金，基金管理人在履行适当程序后，本基金可不受上述规定的限制。</w:t>
      </w:r>
    </w:p>
    <w:p w14:paraId="61795797"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托管人根据有关法律法规的规定及《基金合同》的约定，对基金管理人参与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07222ECD"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456A1403"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（五）基金托管人根据有关法律法规的规定及《基金合同》的约定，对基金管理人投资流通受限证券进行监督。</w:t>
      </w:r>
    </w:p>
    <w:p w14:paraId="118E910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55DAC01"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1.本基金投资的流通受限证券须为经中国证监会批准的非公开发行股票、公</w:t>
      </w:r>
      <w:r>
        <w:rPr>
          <w:rFonts w:ascii="彩虹粗仿宋" w:eastAsia="彩虹粗仿宋" w:hAnsi="宋体" w:cs="Arial" w:hint="eastAsia"/>
          <w:sz w:val="24"/>
        </w:rPr>
        <w:lastRenderedPageBreak/>
        <w:t>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59C77A2"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本基金投资的流通受限证券限于可由中国证券登记结算有限责任公司或中央国债登记结算有限责任公司负责登记和存管，并可在证券交易所或全国银行间债券市场交易的证券。</w:t>
      </w:r>
    </w:p>
    <w:p w14:paraId="2EA65074" w14:textId="77777777" w:rsidR="00B80D0C" w:rsidRDefault="00916999" w:rsidP="00663775">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基金投资的流通受限证券应保证登记存管在本基金名下，基金管理人负责相关工作的落实和协调，并确保基金托管人能够正常查询。因基金管理人原因产生的流通受限证券登记存管问题，造成基金托管人无法安全保管本基金资产的责任与损失，及因流通受限证券存管直接影响本基金安全的责任及损失，由基金管理人承担。</w:t>
      </w:r>
    </w:p>
    <w:p w14:paraId="3D693A5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本基金投资流通受限证券，不得预付任何形式的保证金。</w:t>
      </w:r>
    </w:p>
    <w:p w14:paraId="08F12C4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投资非公开发行股票，应制订流动性风险处置预案并经其董事会批准。风险处置预案应包括但不限于因投资流通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73B4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对本基金投资流通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流通受限证券导致的流动性风险，基金托管人不承担任何责任。如因基金管理人原因导致本基金出现损失致使基金托管人承担连带赔偿责任的，基金管理人应赔偿基金托管人由此遭受的损失。</w:t>
      </w:r>
    </w:p>
    <w:p w14:paraId="296B2F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10179F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（1）中国证监会批准发行非公开发行股票的批准文件。</w:t>
      </w:r>
    </w:p>
    <w:p w14:paraId="755E35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（2）非公开发行股票有关发行数量、发行价格、锁定期等发行资料。</w:t>
      </w:r>
    </w:p>
    <w:p w14:paraId="3A31FF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（3）非公开发行股票发行人与中国证券登记结算有限责任公司或中央国债登记结算有限责任公司签订的证券登记及服务协议。</w:t>
      </w:r>
    </w:p>
    <w:p w14:paraId="2B2221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（4）基金拟认购的数量、价格、总成本、账面价值。</w:t>
      </w:r>
    </w:p>
    <w:p w14:paraId="57612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应在本基金投资非公开发行股票后两个交易日内，在中国证监会规定媒介披露所投资非公开发行股票的名称、数量、总成本、账面价值，以及总成本和账面价值占基金资产净值的比例、锁定期等信息。</w:t>
      </w:r>
    </w:p>
    <w:p w14:paraId="447696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本基金有关投资流通受限证券比例如违反有关限制规定，在合理期限内未能进行及时调整，基金管理人应依照《信息披露办法》的规定编制临时报告书，予以公告。</w:t>
      </w:r>
    </w:p>
    <w:p w14:paraId="1470A1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5.基金托管人根据有关规定有权对基金管理人进行以下事项监督：</w:t>
      </w:r>
    </w:p>
    <w:p w14:paraId="3FFA08C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（1）本基金投资流通受限证券时的法律法规遵守情况。</w:t>
      </w:r>
    </w:p>
    <w:p w14:paraId="7630C0A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（2）在基金投资流通受限证券管理工作方面有关制度、流动性风险处置预案的建立与完善情况。</w:t>
      </w:r>
    </w:p>
    <w:p w14:paraId="475C47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（3）有关比例限制的执行情况。</w:t>
      </w:r>
    </w:p>
    <w:p w14:paraId="3A280D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（4）信息披露情况。</w:t>
      </w:r>
    </w:p>
    <w:p w14:paraId="2D8B2D6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6.相关法律法规对基金投资流通受限证券有新规定的，从其规定。</w:t>
      </w:r>
    </w:p>
    <w:p w14:paraId="4F5ABB63" w14:textId="12152ABA"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（六）基金托管人根据有关法律法规的规定及《基金合同》的约定，对基金资产净值计算、</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基金份额净值计算、应收资金到账、基金费用开支及收入确定、基金收益分配、相关信息披露、基金宣传推介材料中登载基金业绩表现数据等进行监督和核查。</w:t>
      </w:r>
    </w:p>
    <w:p w14:paraId="66D3AA6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613DA2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148E6FA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（九）若基金托管人发现基金管理人依据交易程序已经生效的指令违反法律、行政法规和其他有关规定，或者违反《基金合同》约定的，应当立即通知基金管理人，由此造成的损失由基金管理人承担。</w:t>
      </w:r>
    </w:p>
    <w:p w14:paraId="375ED5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4C203D12" w14:textId="77777777" w:rsidR="00B80D0C" w:rsidRDefault="00B80D0C">
      <w:pPr>
        <w:rPr>
          <w:rFonts w:ascii="彩虹粗仿宋" w:eastAsia="彩虹粗仿宋"/>
          <w:sz w:val="24"/>
        </w:rPr>
      </w:pPr>
    </w:p>
    <w:p w14:paraId="0BD3C438" w14:textId="77777777" w:rsidR="00B80D0C" w:rsidRDefault="00916999">
      <w:pPr>
        <w:pStyle w:val="2"/>
        <w:jc w:val="center"/>
        <w:rPr>
          <w:rFonts w:ascii="彩虹粗仿宋" w:eastAsia="彩虹粗仿宋"/>
          <w:sz w:val="30"/>
        </w:rPr>
      </w:pPr>
      <w:bookmarkStart w:id="7" w:name="_Toc86225291"/>
      <w:bookmarkStart w:id="8" w:name="_Toc86223242"/>
      <w:bookmarkStart w:id="9" w:name="_Toc86649722"/>
      <w:bookmarkStart w:id="10" w:name="_Toc86726439"/>
      <w:bookmarkStart w:id="11" w:name="_Toc86727355"/>
      <w:bookmarkStart w:id="12" w:name="_Toc86737929"/>
      <w:bookmarkStart w:id="13" w:name="_Toc89163368"/>
      <w:bookmarkStart w:id="14" w:name="_Toc108512358"/>
      <w:bookmarkStart w:id="15" w:name="_Toc110761796"/>
      <w:bookmarkStart w:id="16" w:name="_Toc110765660"/>
      <w:bookmarkStart w:id="17" w:name="_Toc110830492"/>
      <w:bookmarkStart w:id="18" w:name="_Toc118212950"/>
      <w:bookmarkStart w:id="19" w:name="_Toc118774803"/>
      <w:bookmarkStart w:id="20" w:name="_Toc118972648"/>
      <w:bookmarkStart w:id="21" w:name="_Toc119402710"/>
      <w:bookmarkStart w:id="22" w:name="_Toc120435783"/>
      <w:bookmarkStart w:id="23" w:name="_Toc124325888"/>
      <w:r>
        <w:rPr>
          <w:rFonts w:ascii="彩虹粗仿宋" w:eastAsia="彩虹粗仿宋" w:hint="eastAsia"/>
          <w:sz w:val="30"/>
        </w:rPr>
        <w:t>四、基金管理人对基金托管人的业务核查</w:t>
      </w:r>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p>
    <w:p w14:paraId="561B424D" w14:textId="038E855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（一）基金管理人对基金托管人履行托管职责情况进行核查，核查事项包括基金托管人安全保管基金财产、开设基金财产的资金账户、证券账户等投资所需账户、复核基金管理人计算的基金资产净值和</w:t>
      </w:r>
      <w:r w:rsidR="00A96939">
        <w:rPr>
          <w:rFonts w:ascii="彩虹粗仿宋" w:eastAsia="彩虹粗仿宋" w:hAnsi="宋体" w:cs="Arial" w:hint="eastAsia"/>
          <w:sz w:val="24"/>
        </w:rPr>
        <w:t>各类</w:t>
      </w:r>
      <w:r>
        <w:rPr>
          <w:rFonts w:ascii="彩虹粗仿宋" w:eastAsia="彩虹粗仿宋" w:hAnsi="宋体" w:cs="Arial" w:hint="eastAsia"/>
          <w:sz w:val="24"/>
        </w:rPr>
        <w:t>基金份额净值、根据基金管理人指令办理清算交收、相关信息披露和监督基金投资运作等行为。</w:t>
      </w:r>
    </w:p>
    <w:p w14:paraId="6ECB7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0EFC96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（三）基金管理人发现基金托管人有重大违规行为，应及时报告中国证监会，</w:t>
      </w:r>
      <w:r>
        <w:rPr>
          <w:rFonts w:ascii="彩虹粗仿宋" w:eastAsia="彩虹粗仿宋" w:hAnsi="宋体" w:cs="Arial" w:hint="eastAsia"/>
          <w:sz w:val="24"/>
        </w:rPr>
        <w:lastRenderedPageBreak/>
        <w:t>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0B2BFD1B" w14:textId="77777777" w:rsidR="00B80D0C" w:rsidRDefault="00B80D0C">
      <w:pPr>
        <w:rPr>
          <w:rFonts w:ascii="彩虹粗仿宋" w:eastAsia="彩虹粗仿宋"/>
          <w:sz w:val="24"/>
        </w:rPr>
      </w:pPr>
    </w:p>
    <w:p w14:paraId="31999B06" w14:textId="77777777" w:rsidR="00B80D0C" w:rsidRDefault="00916999">
      <w:pPr>
        <w:pStyle w:val="2"/>
        <w:jc w:val="center"/>
        <w:rPr>
          <w:rFonts w:ascii="彩虹粗仿宋" w:eastAsia="彩虹粗仿宋"/>
          <w:sz w:val="30"/>
        </w:rPr>
      </w:pPr>
      <w:bookmarkStart w:id="24" w:name="_Toc84133786"/>
      <w:bookmarkStart w:id="25" w:name="_Toc84234388"/>
      <w:bookmarkStart w:id="26" w:name="_Toc84234435"/>
      <w:bookmarkStart w:id="27" w:name="_Toc86204789"/>
      <w:bookmarkStart w:id="28" w:name="_Toc86223243"/>
      <w:bookmarkStart w:id="29" w:name="_Toc86225292"/>
      <w:bookmarkStart w:id="30" w:name="_Toc86649723"/>
      <w:bookmarkStart w:id="31" w:name="_Toc86726440"/>
      <w:bookmarkStart w:id="32" w:name="_Toc86727356"/>
      <w:bookmarkStart w:id="33" w:name="_Toc86737930"/>
      <w:bookmarkStart w:id="34" w:name="_Toc89163369"/>
      <w:bookmarkStart w:id="35" w:name="_Toc108512359"/>
      <w:bookmarkStart w:id="36" w:name="_Toc110761797"/>
      <w:bookmarkStart w:id="37" w:name="_Toc110765661"/>
      <w:bookmarkStart w:id="38" w:name="_Toc110830493"/>
      <w:bookmarkStart w:id="39" w:name="_Toc118212951"/>
      <w:bookmarkStart w:id="40" w:name="_Toc118774804"/>
      <w:bookmarkStart w:id="41" w:name="_Toc118972649"/>
      <w:bookmarkStart w:id="42" w:name="_Toc119402711"/>
      <w:bookmarkStart w:id="43" w:name="_Toc120435784"/>
      <w:bookmarkStart w:id="44" w:name="_Toc124325889"/>
      <w:r>
        <w:rPr>
          <w:rFonts w:ascii="彩虹粗仿宋" w:eastAsia="彩虹粗仿宋" w:hint="eastAsia"/>
          <w:sz w:val="30"/>
        </w:rPr>
        <w:t>五、基金财产的保管</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6CDD011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（一）基金财产保管的原则</w:t>
      </w:r>
    </w:p>
    <w:p w14:paraId="757F5C8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1.基金财产应独立于基金管理人、基金托管人的固有财产。</w:t>
      </w:r>
    </w:p>
    <w:p w14:paraId="320E192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2.基金托管人应安全保管基金财产。</w:t>
      </w:r>
    </w:p>
    <w:p w14:paraId="61E729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3.基金托管人按照规定开设基金财产的资金账户和证券账户。</w:t>
      </w:r>
    </w:p>
    <w:p w14:paraId="7C1EFA0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4.基金托管人对所托管的不同基金财产分别设置账户，确保基金财产的完整与独立。</w:t>
      </w:r>
    </w:p>
    <w:p w14:paraId="4B6A55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基金托管人按照《基金合同》和本协议的约定保管基金财产，如有特殊情况双方可另行协商解决。基金托管人未经基金管理人的指令，不得自行运用、处分、分配本基金的任何资产（不包含基金托管人依据中国证券登记结算有限责任公司结算数据完成场内交易交收、开户银行或交易/登记结算机构扣收交易费、结算费和账户维护费等费用）。</w:t>
      </w:r>
    </w:p>
    <w:p w14:paraId="496F434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4C75075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7.除依据法律法规和《基金合同》的规定外，基金托管人不得委托第三人托管基金财产。</w:t>
      </w:r>
    </w:p>
    <w:p w14:paraId="1036B6A5" w14:textId="73CE858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二</w:t>
      </w:r>
      <w:r>
        <w:rPr>
          <w:rFonts w:ascii="彩虹粗仿宋" w:eastAsia="彩虹粗仿宋" w:hAnsi="宋体" w:cs="Arial" w:hint="eastAsia"/>
          <w:sz w:val="24"/>
        </w:rPr>
        <w:t>）基金银行账户的开立和管理</w:t>
      </w:r>
    </w:p>
    <w:p w14:paraId="1E0994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1.基金托管人应以本基金的名义在其营业机构开立基金的银行账户，并根据基金管理人合法合规的指令办理资金收付。本基金的银行预留印鉴由基金托管人保管和使用。</w:t>
      </w:r>
    </w:p>
    <w:p w14:paraId="7097E9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2.基金银行账户的开立和使用，限于满足开展本基金业务的需要。基金托管人和基金管理人不得假借本基金的名义开立任何其他银行账户；亦不得使用基金的任何账户进行本基金业务以外的活动。</w:t>
      </w:r>
    </w:p>
    <w:p w14:paraId="0EEAE3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3.基金银行账户的开立和管理应符合银行业监督管理机构的有关规定。</w:t>
      </w:r>
    </w:p>
    <w:p w14:paraId="642415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4.在符合法律法规规定的条件下，基金托管人可以通过基金托管人专用账户办理基金资产的支付。</w:t>
      </w:r>
    </w:p>
    <w:p w14:paraId="575EA8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5.管理人应于托管产品清盘后及时完成收益兑付、费用结清及其他应收应付款项资金划转，在确保后续不再发生款项进出后的10个工作日内向托管人发出销户申请。</w:t>
      </w:r>
    </w:p>
    <w:p w14:paraId="6570C08E" w14:textId="54E5583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三</w:t>
      </w:r>
      <w:r>
        <w:rPr>
          <w:rFonts w:ascii="彩虹粗仿宋" w:eastAsia="彩虹粗仿宋" w:hAnsi="宋体" w:cs="Arial" w:hint="eastAsia"/>
          <w:sz w:val="24"/>
        </w:rPr>
        <w:t>）基金证券账户和结算备付金账户的开立和管理</w:t>
      </w:r>
    </w:p>
    <w:p w14:paraId="3197E8B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1.基金托管人在中国证券登记结算有限责任公司为基金开立基金托管人与本基金联名的证券账户。</w:t>
      </w:r>
    </w:p>
    <w:p w14:paraId="2BC6B7B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018323D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3.基金证券账户的开立和证券账户卡的保管由基金托管人负责，账户资产的管理和运用由基金管理人负责。</w:t>
      </w:r>
    </w:p>
    <w:p w14:paraId="1F032E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证券账户开户费由基金管理人先行垫付，待托管产品启始运营后，基金管理人可向基金托管人发送划款指令，将代垫开户费从本基金托管资金账户中扣还基金管理人。</w:t>
      </w:r>
    </w:p>
    <w:p w14:paraId="5817CE7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24591858" w14:textId="77777777" w:rsidR="00B80D0C" w:rsidRDefault="00916999" w:rsidP="00663775">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5.账户注销时，在遵守中国证券登记结算公司的相关规定下，由管理人和托管人协商确认主要办理人。账户注销期间，主要办理人如需另一方提供配合的，另一方应予以配合。</w:t>
      </w:r>
    </w:p>
    <w:p w14:paraId="0907A71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6.若中国证监会或其他监管机构在本托管协议订立日之后允许基金从事其他投资品种的投资业务，涉及相关账户的开立、使用的，若无相关规定，则基金托管人比照上述关于账户开立、使用的规定执行。</w:t>
      </w:r>
    </w:p>
    <w:p w14:paraId="05A0C20B" w14:textId="7D77386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四</w:t>
      </w:r>
      <w:r>
        <w:rPr>
          <w:rFonts w:ascii="彩虹粗仿宋" w:eastAsia="彩虹粗仿宋" w:hAnsi="宋体" w:cs="Arial" w:hint="eastAsia"/>
          <w:sz w:val="24"/>
        </w:rPr>
        <w:t>）债券托管专户的开设和管理</w:t>
      </w:r>
    </w:p>
    <w:p w14:paraId="0340E07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《基金合同》生效后，基金管理人负责以基金的名义申请并取得进入全国银行间同业拆借市场的交易资格，并代表基金进行交易；基金托管人根据中国人民银行、银行间市场登记结算机构的有关规定，以本基金</w:t>
      </w:r>
      <w:r>
        <w:rPr>
          <w:rFonts w:ascii="彩虹粗仿宋" w:eastAsia="彩虹粗仿宋" w:hAnsi="宋体" w:cs="Arial"/>
          <w:sz w:val="24"/>
        </w:rPr>
        <w:t>的名义</w:t>
      </w:r>
      <w:r>
        <w:rPr>
          <w:rFonts w:ascii="彩虹粗仿宋" w:eastAsia="彩虹粗仿宋" w:hAnsi="宋体" w:cs="Arial" w:hint="eastAsia"/>
          <w:sz w:val="24"/>
        </w:rPr>
        <w:t>在银行间市场登记结算机构开立债券托管账户，持有人账户和资金结算账户，并代表基金进行银行间市场债券的结算。基金管理人和基金托管人共同代表基金签订全国银行间债券市场债券回购主协议。</w:t>
      </w:r>
    </w:p>
    <w:p w14:paraId="6AEEE441" w14:textId="61BAFD1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五</w:t>
      </w:r>
      <w:r>
        <w:rPr>
          <w:rFonts w:ascii="彩虹粗仿宋" w:eastAsia="彩虹粗仿宋" w:hAnsi="宋体" w:cs="Arial" w:hint="eastAsia"/>
          <w:sz w:val="24"/>
        </w:rPr>
        <w:t>）其他账户的开立和管理</w:t>
      </w:r>
    </w:p>
    <w:p w14:paraId="69B77AF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托管协议订立日之后，本基金被允许从事符合法律法规规定和《基金合同》约定的其他投资品种的投资业务时，如果涉及相关账户的开设和使用，由基金管理人协助基金托管人根据有关法律法规的规定和《基金合同》的约定，开立有关账户。该账户按有关规则使用并管理。</w:t>
      </w:r>
    </w:p>
    <w:p w14:paraId="3EF52F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2.法律法规等有关规定对相关账户的开立和管理另有规定的，从其规定办理。</w:t>
      </w:r>
    </w:p>
    <w:p w14:paraId="5F1D867C" w14:textId="5D8C2E0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六</w:t>
      </w:r>
      <w:r>
        <w:rPr>
          <w:rFonts w:ascii="彩虹粗仿宋" w:eastAsia="彩虹粗仿宋" w:hAnsi="宋体" w:cs="Arial" w:hint="eastAsia"/>
          <w:sz w:val="24"/>
        </w:rPr>
        <w:t>）基金财产投资的有关有价凭证等的保管</w:t>
      </w:r>
    </w:p>
    <w:p w14:paraId="0ABD352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17AD583D" w14:textId="65CD9D40"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sidRPr="00663775">
        <w:rPr>
          <w:rFonts w:ascii="彩虹粗仿宋" w:eastAsia="彩虹粗仿宋" w:hAnsi="宋体" w:cs="Arial" w:hint="eastAsia"/>
          <w:sz w:val="24"/>
        </w:rPr>
        <w:t>七</w:t>
      </w:r>
      <w:r>
        <w:rPr>
          <w:rFonts w:ascii="彩虹粗仿宋" w:eastAsia="彩虹粗仿宋" w:hAnsi="宋体" w:cs="Arial" w:hint="eastAsia"/>
          <w:sz w:val="24"/>
        </w:rPr>
        <w:t>）与基金财产有关的重大合同的保管</w:t>
      </w:r>
    </w:p>
    <w:p w14:paraId="701ED6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w:t>
      </w:r>
      <w:r>
        <w:rPr>
          <w:rFonts w:ascii="彩虹粗仿宋" w:eastAsia="彩虹粗仿宋" w:hAnsi="宋体" w:cs="Arial" w:hint="eastAsia"/>
          <w:sz w:val="24"/>
        </w:rPr>
        <w:lastRenderedPageBreak/>
        <w:t>在三十个工作日内将正本送达基金托管人处。重大合同的保管期限为《基金合同》终止后15年。</w:t>
      </w:r>
    </w:p>
    <w:p w14:paraId="6A1EA5BA" w14:textId="77777777" w:rsidR="00B80D0C" w:rsidRDefault="00B80D0C">
      <w:pPr>
        <w:rPr>
          <w:rFonts w:ascii="彩虹粗仿宋" w:eastAsia="彩虹粗仿宋"/>
          <w:sz w:val="24"/>
        </w:rPr>
      </w:pPr>
    </w:p>
    <w:p w14:paraId="34C8CC94" w14:textId="77777777" w:rsidR="00B80D0C" w:rsidRDefault="00916999">
      <w:pPr>
        <w:pStyle w:val="2"/>
        <w:jc w:val="center"/>
        <w:rPr>
          <w:rFonts w:ascii="彩虹粗仿宋" w:eastAsia="彩虹粗仿宋"/>
          <w:sz w:val="30"/>
        </w:rPr>
      </w:pPr>
      <w:bookmarkStart w:id="45" w:name="_Toc84133787"/>
      <w:bookmarkStart w:id="46" w:name="_Toc84234389"/>
      <w:bookmarkStart w:id="47" w:name="_Toc84234436"/>
      <w:bookmarkStart w:id="48" w:name="_Toc86204790"/>
      <w:bookmarkStart w:id="49" w:name="_Toc86223244"/>
      <w:bookmarkStart w:id="50" w:name="_Toc86225293"/>
      <w:bookmarkStart w:id="51" w:name="_Toc86649724"/>
      <w:bookmarkStart w:id="52" w:name="_Toc86726441"/>
      <w:bookmarkStart w:id="53" w:name="_Toc86727357"/>
      <w:bookmarkStart w:id="54" w:name="_Toc86737931"/>
      <w:bookmarkStart w:id="55" w:name="_Toc89163370"/>
      <w:bookmarkStart w:id="56" w:name="_Toc108512360"/>
      <w:bookmarkStart w:id="57" w:name="_Toc110761798"/>
      <w:bookmarkStart w:id="58" w:name="_Toc110765662"/>
      <w:bookmarkStart w:id="59" w:name="_Toc110830494"/>
      <w:bookmarkStart w:id="60" w:name="_Toc118212952"/>
      <w:bookmarkStart w:id="61" w:name="_Toc118774805"/>
      <w:bookmarkStart w:id="62" w:name="_Toc118972650"/>
      <w:bookmarkStart w:id="63" w:name="_Toc119402712"/>
      <w:bookmarkStart w:id="64" w:name="_Toc120435785"/>
      <w:bookmarkStart w:id="65" w:name="_Toc124325890"/>
      <w:r>
        <w:rPr>
          <w:rFonts w:ascii="彩虹粗仿宋" w:eastAsia="彩虹粗仿宋" w:hint="eastAsia"/>
          <w:sz w:val="30"/>
        </w:rPr>
        <w:t>六、指令的发送、确认及执行</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5D14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基金管理人在运用基金财产时向基金托管人发送资金划拨及其他款项付款指令，基金托管人执行基金管理人的指令、办理基金名下的资金往来等有关事项。</w:t>
      </w:r>
    </w:p>
    <w:p w14:paraId="0BF57C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（一）基金管理人对发送指令人员的书面授权</w:t>
      </w:r>
    </w:p>
    <w:p w14:paraId="63B474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1.基金管理人应指定专人向基金托管人发送指令。</w:t>
      </w:r>
    </w:p>
    <w:p w14:paraId="1CD74D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2.基金管理人应向基金托管人提供书面授权文件，内容包括被授权人名单、预留印鉴及被授权人签字样本，授权文件应注明被授权人相应的权限。</w:t>
      </w:r>
    </w:p>
    <w:p w14:paraId="0ACC018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14:paraId="4F6442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4.基金管理人和基金托管人对授权文件负有保密义务，其内容不得向被授权人及相关操作人员以外的任何人泄露。但法律法规规定或有权机关要求的除外。</w:t>
      </w:r>
    </w:p>
    <w:p w14:paraId="546893F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（二）指令的内容</w:t>
      </w:r>
    </w:p>
    <w:p w14:paraId="4B00DC4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1.指令包括付款指令以及其他资金划拨指令等。</w:t>
      </w:r>
    </w:p>
    <w:p w14:paraId="7B0F1AB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2.基金管理人发给基金托管人的指令应写明款项事由、支付时间、到账时间、金额、账户等，加盖预留印鉴并由被授权人签字。</w:t>
      </w:r>
    </w:p>
    <w:p w14:paraId="0D8165B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（三）指令的发送、确认及执行的时间和程序</w:t>
      </w:r>
    </w:p>
    <w:p w14:paraId="3827884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1.指令的发送</w:t>
      </w:r>
    </w:p>
    <w:p w14:paraId="5FA3D61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基金管理人发送指令应采用加密传真方式或双方协商一致的其他方式。</w:t>
      </w:r>
    </w:p>
    <w:p w14:paraId="2B5A444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的授权，且上述授权的撤销或更改基金管理人已在指令执行前按照本协议约定通知基金托管人并经基金托管人确认后，则对于此后该被授权人无权发送的指令，或超权限发送的指令，基金管理人不承担责任，授权已更改但未经基金托管人确认的情况除外。</w:t>
      </w:r>
    </w:p>
    <w:p w14:paraId="40FAD3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指令发出后，基金管理人应及时以电话方式向基金托管人确认。</w:t>
      </w:r>
    </w:p>
    <w:p w14:paraId="71986DC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在银行间交易成交后，及时将通知单、相关文件及划款指令加盖印章后发至基金托管人并电话确认，由基金托管人完成后台交易匹配及资金交收事宜。如果银行间结算系统已经生成的交易需要取消或终止，基金管理人要书面通知基金托管人。</w:t>
      </w:r>
    </w:p>
    <w:p w14:paraId="7FB8D09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2.指令的确认</w:t>
      </w:r>
    </w:p>
    <w:p w14:paraId="70266A5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应指定专人接收基金管理人的指令，预先通知基金管理人其名单，并与基金管理人商定指令发送和接收方式。指令到达基金托管人后，基金托管人应指定专人立即审慎验证指令的要素是否齐全，并将指令所载签字和印鉴与授权文件进行表面真实性及权限范围核对，复核无误后应在规定期限内执行，不得延误，如有疑问必须及时通知基金管理人。</w:t>
      </w:r>
    </w:p>
    <w:p w14:paraId="0CCAB52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3.指令的时间和执行</w:t>
      </w:r>
    </w:p>
    <w:p w14:paraId="57950E8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基金托管人。因基金管理人指令传输不及时，致使资金未能及时划入中登公司所造成的损失由基金管理人承担，包括赔偿在该</w:t>
      </w:r>
      <w:r>
        <w:rPr>
          <w:rFonts w:ascii="彩虹粗仿宋" w:eastAsia="彩虹粗仿宋" w:hAnsi="宋体" w:cs="Arial"/>
          <w:sz w:val="24"/>
        </w:rPr>
        <w:t>交易</w:t>
      </w:r>
      <w:r>
        <w:rPr>
          <w:rFonts w:ascii="彩虹粗仿宋" w:eastAsia="彩虹粗仿宋" w:hAnsi="宋体" w:cs="Arial" w:hint="eastAsia"/>
          <w:sz w:val="24"/>
        </w:rPr>
        <w:t>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14:paraId="0C5C58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（四）基金管理人发送错误指令的情形和处理程序</w:t>
      </w:r>
    </w:p>
    <w:p w14:paraId="4DCC0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基金管理人发送错误指令的情形包括指令违反法律法规和《基金合同》，指令发送人员无权或超越权限发送指令。</w:t>
      </w:r>
    </w:p>
    <w:p w14:paraId="276D6F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基金托管人在履行监督职能时，发现基金管理人的指令错误时，有权拒绝执行，并及时通知基金管理人改正。如需撤销指令，基金管理人应出具书面说明，并加盖业务用章。</w:t>
      </w:r>
    </w:p>
    <w:p w14:paraId="2C5E83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（五）基金托管人依照法律法规暂缓、拒绝执行指令的情形和处理程序</w:t>
      </w:r>
    </w:p>
    <w:p w14:paraId="40E27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若基金托管人发现基金管理人的指令违反法律法规，或者违反《基金合同》约定的，应当暂缓</w:t>
      </w:r>
      <w:r>
        <w:rPr>
          <w:rFonts w:ascii="彩虹粗仿宋" w:eastAsia="彩虹粗仿宋" w:hAnsi="宋体" w:cs="Arial"/>
          <w:sz w:val="24"/>
        </w:rPr>
        <w:t>或</w:t>
      </w:r>
      <w:r>
        <w:rPr>
          <w:rFonts w:ascii="彩虹粗仿宋" w:eastAsia="彩虹粗仿宋" w:hAnsi="宋体" w:cs="Arial" w:hint="eastAsia"/>
          <w:sz w:val="24"/>
        </w:rPr>
        <w:t>拒绝执行，立即通知基金管理人。</w:t>
      </w:r>
    </w:p>
    <w:p w14:paraId="4B14241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（六）基金托管人未按照基金管理人指令执行的处理方法</w:t>
      </w:r>
    </w:p>
    <w:p w14:paraId="5EB986E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基金托管人由于过错，未按照基金管理人发送的指令执行并对基金财产或投资人造成的直接损失，由基金托管人赔偿由此造成的直接损失。</w:t>
      </w:r>
    </w:p>
    <w:p w14:paraId="0E7A4C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（七）更换被授权人员的程序</w:t>
      </w:r>
    </w:p>
    <w:p w14:paraId="04E7D79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基金托管人更换接受基金管理人指令的人员，应提前通过录音电话通知基金管理人。</w:t>
      </w:r>
    </w:p>
    <w:p w14:paraId="4D4725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（八）其他事项</w:t>
      </w:r>
    </w:p>
    <w:p w14:paraId="3D72E7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14:paraId="7C1FD9E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基金参与认购未上市债券时，基金管理人应代表本基金与对手方签署相关合同或协议，明确约定债券过户具体事宜。否则，基金管理人需对所认购债券的过户事宜承担相应责任。</w:t>
      </w:r>
    </w:p>
    <w:p w14:paraId="6CF81CFB" w14:textId="77777777" w:rsidR="00B80D0C" w:rsidRDefault="00B80D0C">
      <w:pPr>
        <w:adjustRightInd w:val="0"/>
        <w:snapToGrid w:val="0"/>
        <w:rPr>
          <w:rFonts w:ascii="彩虹粗仿宋" w:eastAsia="彩虹粗仿宋" w:hAnsi="宋体" w:cs="Arial"/>
          <w:sz w:val="24"/>
        </w:rPr>
      </w:pPr>
    </w:p>
    <w:p w14:paraId="057CB8E8" w14:textId="77777777" w:rsidR="00B80D0C" w:rsidRDefault="00916999">
      <w:pPr>
        <w:pStyle w:val="2"/>
        <w:jc w:val="center"/>
        <w:rPr>
          <w:rFonts w:ascii="彩虹粗仿宋" w:eastAsia="彩虹粗仿宋"/>
          <w:sz w:val="30"/>
        </w:rPr>
      </w:pPr>
      <w:bookmarkStart w:id="66" w:name="_Toc84133788"/>
      <w:bookmarkStart w:id="67" w:name="_Toc84234390"/>
      <w:bookmarkStart w:id="68" w:name="_Toc84234437"/>
      <w:bookmarkStart w:id="69" w:name="_Toc86204791"/>
      <w:bookmarkStart w:id="70" w:name="_Toc86223245"/>
      <w:bookmarkStart w:id="71" w:name="_Toc86225294"/>
      <w:bookmarkStart w:id="72" w:name="_Toc86649725"/>
      <w:bookmarkStart w:id="73" w:name="_Toc86726442"/>
      <w:bookmarkStart w:id="74" w:name="_Toc86727358"/>
      <w:bookmarkStart w:id="75" w:name="_Toc86737932"/>
      <w:bookmarkStart w:id="76" w:name="_Toc89163371"/>
      <w:bookmarkStart w:id="77" w:name="_Toc108512361"/>
      <w:bookmarkStart w:id="78" w:name="_Toc110761799"/>
      <w:bookmarkStart w:id="79" w:name="_Toc110765663"/>
      <w:bookmarkStart w:id="80" w:name="_Toc110830495"/>
      <w:bookmarkStart w:id="81" w:name="_Toc118212953"/>
      <w:bookmarkStart w:id="82" w:name="_Toc118774806"/>
      <w:bookmarkStart w:id="83" w:name="_Toc118972651"/>
      <w:bookmarkStart w:id="84" w:name="_Toc119402713"/>
      <w:bookmarkStart w:id="85" w:name="_Toc120435786"/>
      <w:bookmarkStart w:id="86" w:name="_Toc124325891"/>
      <w:r>
        <w:rPr>
          <w:rFonts w:ascii="彩虹粗仿宋" w:eastAsia="彩虹粗仿宋" w:hint="eastAsia"/>
          <w:sz w:val="30"/>
        </w:rPr>
        <w:t>七、交易及清算交收安排</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CCE49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（一）选择证券买卖、股指期货交易的证券经营机构、期货经纪机构</w:t>
      </w:r>
    </w:p>
    <w:p w14:paraId="30D9A28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中期报告和年度报告中将所选证券经营机构的有关情况及交易信息予以披露，并将该等情况及基金交易单元号、佣金费率等基本信息以及变更情况及时以书面形式通知基金托管人。</w:t>
      </w:r>
    </w:p>
    <w:p w14:paraId="283CFFD1" w14:textId="77777777" w:rsidR="00B80D0C" w:rsidRPr="00067AC8" w:rsidRDefault="00916999">
      <w:pPr>
        <w:pStyle w:val="a0"/>
        <w:adjustRightInd w:val="0"/>
        <w:snapToGrid w:val="0"/>
        <w:ind w:firstLine="480"/>
        <w:rPr>
          <w:rFonts w:ascii="彩虹粗仿宋" w:eastAsia="彩虹粗仿宋" w:hAnsi="宋体" w:cs="Arial"/>
          <w:iCs/>
          <w:sz w:val="24"/>
        </w:rPr>
      </w:pPr>
      <w:r>
        <w:rPr>
          <w:rFonts w:ascii="彩虹粗仿宋" w:eastAsia="彩虹粗仿宋" w:hAnsi="宋体" w:cs="Arial" w:hint="eastAsia"/>
          <w:sz w:val="24"/>
        </w:rPr>
        <w:t>基金管理人负责选择代理本基金</w:t>
      </w:r>
      <w:r>
        <w:rPr>
          <w:rFonts w:ascii="彩虹粗仿宋" w:eastAsia="彩虹粗仿宋" w:hAnsi="宋体" w:cs="Arial"/>
          <w:sz w:val="24"/>
        </w:rPr>
        <w:t>股指期货交易的</w:t>
      </w:r>
      <w:r>
        <w:rPr>
          <w:rFonts w:ascii="彩虹粗仿宋" w:eastAsia="彩虹粗仿宋" w:hAnsi="宋体" w:cs="Arial" w:hint="eastAsia"/>
          <w:sz w:val="24"/>
        </w:rPr>
        <w:t>期货经纪机构，并与其签订期货经纪合同。</w:t>
      </w:r>
      <w:r w:rsidRPr="00B66555">
        <w:rPr>
          <w:rFonts w:ascii="彩虹粗仿宋" w:eastAsia="彩虹粗仿宋" w:hint="eastAsia"/>
          <w:iCs/>
          <w:sz w:val="24"/>
        </w:rPr>
        <w:t>本基金在开始进行期货投资之前，应与基金托管人、期货公司三方一同就期货开户、清算、估值、交收等事宜另行签署《期货投资托管操作三方备忘录》。</w:t>
      </w:r>
    </w:p>
    <w:p w14:paraId="472EC88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（二）基金投资证券后的清算交收安排</w:t>
      </w:r>
    </w:p>
    <w:p w14:paraId="68D0719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1.清算与交割</w:t>
      </w:r>
    </w:p>
    <w:p w14:paraId="1FA343D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基金管理人与基金托管人应根据有关法律法规及相关业务规则，签订《托管银行证券资金结算协议》，</w:t>
      </w:r>
      <w:r>
        <w:rPr>
          <w:rFonts w:ascii="彩虹粗仿宋" w:eastAsia="彩虹粗仿宋" w:hint="eastAsia"/>
          <w:sz w:val="24"/>
        </w:rPr>
        <w:t>如投资港股通，还需签订《证券投资基金港股通结算补充协议》，</w:t>
      </w:r>
      <w:r>
        <w:rPr>
          <w:rFonts w:ascii="彩虹粗仿宋" w:eastAsia="彩虹粗仿宋" w:hAnsi="宋体" w:cs="Arial" w:hint="eastAsia"/>
          <w:sz w:val="24"/>
        </w:rPr>
        <w:t>用以具体明确基金管理人与基金托管人在证券交易资金结算业务中的责任。</w:t>
      </w:r>
    </w:p>
    <w:p w14:paraId="556E649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14:paraId="0716251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基金托管人负责基金买卖证券的清算交收。场内资金结算由基金托管人根据中国证券登记结算有限责任公司结算数据办理；场外资金汇划由基金托管人根据基金管理人的交易划款指令具体办理。</w:t>
      </w:r>
    </w:p>
    <w:p w14:paraId="77999F3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果因为基金托管人过错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在预清算结束后应通知基金管理人预透支和预欠库事项，基金管理人应保持联系方式畅通，后续补缴等事宜由基金管理人负责解决，由此给基金托管人、本基金和基金托管人托管的其他资产造成的直接损失由基金管理人承担。</w:t>
      </w:r>
    </w:p>
    <w:p w14:paraId="5B7E2C9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采取合理、必要措施，确保T日日终有足够的资金头寸完成T+1日中国证券登记结算有限责任公司的资金交收；如因基金管理人原因导致资金头寸不足，基金管理人应在T+1日上午12：00前补足透支款项，确保资金清算。如果未遵循上述规定备足资金头寸，影响基金资产的清算交收及基金托管人与中国证券登记结算有限责任公司之间的一级清算，由此给基金托管人、基金资产及基金托管人托管的其他资产造成的直接损失由基金管理人负责。</w:t>
      </w:r>
    </w:p>
    <w:p w14:paraId="12808F0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w:t>
      </w:r>
      <w:r>
        <w:rPr>
          <w:rFonts w:ascii="彩虹粗仿宋" w:eastAsia="彩虹粗仿宋" w:hAnsi="宋体" w:cs="Arial" w:hint="eastAsia"/>
          <w:sz w:val="24"/>
        </w:rPr>
        <w:lastRenderedPageBreak/>
        <w:t>登记结算有限责任公司欠库扣款或对质押券进行处置造成的投资风险和损失由基金管理人承担。</w:t>
      </w:r>
    </w:p>
    <w:p w14:paraId="68FB6C3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实行场内T+0交收的资金清算按照基金托管人的相关规定流程执行。</w:t>
      </w:r>
    </w:p>
    <w:p w14:paraId="107332B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2.交易记录、资金和证券账目核对的时间和方式</w:t>
      </w:r>
    </w:p>
    <w:p w14:paraId="2E6CEA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（1）交易记录的核对</w:t>
      </w:r>
    </w:p>
    <w:p w14:paraId="235E931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14:paraId="7E3D751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（2）资金账目的核对</w:t>
      </w:r>
    </w:p>
    <w:p w14:paraId="16C1620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资金账目按日核实。</w:t>
      </w:r>
    </w:p>
    <w:p w14:paraId="13DB41D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（3）证券账目的核对</w:t>
      </w:r>
    </w:p>
    <w:p w14:paraId="5D79F35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基金管理人和基金托管人每交易日结束后核对基金证券账目，确保双方账目相符。基金管理人和基金托管人每月月末核对实物证券账目。</w:t>
      </w:r>
    </w:p>
    <w:p w14:paraId="2A79B58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（三）基金申购和赎回业务处理的基本规定</w:t>
      </w:r>
    </w:p>
    <w:p w14:paraId="1A35390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1.基金份额申购、赎回的确认、清算由基金管理人或其委托的登记机构负责。</w:t>
      </w:r>
    </w:p>
    <w:p w14:paraId="06DABF7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14:paraId="10EF98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3.基金管理人应保证本基金（或本基金管理人委托）的登记机构每个工作日15:00前向基金托管人发送前一开放日上述有关数据，并保证相关数据的准确、完整。</w:t>
      </w:r>
    </w:p>
    <w:p w14:paraId="52AD40A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4.登记机构应通过与基金托管人建立的加密系统发送有关电子数据，如因各种原因，该系统无法正常发送，双方可协商解决处理方式。基金管理人向基金托管人发送的数据，双方各自按有关规定保存。</w:t>
      </w:r>
    </w:p>
    <w:p w14:paraId="5B950A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5.如基金管理人委托其他机构办理本基金的登记业务，应保证上述相关事宜按时进行。否则，由基金管理人承担相应的责任。</w:t>
      </w:r>
    </w:p>
    <w:p w14:paraId="7FCFEC0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6.关于清算专用账户的设立和管理</w:t>
      </w:r>
    </w:p>
    <w:p w14:paraId="669F880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为满足申购、赎回及分红资金汇划的需要，由基金管理人开立资金清算的专用账户，该账户由登记机构管理。</w:t>
      </w:r>
    </w:p>
    <w:p w14:paraId="1132AEE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7.对于基金申购过程中产生的应收款，应由基金管理人负责与有关当事人确定到账日期并通知基金托管人，到账日应收款没有到达基金资金账户的，基金托管人应及时通知基金管理人采取措施进行催收，由此造成基金损失的，基金管理人应负责向有关当事人追偿基金的损失。</w:t>
      </w:r>
    </w:p>
    <w:p w14:paraId="606C30B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8.赎回和分红资金划拨规定</w:t>
      </w:r>
    </w:p>
    <w:p w14:paraId="319534F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14:paraId="441ED8A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9.资金指令</w:t>
      </w:r>
    </w:p>
    <w:p w14:paraId="6E6B4D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除申购款项到达基金资金账户需双方按约定方式对账外，回购到期付款和与投资有关的付款、赎回和分红资金划拨时，基金管理人需向基金托管人下达指令。</w:t>
      </w:r>
    </w:p>
    <w:p w14:paraId="259B1D3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资金指令的格式、内容、发送、接收和确认方式等与投资指令相同。</w:t>
      </w:r>
    </w:p>
    <w:p w14:paraId="4ABD16E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（四）申赎净额结算</w:t>
      </w:r>
    </w:p>
    <w:p w14:paraId="53249E24" w14:textId="458ECFD1"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基金托管账户与“基金清算账户”间的资金结算遵循“全额清算、净额交收”的原则，每日)按照托管账户应收资金)与应付资金的差额来确定托管账户净应收额或净应付额，以此确定资金交收额。发生巨额赎回的情形，款项的交收参照本基金基金合同有关条款处理。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14:paraId="3ED3BF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（五）基金转换</w:t>
      </w:r>
    </w:p>
    <w:p w14:paraId="5C642F4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1.在本基金与基金管理人管理的其它基金开展转换业务之前，基金管理人应函告基金托管人并就相关事宜进行协商。</w:t>
      </w:r>
    </w:p>
    <w:p w14:paraId="0A75F5A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2.基金托管人将根据基金管理人传送的基金转换数据进行账务处理，具体资金清算和数据传递的时间、程序及托管协议当事人承担的权责按基金管理人届时的公告执行。</w:t>
      </w:r>
    </w:p>
    <w:p w14:paraId="6A5EF3F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3.本基金开展基金转换业务应按相关法律法规规定及《基金合同》的约定进行公告。</w:t>
      </w:r>
    </w:p>
    <w:p w14:paraId="57C2502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（六）基金现金分红</w:t>
      </w:r>
    </w:p>
    <w:p w14:paraId="548ABB7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1.基金管理人确定分红方案通知基金托管人，双方核定后依照《信息披露办法》的有关规定在中国证监会规定媒介上公告。</w:t>
      </w:r>
    </w:p>
    <w:p w14:paraId="6945C9D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2.基金托管人和基金管理人对基金分红进行账务处理并核对后，基金管理人向基金托管人发送现金红利的划款指令，基金托管人应及时将资金划入专用账户。</w:t>
      </w:r>
    </w:p>
    <w:p w14:paraId="355E587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3.基金管理人在下达指令时，应给基金托管人留出必需的划款时间。</w:t>
      </w:r>
    </w:p>
    <w:p w14:paraId="7F7488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（七）投资银行存款的特别约定</w:t>
      </w:r>
    </w:p>
    <w:p w14:paraId="34AB23B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1.本基金投资银行存款前，基金管理人应与存款银行签订具体存款协议，包括但不限于以下内容：</w:t>
      </w:r>
    </w:p>
    <w:p w14:paraId="2486146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（1）存款账户必须以本基金名义开立，并将基金托管人为本基金开立的基金银行账户指定为唯一回款账户，任何情况下，存款银行都不得将存款投资本息划往任何其他账户。</w:t>
      </w:r>
    </w:p>
    <w:p w14:paraId="46C95C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（2）存款银行不得接受基金管理人或基金托管人任何一方单方面提出的对存款进行更名、转让、挂失、质押、担保、撤销、变更印鉴及回款账户信息等可能导致财产转移的操作申请。</w:t>
      </w:r>
    </w:p>
    <w:p w14:paraId="35F3629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（3）约定存款证实书的具体传递交接方式及交接期限。</w:t>
      </w:r>
    </w:p>
    <w:p w14:paraId="5519BCA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（4）资金划转过程中需要使用存款银行过渡账户的，存款银行须保证资金在过渡账户中不出现滞留，不被挪用。</w:t>
      </w:r>
    </w:p>
    <w:p w14:paraId="57673A4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投资银行存款，必须采用双方认可的方式办理。基金托管人负责依据基金管理人提供的银行存款投资合同/协议、投资指令、支取通知等有关文件办理资金的支付以及存款证实书的接收、保管与交付，切实履行托管职责。基金托管人负责对存款开户证实书进行保管，不负责对存款开户证实书真伪的辨别，不承担存款开户证实书对应存款的本金及收益的安全。</w:t>
      </w:r>
    </w:p>
    <w:p w14:paraId="2E3431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基金管理人投资银行存款或办理存款支取时，应提前书面通知基金托管人，以便基金托管人有足够的时间履行相应的业务操作程序。因发生逾期支取、提前支取或部分提前支取，基金托管人不承担相应利息损失及逾期支取手续费。</w:t>
      </w:r>
    </w:p>
    <w:p w14:paraId="234C94D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对于已移交托管人保管的存款开户证实书等实物凭证，托管人应确保安全保管；对未按约定将存款开户证实书等实物凭证移交托管人保管的，托管人应向管理人进行必要的催缴和风险提示；提示后仍不将相关实物凭证送达托管人保管的，</w:t>
      </w:r>
      <w:r>
        <w:rPr>
          <w:rFonts w:ascii="彩虹粗仿宋" w:eastAsia="彩虹粗仿宋" w:hAnsi="宋体" w:cs="Arial" w:hint="eastAsia"/>
          <w:sz w:val="24"/>
        </w:rPr>
        <w:lastRenderedPageBreak/>
        <w:t>出于托管履职和尽责，托管人可视情况采取必要的风险控制措施：（1）建立风险预警机制，对于实物凭证未送达集中度较高的存款银行，主动发函管理人尽量避免在此类银行进行存款投资；（2）在定期报告中，对未按约定送达托管人保管的实物凭证信息进行规定范围信息披露；（3）未送达实物凭证超过送单截止日后30个工作日，且累计超过3笔（含）以上的，部分或全部暂停配合管理人办理后续新增存款投资业务，直至实物凭证送达托管人保管后解除。实物凭证未送达但存款本息已安全划回托管账户的，以及因发生特殊情况由管理人提供相关书面说明并重新承诺送单截止时间的，可剔除不计。</w:t>
      </w:r>
    </w:p>
    <w:p w14:paraId="4BF64F73" w14:textId="77777777" w:rsidR="00B80D0C" w:rsidRDefault="00B80D0C">
      <w:pPr>
        <w:pStyle w:val="a0"/>
        <w:adjustRightInd w:val="0"/>
        <w:snapToGrid w:val="0"/>
        <w:ind w:firstLine="480"/>
        <w:rPr>
          <w:rFonts w:ascii="彩虹粗仿宋" w:eastAsia="彩虹粗仿宋" w:hAnsi="宋体" w:cs="Arial"/>
          <w:sz w:val="24"/>
        </w:rPr>
      </w:pPr>
    </w:p>
    <w:p w14:paraId="4352BEBA" w14:textId="77777777" w:rsidR="00B80D0C" w:rsidRDefault="00916999">
      <w:pPr>
        <w:pStyle w:val="2"/>
        <w:jc w:val="center"/>
        <w:rPr>
          <w:rFonts w:ascii="彩虹粗仿宋" w:eastAsia="彩虹粗仿宋"/>
          <w:sz w:val="30"/>
        </w:rPr>
      </w:pPr>
      <w:bookmarkStart w:id="87" w:name="_Toc124325892"/>
      <w:r>
        <w:rPr>
          <w:rFonts w:ascii="彩虹粗仿宋" w:eastAsia="彩虹粗仿宋" w:hint="eastAsia"/>
          <w:sz w:val="30"/>
        </w:rPr>
        <w:t>八、基金资产净值计算和会计核算</w:t>
      </w:r>
      <w:bookmarkEnd w:id="87"/>
    </w:p>
    <w:p w14:paraId="586BB82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（一）基金资产净值的计算、复核与完成的时间及程序</w:t>
      </w:r>
    </w:p>
    <w:p w14:paraId="37841D5D" w14:textId="1046E91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1.基金资产净值是指基金资产总值减去负债后的金额。</w:t>
      </w:r>
      <w:r w:rsidR="00577523" w:rsidRPr="00577523">
        <w:rPr>
          <w:rFonts w:ascii="彩虹粗仿宋" w:eastAsia="彩虹粗仿宋" w:hAnsi="宋体" w:cs="Arial" w:hint="eastAsia"/>
          <w:sz w:val="24"/>
        </w:rPr>
        <w:t>各类基金份额的</w:t>
      </w:r>
      <w:r>
        <w:rPr>
          <w:rFonts w:ascii="彩虹粗仿宋" w:eastAsia="彩虹粗仿宋" w:hAnsi="宋体" w:cs="Arial" w:hint="eastAsia"/>
          <w:sz w:val="24"/>
        </w:rPr>
        <w:t>基金份额净值是按照每个工作日闭市后，</w:t>
      </w:r>
      <w:r w:rsidR="005477C9" w:rsidRPr="005477C9">
        <w:rPr>
          <w:rFonts w:ascii="彩虹粗仿宋" w:eastAsia="彩虹粗仿宋" w:hAnsi="宋体" w:cs="Arial" w:hint="eastAsia"/>
          <w:sz w:val="24"/>
        </w:rPr>
        <w:t>该类基金份额的</w:t>
      </w:r>
      <w:r>
        <w:rPr>
          <w:rFonts w:ascii="彩虹粗仿宋" w:eastAsia="彩虹粗仿宋" w:hAnsi="宋体" w:cs="Arial" w:hint="eastAsia"/>
          <w:sz w:val="24"/>
        </w:rPr>
        <w:t>基金资产净值除以当日</w:t>
      </w:r>
      <w:r w:rsidR="005477C9" w:rsidRPr="005477C9">
        <w:rPr>
          <w:rFonts w:ascii="彩虹粗仿宋" w:eastAsia="彩虹粗仿宋" w:hAnsi="宋体" w:cs="Arial" w:hint="eastAsia"/>
          <w:sz w:val="24"/>
        </w:rPr>
        <w:t>该类</w:t>
      </w:r>
      <w:r>
        <w:rPr>
          <w:rFonts w:ascii="彩虹粗仿宋" w:eastAsia="彩虹粗仿宋" w:hAnsi="宋体" w:cs="Arial" w:hint="eastAsia"/>
          <w:sz w:val="24"/>
        </w:rPr>
        <w:t>基金份额的余额数量计算，精确到0.00</w:t>
      </w:r>
      <w:r>
        <w:rPr>
          <w:rFonts w:ascii="彩虹粗仿宋" w:eastAsia="彩虹粗仿宋" w:hAnsi="宋体" w:cs="Arial"/>
          <w:sz w:val="24"/>
        </w:rPr>
        <w:t>0</w:t>
      </w:r>
      <w:r>
        <w:rPr>
          <w:rFonts w:ascii="彩虹粗仿宋" w:eastAsia="彩虹粗仿宋" w:hAnsi="宋体" w:cs="Arial" w:hint="eastAsia"/>
          <w:sz w:val="24"/>
        </w:rPr>
        <w:t>1元，小数点后第5位四舍五入。基金管理人可以设立大额赎回情形下的净值精度应急调整机制，具体可参见相关公告。国家另有规定的，从其规定。</w:t>
      </w:r>
    </w:p>
    <w:p w14:paraId="62673BEB" w14:textId="3AACC1D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基金管理人于每个工作日计算</w:t>
      </w:r>
      <w:r w:rsidR="006C2CC8">
        <w:rPr>
          <w:rFonts w:ascii="彩虹粗仿宋" w:eastAsia="彩虹粗仿宋" w:hAnsi="宋体" w:cs="Arial" w:hint="eastAsia"/>
          <w:sz w:val="24"/>
        </w:rPr>
        <w:t>各类基金份额的</w:t>
      </w:r>
      <w:r>
        <w:rPr>
          <w:rFonts w:ascii="彩虹粗仿宋" w:eastAsia="彩虹粗仿宋" w:hAnsi="宋体" w:cs="Arial" w:hint="eastAsia"/>
          <w:sz w:val="24"/>
        </w:rPr>
        <w:t>基金资产净值及基金份额净值，并按规定公告。如遇特殊情况，经履行适当程序，可以适当延迟计算或公告。</w:t>
      </w:r>
    </w:p>
    <w:p w14:paraId="2D729CFC" w14:textId="7FB8E7B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2.基金管理人应每个</w:t>
      </w:r>
      <w:r>
        <w:rPr>
          <w:rFonts w:ascii="彩虹粗仿宋" w:eastAsia="彩虹粗仿宋" w:hAnsi="宋体" w:cs="Arial"/>
          <w:sz w:val="24"/>
        </w:rPr>
        <w:t>工作日</w:t>
      </w:r>
      <w:r>
        <w:rPr>
          <w:rFonts w:ascii="彩虹粗仿宋" w:eastAsia="彩虹粗仿宋" w:hAnsi="宋体" w:cs="Arial" w:hint="eastAsia"/>
          <w:sz w:val="24"/>
        </w:rPr>
        <w:t>对基金资产估值。但基金管理人根据法律法规或《基金合同》的规定暂停估值时除外。基金管理人每个工作日对基金资产估值后，将</w:t>
      </w:r>
      <w:r w:rsidR="00DC6F28">
        <w:rPr>
          <w:rFonts w:ascii="彩虹粗仿宋" w:eastAsia="彩虹粗仿宋" w:hAnsi="宋体" w:cs="Arial" w:hint="eastAsia"/>
          <w:sz w:val="24"/>
        </w:rPr>
        <w:t>各类</w:t>
      </w:r>
      <w:r>
        <w:rPr>
          <w:rFonts w:ascii="彩虹粗仿宋" w:eastAsia="彩虹粗仿宋" w:hAnsi="宋体" w:cs="Arial" w:hint="eastAsia"/>
          <w:sz w:val="24"/>
        </w:rPr>
        <w:t>基金份额净值结果发送基金托管人，经基金托管人复核无误后，由基金管理人</w:t>
      </w:r>
      <w:r>
        <w:rPr>
          <w:rFonts w:ascii="彩虹粗仿宋" w:eastAsia="彩虹粗仿宋" w:hAnsi="宋体" w:cs="Arial"/>
          <w:sz w:val="24"/>
        </w:rPr>
        <w:t>依据基金合同和相关法律法规的规定</w:t>
      </w:r>
      <w:r>
        <w:rPr>
          <w:rFonts w:ascii="彩虹粗仿宋" w:eastAsia="彩虹粗仿宋" w:hAnsi="宋体" w:cs="Arial" w:hint="eastAsia"/>
          <w:sz w:val="24"/>
        </w:rPr>
        <w:t>对外公布。</w:t>
      </w:r>
      <w:r>
        <w:rPr>
          <w:rFonts w:ascii="彩虹粗仿宋" w:eastAsia="彩虹粗仿宋" w:hAnsi="宋体" w:cs="Arial"/>
          <w:sz w:val="24"/>
        </w:rPr>
        <w:t>月末、年中和年末估值复核与基金会计账目的核对同时进行。</w:t>
      </w:r>
    </w:p>
    <w:p w14:paraId="20FD37A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（二）基金资产估值方法和特殊情形的处理</w:t>
      </w:r>
    </w:p>
    <w:p w14:paraId="2D4BEB4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1.估值对象</w:t>
      </w:r>
    </w:p>
    <w:p w14:paraId="548E3A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基金所拥有的股票、债券、</w:t>
      </w:r>
      <w:r>
        <w:rPr>
          <w:rFonts w:ascii="彩虹粗仿宋" w:eastAsia="彩虹粗仿宋" w:hAnsi="宋体" w:cs="Arial"/>
          <w:sz w:val="24"/>
        </w:rPr>
        <w:t>衍生工具</w:t>
      </w:r>
      <w:r>
        <w:rPr>
          <w:rFonts w:ascii="彩虹粗仿宋" w:eastAsia="彩虹粗仿宋" w:hAnsi="宋体" w:cs="Arial" w:hint="eastAsia"/>
          <w:sz w:val="24"/>
        </w:rPr>
        <w:t>和其</w:t>
      </w:r>
      <w:r>
        <w:rPr>
          <w:rFonts w:ascii="彩虹粗仿宋" w:eastAsia="彩虹粗仿宋" w:hAnsi="宋体" w:cs="Arial"/>
          <w:sz w:val="24"/>
        </w:rPr>
        <w:t>他</w:t>
      </w:r>
      <w:r>
        <w:rPr>
          <w:rFonts w:ascii="彩虹粗仿宋" w:eastAsia="彩虹粗仿宋" w:hAnsi="宋体" w:cs="Arial" w:hint="eastAsia"/>
          <w:sz w:val="24"/>
        </w:rPr>
        <w:t>投资等持续以公允价值计量的金融资产及负债。</w:t>
      </w:r>
    </w:p>
    <w:p w14:paraId="6F67C27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2.估值方法</w:t>
      </w:r>
    </w:p>
    <w:p w14:paraId="7A9CAB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本基金所持有的投资品种，按如下原则进行估值：</w:t>
      </w:r>
    </w:p>
    <w:p w14:paraId="675BA8F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（1）证券交易所上市的有价证券的估值</w:t>
      </w:r>
    </w:p>
    <w:p w14:paraId="426E7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交易所上市的有价证券，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3E95C68"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②交易所上市交易或挂牌转让的固定收益品种（另有规定的除外），选取估值日第三方估值机构提供的相应品种当日的估值净价进行估值。</w:t>
      </w:r>
    </w:p>
    <w:p w14:paraId="4A8ABFE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交易所上市交易的可转换债券，按估值日收盘价减去可转换债券收盘价中所含债券（税后）应收利息后得到的净价进行估值。估值日没有交易的，且最近交易日后经济环境未发生重大变化，按最近交易日债券收盘价减去可转换债券收盘价中所含债券（税后）应收利息后得到的净价进行估值。如最近交易日后经济环境</w:t>
      </w:r>
      <w:r>
        <w:rPr>
          <w:rFonts w:ascii="彩虹粗仿宋" w:eastAsia="彩虹粗仿宋" w:hAnsi="宋体" w:cs="Arial" w:hint="eastAsia"/>
          <w:sz w:val="24"/>
        </w:rPr>
        <w:lastRenderedPageBreak/>
        <w:t>发生了重大变化的，可参考类似投资品种现行市价及重大变化因素，调整最近交易市价，确定公允价格；</w:t>
      </w:r>
    </w:p>
    <w:p w14:paraId="47F0A44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④交易所上市实行全价交易的债券（可转债除外），选取第三方估值机构提供的估值全价减去估值全价中所含的债券（税后）应收利息得到的净价进行估值；</w:t>
      </w:r>
    </w:p>
    <w:p w14:paraId="75DB542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⑤交易所上市不存在活跃市场的有价证券，采用估值技术确定公允价值。交易所市场挂牌转让的资产支持证券，采用估值技术确定公允价值。</w:t>
      </w:r>
    </w:p>
    <w:p w14:paraId="7A38D2A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⑥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0F74E2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（2）处于未上市期间的有价证券应区分如下情况处理：</w:t>
      </w:r>
    </w:p>
    <w:p w14:paraId="5A7D17A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①送股、转增股、配股和公开增发的新股，按估值日在证券交易所挂牌的同一股票的估值方法估值；该日无交易的，以最近一日的市价（收盘价）估值；</w:t>
      </w:r>
    </w:p>
    <w:p w14:paraId="0C00A5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②首次公开发行未上市的股票和债券，采用估值技术确定公允价值，在估值技术难以可靠计量公允价值的情况下，按成本估值；</w:t>
      </w:r>
    </w:p>
    <w:p w14:paraId="0FD43F1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③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C84530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160BC3DA" w14:textId="3121778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Pr>
          <w:rFonts w:ascii="彩虹粗仿宋" w:eastAsia="彩虹粗仿宋" w:hAnsi="宋体" w:cs="Arial"/>
          <w:sz w:val="24"/>
        </w:rPr>
        <w:t>）</w:t>
      </w:r>
      <w:r>
        <w:rPr>
          <w:rFonts w:ascii="彩虹粗仿宋" w:eastAsia="彩虹粗仿宋" w:hAnsi="宋体" w:cs="Arial" w:hint="eastAsia"/>
          <w:sz w:val="24"/>
        </w:rPr>
        <w:t>本基金投资股指期货合约，一般以估值当日结算价进行估值，估值当日无结算价的，且最近交易日后经济环境未发生重大变化的，采用最近交易日结算价估值。</w:t>
      </w:r>
    </w:p>
    <w:p w14:paraId="5C654268" w14:textId="6F5AEDA2"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5）</w:t>
      </w:r>
      <w:r>
        <w:rPr>
          <w:rFonts w:ascii="彩虹粗仿宋" w:eastAsia="彩虹粗仿宋" w:hAnsi="宋体" w:cs="Arial" w:hint="eastAsia"/>
          <w:sz w:val="24"/>
        </w:rPr>
        <w:t>如有确凿证据表明按上述方法进行估值不能客观反映其公允价值的，基金管理人可根据具体情况与基金托管人商定后，按最能反映公允价值的价格估值。</w:t>
      </w:r>
    </w:p>
    <w:p w14:paraId="33B1832C" w14:textId="0E5B60A8"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6）</w:t>
      </w:r>
      <w:r>
        <w:rPr>
          <w:rFonts w:ascii="彩虹粗仿宋" w:eastAsia="彩虹粗仿宋" w:hAnsi="宋体" w:cs="Arial" w:hint="eastAsia"/>
          <w:sz w:val="24"/>
        </w:rPr>
        <w:t>当发生大额申购或赎回情形时，基金管理人可以采用摆动定价机制，以确保基金估值的公平性。</w:t>
      </w:r>
    </w:p>
    <w:p w14:paraId="3C01FE56" w14:textId="6297C9C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7</w:t>
      </w:r>
      <w:r>
        <w:rPr>
          <w:rFonts w:ascii="彩虹粗仿宋" w:eastAsia="彩虹粗仿宋" w:hAnsi="宋体" w:cs="Arial" w:hint="eastAsia"/>
          <w:sz w:val="24"/>
        </w:rPr>
        <w:t>）相关法律法规以及监管部门有强制规定的，从其规定。如有新增事项，按国家最新规定估值。</w:t>
      </w:r>
    </w:p>
    <w:p w14:paraId="3386EA6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59DC58D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基金管理人向基金托管人出具加盖公章的书面说明后，按照基金管理人对基金净值信息的计算结果对外予以公布。</w:t>
      </w:r>
    </w:p>
    <w:p w14:paraId="7549635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3.特殊情形的处理</w:t>
      </w:r>
    </w:p>
    <w:p w14:paraId="1B74A04D" w14:textId="74257CDC"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基金管理人、基金托管人按估值方法的第(</w:t>
      </w:r>
      <w:r>
        <w:rPr>
          <w:rFonts w:ascii="彩虹粗仿宋" w:eastAsia="彩虹粗仿宋" w:hAnsi="宋体" w:cs="Arial"/>
          <w:sz w:val="24"/>
        </w:rPr>
        <w:t>5</w:t>
      </w:r>
      <w:r>
        <w:rPr>
          <w:rFonts w:ascii="彩虹粗仿宋" w:eastAsia="彩虹粗仿宋" w:hAnsi="宋体" w:cs="Arial" w:hint="eastAsia"/>
          <w:sz w:val="24"/>
        </w:rPr>
        <w:t>)项进行估值时，所造成的误差不作为基金资产</w:t>
      </w:r>
      <w:r>
        <w:rPr>
          <w:rFonts w:ascii="彩虹粗仿宋" w:eastAsia="彩虹粗仿宋" w:hAnsi="宋体" w:cs="Arial"/>
          <w:sz w:val="24"/>
        </w:rPr>
        <w:t>估值</w:t>
      </w:r>
      <w:r>
        <w:rPr>
          <w:rFonts w:ascii="彩虹粗仿宋" w:eastAsia="彩虹粗仿宋" w:hAnsi="宋体" w:cs="Arial" w:hint="eastAsia"/>
          <w:sz w:val="24"/>
        </w:rPr>
        <w:t>错误处理。</w:t>
      </w:r>
    </w:p>
    <w:p w14:paraId="64367D8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（三）基金份额净值错误的处理方式</w:t>
      </w:r>
    </w:p>
    <w:p w14:paraId="197A1F1A" w14:textId="622DF1CB"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1.当</w:t>
      </w:r>
      <w:r w:rsidR="00D74253">
        <w:rPr>
          <w:rFonts w:ascii="彩虹粗仿宋" w:eastAsia="彩虹粗仿宋" w:hAnsi="宋体" w:cs="Arial" w:hint="eastAsia"/>
          <w:sz w:val="24"/>
        </w:rPr>
        <w:t>任一类</w:t>
      </w:r>
      <w:r>
        <w:rPr>
          <w:rFonts w:ascii="彩虹粗仿宋" w:eastAsia="彩虹粗仿宋" w:hAnsi="宋体" w:cs="Arial" w:hint="eastAsia"/>
          <w:sz w:val="24"/>
        </w:rPr>
        <w:t>基金份额净值小数点后</w:t>
      </w:r>
      <w:r>
        <w:rPr>
          <w:rFonts w:ascii="彩虹粗仿宋" w:eastAsia="彩虹粗仿宋" w:hAnsi="宋体" w:cs="Arial"/>
          <w:sz w:val="24"/>
        </w:rPr>
        <w:t>4</w:t>
      </w:r>
      <w:r>
        <w:rPr>
          <w:rFonts w:ascii="彩虹粗仿宋" w:eastAsia="彩虹粗仿宋" w:hAnsi="宋体" w:cs="Arial" w:hint="eastAsia"/>
          <w:sz w:val="24"/>
        </w:rPr>
        <w:t>位以内(含第</w:t>
      </w:r>
      <w:r>
        <w:rPr>
          <w:rFonts w:ascii="彩虹粗仿宋" w:eastAsia="彩虹粗仿宋" w:hAnsi="宋体" w:cs="Arial"/>
          <w:sz w:val="24"/>
        </w:rPr>
        <w:t>4</w:t>
      </w:r>
      <w:r>
        <w:rPr>
          <w:rFonts w:ascii="彩虹粗仿宋" w:eastAsia="彩虹粗仿宋" w:hAnsi="宋体" w:cs="Arial" w:hint="eastAsia"/>
          <w:sz w:val="24"/>
        </w:rPr>
        <w:t>位)发生估值错误时，视为</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基金份额净值错误；基金份额净值计算出现错误时，基金管理人应当立即予以纠正，通报基金托管人，并采取合理的措施防止损失进一步扩大；错误偏差达到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基金份额净值的0.25%时，基金管理人应当通报基金托管人并报中国证监会备案；错误偏差达到</w:t>
      </w:r>
      <w:r w:rsidR="00D74253">
        <w:rPr>
          <w:rFonts w:ascii="彩虹粗仿宋" w:eastAsia="彩虹粗仿宋" w:hAnsi="宋体" w:cs="Arial" w:hint="eastAsia"/>
          <w:sz w:val="24"/>
        </w:rPr>
        <w:t>该类</w:t>
      </w:r>
      <w:r>
        <w:rPr>
          <w:rFonts w:ascii="彩虹粗仿宋" w:eastAsia="彩虹粗仿宋" w:hAnsi="宋体" w:cs="Arial" w:hint="eastAsia"/>
          <w:sz w:val="24"/>
        </w:rPr>
        <w:t>基金份额净值的0.5%时，基金管理人应当公告，并报中国证监会备案；当发生净值计算错误时，由基金管理人负责处理，由此给基金份额持有人和基金造成损失的，应由基金管理人先行赔付，基金管理人按差错情形，有权向其他当事人追偿。</w:t>
      </w:r>
    </w:p>
    <w:p w14:paraId="7D07DC5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2.当基金份额净值计算差错给基金和基金份额持有人造成损失需要进行赔偿时，基金管理人和基金托管人应根据实际情况界定双方承担的责任，经确认后按以下条款进行赔偿：</w:t>
      </w:r>
    </w:p>
    <w:p w14:paraId="319DFDA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1517F0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272C86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187FDA9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(4)由于基金管理人提供的信息错误（包括但不限于基金申购或赎回金额等），进而导致基金份额净值计算错误而引起的基金份额持有人和基金财产的损失，由基金管理人负责赔付。</w:t>
      </w:r>
    </w:p>
    <w:p w14:paraId="7BF16FED"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由于不可抗力原因，或由于证券、期货交易所、证券经纪机构、期货公司及登记结算公司发送的数据错误，或国家会计政策变更、市场规则变更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85FC33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4.基金管理人和基金托管人由于各自技术系统设置而产生的净值计算尾差，以基金管理人计算结果为准。</w:t>
      </w:r>
    </w:p>
    <w:p w14:paraId="0CD1196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5.前述内容如法律法规或者监管部门另有规定的，从其规定。如果行业另有通行做法，双方当事人应本着平等和保护基金份额持有人利益的原则进行协商。</w:t>
      </w:r>
    </w:p>
    <w:p w14:paraId="4CC776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（四）暂停估值与公告基金份额净值的情形</w:t>
      </w:r>
    </w:p>
    <w:p w14:paraId="1B1CEB8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1.基金投资所涉及的证券、</w:t>
      </w:r>
      <w:r>
        <w:rPr>
          <w:rFonts w:ascii="彩虹粗仿宋" w:eastAsia="彩虹粗仿宋" w:hAnsi="宋体" w:cs="Arial"/>
          <w:sz w:val="24"/>
        </w:rPr>
        <w:t>期货</w:t>
      </w:r>
      <w:r>
        <w:rPr>
          <w:rFonts w:ascii="彩虹粗仿宋" w:eastAsia="彩虹粗仿宋" w:hAnsi="宋体" w:cs="Arial" w:hint="eastAsia"/>
          <w:sz w:val="24"/>
        </w:rPr>
        <w:t>交易市场遇法定节假日或因其他原因暂停营业时；</w:t>
      </w:r>
    </w:p>
    <w:p w14:paraId="3F8452C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2.因不可抗力致使基金管理人、基金托管人无法准确评估基金资产价值时；</w:t>
      </w:r>
    </w:p>
    <w:p w14:paraId="5267EFE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3</w:t>
      </w:r>
      <w:r>
        <w:rPr>
          <w:rFonts w:ascii="彩虹粗仿宋" w:eastAsia="彩虹粗仿宋" w:hAnsi="宋体" w:cs="Arial" w:hint="eastAsia"/>
          <w:sz w:val="24"/>
        </w:rPr>
        <w:t>.当前一估值日基金资产净值</w:t>
      </w:r>
      <w:r>
        <w:rPr>
          <w:rFonts w:ascii="彩虹粗仿宋" w:eastAsia="彩虹粗仿宋" w:hAnsi="宋体" w:cs="Arial"/>
          <w:sz w:val="24"/>
        </w:rPr>
        <w:t>50%</w:t>
      </w:r>
      <w:r>
        <w:rPr>
          <w:rFonts w:ascii="彩虹粗仿宋" w:eastAsia="彩虹粗仿宋" w:hAnsi="宋体" w:cs="Arial" w:hint="eastAsia"/>
          <w:sz w:val="24"/>
        </w:rPr>
        <w:t>以上的资产出现无可参考的活跃市场价格</w:t>
      </w:r>
      <w:r>
        <w:rPr>
          <w:rFonts w:ascii="彩虹粗仿宋" w:eastAsia="彩虹粗仿宋" w:hAnsi="宋体" w:cs="Arial" w:hint="eastAsia"/>
          <w:sz w:val="24"/>
        </w:rPr>
        <w:lastRenderedPageBreak/>
        <w:t>且采用估值技术仍导致公允价值存在重大不确定性时，经与基金托管人协商确认后，基金管理人应当暂停估值；</w:t>
      </w:r>
    </w:p>
    <w:p w14:paraId="786C8FA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sz w:val="24"/>
        </w:rPr>
        <w:t>4.</w:t>
      </w:r>
      <w:r>
        <w:rPr>
          <w:rFonts w:ascii="彩虹粗仿宋" w:eastAsia="彩虹粗仿宋" w:hAnsi="宋体" w:cs="Arial" w:hint="eastAsia"/>
          <w:sz w:val="24"/>
        </w:rPr>
        <w:t>法律法规、中国证监会和基金合同认定的其它情形。</w:t>
      </w:r>
    </w:p>
    <w:p w14:paraId="77CF956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（五）基金会计制度</w:t>
      </w:r>
    </w:p>
    <w:p w14:paraId="71A2FF42"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按国家有关部门规定的会计制度执行。</w:t>
      </w:r>
    </w:p>
    <w:p w14:paraId="1527706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（六）基金账册的建立</w:t>
      </w:r>
    </w:p>
    <w:p w14:paraId="250FE8C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进行基金会计核算并编制基金财务会计报告。基金管理人独立地设置、记录和保管本基金的全套账册。基金托管人按规定制作相关账册并与基金管理人核对。若基金管理人和基金托管人对会计处理方法存在分歧，应以基金管理人的处理方法为准。若当日核对不符，暂时无法查找到错账的原因而影响到基金资产净值的计算和公告的，以基金管理人的账册为准。</w:t>
      </w:r>
    </w:p>
    <w:p w14:paraId="6E61C719"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（七）基金财务报表与报告的编制和复核</w:t>
      </w:r>
    </w:p>
    <w:p w14:paraId="381FFBC0"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1.财务报表的编制</w:t>
      </w:r>
    </w:p>
    <w:p w14:paraId="3E09BD5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基金财务报表由基金管理人编制，基金托管人复核。</w:t>
      </w:r>
    </w:p>
    <w:p w14:paraId="16B22646"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2.报表复核</w:t>
      </w:r>
    </w:p>
    <w:p w14:paraId="4B731994"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基金托管人在收到基金管理人编制的基金财务报表后，进行独立的复核。核对不符时，应及时通知基金管理人共同查出原因，进行调整，直至双方数据完全一致。</w:t>
      </w:r>
    </w:p>
    <w:p w14:paraId="19A92DEA"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3.财务报表的编制与复核时间安排</w:t>
      </w:r>
    </w:p>
    <w:p w14:paraId="0A533A1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(1)报表的编制</w:t>
      </w:r>
    </w:p>
    <w:p w14:paraId="35E8FE51" w14:textId="5D33F763"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当在每月结束后5个工作日内完成月度报表的编制；在季度结束之日起15个工作日内完成基金季度报告的编制；在上半年结束之日起两个月内完成基金中期报告的编制；在每年结束之日起三个月内完成基金年度报告的编制。基金年度报告中的财务会计报告应当经过</w:t>
      </w:r>
      <w:r>
        <w:rPr>
          <w:rFonts w:ascii="彩虹粗仿宋" w:eastAsia="彩虹粗仿宋" w:hAnsi="宋体" w:cs="Arial" w:hint="eastAsia"/>
          <w:bCs/>
          <w:sz w:val="24"/>
        </w:rPr>
        <w:t>符合《中华人民共和国证券法》规定的会计师事务所</w:t>
      </w:r>
      <w:r>
        <w:rPr>
          <w:rFonts w:ascii="彩虹粗仿宋" w:eastAsia="彩虹粗仿宋" w:hAnsi="宋体" w:cs="Arial" w:hint="eastAsia"/>
          <w:sz w:val="24"/>
        </w:rPr>
        <w:t>审计。</w:t>
      </w:r>
    </w:p>
    <w:p w14:paraId="46714177"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(2)报表的复核</w:t>
      </w:r>
    </w:p>
    <w:p w14:paraId="01E95C7C"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08DA3E3"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基金管理人应留足充分的时间，便于基金托管人复核相关报表及报告。</w:t>
      </w:r>
    </w:p>
    <w:p w14:paraId="04D5271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（八）基金管理人应在编制季度报告、中期报告或者年度报告之前及时向基金托管人提供基金业绩比较基准的基础数据和编制结果。</w:t>
      </w:r>
    </w:p>
    <w:p w14:paraId="00487B71" w14:textId="77777777" w:rsidR="00B80D0C" w:rsidRDefault="00B80D0C">
      <w:pPr>
        <w:pStyle w:val="a0"/>
        <w:adjustRightInd w:val="0"/>
        <w:snapToGrid w:val="0"/>
        <w:ind w:firstLineChars="0" w:firstLine="0"/>
        <w:rPr>
          <w:rFonts w:ascii="彩虹粗仿宋" w:eastAsia="彩虹粗仿宋" w:hAnsi="宋体" w:cs="Arial"/>
          <w:sz w:val="24"/>
        </w:rPr>
      </w:pPr>
    </w:p>
    <w:p w14:paraId="77B43D5E" w14:textId="77777777" w:rsidR="00B80D0C" w:rsidRDefault="00916999">
      <w:pPr>
        <w:pStyle w:val="2"/>
        <w:jc w:val="center"/>
        <w:rPr>
          <w:rFonts w:ascii="彩虹粗仿宋" w:eastAsia="彩虹粗仿宋"/>
          <w:sz w:val="30"/>
        </w:rPr>
      </w:pPr>
      <w:bookmarkStart w:id="88" w:name="_Toc124325893"/>
      <w:r>
        <w:rPr>
          <w:rFonts w:ascii="彩虹粗仿宋" w:eastAsia="彩虹粗仿宋" w:hint="eastAsia"/>
          <w:sz w:val="30"/>
        </w:rPr>
        <w:t>九、基金收益分配</w:t>
      </w:r>
      <w:bookmarkEnd w:id="88"/>
    </w:p>
    <w:p w14:paraId="58A33C81"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基金收益分配是指按规定将基金的可分配收益按基金份额进行比例分配。</w:t>
      </w:r>
    </w:p>
    <w:p w14:paraId="095504BF"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（一）基金收益分配的原则</w:t>
      </w:r>
    </w:p>
    <w:p w14:paraId="1DA3CBBC" w14:textId="6F6377A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1.在符合有关基金分红条件的前提下，本基金管理人可以根据实际情况进行收益分配，具体分配方案以公告为准；</w:t>
      </w:r>
    </w:p>
    <w:p w14:paraId="2FCBB58D" w14:textId="20E3C74F"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2.本基金</w:t>
      </w:r>
      <w:r>
        <w:rPr>
          <w:rFonts w:ascii="彩虹粗仿宋" w:eastAsia="彩虹粗仿宋" w:hAnsi="宋体" w:cs="Arial"/>
          <w:bCs/>
          <w:sz w:val="24"/>
        </w:rPr>
        <w:t>场外</w:t>
      </w:r>
      <w:r>
        <w:rPr>
          <w:rFonts w:ascii="彩虹粗仿宋" w:eastAsia="彩虹粗仿宋" w:hAnsi="宋体" w:cs="Arial" w:hint="eastAsia"/>
          <w:sz w:val="24"/>
        </w:rPr>
        <w:t>收益分配方式分两种：现金分红与红利再投资，投资者可选择现金红利或将现金红利自动转为</w:t>
      </w:r>
      <w:r w:rsidR="00375F86" w:rsidRPr="00375F86">
        <w:rPr>
          <w:rFonts w:ascii="彩虹粗仿宋" w:eastAsia="彩虹粗仿宋" w:hAnsi="宋体" w:cs="Arial" w:hint="eastAsia"/>
          <w:sz w:val="24"/>
        </w:rPr>
        <w:t>相应类别的</w:t>
      </w:r>
      <w:r>
        <w:rPr>
          <w:rFonts w:ascii="彩虹粗仿宋" w:eastAsia="彩虹粗仿宋" w:hAnsi="宋体" w:cs="Arial" w:hint="eastAsia"/>
          <w:sz w:val="24"/>
        </w:rPr>
        <w:t>基金份额进行再投资；若投资者不选择，本基金默认的收益分配方式是现金分红；</w:t>
      </w:r>
      <w:r w:rsidR="00375F86" w:rsidRPr="00375F86">
        <w:rPr>
          <w:rFonts w:ascii="彩虹粗仿宋" w:eastAsia="彩虹粗仿宋" w:hAnsi="宋体" w:cs="Arial" w:hint="eastAsia"/>
          <w:sz w:val="24"/>
        </w:rPr>
        <w:t>基金份额持有人可对其持有的A类基金份额和C类基金份额分别选择不同的收益分配方式；</w:t>
      </w:r>
      <w:r>
        <w:rPr>
          <w:rFonts w:ascii="彩虹粗仿宋" w:eastAsia="彩虹粗仿宋" w:hAnsi="宋体" w:cs="Arial" w:hint="eastAsia"/>
          <w:bCs/>
          <w:sz w:val="24"/>
        </w:rPr>
        <w:t>场内基金份额具体收益分配程序等有关事项遵循深圳证券交易所及登记机构的相关规定；</w:t>
      </w:r>
    </w:p>
    <w:p w14:paraId="3500BC4A" w14:textId="10E955F5"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lastRenderedPageBreak/>
        <w:t>3.基金收益分配后</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基金份额净值不能低于面值；即基金收益分配基准日的</w:t>
      </w:r>
      <w:r w:rsidR="00375F86" w:rsidRPr="00375F86">
        <w:rPr>
          <w:rFonts w:ascii="彩虹粗仿宋" w:eastAsia="彩虹粗仿宋" w:hAnsi="宋体" w:cs="Arial" w:hint="eastAsia"/>
          <w:sz w:val="24"/>
        </w:rPr>
        <w:t>任一类</w:t>
      </w:r>
      <w:r>
        <w:rPr>
          <w:rFonts w:ascii="彩虹粗仿宋" w:eastAsia="彩虹粗仿宋" w:hAnsi="宋体" w:cs="Arial" w:hint="eastAsia"/>
          <w:sz w:val="24"/>
        </w:rPr>
        <w:t>基金份额净值减去每单位</w:t>
      </w:r>
      <w:r w:rsidR="00375F86" w:rsidRPr="00375F86">
        <w:rPr>
          <w:rFonts w:ascii="彩虹粗仿宋" w:eastAsia="彩虹粗仿宋" w:hAnsi="宋体" w:cs="Arial" w:hint="eastAsia"/>
          <w:sz w:val="24"/>
        </w:rPr>
        <w:t>该类</w:t>
      </w:r>
      <w:r>
        <w:rPr>
          <w:rFonts w:ascii="彩虹粗仿宋" w:eastAsia="彩虹粗仿宋" w:hAnsi="宋体" w:cs="Arial" w:hint="eastAsia"/>
          <w:sz w:val="24"/>
        </w:rPr>
        <w:t>基金份额收益分配金额后不能低于面值；</w:t>
      </w:r>
    </w:p>
    <w:p w14:paraId="78442318" w14:textId="623F4DDE"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4.</w:t>
      </w:r>
      <w:r w:rsidR="00375F86" w:rsidRPr="00375F86">
        <w:rPr>
          <w:rFonts w:ascii="彩虹粗仿宋" w:eastAsia="彩虹粗仿宋" w:hAnsi="宋体" w:cs="Arial" w:hint="eastAsia"/>
          <w:sz w:val="24"/>
        </w:rPr>
        <w:t>由于本基金A类基金份额不收取销售服务费，C类基金份额收取销售服务费，各基金份额类别对应的可供分配利润将有所不同；本基金同一基金份额类别的</w:t>
      </w:r>
      <w:r>
        <w:rPr>
          <w:rFonts w:ascii="彩虹粗仿宋" w:eastAsia="彩虹粗仿宋" w:hAnsi="宋体" w:cs="Arial" w:hint="eastAsia"/>
          <w:sz w:val="24"/>
        </w:rPr>
        <w:t>每一基金份额享有同等分配权；</w:t>
      </w:r>
    </w:p>
    <w:p w14:paraId="6903431B"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5.法律法规或监管机关另有规定的，从其规定。</w:t>
      </w:r>
    </w:p>
    <w:p w14:paraId="3D325885"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（二）基金收益分配的时间和程序</w:t>
      </w:r>
    </w:p>
    <w:p w14:paraId="4F7ACDDE" w14:textId="77777777"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hint="eastAsia"/>
          <w:sz w:val="24"/>
        </w:rPr>
        <w:t>本基金收益分配方案由基金管理人拟定，并由基金托管人复核，依照《信息披露办法》的规定在规定媒介公告。法律法规或监管机关另有规定的，从其规定。基金收益分配方案公告后(依据具体方案的规定)，基金管理人就支付的现金红利向基金托管人发送划款指令，基金托管人按照基金管理人的指令及时进行分红资金的划付。</w:t>
      </w:r>
    </w:p>
    <w:p w14:paraId="3538988A" w14:textId="30250256" w:rsidR="00B80D0C" w:rsidRDefault="00916999">
      <w:pPr>
        <w:pStyle w:val="a0"/>
        <w:adjustRightInd w:val="0"/>
        <w:snapToGrid w:val="0"/>
        <w:ind w:firstLine="480"/>
        <w:rPr>
          <w:rFonts w:ascii="彩虹粗仿宋" w:eastAsia="彩虹粗仿宋" w:hAnsi="宋体" w:cs="Arial"/>
          <w:sz w:val="24"/>
        </w:rPr>
      </w:pPr>
      <w:r>
        <w:rPr>
          <w:rFonts w:ascii="彩虹粗仿宋" w:eastAsia="彩虹粗仿宋" w:hAnsi="宋体" w:cs="Arial"/>
          <w:bCs/>
          <w:sz w:val="24"/>
        </w:rPr>
        <w:t>对于场外份额</w:t>
      </w:r>
      <w:r>
        <w:rPr>
          <w:rFonts w:ascii="彩虹粗仿宋" w:eastAsia="彩虹粗仿宋" w:hAnsi="宋体" w:cs="Arial" w:hint="eastAsia"/>
          <w:bCs/>
          <w:sz w:val="24"/>
        </w:rPr>
        <w:t>，</w:t>
      </w:r>
      <w:r>
        <w:rPr>
          <w:rFonts w:ascii="彩虹粗仿宋" w:eastAsia="彩虹粗仿宋" w:hAnsi="宋体" w:cs="Arial" w:hint="eastAsia"/>
          <w:sz w:val="24"/>
        </w:rPr>
        <w:t>基金收益分配时所发生的银行转账或其他手续费用由投资者自行承担。当投资者的现金红利小于一定金额，不足以支付银行转账或其他手续费用时，基金登记机构可将基金份额持有人的现金红利自动转为</w:t>
      </w:r>
      <w:r w:rsidR="002C6732">
        <w:rPr>
          <w:rFonts w:ascii="彩虹粗仿宋" w:eastAsia="彩虹粗仿宋" w:hAnsi="宋体" w:cs="Arial" w:hint="eastAsia"/>
          <w:sz w:val="24"/>
        </w:rPr>
        <w:t>相应类别的</w:t>
      </w:r>
      <w:r>
        <w:rPr>
          <w:rFonts w:ascii="彩虹粗仿宋" w:eastAsia="彩虹粗仿宋" w:hAnsi="宋体" w:cs="Arial" w:hint="eastAsia"/>
          <w:sz w:val="24"/>
        </w:rPr>
        <w:t>基金份额。红利再投资的计算方法，依照《业务规则》执行。</w:t>
      </w:r>
      <w:r>
        <w:rPr>
          <w:rFonts w:ascii="彩虹粗仿宋" w:eastAsia="彩虹粗仿宋" w:hAnsi="宋体" w:cs="Arial" w:hint="eastAsia"/>
          <w:bCs/>
          <w:sz w:val="24"/>
        </w:rPr>
        <w:t>对于场内份额，现金分红的计算方法等有关事项遵循深圳证券交易所及中国证券登记结算有限责任公司的相关规定。</w:t>
      </w:r>
    </w:p>
    <w:p w14:paraId="5740A645" w14:textId="77777777" w:rsidR="00B80D0C" w:rsidRDefault="00B80D0C">
      <w:pPr>
        <w:adjustRightInd w:val="0"/>
        <w:snapToGrid w:val="0"/>
        <w:rPr>
          <w:rFonts w:ascii="彩虹粗仿宋" w:eastAsia="彩虹粗仿宋" w:hAnsi="宋体" w:cs="Arial"/>
          <w:sz w:val="24"/>
        </w:rPr>
      </w:pPr>
    </w:p>
    <w:p w14:paraId="6637917C" w14:textId="77777777" w:rsidR="00B80D0C" w:rsidRDefault="00916999">
      <w:pPr>
        <w:pStyle w:val="2"/>
        <w:jc w:val="center"/>
        <w:rPr>
          <w:rFonts w:ascii="彩虹粗仿宋" w:eastAsia="彩虹粗仿宋"/>
          <w:sz w:val="30"/>
        </w:rPr>
      </w:pPr>
      <w:bookmarkStart w:id="89" w:name="_Toc124325894"/>
      <w:r>
        <w:rPr>
          <w:rFonts w:ascii="彩虹粗仿宋" w:eastAsia="彩虹粗仿宋" w:hint="eastAsia"/>
          <w:sz w:val="30"/>
        </w:rPr>
        <w:t>十、基金信息披露</w:t>
      </w:r>
      <w:bookmarkEnd w:id="89"/>
    </w:p>
    <w:p w14:paraId="7CD53BE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（一）保密义务</w:t>
      </w:r>
    </w:p>
    <w:p w14:paraId="1B670D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14:paraId="5B8DA87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1.非因基金管理人和基金托管人的原因导致保密信息被披露、泄露或公开；</w:t>
      </w:r>
    </w:p>
    <w:p w14:paraId="6485C5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2.基金管理人和基金托管人为遵守和服从法院判决或裁定、仲裁裁决或中国证监会等监管机构的命令、决定所做出的信息披露或公开。</w:t>
      </w:r>
    </w:p>
    <w:p w14:paraId="7AF60C7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（二）信息披露的内容</w:t>
      </w:r>
    </w:p>
    <w:p w14:paraId="4C496369" w14:textId="3A85D7C3"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基金的信息披露内容主要包括基金招募说明书、《基金合同》、托管协议、基金产品资料概要、</w:t>
      </w:r>
      <w:r>
        <w:rPr>
          <w:rFonts w:ascii="彩虹粗仿宋" w:eastAsia="彩虹粗仿宋" w:hAnsi="宋体" w:cs="Arial" w:hint="eastAsia"/>
          <w:bCs/>
          <w:sz w:val="24"/>
        </w:rPr>
        <w:t>上市交易公告书</w:t>
      </w:r>
      <w:r>
        <w:rPr>
          <w:rFonts w:ascii="宋体" w:hAnsi="宋体" w:cs="Arial" w:hint="eastAsia"/>
          <w:bCs/>
          <w:sz w:val="24"/>
        </w:rPr>
        <w:t>、</w:t>
      </w:r>
      <w:r>
        <w:rPr>
          <w:rFonts w:ascii="彩虹粗仿宋" w:eastAsia="彩虹粗仿宋" w:hAnsi="宋体" w:cs="Arial" w:hint="eastAsia"/>
          <w:sz w:val="24"/>
        </w:rPr>
        <w:t>基金净值</w:t>
      </w:r>
      <w:r>
        <w:rPr>
          <w:rFonts w:ascii="彩虹粗仿宋" w:eastAsia="彩虹粗仿宋" w:hAnsi="宋体" w:cs="Arial"/>
          <w:sz w:val="24"/>
        </w:rPr>
        <w:t>信息</w:t>
      </w:r>
      <w:r>
        <w:rPr>
          <w:rFonts w:ascii="彩虹粗仿宋" w:eastAsia="彩虹粗仿宋" w:hAnsi="宋体" w:cs="Arial" w:hint="eastAsia"/>
          <w:sz w:val="24"/>
        </w:rPr>
        <w:t>、基金份额申购、赎回价格、基金定期报告（包括基金年度报告、基金中期报告和基金季度报告）、临时报告、澄清公告、基金份额持有人大会决议、清算报告、本基金投资股指期货、资产支持证券、根据法律法规需要披露的信息、中国证监会规定的其他信息。基金年度报告中的财务会计报告需经符合《中华人民共和国证券法》规定的会计师事务所审计后，方可披露。</w:t>
      </w:r>
    </w:p>
    <w:p w14:paraId="36778A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（三）基金托管人和基金管理人在信息披露中的职责和信息披露程序</w:t>
      </w:r>
    </w:p>
    <w:p w14:paraId="2317F4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1.职责</w:t>
      </w:r>
    </w:p>
    <w:p w14:paraId="6918B5C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w:t>
      </w:r>
      <w:r>
        <w:rPr>
          <w:rFonts w:ascii="彩虹粗仿宋" w:eastAsia="彩虹粗仿宋" w:hAnsi="宋体" w:cs="Arial"/>
          <w:sz w:val="24"/>
        </w:rPr>
        <w:t>（二）条</w:t>
      </w:r>
      <w:r>
        <w:rPr>
          <w:rFonts w:ascii="彩虹粗仿宋" w:eastAsia="彩虹粗仿宋" w:hAnsi="宋体" w:cs="Arial" w:hint="eastAsia"/>
          <w:sz w:val="24"/>
        </w:rPr>
        <w:t>规定</w:t>
      </w:r>
      <w:r>
        <w:rPr>
          <w:rFonts w:ascii="彩虹粗仿宋" w:eastAsia="彩虹粗仿宋" w:hAnsi="宋体" w:cs="Arial" w:hint="eastAsia"/>
          <w:sz w:val="24"/>
        </w:rPr>
        <w:lastRenderedPageBreak/>
        <w:t>的应由基金托管人复核的事项进行复核，基金托管人复核无误后，由基金管理人予以公布。</w:t>
      </w:r>
    </w:p>
    <w:p w14:paraId="740316D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对于不需要基金托管人（</w:t>
      </w:r>
      <w:r>
        <w:rPr>
          <w:rFonts w:ascii="彩虹粗仿宋" w:eastAsia="彩虹粗仿宋" w:hAnsi="宋体" w:cs="Arial"/>
          <w:sz w:val="24"/>
        </w:rPr>
        <w:t>或基金管理人）</w:t>
      </w:r>
      <w:r>
        <w:rPr>
          <w:rFonts w:ascii="彩虹粗仿宋" w:eastAsia="彩虹粗仿宋" w:hAnsi="宋体" w:cs="Arial" w:hint="eastAsia"/>
          <w:sz w:val="24"/>
        </w:rPr>
        <w:t>复核的信息，基金管理人（</w:t>
      </w:r>
      <w:r>
        <w:rPr>
          <w:rFonts w:ascii="彩虹粗仿宋" w:eastAsia="彩虹粗仿宋" w:hAnsi="宋体" w:cs="Arial"/>
          <w:sz w:val="24"/>
        </w:rPr>
        <w:t>或基金托管人）</w:t>
      </w:r>
      <w:r>
        <w:rPr>
          <w:rFonts w:ascii="彩虹粗仿宋" w:eastAsia="彩虹粗仿宋" w:hAnsi="宋体" w:cs="Arial" w:hint="eastAsia"/>
          <w:sz w:val="24"/>
        </w:rPr>
        <w:t>在公告前应告知基金托管人（或</w:t>
      </w:r>
      <w:r>
        <w:rPr>
          <w:rFonts w:ascii="彩虹粗仿宋" w:eastAsia="彩虹粗仿宋" w:hAnsi="宋体" w:cs="Arial"/>
          <w:sz w:val="24"/>
        </w:rPr>
        <w:t>基金管理人</w:t>
      </w:r>
      <w:r>
        <w:rPr>
          <w:rFonts w:ascii="彩虹粗仿宋" w:eastAsia="彩虹粗仿宋" w:hAnsi="宋体" w:cs="Arial" w:hint="eastAsia"/>
          <w:sz w:val="24"/>
        </w:rPr>
        <w:t>）。</w:t>
      </w:r>
    </w:p>
    <w:p w14:paraId="35903E1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基金管理人和基金托管人应积极配合、互相监督，保证其履行按照法定方式和限时披露的义务。</w:t>
      </w:r>
    </w:p>
    <w:p w14:paraId="79AB38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基金管理人应当在中国证监会规定的时间内，将应予披露的基金信息通过规定媒介披露。根据法律法规应由基金托管人公开披露的信息，基金托管人将通过规定媒介或基金托管人的互联网网站公开披露。</w:t>
      </w:r>
    </w:p>
    <w:p w14:paraId="38B6686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当出现下述情况时，基金管理人和基金托管人可暂停或延迟披露基金相关信息：</w:t>
      </w:r>
    </w:p>
    <w:p w14:paraId="48D002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6EF3FC8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w:t>
      </w:r>
      <w:r>
        <w:rPr>
          <w:rFonts w:ascii="彩虹粗仿宋" w:eastAsia="彩虹粗仿宋" w:hAnsi="宋体" w:cs="Arial"/>
          <w:sz w:val="24"/>
        </w:rPr>
        <w:t>2</w:t>
      </w:r>
      <w:r>
        <w:rPr>
          <w:rFonts w:ascii="彩虹粗仿宋" w:eastAsia="彩虹粗仿宋" w:hAnsi="宋体" w:cs="Arial" w:hint="eastAsia"/>
          <w:sz w:val="24"/>
        </w:rPr>
        <w:t>)法律法规、中国证监会规定或《基金合同》约定的其他情况。</w:t>
      </w:r>
    </w:p>
    <w:p w14:paraId="212B199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2.程序</w:t>
      </w:r>
    </w:p>
    <w:p w14:paraId="0D8079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按有关规定须经基金托管人复核的信息披露文件，由基金管理人起草、并经基金托管人复核后由基金管理人公告。发生《基金合同》中规定需要披露的事项时，按《基金合同》规定公布。</w:t>
      </w:r>
    </w:p>
    <w:p w14:paraId="14BE91A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3.信息文本的存放</w:t>
      </w:r>
    </w:p>
    <w:p w14:paraId="6DE68BB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bCs/>
          <w:sz w:val="24"/>
        </w:rPr>
        <w:t>依法必须披露的信息发布后，基金管理人、基金托管人应当按照相关法律法规规定将信息置备于各自办公场所、基金上市交易的证券交易所网站，供社会公众查阅、复制</w:t>
      </w:r>
      <w:r>
        <w:rPr>
          <w:rFonts w:ascii="彩虹粗仿宋" w:eastAsia="彩虹粗仿宋" w:hAnsi="宋体" w:cs="Arial" w:hint="eastAsia"/>
          <w:sz w:val="24"/>
        </w:rPr>
        <w:t>。投资者在支付工本费后可在合理时间获得上述文件的复制件或复印件。基金管理人和基金托管人应保证文本的内容与所公告的内容完全一致。</w:t>
      </w:r>
    </w:p>
    <w:p w14:paraId="408A8901" w14:textId="77777777" w:rsidR="00B80D0C" w:rsidRDefault="00B80D0C">
      <w:pPr>
        <w:pStyle w:val="a0"/>
        <w:ind w:firstLineChars="0" w:firstLine="0"/>
        <w:rPr>
          <w:rFonts w:ascii="彩虹粗仿宋" w:eastAsia="彩虹粗仿宋" w:hAnsi="宋体" w:cs="Arial"/>
          <w:sz w:val="24"/>
        </w:rPr>
      </w:pPr>
    </w:p>
    <w:p w14:paraId="1DB6B4B8" w14:textId="77777777" w:rsidR="00B80D0C" w:rsidRDefault="00916999">
      <w:pPr>
        <w:pStyle w:val="2"/>
        <w:jc w:val="center"/>
        <w:rPr>
          <w:rFonts w:ascii="彩虹粗仿宋" w:eastAsia="彩虹粗仿宋"/>
          <w:sz w:val="30"/>
        </w:rPr>
      </w:pPr>
      <w:bookmarkStart w:id="90" w:name="_Toc124325895"/>
      <w:r>
        <w:rPr>
          <w:rFonts w:ascii="彩虹粗仿宋" w:eastAsia="彩虹粗仿宋" w:hint="eastAsia"/>
          <w:sz w:val="30"/>
        </w:rPr>
        <w:t>十一、基金费用</w:t>
      </w:r>
      <w:bookmarkEnd w:id="90"/>
    </w:p>
    <w:p w14:paraId="053FCA05" w14:textId="77777777"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（一）基金管理费的计提比例和计提方法</w:t>
      </w:r>
    </w:p>
    <w:p w14:paraId="7B35C6C1" w14:textId="5DD71BCA"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本基金的管理费按前一日基金资产净值的</w:t>
      </w:r>
      <w:r w:rsidR="001A6650">
        <w:rPr>
          <w:rFonts w:ascii="彩虹粗仿宋" w:eastAsia="彩虹粗仿宋" w:hAnsi="宋体" w:cs="Arial"/>
          <w:bCs/>
          <w:sz w:val="24"/>
        </w:rPr>
        <w:t>1.0</w:t>
      </w:r>
      <w:r w:rsidRPr="00663775">
        <w:rPr>
          <w:rFonts w:ascii="彩虹粗仿宋" w:eastAsia="彩虹粗仿宋" w:hAnsi="宋体" w:cs="Arial"/>
          <w:bCs/>
          <w:sz w:val="24"/>
        </w:rPr>
        <w:t>%年费率计提。管理费的计算方法如下：</w:t>
      </w:r>
    </w:p>
    <w:p w14:paraId="5916C902"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年管理费率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A2A24F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H为每日应计提的基金管理费</w:t>
      </w:r>
    </w:p>
    <w:p w14:paraId="1DD936B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31156858"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（二）基金托管费的计提比例和计提方法</w:t>
      </w:r>
    </w:p>
    <w:p w14:paraId="1D50CB97" w14:textId="7697BDF0"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本基金的托管费按前一日基金资产净值的0.</w:t>
      </w:r>
      <w:r w:rsidR="001A6650">
        <w:rPr>
          <w:rFonts w:ascii="彩虹粗仿宋" w:eastAsia="彩虹粗仿宋" w:hAnsi="宋体" w:cs="Arial"/>
          <w:bCs/>
          <w:sz w:val="24"/>
        </w:rPr>
        <w:t>2</w:t>
      </w:r>
      <w:r w:rsidRPr="00663775">
        <w:rPr>
          <w:rFonts w:ascii="彩虹粗仿宋" w:eastAsia="彩虹粗仿宋" w:hAnsi="宋体" w:cs="Arial"/>
          <w:bCs/>
          <w:sz w:val="24"/>
        </w:rPr>
        <w:t>%年费率计提。托管费的计算方法如下：</w:t>
      </w:r>
    </w:p>
    <w:p w14:paraId="3F9F2E9B"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H＝E</w:t>
      </w:r>
      <w:r w:rsidRPr="00663775">
        <w:rPr>
          <w:rFonts w:ascii="彩虹粗仿宋" w:eastAsia="彩虹粗仿宋" w:hAnsi="宋体" w:cs="Arial"/>
          <w:bCs/>
          <w:sz w:val="24"/>
        </w:rPr>
        <w:t>×</w:t>
      </w:r>
      <w:r w:rsidRPr="00663775">
        <w:rPr>
          <w:rFonts w:ascii="彩虹粗仿宋" w:eastAsia="彩虹粗仿宋" w:hAnsi="宋体" w:cs="Arial"/>
          <w:bCs/>
          <w:sz w:val="24"/>
        </w:rPr>
        <w:t>年托管费率</w:t>
      </w:r>
      <w:r w:rsidRPr="00663775">
        <w:rPr>
          <w:rFonts w:ascii="彩虹粗仿宋" w:eastAsia="彩虹粗仿宋" w:hAnsi="宋体" w:cs="Arial"/>
          <w:bCs/>
          <w:sz w:val="24"/>
        </w:rPr>
        <w:t>÷</w:t>
      </w:r>
      <w:r w:rsidRPr="00663775">
        <w:rPr>
          <w:rFonts w:ascii="彩虹粗仿宋" w:eastAsia="彩虹粗仿宋" w:hAnsi="宋体" w:cs="Arial"/>
          <w:bCs/>
          <w:sz w:val="24"/>
        </w:rPr>
        <w:t>当年天数</w:t>
      </w:r>
    </w:p>
    <w:p w14:paraId="58CBC67A"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H为每日应计提的基金托管费</w:t>
      </w:r>
    </w:p>
    <w:p w14:paraId="1C8A0BD1" w14:textId="417E38A5"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E为前一日的基金资产净值</w:t>
      </w:r>
    </w:p>
    <w:p w14:paraId="4914677A" w14:textId="68A543C3" w:rsidR="00225827" w:rsidRPr="00524B24" w:rsidRDefault="00225827" w:rsidP="00225827">
      <w:pPr>
        <w:adjustRightInd w:val="0"/>
        <w:snapToGrid w:val="0"/>
        <w:ind w:firstLineChars="200" w:firstLine="480"/>
        <w:rPr>
          <w:rFonts w:ascii="彩虹粗仿宋" w:eastAsia="彩虹粗仿宋" w:hAnsi="宋体" w:cs="Arial"/>
          <w:bCs/>
          <w:sz w:val="24"/>
        </w:rPr>
      </w:pPr>
      <w:r>
        <w:rPr>
          <w:rFonts w:ascii="彩虹粗仿宋" w:eastAsia="彩虹粗仿宋" w:hAnsi="宋体" w:cs="Arial"/>
          <w:bCs/>
          <w:sz w:val="24"/>
        </w:rPr>
        <w:t>（</w:t>
      </w:r>
      <w:r>
        <w:rPr>
          <w:rFonts w:ascii="彩虹粗仿宋" w:eastAsia="彩虹粗仿宋" w:hAnsi="宋体" w:cs="Arial" w:hint="eastAsia"/>
          <w:bCs/>
          <w:sz w:val="24"/>
        </w:rPr>
        <w:t>三</w:t>
      </w:r>
      <w:r w:rsidRPr="00663775">
        <w:rPr>
          <w:rFonts w:ascii="彩虹粗仿宋" w:eastAsia="彩虹粗仿宋" w:hAnsi="宋体" w:cs="Arial"/>
          <w:bCs/>
          <w:sz w:val="24"/>
        </w:rPr>
        <w:t>）</w:t>
      </w:r>
      <w:r w:rsidRPr="00225827">
        <w:rPr>
          <w:rFonts w:ascii="彩虹粗仿宋" w:eastAsia="彩虹粗仿宋" w:hAnsi="宋体" w:cs="Arial" w:hint="eastAsia"/>
          <w:bCs/>
          <w:sz w:val="24"/>
        </w:rPr>
        <w:t>C类基金份额的销售服务费</w:t>
      </w:r>
      <w:r w:rsidR="00524B24" w:rsidRPr="00524B24">
        <w:rPr>
          <w:rFonts w:ascii="彩虹粗仿宋" w:eastAsia="彩虹粗仿宋" w:hAnsi="宋体" w:cs="Arial" w:hint="eastAsia"/>
          <w:bCs/>
          <w:sz w:val="24"/>
        </w:rPr>
        <w:t>的计提比例和计提方法</w:t>
      </w:r>
    </w:p>
    <w:p w14:paraId="2ED28704" w14:textId="10951253"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本基金A类基金份额不收取销售服务费，C类基金份额的销售服务费按前一日C类基金资产净值的</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年费率计提。计算方法如下：</w:t>
      </w:r>
    </w:p>
    <w:p w14:paraId="5D927A2B" w14:textId="41ECBCFD"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H＝E×</w:t>
      </w:r>
      <w:r w:rsidRPr="00CA06A1">
        <w:rPr>
          <w:rFonts w:ascii="彩虹粗仿宋" w:eastAsia="彩虹粗仿宋" w:hAnsi="宋体" w:cs="Arial"/>
          <w:bCs/>
          <w:sz w:val="24"/>
        </w:rPr>
        <w:t>0.</w:t>
      </w:r>
      <w:r w:rsidR="00FA7041">
        <w:rPr>
          <w:rFonts w:ascii="彩虹粗仿宋" w:eastAsia="彩虹粗仿宋" w:hAnsi="宋体" w:cs="Arial"/>
          <w:bCs/>
          <w:sz w:val="24"/>
        </w:rPr>
        <w:t>2</w:t>
      </w:r>
      <w:r w:rsidRPr="00CA06A1">
        <w:rPr>
          <w:rFonts w:ascii="彩虹粗仿宋" w:eastAsia="彩虹粗仿宋" w:hAnsi="宋体" w:cs="Arial"/>
          <w:bCs/>
          <w:sz w:val="24"/>
        </w:rPr>
        <w:t>%</w:t>
      </w:r>
      <w:r w:rsidRPr="00225827">
        <w:rPr>
          <w:rFonts w:ascii="彩虹粗仿宋" w:eastAsia="彩虹粗仿宋" w:hAnsi="宋体" w:cs="Arial" w:hint="eastAsia"/>
          <w:bCs/>
          <w:sz w:val="24"/>
        </w:rPr>
        <w:t>÷当年天数</w:t>
      </w:r>
    </w:p>
    <w:p w14:paraId="5765BC08"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H为C类基金份额每日应计提的销售服务费</w:t>
      </w:r>
    </w:p>
    <w:p w14:paraId="74EB54C5" w14:textId="77777777" w:rsidR="00225827" w:rsidRPr="00225827" w:rsidRDefault="00225827" w:rsidP="00225827">
      <w:pPr>
        <w:adjustRightInd w:val="0"/>
        <w:snapToGrid w:val="0"/>
        <w:ind w:firstLineChars="200" w:firstLine="480"/>
        <w:rPr>
          <w:rFonts w:ascii="彩虹粗仿宋" w:eastAsia="彩虹粗仿宋" w:hAnsi="宋体" w:cs="Arial"/>
          <w:bCs/>
          <w:sz w:val="24"/>
        </w:rPr>
      </w:pPr>
      <w:r w:rsidRPr="00225827">
        <w:rPr>
          <w:rFonts w:ascii="彩虹粗仿宋" w:eastAsia="彩虹粗仿宋" w:hAnsi="宋体" w:cs="Arial" w:hint="eastAsia"/>
          <w:bCs/>
          <w:sz w:val="24"/>
        </w:rPr>
        <w:t>E为C类基金份额前一日基金资产净值</w:t>
      </w:r>
    </w:p>
    <w:p w14:paraId="6ABE13A3" w14:textId="672C48B0" w:rsidR="00B80D0C" w:rsidRPr="00663775" w:rsidRDefault="00916999" w:rsidP="00154B93">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hint="eastAsia"/>
          <w:bCs/>
          <w:sz w:val="24"/>
        </w:rPr>
        <w:lastRenderedPageBreak/>
        <w:t>（</w:t>
      </w:r>
      <w:r w:rsidR="00B3160F">
        <w:rPr>
          <w:rFonts w:ascii="彩虹粗仿宋" w:eastAsia="彩虹粗仿宋" w:hAnsi="宋体" w:cs="Arial" w:hint="eastAsia"/>
          <w:bCs/>
          <w:sz w:val="24"/>
        </w:rPr>
        <w:t>四</w:t>
      </w:r>
      <w:r w:rsidRPr="00663775">
        <w:rPr>
          <w:rFonts w:ascii="彩虹粗仿宋" w:eastAsia="彩虹粗仿宋" w:hAnsi="宋体" w:cs="Arial" w:hint="eastAsia"/>
          <w:bCs/>
          <w:sz w:val="24"/>
        </w:rPr>
        <w:t>）</w:t>
      </w:r>
      <w:r w:rsidRPr="00663775">
        <w:rPr>
          <w:rFonts w:ascii="彩虹粗仿宋" w:eastAsia="彩虹粗仿宋" w:hAnsi="宋体" w:cs="Arial"/>
          <w:bCs/>
          <w:sz w:val="24"/>
        </w:rPr>
        <w:t>基金的开户费用、证券、期货交易费用、基金的银行汇划费用、账户维护费用、《基金合同》生效后与基金相关的信息披露费用、基金份额持有人大会费用、《基金合同》生效后与基金有关的会计师费、律师费、仲裁费和诉讼费、</w:t>
      </w:r>
      <w:r w:rsidRPr="00663775">
        <w:rPr>
          <w:rFonts w:ascii="彩虹粗仿宋" w:eastAsia="彩虹粗仿宋" w:hAnsi="宋体" w:cs="Arial" w:hint="eastAsia"/>
          <w:bCs/>
          <w:sz w:val="24"/>
        </w:rPr>
        <w:t>基金上市初费及上市年费</w:t>
      </w:r>
      <w:r w:rsidRPr="00663775">
        <w:rPr>
          <w:rFonts w:ascii="彩虹粗仿宋" w:eastAsia="彩虹粗仿宋" w:hAnsi="宋体" w:cs="Arial"/>
          <w:bCs/>
          <w:sz w:val="24"/>
        </w:rPr>
        <w:t>及按照国家有关规定和《基金合同》约定，可以在基金财产中列支的其他费用，列入当期基金费用。</w:t>
      </w:r>
    </w:p>
    <w:p w14:paraId="19044848" w14:textId="28ED7BB4"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五</w:t>
      </w:r>
      <w:r w:rsidRPr="00663775">
        <w:rPr>
          <w:rFonts w:ascii="彩虹粗仿宋" w:eastAsia="彩虹粗仿宋" w:hAnsi="宋体" w:cs="Arial"/>
          <w:bCs/>
          <w:sz w:val="24"/>
        </w:rPr>
        <w:t>）不列入基金费用的项目</w:t>
      </w:r>
    </w:p>
    <w:p w14:paraId="5455B37E" w14:textId="1B0A5B4B"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基金管理人和基金托管人因未履行或未完全履行义务导致的费用支出或基金财产的损失；基金管理人和基金托管人处理与基金运作无关的事项发生的费用；《基金合同》生效前的相关费用；</w:t>
      </w:r>
      <w:r w:rsidR="00154B93" w:rsidRPr="00154B93">
        <w:rPr>
          <w:rFonts w:ascii="彩虹粗仿宋" w:eastAsia="彩虹粗仿宋" w:hAnsi="宋体" w:cs="Arial" w:hint="eastAsia"/>
          <w:bCs/>
          <w:sz w:val="24"/>
        </w:rPr>
        <w:t>标的指数许可使用费由基金管理人承担，不得从基金财产中列支；</w:t>
      </w:r>
      <w:r w:rsidRPr="00663775">
        <w:rPr>
          <w:rFonts w:ascii="彩虹粗仿宋" w:eastAsia="彩虹粗仿宋" w:hAnsi="宋体" w:cs="Arial"/>
          <w:bCs/>
          <w:sz w:val="24"/>
        </w:rPr>
        <w:t>其他根据相关法律法规及中国证监会的有关规定不得列入基金费用的项目。</w:t>
      </w:r>
    </w:p>
    <w:p w14:paraId="76D3D198" w14:textId="775D02A4"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六</w:t>
      </w:r>
      <w:r w:rsidRPr="00663775">
        <w:rPr>
          <w:rFonts w:ascii="彩虹粗仿宋" w:eastAsia="彩虹粗仿宋" w:hAnsi="宋体" w:cs="Arial"/>
          <w:bCs/>
          <w:sz w:val="24"/>
        </w:rPr>
        <w:t>）基金管理费</w:t>
      </w:r>
      <w:r w:rsidR="00D82F33">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的调整</w:t>
      </w:r>
    </w:p>
    <w:p w14:paraId="371CB8D8" w14:textId="7945ACA1"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基金管理人和基金托管人可根据基金发展情况调整基金管理费</w:t>
      </w:r>
      <w:r w:rsidR="006547B2">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6547B2" w:rsidRPr="006547B2">
        <w:rPr>
          <w:rFonts w:ascii="彩虹粗仿宋" w:eastAsia="彩虹粗仿宋" w:hAnsi="宋体" w:cs="Arial" w:hint="eastAsia"/>
          <w:bCs/>
          <w:sz w:val="24"/>
        </w:rPr>
        <w:t>和C类基金份额销售服务费</w:t>
      </w:r>
      <w:r w:rsidRPr="00663775">
        <w:rPr>
          <w:rFonts w:ascii="彩虹粗仿宋" w:eastAsia="彩虹粗仿宋" w:hAnsi="宋体" w:cs="Arial"/>
          <w:bCs/>
          <w:sz w:val="24"/>
        </w:rPr>
        <w:t>，调整基金管理费率、基金托管费率</w:t>
      </w:r>
      <w:r w:rsidR="00F26643" w:rsidRPr="00F26643">
        <w:rPr>
          <w:rFonts w:ascii="彩虹粗仿宋" w:eastAsia="彩虹粗仿宋" w:hAnsi="宋体" w:cs="Arial" w:hint="eastAsia"/>
          <w:bCs/>
          <w:sz w:val="24"/>
        </w:rPr>
        <w:t>或提高</w:t>
      </w:r>
      <w:r w:rsidR="00B70E59" w:rsidRPr="00B70E59">
        <w:rPr>
          <w:rFonts w:ascii="彩虹粗仿宋" w:eastAsia="彩虹粗仿宋" w:hAnsi="宋体" w:cs="Arial" w:hint="eastAsia"/>
          <w:bCs/>
          <w:sz w:val="24"/>
        </w:rPr>
        <w:t>C类基金份额</w:t>
      </w:r>
      <w:r w:rsidR="00F26643" w:rsidRPr="00F26643">
        <w:rPr>
          <w:rFonts w:ascii="彩虹粗仿宋" w:eastAsia="彩虹粗仿宋" w:hAnsi="宋体" w:cs="Arial" w:hint="eastAsia"/>
          <w:bCs/>
          <w:sz w:val="24"/>
        </w:rPr>
        <w:t>销售服务费率</w:t>
      </w:r>
      <w:r w:rsidRPr="00663775">
        <w:rPr>
          <w:rFonts w:ascii="彩虹粗仿宋" w:eastAsia="彩虹粗仿宋" w:hAnsi="宋体" w:cs="Arial"/>
          <w:bCs/>
          <w:sz w:val="24"/>
        </w:rPr>
        <w:t>须召开基金份额持有人大会。基金管理人必须最迟于新的费率实施日前按照</w:t>
      </w:r>
      <w:r w:rsidRPr="00B66555">
        <w:rPr>
          <w:rFonts w:ascii="彩虹粗仿宋" w:eastAsia="彩虹粗仿宋" w:hAnsi="宋体" w:cs="Arial"/>
          <w:bCs/>
          <w:sz w:val="24"/>
        </w:rPr>
        <w:t>《信息披露办法》的规定</w:t>
      </w:r>
      <w:r w:rsidRPr="00B66555">
        <w:rPr>
          <w:rFonts w:ascii="彩虹粗仿宋" w:eastAsia="彩虹粗仿宋" w:hAnsi="宋体" w:cs="Arial" w:hint="eastAsia"/>
          <w:bCs/>
          <w:sz w:val="24"/>
        </w:rPr>
        <w:t>在规定媒介上刊登公告。</w:t>
      </w:r>
    </w:p>
    <w:p w14:paraId="63EBFD6D" w14:textId="463B48D6" w:rsidR="00B80D0C" w:rsidRPr="00B66555" w:rsidRDefault="00916999">
      <w:pPr>
        <w:adjustRightInd w:val="0"/>
        <w:snapToGrid w:val="0"/>
        <w:ind w:firstLineChars="200" w:firstLine="480"/>
        <w:rPr>
          <w:rFonts w:ascii="彩虹粗仿宋" w:eastAsia="彩虹粗仿宋" w:hAnsi="宋体" w:cs="Arial"/>
          <w:bCs/>
          <w:sz w:val="24"/>
        </w:rPr>
      </w:pPr>
      <w:r w:rsidRPr="00B66555">
        <w:rPr>
          <w:rFonts w:ascii="彩虹粗仿宋" w:eastAsia="彩虹粗仿宋" w:hAnsi="宋体" w:cs="Arial" w:hint="eastAsia"/>
          <w:bCs/>
          <w:sz w:val="24"/>
        </w:rPr>
        <w:t>（</w:t>
      </w:r>
      <w:r w:rsidR="00154B93">
        <w:rPr>
          <w:rFonts w:ascii="彩虹粗仿宋" w:eastAsia="彩虹粗仿宋" w:hAnsi="宋体" w:cs="Arial" w:hint="eastAsia"/>
          <w:bCs/>
          <w:sz w:val="24"/>
        </w:rPr>
        <w:t>七</w:t>
      </w:r>
      <w:r w:rsidRPr="00B66555">
        <w:rPr>
          <w:rFonts w:ascii="彩虹粗仿宋" w:eastAsia="彩虹粗仿宋" w:hAnsi="宋体" w:cs="Arial" w:hint="eastAsia"/>
          <w:bCs/>
          <w:sz w:val="24"/>
        </w:rPr>
        <w:t>）基金管理费</w:t>
      </w:r>
      <w:r w:rsidR="00D82F33">
        <w:rPr>
          <w:rFonts w:ascii="彩虹粗仿宋" w:eastAsia="彩虹粗仿宋" w:hAnsi="宋体" w:cs="Arial" w:hint="eastAsia"/>
          <w:bCs/>
          <w:sz w:val="24"/>
        </w:rPr>
        <w:t>、</w:t>
      </w:r>
      <w:r w:rsidRPr="00B66555">
        <w:rPr>
          <w:rFonts w:ascii="彩虹粗仿宋" w:eastAsia="彩虹粗仿宋" w:hAnsi="宋体" w:cs="Arial" w:hint="eastAsia"/>
          <w:bCs/>
          <w:sz w:val="24"/>
        </w:rPr>
        <w:t>基金托管费</w:t>
      </w:r>
      <w:r w:rsidR="00D82F33" w:rsidRPr="00D82F33">
        <w:rPr>
          <w:rFonts w:ascii="彩虹粗仿宋" w:eastAsia="彩虹粗仿宋" w:hAnsi="宋体" w:cs="Arial" w:hint="eastAsia"/>
          <w:bCs/>
          <w:sz w:val="24"/>
        </w:rPr>
        <w:t>和C类基金份额的销售服务费</w:t>
      </w:r>
      <w:r w:rsidRPr="00B66555">
        <w:rPr>
          <w:rFonts w:ascii="彩虹粗仿宋" w:eastAsia="彩虹粗仿宋" w:hAnsi="宋体" w:cs="Arial" w:hint="eastAsia"/>
          <w:bCs/>
          <w:sz w:val="24"/>
        </w:rPr>
        <w:t>的复核程序、支付方式和时间</w:t>
      </w:r>
    </w:p>
    <w:p w14:paraId="6F6618F5"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1.</w:t>
      </w:r>
      <w:r w:rsidRPr="00663775">
        <w:rPr>
          <w:rFonts w:ascii="彩虹粗仿宋" w:eastAsia="彩虹粗仿宋" w:hAnsi="宋体" w:cs="Arial"/>
          <w:bCs/>
          <w:sz w:val="24"/>
        </w:rPr>
        <w:t>复核程序</w:t>
      </w:r>
    </w:p>
    <w:p w14:paraId="3AD87174" w14:textId="2477519F"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基金托管人对基金管理人计提的基金管理费</w:t>
      </w:r>
      <w:r w:rsidR="00AE2384">
        <w:rPr>
          <w:rFonts w:ascii="彩虹粗仿宋" w:eastAsia="彩虹粗仿宋" w:hAnsi="宋体" w:cs="Arial" w:hint="eastAsia"/>
          <w:bCs/>
          <w:sz w:val="24"/>
        </w:rPr>
        <w:t>、</w:t>
      </w:r>
      <w:r w:rsidRPr="00663775">
        <w:rPr>
          <w:rFonts w:ascii="彩虹粗仿宋" w:eastAsia="彩虹粗仿宋" w:hAnsi="宋体" w:cs="Arial"/>
          <w:bCs/>
          <w:sz w:val="24"/>
        </w:rPr>
        <w:t>基金托管费</w:t>
      </w:r>
      <w:r w:rsidR="00AE2384" w:rsidRPr="00AE2384">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等，根据本托管协议和《基金合同》的有关规定进行复核。</w:t>
      </w:r>
    </w:p>
    <w:p w14:paraId="1C855220" w14:textId="77777777"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2.支付方式和时间</w:t>
      </w:r>
    </w:p>
    <w:p w14:paraId="41AC4714" w14:textId="10831090" w:rsidR="00B80D0C"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基金管理费、基金托管费</w:t>
      </w:r>
      <w:r w:rsidR="003231B7" w:rsidRPr="003231B7">
        <w:rPr>
          <w:rFonts w:ascii="彩虹粗仿宋" w:eastAsia="彩虹粗仿宋" w:hAnsi="宋体" w:cs="Arial" w:hint="eastAsia"/>
          <w:bCs/>
          <w:sz w:val="24"/>
        </w:rPr>
        <w:t>和C类基金份额的销售服务费</w:t>
      </w:r>
      <w:r w:rsidRPr="00663775">
        <w:rPr>
          <w:rFonts w:ascii="彩虹粗仿宋" w:eastAsia="彩虹粗仿宋" w:hAnsi="宋体" w:cs="Arial"/>
          <w:bCs/>
          <w:sz w:val="24"/>
        </w:rPr>
        <w:t>每日计提，按月支付。由基金托管人根据与基金管理人核对一致的财务数据，自动在月初5个工作日内、按照指定的账户路径进行资金支付，基金管理人无需再出具资金划拨指令。若遇法定节假日、休息日或不可抗力致使无法按时支付的，支付日期顺延。费用自动扣划后，基金管理人应进行核对，如发现数据不符，及时联系基金托管人协商解决。</w:t>
      </w:r>
    </w:p>
    <w:p w14:paraId="092F9F9D" w14:textId="4AD0F1BE" w:rsidR="00B80D0C" w:rsidRPr="0066377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在首期支付基金管理费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前，基金管理人应向托管人出具正式函件指定基金管理费</w:t>
      </w:r>
      <w:r w:rsidR="00385B76">
        <w:rPr>
          <w:rFonts w:ascii="彩虹粗仿宋" w:eastAsia="彩虹粗仿宋" w:hAnsi="宋体" w:cs="Arial" w:hint="eastAsia"/>
          <w:sz w:val="24"/>
        </w:rPr>
        <w:t>、销售服务费</w:t>
      </w:r>
      <w:r w:rsidRPr="00663775">
        <w:rPr>
          <w:rFonts w:ascii="彩虹粗仿宋" w:eastAsia="彩虹粗仿宋" w:hAnsi="宋体" w:cs="Arial"/>
          <w:bCs/>
          <w:sz w:val="24"/>
        </w:rPr>
        <w:t>的收款账户。基金管理人如需要变更此账户，应提前5个工作日向托管人出具书面的收款账户变更通知。</w:t>
      </w:r>
    </w:p>
    <w:p w14:paraId="030AF93E" w14:textId="6B660BF0" w:rsidR="00B80D0C" w:rsidRPr="00B66555" w:rsidRDefault="00916999">
      <w:pPr>
        <w:adjustRightInd w:val="0"/>
        <w:snapToGrid w:val="0"/>
        <w:ind w:firstLineChars="200" w:firstLine="480"/>
        <w:rPr>
          <w:rFonts w:ascii="彩虹粗仿宋" w:eastAsia="彩虹粗仿宋" w:hAnsi="宋体" w:cs="Arial"/>
          <w:bCs/>
          <w:sz w:val="24"/>
        </w:rPr>
      </w:pPr>
      <w:r w:rsidRPr="00663775">
        <w:rPr>
          <w:rFonts w:ascii="彩虹粗仿宋" w:eastAsia="彩虹粗仿宋" w:hAnsi="宋体" w:cs="Arial"/>
          <w:bCs/>
          <w:sz w:val="24"/>
        </w:rPr>
        <w:t>（</w:t>
      </w:r>
      <w:r w:rsidR="00154B93">
        <w:rPr>
          <w:rFonts w:ascii="彩虹粗仿宋" w:eastAsia="彩虹粗仿宋" w:hAnsi="宋体" w:cs="Arial" w:hint="eastAsia"/>
          <w:bCs/>
          <w:sz w:val="24"/>
        </w:rPr>
        <w:t>八</w:t>
      </w:r>
      <w:r w:rsidRPr="00B66555">
        <w:rPr>
          <w:rFonts w:ascii="彩虹粗仿宋" w:eastAsia="彩虹粗仿宋" w:hAnsi="宋体" w:cs="Arial" w:hint="eastAsia"/>
          <w:bCs/>
          <w:sz w:val="24"/>
        </w:rPr>
        <w:t>）违规处理方式</w:t>
      </w:r>
    </w:p>
    <w:p w14:paraId="570883A2" w14:textId="77777777" w:rsidR="00B80D0C" w:rsidRPr="00663775" w:rsidRDefault="00916999">
      <w:pPr>
        <w:adjustRightInd w:val="0"/>
        <w:snapToGrid w:val="0"/>
        <w:ind w:firstLineChars="200" w:firstLine="480"/>
        <w:rPr>
          <w:rFonts w:ascii="彩虹粗仿宋" w:eastAsia="彩虹粗仿宋" w:hAnsi="宋体" w:cs="Arial"/>
          <w:bCs/>
          <w:sz w:val="24"/>
        </w:rPr>
      </w:pPr>
      <w:r w:rsidRPr="0037626C">
        <w:rPr>
          <w:rFonts w:ascii="彩虹粗仿宋" w:eastAsia="彩虹粗仿宋" w:hAnsi="宋体" w:cs="Arial" w:hint="eastAsia"/>
          <w:bCs/>
          <w:sz w:val="24"/>
        </w:rPr>
        <w:t>基金托管人发现基金管理人违反《基金法》、《基金合同》、《运作办法》及其他有关规定从基金财产中列支费用时，基金托管人可要</w:t>
      </w:r>
      <w:r w:rsidRPr="00663775">
        <w:rPr>
          <w:rFonts w:ascii="彩虹粗仿宋" w:eastAsia="彩虹粗仿宋" w:hAnsi="宋体" w:cs="Arial"/>
          <w:bCs/>
          <w:sz w:val="24"/>
        </w:rPr>
        <w:t>求基金管理人予以说明解释，如基金管理人无正当理由，基金托管人可拒绝支付。</w:t>
      </w:r>
    </w:p>
    <w:p w14:paraId="7CAEBBF6" w14:textId="77777777" w:rsidR="00B80D0C" w:rsidRDefault="00B80D0C">
      <w:pPr>
        <w:adjustRightInd w:val="0"/>
        <w:snapToGrid w:val="0"/>
        <w:rPr>
          <w:rFonts w:ascii="彩虹粗仿宋" w:eastAsia="彩虹粗仿宋" w:hAnsi="宋体" w:cs="Arial"/>
          <w:sz w:val="24"/>
        </w:rPr>
      </w:pPr>
    </w:p>
    <w:p w14:paraId="566DC29A" w14:textId="77777777" w:rsidR="00B80D0C" w:rsidRDefault="00916999">
      <w:pPr>
        <w:pStyle w:val="2"/>
        <w:jc w:val="center"/>
        <w:rPr>
          <w:rFonts w:ascii="彩虹粗仿宋" w:eastAsia="彩虹粗仿宋"/>
          <w:sz w:val="30"/>
        </w:rPr>
      </w:pPr>
      <w:bookmarkStart w:id="91" w:name="_Toc124325896"/>
      <w:r>
        <w:rPr>
          <w:rFonts w:ascii="彩虹粗仿宋" w:eastAsia="彩虹粗仿宋" w:hint="eastAsia"/>
          <w:sz w:val="30"/>
        </w:rPr>
        <w:t>十二、基金份额持有人名册的保管</w:t>
      </w:r>
      <w:bookmarkEnd w:id="91"/>
    </w:p>
    <w:p w14:paraId="4BCF801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份额持有人名册至少应包括基金份额持有人的名称和持有的基金份额。基金份额持有人名册由基金登记机构根据基金管理人的指令编制和保管，基金管理人和基金托管人应分别保管基金份额持有人名册，保存期不少于15年。如不能妥善保管，则按相关法规承担责任。</w:t>
      </w:r>
    </w:p>
    <w:p w14:paraId="7270B1C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在基金托管人要求或编制</w:t>
      </w:r>
      <w:r>
        <w:rPr>
          <w:rFonts w:ascii="彩虹粗仿宋" w:eastAsia="彩虹粗仿宋" w:hAnsi="宋体" w:cs="Arial"/>
          <w:sz w:val="24"/>
        </w:rPr>
        <w:t>中期报告</w:t>
      </w:r>
      <w:r>
        <w:rPr>
          <w:rFonts w:ascii="彩虹粗仿宋" w:eastAsia="彩虹粗仿宋" w:hAnsi="宋体" w:cs="Arial" w:hint="eastAsia"/>
          <w:sz w:val="24"/>
        </w:rPr>
        <w:t>和年度报告前，基金管理人应将有关资料送交基金托管人，不得无故拒绝或延误提供，并保证其真实性、准确性和完整性。</w:t>
      </w:r>
      <w:r>
        <w:rPr>
          <w:rFonts w:ascii="彩虹粗仿宋" w:eastAsia="彩虹粗仿宋" w:hAnsi="宋体" w:hint="eastAsia"/>
          <w:kern w:val="0"/>
          <w:sz w:val="24"/>
        </w:rPr>
        <w:lastRenderedPageBreak/>
        <w:t>基金托管人不得将所保管的基金份额持有人名册用于基金托管业务以外的其他用途，并应遵守保密义务。</w:t>
      </w:r>
    </w:p>
    <w:p w14:paraId="68617343" w14:textId="77777777" w:rsidR="00B80D0C" w:rsidRDefault="00B80D0C">
      <w:pPr>
        <w:adjustRightInd w:val="0"/>
        <w:snapToGrid w:val="0"/>
        <w:rPr>
          <w:rFonts w:ascii="彩虹粗仿宋" w:eastAsia="彩虹粗仿宋" w:hAnsi="宋体" w:cs="Arial"/>
          <w:sz w:val="24"/>
        </w:rPr>
      </w:pPr>
    </w:p>
    <w:p w14:paraId="7D8FCC4B" w14:textId="77777777" w:rsidR="00B80D0C" w:rsidRDefault="00916999">
      <w:pPr>
        <w:pStyle w:val="2"/>
        <w:jc w:val="center"/>
        <w:rPr>
          <w:rFonts w:ascii="彩虹粗仿宋" w:eastAsia="彩虹粗仿宋"/>
          <w:sz w:val="30"/>
        </w:rPr>
      </w:pPr>
      <w:bookmarkStart w:id="92" w:name="_Toc124325897"/>
      <w:r>
        <w:rPr>
          <w:rFonts w:ascii="彩虹粗仿宋" w:eastAsia="彩虹粗仿宋" w:hint="eastAsia"/>
          <w:sz w:val="30"/>
        </w:rPr>
        <w:t>十三、基金有关文件档案的保存</w:t>
      </w:r>
      <w:bookmarkEnd w:id="92"/>
    </w:p>
    <w:p w14:paraId="109D5C3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（一）档案保存</w:t>
      </w:r>
    </w:p>
    <w:p w14:paraId="7FE7BDA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年。</w:t>
      </w:r>
    </w:p>
    <w:p w14:paraId="7863FD1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（二）合同档案的建立</w:t>
      </w:r>
    </w:p>
    <w:p w14:paraId="2EF26A8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1.基金管理人签署重大合同文本后，应及时将合同文本正本送达基金托管人处。</w:t>
      </w:r>
    </w:p>
    <w:p w14:paraId="24EC7B0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2.基金管理人应及时将与本基金账务处理、资金划拨等有关的合同、协议传真基金托管人。</w:t>
      </w:r>
    </w:p>
    <w:p w14:paraId="1F3997A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（三）变更与协助</w:t>
      </w:r>
    </w:p>
    <w:p w14:paraId="7F7C04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若基金管理人/基金托管人发生变更，未变更的一方有义务协助变更后的接任人接收相应文件。</w:t>
      </w:r>
    </w:p>
    <w:p w14:paraId="53C4FDE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（四）基金管理人和基金托管人应按各自职责完整保存原始凭证、记账凭证、基金账册、交易记录和重要合同等，承担保密义务并保存至少十五年以上。</w:t>
      </w:r>
    </w:p>
    <w:p w14:paraId="474EA173" w14:textId="77777777" w:rsidR="00B80D0C" w:rsidRDefault="00B80D0C">
      <w:pPr>
        <w:adjustRightInd w:val="0"/>
        <w:snapToGrid w:val="0"/>
        <w:rPr>
          <w:rFonts w:ascii="彩虹粗仿宋" w:eastAsia="彩虹粗仿宋"/>
          <w:sz w:val="30"/>
          <w:szCs w:val="30"/>
        </w:rPr>
      </w:pPr>
    </w:p>
    <w:p w14:paraId="2E949AA3" w14:textId="77777777" w:rsidR="00B80D0C" w:rsidRDefault="00916999">
      <w:pPr>
        <w:pStyle w:val="2"/>
        <w:jc w:val="center"/>
        <w:rPr>
          <w:rFonts w:ascii="彩虹粗仿宋" w:eastAsia="彩虹粗仿宋"/>
          <w:sz w:val="30"/>
        </w:rPr>
      </w:pPr>
      <w:bookmarkStart w:id="93" w:name="_Toc124325898"/>
      <w:r>
        <w:rPr>
          <w:rFonts w:ascii="彩虹粗仿宋" w:eastAsia="彩虹粗仿宋" w:hint="eastAsia"/>
          <w:sz w:val="30"/>
        </w:rPr>
        <w:t>十四、基金管理人和基金托管人的更换</w:t>
      </w:r>
      <w:bookmarkEnd w:id="93"/>
    </w:p>
    <w:p w14:paraId="15FD1B3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（一）基金管理人职责终止的情形</w:t>
      </w:r>
    </w:p>
    <w:p w14:paraId="2A0A933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1.基金管理人职责终止的情形</w:t>
      </w:r>
    </w:p>
    <w:p w14:paraId="72BF0E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有下列情形之一的，基金管理人职责终止：</w:t>
      </w:r>
    </w:p>
    <w:p w14:paraId="2697982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(1)被依法取消基金管理资格；</w:t>
      </w:r>
    </w:p>
    <w:p w14:paraId="20B5B06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53DC9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5E7910E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658AF6A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2.基金管理人的更换程序</w:t>
      </w:r>
    </w:p>
    <w:p w14:paraId="1F24C14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更换基金管理人必须依照如下程序进行：</w:t>
      </w:r>
    </w:p>
    <w:p w14:paraId="60188B0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(1)提名：新任基金管理人由基金托管人或由单独或合计持有10%以上(含10%)基金份额的基金份额持有人提名；</w:t>
      </w:r>
    </w:p>
    <w:p w14:paraId="28996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管理人职责终止后6个月内对被提名的新任基金管理人形成决议，该决议需经参加大会的基金份额持有人所持表决权的三分之二以上(含三分之二)表决通过，决议自表决通过之日起生效，新任基金管理人应当符合法律法规及中国证监会规定的资格条件；</w:t>
      </w:r>
    </w:p>
    <w:p w14:paraId="20C3815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(3)临时基金管理人：新任基金管理人产生之前，由中国证监会指定临时基金管理人；</w:t>
      </w:r>
    </w:p>
    <w:p w14:paraId="0744DB3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(4)备案：基金份额持有人大会更换基金管理人的决议须报中国证监会备案；</w:t>
      </w:r>
    </w:p>
    <w:p w14:paraId="779B92B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(5)公告：基金管理人更换后，由基金托管人在更换基金管理人的基金份额持</w:t>
      </w:r>
      <w:r>
        <w:rPr>
          <w:rFonts w:ascii="彩虹粗仿宋" w:eastAsia="彩虹粗仿宋" w:hAnsi="宋体" w:cs="Arial" w:hint="eastAsia"/>
          <w:sz w:val="24"/>
        </w:rPr>
        <w:lastRenderedPageBreak/>
        <w:t>有人大会决议生效后依照《信息披露办法》的规定在规定媒介公告；</w:t>
      </w:r>
    </w:p>
    <w:p w14:paraId="265780D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管理人职责终止的，基金管理人应妥善保管基金管理业务资料，及时向临时基金管理人或新任基金管理人办理基金管理业务的移交手续，临时基金管理人或新任基金管理人应及时接收。新任基金管理人或者临时基金管理人应与基金托管人核对基金资产总值和净值；</w:t>
      </w:r>
    </w:p>
    <w:p w14:paraId="05F6B1B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(7)审计：基金管理人职责终止的，应当按照法律法规规定聘请会计师事务所对基金财产进行审计，并将审计结果予以公告，同时报中国证监会备案，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审计费用在基金财产中列支</w:t>
      </w:r>
      <w:r>
        <w:rPr>
          <w:rFonts w:ascii="彩虹粗仿宋" w:eastAsia="彩虹粗仿宋" w:hAnsi="宋体" w:cs="Arial" w:hint="eastAsia"/>
          <w:sz w:val="24"/>
        </w:rPr>
        <w:t>；</w:t>
      </w:r>
    </w:p>
    <w:p w14:paraId="640C8BC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(8)基金名称变更：基金管理人更换后，如果原任或新任基金管理人要求，应按其要求替换或删除基金名称中与原基金管理人有关的名称字样。</w:t>
      </w:r>
    </w:p>
    <w:p w14:paraId="505A2F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（二）基金托管人职责终止的情形</w:t>
      </w:r>
    </w:p>
    <w:p w14:paraId="2EDDFB4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1.基金托管人职责终止的情形</w:t>
      </w:r>
    </w:p>
    <w:p w14:paraId="14FE87B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有下列情形之一的，基金托管人职责终止：</w:t>
      </w:r>
    </w:p>
    <w:p w14:paraId="03A99A6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(1)被依法取消基金托管资格；</w:t>
      </w:r>
    </w:p>
    <w:p w14:paraId="1C942A5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(2)依法解散、被依法撤销或被依法宣告破产；</w:t>
      </w:r>
    </w:p>
    <w:p w14:paraId="7B2A3BA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(3)被基金份额持有人大会解任；</w:t>
      </w:r>
    </w:p>
    <w:p w14:paraId="1E3F57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(4)法律法规及中国证监会规定的和《基金合同》约定的其他情形。</w:t>
      </w:r>
    </w:p>
    <w:p w14:paraId="7F1BF17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2.基金托管人的更换程序</w:t>
      </w:r>
    </w:p>
    <w:p w14:paraId="6E0C279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(1)提名：新任基金托管人由基金管理人或由单独或合计持有10%以上(含10%)基金份额的基金份额持有人提名；</w:t>
      </w:r>
    </w:p>
    <w:p w14:paraId="6356D9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决议：基金份额持有人大会在基金托管人职责终止后6个月内对被提名的新任基金托管人形成决议，该决议需经参加大会的基金份额持有人所持表决权的三分之二以上(含三分之二)表决通过，决议自表决通过之日起生效，新任基金托管人应当符合法律法规及中国证监会规定的资格条件；</w:t>
      </w:r>
    </w:p>
    <w:p w14:paraId="15F1CF2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(3)临时基金托管人：新任基金托管人产生之前，由中国证监会指定临时基金托管人；</w:t>
      </w:r>
    </w:p>
    <w:p w14:paraId="78A5D8E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(4)备案：基金份额持有人大会更换基金托管人的决议须报中国证监会备案；</w:t>
      </w:r>
    </w:p>
    <w:p w14:paraId="0D7ECA7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(5)公告：基金托管人更换后，由基金管理人在更换基金托管人的基金份额持有人大会决议生效后依照《信息披露办法》的规定在规定媒介公告；</w:t>
      </w:r>
    </w:p>
    <w:p w14:paraId="542937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交接：基金托管人职责终止的，应当妥善保管基金财产和基金托管业务资料，及时办理基金财产和基金托管业务的移交手续，新任基金托管人或者临时基金托管人应当及时接收。新任基金托管人或者临时基金托管人与基金管理人核对基金资产总值和净值；</w:t>
      </w:r>
    </w:p>
    <w:p w14:paraId="4C47E88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(7)审计：基金托管人职责终止的，应当按照法律法规规定聘请会计师事务所对基金财产进行审计，并将审计结果予以公告，同时报中国证监会备案，</w:t>
      </w:r>
      <w:r>
        <w:rPr>
          <w:rFonts w:ascii="彩虹粗仿宋" w:eastAsia="彩虹粗仿宋" w:hAnsi="宋体" w:cs="Arial"/>
          <w:sz w:val="24"/>
        </w:rPr>
        <w:t>审计费用</w:t>
      </w:r>
      <w:r>
        <w:rPr>
          <w:rFonts w:ascii="彩虹粗仿宋" w:eastAsia="彩虹粗仿宋" w:hAnsi="宋体" w:cs="Arial" w:hint="eastAsia"/>
          <w:sz w:val="24"/>
        </w:rPr>
        <w:t>从</w:t>
      </w:r>
      <w:r>
        <w:rPr>
          <w:rFonts w:ascii="彩虹粗仿宋" w:eastAsia="彩虹粗仿宋" w:hAnsi="宋体" w:cs="Arial"/>
          <w:sz w:val="24"/>
        </w:rPr>
        <w:t>基金财产中列支</w:t>
      </w:r>
      <w:r>
        <w:rPr>
          <w:rFonts w:ascii="彩虹粗仿宋" w:eastAsia="彩虹粗仿宋" w:hAnsi="宋体" w:cs="Arial" w:hint="eastAsia"/>
          <w:sz w:val="24"/>
        </w:rPr>
        <w:t>。</w:t>
      </w:r>
    </w:p>
    <w:p w14:paraId="7DAFD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（三）基金管理人与基金托管人同时更换的条件和程序</w:t>
      </w:r>
    </w:p>
    <w:p w14:paraId="5F16748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1.提名：如果基金管理人和基金托管人同时更换，由单独或合计持有基金总份额10%以上(含10%)的基金份额持有人提名新的基金管理人和基金托管人；</w:t>
      </w:r>
    </w:p>
    <w:p w14:paraId="7B8113B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2.基金管理人和基金托管人的更换分别按上述程序进行；</w:t>
      </w:r>
    </w:p>
    <w:p w14:paraId="21DE47E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3.公告：新任基金管理人和新任基金托管人应在更换基金管理人和基金托管人的基金份额持有人大会决议生效后依照《信息披露办法》的规定在规定媒介上联合公告。</w:t>
      </w:r>
    </w:p>
    <w:p w14:paraId="6779E6B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（四）新基金管理人或临时基金管理人接收基金管理业务或新基金托管人或</w:t>
      </w:r>
      <w:r>
        <w:rPr>
          <w:rFonts w:ascii="彩虹粗仿宋" w:eastAsia="彩虹粗仿宋" w:hAnsi="宋体" w:cs="Arial" w:hint="eastAsia"/>
          <w:sz w:val="24"/>
        </w:rPr>
        <w:lastRenderedPageBreak/>
        <w:t>临时基金托管人接收基金财产和基金托管业务前，原基金管理人或基金托管人应继续履行相关职责，并保证不做出对基金份额持有人的利益造成损害的行为。原基金管理人或基金托管人在继续履行相关职责期间，仍有权按照基金合同的约定收取基金管理费或基金托管费。</w:t>
      </w:r>
    </w:p>
    <w:p w14:paraId="4A94432F" w14:textId="77777777" w:rsidR="00B80D0C" w:rsidRDefault="00B80D0C">
      <w:pPr>
        <w:adjustRightInd w:val="0"/>
        <w:snapToGrid w:val="0"/>
        <w:ind w:firstLineChars="200" w:firstLine="480"/>
        <w:rPr>
          <w:rFonts w:ascii="彩虹粗仿宋" w:eastAsia="彩虹粗仿宋" w:hAnsi="宋体" w:cs="Arial"/>
          <w:sz w:val="24"/>
        </w:rPr>
      </w:pPr>
    </w:p>
    <w:p w14:paraId="34E239F7" w14:textId="77777777" w:rsidR="00B80D0C" w:rsidRDefault="00916999">
      <w:pPr>
        <w:pStyle w:val="2"/>
        <w:jc w:val="center"/>
        <w:rPr>
          <w:rFonts w:ascii="彩虹粗仿宋" w:eastAsia="彩虹粗仿宋"/>
          <w:sz w:val="30"/>
        </w:rPr>
      </w:pPr>
      <w:bookmarkStart w:id="94" w:name="_Toc124325899"/>
      <w:r>
        <w:rPr>
          <w:rFonts w:ascii="彩虹粗仿宋" w:eastAsia="彩虹粗仿宋" w:hint="eastAsia"/>
          <w:sz w:val="30"/>
        </w:rPr>
        <w:t>十五、禁止行为</w:t>
      </w:r>
      <w:bookmarkEnd w:id="94"/>
    </w:p>
    <w:p w14:paraId="65D6950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本协议当事人禁止从事的行为，包括但不限于：</w:t>
      </w:r>
    </w:p>
    <w:p w14:paraId="7420987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（一）基金管理人、基金托管人将其固有财产或者他人财产混同于基金财产从事证券投资。</w:t>
      </w:r>
    </w:p>
    <w:p w14:paraId="218511E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（二）基金管理人不公平地对待其管理的不同基金财产，基金托管人不公平地对待其托管的不同基金财产。</w:t>
      </w:r>
    </w:p>
    <w:p w14:paraId="090C7F4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（三）基金管理人、基金托管人利用基金财产为基金份额持有人以外的第三人牟取利益。</w:t>
      </w:r>
    </w:p>
    <w:p w14:paraId="3F7C38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（四）基金管理人、基金托管人向基金份额持有人违规承诺收益或者承担损失。</w:t>
      </w:r>
    </w:p>
    <w:p w14:paraId="1B9C51D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（五）基金管理人、基金托管人对他人泄漏基金运作和管理过程中任何尚未按法律法规规定的方式公开披露的信息。</w:t>
      </w:r>
    </w:p>
    <w:p w14:paraId="56FD5E0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（六）基金管理人在没有充足资金的情况下向基金托管人发出投资指令和付款指令，或违规向基金托管人发出指令。</w:t>
      </w:r>
    </w:p>
    <w:p w14:paraId="510C3A9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（七）基金管理人、基金托管人在行政上、财务上不独立，其高级管理人员和其他从业人员相互兼职。</w:t>
      </w:r>
    </w:p>
    <w:p w14:paraId="5D30476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（八）基金托管人私自动用或处分基金财产，根据基金管理人的合法指令、《基金合同》或托管协议的规定进行处分的除外。</w:t>
      </w:r>
    </w:p>
    <w:p w14:paraId="202F71F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（九）基金财产用于下列投资或者活动：1.承销证券；2.违反规定向他人贷款或者提供担保；3.从事承担无限责任的投资；4.买卖其他基金份额，但是中国</w:t>
      </w:r>
      <w:r>
        <w:rPr>
          <w:rFonts w:ascii="彩虹粗仿宋" w:eastAsia="彩虹粗仿宋" w:hAnsi="宋体" w:cs="Arial"/>
          <w:sz w:val="24"/>
        </w:rPr>
        <w:t>证监会</w:t>
      </w:r>
      <w:r>
        <w:rPr>
          <w:rFonts w:ascii="彩虹粗仿宋" w:eastAsia="彩虹粗仿宋" w:hAnsi="宋体" w:cs="Arial" w:hint="eastAsia"/>
          <w:sz w:val="24"/>
        </w:rPr>
        <w:t>另有规定的除外；5.向其基金管理人、基金托管人出资；6.从事内幕交易、操纵证券交易价格及其他不正当的证券交易活动；7.法律、行政法规和中国</w:t>
      </w:r>
      <w:r>
        <w:rPr>
          <w:rFonts w:ascii="彩虹粗仿宋" w:eastAsia="彩虹粗仿宋" w:hAnsi="宋体" w:cs="Arial"/>
          <w:sz w:val="24"/>
        </w:rPr>
        <w:t>证监会</w:t>
      </w:r>
      <w:r>
        <w:rPr>
          <w:rFonts w:ascii="彩虹粗仿宋" w:eastAsia="彩虹粗仿宋" w:hAnsi="宋体" w:cs="Arial" w:hint="eastAsia"/>
          <w:sz w:val="24"/>
        </w:rPr>
        <w:t>规定禁止的其他活动。法律、</w:t>
      </w:r>
      <w:r>
        <w:rPr>
          <w:rFonts w:ascii="彩虹粗仿宋" w:eastAsia="彩虹粗仿宋" w:hAnsi="宋体" w:cs="Arial"/>
          <w:sz w:val="24"/>
        </w:rPr>
        <w:t>行政</w:t>
      </w:r>
      <w:r>
        <w:rPr>
          <w:rFonts w:ascii="彩虹粗仿宋" w:eastAsia="彩虹粗仿宋" w:hAnsi="宋体" w:cs="Arial" w:hint="eastAsia"/>
          <w:sz w:val="24"/>
        </w:rPr>
        <w:t>法规或监管部门取消上述限制，如适用于本基金，基金</w:t>
      </w:r>
      <w:r>
        <w:rPr>
          <w:rFonts w:ascii="彩虹粗仿宋" w:eastAsia="彩虹粗仿宋" w:hAnsi="宋体" w:cs="Arial"/>
          <w:sz w:val="24"/>
        </w:rPr>
        <w:t>管理人在履行适当程序后，</w:t>
      </w:r>
      <w:r>
        <w:rPr>
          <w:rFonts w:ascii="彩虹粗仿宋" w:eastAsia="彩虹粗仿宋" w:hAnsi="宋体" w:cs="Arial" w:hint="eastAsia"/>
          <w:sz w:val="24"/>
        </w:rPr>
        <w:t>则本基金投资不再受上述相关限制。</w:t>
      </w:r>
    </w:p>
    <w:p w14:paraId="5733D1C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（十）法律法规和《基金合同》禁止的其他行为，以及依照法律、行政法规有关规定，由中国</w:t>
      </w:r>
      <w:r>
        <w:rPr>
          <w:rFonts w:ascii="彩虹粗仿宋" w:eastAsia="彩虹粗仿宋" w:hAnsi="宋体" w:cs="Arial"/>
          <w:sz w:val="24"/>
        </w:rPr>
        <w:t>证监会</w:t>
      </w:r>
      <w:r>
        <w:rPr>
          <w:rFonts w:ascii="彩虹粗仿宋" w:eastAsia="彩虹粗仿宋" w:hAnsi="宋体" w:cs="Arial" w:hint="eastAsia"/>
          <w:sz w:val="24"/>
        </w:rPr>
        <w:t>规定禁止基金管理人、基金托管人从事的其他行为。</w:t>
      </w:r>
    </w:p>
    <w:p w14:paraId="7A033F84" w14:textId="77777777" w:rsidR="00B80D0C" w:rsidRDefault="00B80D0C">
      <w:pPr>
        <w:adjustRightInd w:val="0"/>
        <w:snapToGrid w:val="0"/>
        <w:rPr>
          <w:rFonts w:ascii="彩虹粗仿宋" w:eastAsia="彩虹粗仿宋"/>
          <w:sz w:val="30"/>
          <w:szCs w:val="30"/>
        </w:rPr>
      </w:pPr>
    </w:p>
    <w:p w14:paraId="69A899B2" w14:textId="77777777" w:rsidR="00B80D0C" w:rsidRDefault="00916999">
      <w:pPr>
        <w:pStyle w:val="2"/>
        <w:jc w:val="center"/>
        <w:rPr>
          <w:rFonts w:ascii="彩虹粗仿宋" w:eastAsia="彩虹粗仿宋"/>
          <w:sz w:val="30"/>
        </w:rPr>
      </w:pPr>
      <w:bookmarkStart w:id="95" w:name="_Toc124325900"/>
      <w:r>
        <w:rPr>
          <w:rFonts w:ascii="彩虹粗仿宋" w:eastAsia="彩虹粗仿宋" w:hint="eastAsia"/>
          <w:sz w:val="30"/>
        </w:rPr>
        <w:t>十六、托管协议的变更、终止与基金财产的清算</w:t>
      </w:r>
      <w:bookmarkEnd w:id="95"/>
    </w:p>
    <w:p w14:paraId="041D2D7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（一）托管协议的变更程序</w:t>
      </w:r>
    </w:p>
    <w:p w14:paraId="6E66D67F" w14:textId="77777777" w:rsidR="00B80D0C" w:rsidRDefault="00916999">
      <w:pPr>
        <w:adjustRightInd w:val="0"/>
        <w:snapToGrid w:val="0"/>
        <w:ind w:firstLineChars="200" w:firstLine="480"/>
        <w:rPr>
          <w:rFonts w:ascii="彩虹粗仿宋" w:eastAsia="彩虹粗仿宋"/>
          <w:sz w:val="30"/>
          <w:szCs w:val="30"/>
        </w:rPr>
      </w:pPr>
      <w:r>
        <w:rPr>
          <w:rFonts w:ascii="彩虹粗仿宋" w:eastAsia="彩虹粗仿宋" w:hAnsi="宋体" w:cs="Arial" w:hint="eastAsia"/>
          <w:sz w:val="24"/>
        </w:rPr>
        <w:t>本协议双方当事人经协商一致，可以对协议进行修改。修改后的新协议，其内容不得与《基金合同》的规定有任何冲突。基金托管协议的变更报中国证监会备案后生效。</w:t>
      </w:r>
    </w:p>
    <w:p w14:paraId="7A3FA7E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（二）托管协议终止的情形</w:t>
      </w:r>
    </w:p>
    <w:p w14:paraId="7719BDD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w:t>
      </w:r>
    </w:p>
    <w:p w14:paraId="319572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2.基金托管人解散、依法被撤销、破产或由其他基金托管人接管基金资产；</w:t>
      </w:r>
    </w:p>
    <w:p w14:paraId="4D572AD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lastRenderedPageBreak/>
        <w:t>3.基金管理人解散、依法被撤销、破产或由其他基金管理人接管基金管理权；</w:t>
      </w:r>
    </w:p>
    <w:p w14:paraId="241246E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4.发生法律法规、</w:t>
      </w:r>
      <w:r>
        <w:rPr>
          <w:rFonts w:ascii="彩虹粗仿宋" w:eastAsia="彩虹粗仿宋" w:hAnsi="宋体" w:cs="Arial"/>
          <w:sz w:val="24"/>
        </w:rPr>
        <w:t>中国证监会规定</w:t>
      </w:r>
      <w:r>
        <w:rPr>
          <w:rFonts w:ascii="彩虹粗仿宋" w:eastAsia="彩虹粗仿宋" w:hAnsi="宋体" w:cs="Arial" w:hint="eastAsia"/>
          <w:sz w:val="24"/>
        </w:rPr>
        <w:t>或《基金合同》约定的终止事项。</w:t>
      </w:r>
    </w:p>
    <w:p w14:paraId="6C35ECFE"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（三）基金财产的清算</w:t>
      </w:r>
    </w:p>
    <w:p w14:paraId="6BD1C282"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1.基金财产清算小组：自出现《基金合同》终止事由之日起30个工作日内成立清算小组，基金管理人组织基金财产清算小组并在中国证监会的监督下进行基金清算。</w:t>
      </w:r>
    </w:p>
    <w:p w14:paraId="691FE75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2.基金财产清算小组组成：基金财产清算小组成员由基金管理人、基金托管人、</w:t>
      </w:r>
      <w:r>
        <w:rPr>
          <w:rFonts w:ascii="彩虹粗仿宋" w:eastAsia="彩虹粗仿宋" w:hAnsi="宋体" w:cs="Arial"/>
          <w:bCs/>
          <w:sz w:val="24"/>
        </w:rPr>
        <w:t>符合</w:t>
      </w:r>
      <w:r>
        <w:rPr>
          <w:rFonts w:ascii="彩虹粗仿宋" w:eastAsia="彩虹粗仿宋" w:hAnsi="宋体" w:cs="Arial" w:hint="eastAsia"/>
          <w:bCs/>
          <w:sz w:val="24"/>
        </w:rPr>
        <w:t>《中华人民共和国证券法》规定</w:t>
      </w:r>
      <w:r>
        <w:rPr>
          <w:rFonts w:ascii="彩虹粗仿宋" w:eastAsia="彩虹粗仿宋" w:hAnsi="宋体" w:cs="Arial" w:hint="eastAsia"/>
          <w:sz w:val="24"/>
        </w:rPr>
        <w:t>的注册会计师、律师以及中国证监会指定的人员组成。基金财产清算小组可以聘用必要的工作人员。</w:t>
      </w:r>
    </w:p>
    <w:p w14:paraId="07FAE70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3.基金财产清算小组职责：基金财产清算小组负责基金财产的保管、清理、估价、变现和分配。基金财产清算小组可以依法进行必要的民事活动。</w:t>
      </w:r>
    </w:p>
    <w:p w14:paraId="3F7D92A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4.基金财产清算程序：</w:t>
      </w:r>
    </w:p>
    <w:p w14:paraId="4F707A8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(1)《基金合同》终止情形出现时，由基金财产清算小组统一接管基金；</w:t>
      </w:r>
    </w:p>
    <w:p w14:paraId="2919165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(2)对基金财产和债权债务进行清理和确认；</w:t>
      </w:r>
    </w:p>
    <w:p w14:paraId="427AA8C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(3)对基金财产进行估值和变现；</w:t>
      </w:r>
    </w:p>
    <w:p w14:paraId="76AA85D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(4)制作清算报告；</w:t>
      </w:r>
    </w:p>
    <w:p w14:paraId="06DE040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(5)聘请会计师事务所对清算报告进行外部审计，聘请律师事务所对清算报告出具法律意见书；</w:t>
      </w:r>
    </w:p>
    <w:p w14:paraId="0E4DD99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(6)将清算报告报中国证监会备案并公告；</w:t>
      </w:r>
    </w:p>
    <w:p w14:paraId="5BA217A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(7)对基金剩余财产进行分配。</w:t>
      </w:r>
    </w:p>
    <w:p w14:paraId="7473382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5.基金财产清算的期限为</w:t>
      </w:r>
      <w:r>
        <w:rPr>
          <w:rFonts w:ascii="彩虹粗仿宋" w:eastAsia="彩虹粗仿宋" w:hAnsi="宋体" w:cs="Arial"/>
          <w:sz w:val="24"/>
        </w:rPr>
        <w:t>6</w:t>
      </w:r>
      <w:r>
        <w:rPr>
          <w:rFonts w:ascii="彩虹粗仿宋" w:eastAsia="彩虹粗仿宋" w:hAnsi="宋体" w:cs="Arial" w:hint="eastAsia"/>
          <w:sz w:val="24"/>
        </w:rPr>
        <w:t>个月，但因本基金所持证券的流动性受到限制而不能及时变现的，清算期限相应顺延。</w:t>
      </w:r>
    </w:p>
    <w:p w14:paraId="033E87D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6.清算费用</w:t>
      </w:r>
    </w:p>
    <w:p w14:paraId="10ED076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清算费用是指基金财产清算小组在进行基金清算过程中发生的所有合理费用，清算费用由基金财产清算小组优先从基金财产中支付。</w:t>
      </w:r>
    </w:p>
    <w:p w14:paraId="7042209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7.基金财产清算剩余资产的分配：</w:t>
      </w:r>
    </w:p>
    <w:p w14:paraId="33E9ECDF"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依据基金财产清算的分配方案，将基金财产清算后的全部剩余资产扣除基金财产清算费用、交纳所欠税款并清偿基金债务后，按基金份额持有人持有的基金份额比例进行分配。</w:t>
      </w:r>
    </w:p>
    <w:p w14:paraId="3030E59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8.基金财产清算的公告</w:t>
      </w:r>
    </w:p>
    <w:p w14:paraId="5EE42BF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ascii="彩虹粗仿宋" w:eastAsia="彩虹粗仿宋" w:hAnsi="宋体" w:cs="Arial"/>
          <w:sz w:val="24"/>
        </w:rPr>
        <w:t>5</w:t>
      </w:r>
      <w:r>
        <w:rPr>
          <w:rFonts w:ascii="彩虹粗仿宋" w:eastAsia="彩虹粗仿宋" w:hAnsi="宋体" w:cs="Arial" w:hint="eastAsia"/>
          <w:sz w:val="24"/>
        </w:rPr>
        <w:t>个工作日内由基金财产清算小组进行公告，基金财产清算小组应当将清算报告登载在规定网站上，并将清算报告提示性公告登载在规定报刊上。</w:t>
      </w:r>
    </w:p>
    <w:p w14:paraId="727699D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9.基金财产清算账册及文件的保存</w:t>
      </w:r>
    </w:p>
    <w:p w14:paraId="4AF8860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基金财产清算账册及有关文件由基金托管人保存15年以上。</w:t>
      </w:r>
    </w:p>
    <w:p w14:paraId="3B3B7C5C" w14:textId="77777777" w:rsidR="00B80D0C" w:rsidRDefault="00B80D0C">
      <w:pPr>
        <w:adjustRightInd w:val="0"/>
        <w:snapToGrid w:val="0"/>
        <w:rPr>
          <w:rFonts w:ascii="彩虹粗仿宋" w:eastAsia="彩虹粗仿宋" w:hAnsi="宋体" w:cs="Arial"/>
          <w:sz w:val="24"/>
        </w:rPr>
      </w:pPr>
    </w:p>
    <w:p w14:paraId="741EB4E1" w14:textId="77777777" w:rsidR="00B80D0C" w:rsidRDefault="00916999">
      <w:pPr>
        <w:pStyle w:val="2"/>
        <w:jc w:val="center"/>
        <w:rPr>
          <w:rFonts w:ascii="彩虹粗仿宋" w:eastAsia="彩虹粗仿宋"/>
          <w:sz w:val="30"/>
        </w:rPr>
      </w:pPr>
      <w:bookmarkStart w:id="96" w:name="_Toc124325901"/>
      <w:r>
        <w:rPr>
          <w:rFonts w:ascii="彩虹粗仿宋" w:eastAsia="彩虹粗仿宋" w:hint="eastAsia"/>
          <w:sz w:val="30"/>
        </w:rPr>
        <w:t>十七、违约责任</w:t>
      </w:r>
      <w:bookmarkEnd w:id="96"/>
    </w:p>
    <w:p w14:paraId="590E055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（一）基金管理人、基金托管人不履行本协议或履行本协议不符合约定的，应当承担违约责任。</w:t>
      </w:r>
    </w:p>
    <w:p w14:paraId="09EEA55C"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（二）基金管理人、基金托管人在履行各自职责的过程中，违反《基金法》或</w:t>
      </w:r>
      <w:r>
        <w:rPr>
          <w:rFonts w:ascii="彩虹粗仿宋" w:eastAsia="彩虹粗仿宋" w:hAnsi="宋体" w:cs="Arial" w:hint="eastAsia"/>
          <w:sz w:val="24"/>
        </w:rPr>
        <w:lastRenderedPageBreak/>
        <w:t>者《基金合同》和本托管协议约定，给基金财产或者基金份额持有人造成损害的，应当分别对各自的行为依法承担赔偿责任；因共同行为给基金财产或者基金份额持有人造成损害的，应当承担连带赔偿责任，</w:t>
      </w:r>
      <w:r>
        <w:rPr>
          <w:rFonts w:ascii="彩虹粗仿宋" w:eastAsia="彩虹粗仿宋" w:hAnsi="宋体" w:cs="Arial"/>
          <w:sz w:val="24"/>
        </w:rPr>
        <w:t>对损失的赔偿，仅限于直接损失</w:t>
      </w:r>
      <w:r>
        <w:rPr>
          <w:rFonts w:ascii="彩虹粗仿宋" w:eastAsia="彩虹粗仿宋" w:hAnsi="宋体" w:cs="Arial" w:hint="eastAsia"/>
          <w:sz w:val="24"/>
        </w:rPr>
        <w:t>。</w:t>
      </w:r>
    </w:p>
    <w:p w14:paraId="234A5EF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一方当事人违约，给另一方当事人造成损失的，应就直接损失进行赔偿；给基金财产造成损失的，应就直接损失进行赔偿，另一方当事人有权利及义务代表基金向违约方追偿。但是如发生下列情况，当事人免责：</w:t>
      </w:r>
    </w:p>
    <w:p w14:paraId="772ADBF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1.不可抗力；</w:t>
      </w:r>
    </w:p>
    <w:p w14:paraId="42455438"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2.基金管理人</w:t>
      </w:r>
      <w:r>
        <w:rPr>
          <w:rFonts w:ascii="彩虹粗仿宋" w:eastAsia="彩虹粗仿宋" w:hAnsi="宋体" w:cs="Arial"/>
          <w:sz w:val="24"/>
        </w:rPr>
        <w:t>和/或</w:t>
      </w:r>
      <w:r>
        <w:rPr>
          <w:rFonts w:ascii="彩虹粗仿宋" w:eastAsia="彩虹粗仿宋" w:hAnsi="宋体" w:cs="Arial" w:hint="eastAsia"/>
          <w:sz w:val="24"/>
        </w:rPr>
        <w:t>基金托管人按照当时有效的法律法规或中国证监会的规定作为或不作为而造成的损失等；</w:t>
      </w:r>
    </w:p>
    <w:p w14:paraId="78BCB8E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3.基金管理人由于按照《基金合同》规定的投资原则行使或不行使其投资权而造成的损失等；</w:t>
      </w:r>
    </w:p>
    <w:p w14:paraId="7B0DE6C7"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一方当事人违约，另一方当事人在职责范围内有义务及时采取必要的措施，尽力防止损失的扩大。没有采取适当措施致使损失进一步扩大的，不得就扩大的损失要求赔偿。非违约方因防止损失扩大而支出的合理费用由违约方承担。</w:t>
      </w:r>
    </w:p>
    <w:p w14:paraId="5F5B6C7B"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（五）违约行为虽已发生，但本托管协议能够继续履行的，在最大限度地保护基金份额持有人利益的前提下，基金管理人和基金托管人应当继续履行本协议。</w:t>
      </w:r>
    </w:p>
    <w:p w14:paraId="515DA531"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减轻或消除由此造成的影响。</w:t>
      </w:r>
    </w:p>
    <w:p w14:paraId="109721F8" w14:textId="77777777" w:rsidR="00B80D0C" w:rsidRDefault="00B80D0C">
      <w:pPr>
        <w:adjustRightInd w:val="0"/>
        <w:snapToGrid w:val="0"/>
        <w:ind w:firstLineChars="200" w:firstLine="480"/>
        <w:rPr>
          <w:rFonts w:ascii="彩虹粗仿宋" w:eastAsia="彩虹粗仿宋" w:hAnsi="宋体" w:cs="Arial"/>
          <w:sz w:val="24"/>
        </w:rPr>
      </w:pPr>
    </w:p>
    <w:p w14:paraId="10FEE06B" w14:textId="77777777" w:rsidR="00B80D0C" w:rsidRDefault="00916999">
      <w:pPr>
        <w:pStyle w:val="2"/>
        <w:jc w:val="center"/>
        <w:rPr>
          <w:rFonts w:ascii="彩虹粗仿宋" w:eastAsia="彩虹粗仿宋"/>
          <w:sz w:val="30"/>
        </w:rPr>
      </w:pPr>
      <w:bookmarkStart w:id="97" w:name="_Toc124325902"/>
      <w:r>
        <w:rPr>
          <w:rFonts w:ascii="彩虹粗仿宋" w:eastAsia="彩虹粗仿宋" w:hint="eastAsia"/>
          <w:sz w:val="30"/>
        </w:rPr>
        <w:t>十八、争议解决方式</w:t>
      </w:r>
      <w:bookmarkEnd w:id="97"/>
    </w:p>
    <w:p w14:paraId="1CF41AA0"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由败诉方承担。</w:t>
      </w:r>
    </w:p>
    <w:p w14:paraId="5BAE36FA"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争议处理期间，双方当事人应恪守基金管理人和基金托管人职责，各自继续忠实、勤勉、尽责地履行《基金合同》和本托管协议规定的义务，维护基金份额持有人的合法权益。</w:t>
      </w:r>
    </w:p>
    <w:p w14:paraId="4580004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本协议受中国法律（不含港澳台地区法律）管辖。</w:t>
      </w:r>
    </w:p>
    <w:p w14:paraId="5A971CAC" w14:textId="77777777" w:rsidR="00B80D0C" w:rsidRDefault="00B80D0C">
      <w:pPr>
        <w:adjustRightInd w:val="0"/>
        <w:snapToGrid w:val="0"/>
        <w:rPr>
          <w:rFonts w:ascii="彩虹粗仿宋" w:eastAsia="彩虹粗仿宋" w:hAnsi="宋体" w:cs="Arial"/>
          <w:sz w:val="24"/>
        </w:rPr>
      </w:pPr>
    </w:p>
    <w:p w14:paraId="7233E8DE" w14:textId="77777777" w:rsidR="00B80D0C" w:rsidRDefault="00916999">
      <w:pPr>
        <w:pStyle w:val="2"/>
        <w:jc w:val="center"/>
        <w:rPr>
          <w:rFonts w:ascii="彩虹粗仿宋" w:eastAsia="彩虹粗仿宋"/>
          <w:sz w:val="30"/>
        </w:rPr>
      </w:pPr>
      <w:bookmarkStart w:id="98" w:name="_Toc124325903"/>
      <w:r>
        <w:rPr>
          <w:rFonts w:ascii="彩虹粗仿宋" w:eastAsia="彩虹粗仿宋" w:hint="eastAsia"/>
          <w:sz w:val="30"/>
        </w:rPr>
        <w:t>十九、托管协议的效力</w:t>
      </w:r>
      <w:bookmarkEnd w:id="98"/>
    </w:p>
    <w:p w14:paraId="4C798C8D"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双方对托管协议的效力约定如下：</w:t>
      </w:r>
    </w:p>
    <w:p w14:paraId="6E11D975" w14:textId="516A5E7F"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（一）</w:t>
      </w:r>
      <w:r w:rsidRPr="00663775">
        <w:rPr>
          <w:rFonts w:ascii="彩虹粗仿宋" w:eastAsia="彩虹粗仿宋" w:hAnsi="宋体" w:cs="Arial" w:hint="eastAsia"/>
          <w:sz w:val="24"/>
        </w:rPr>
        <w:t>交银施罗德国证新能源指数证券投资基金（</w:t>
      </w:r>
      <w:r w:rsidRPr="00663775">
        <w:rPr>
          <w:rFonts w:ascii="彩虹粗仿宋" w:eastAsia="彩虹粗仿宋" w:hAnsi="宋体" w:cs="Arial"/>
          <w:sz w:val="24"/>
        </w:rPr>
        <w:t>LOF）由交银施罗德国证新</w:t>
      </w:r>
      <w:r w:rsidRPr="00663775">
        <w:rPr>
          <w:rFonts w:ascii="彩虹粗仿宋" w:eastAsia="彩虹粗仿宋" w:hAnsi="宋体" w:cs="Arial" w:hint="eastAsia"/>
          <w:sz w:val="24"/>
        </w:rPr>
        <w:t>能源指数分级证券投资基金转型而来。基金管理人在向中国证监会申请基金变更注册时提交的托管协议草案，应经托管协议当事人双方盖章以及双方法定代表人或授权代表签章，协议当事人双方根据中国证监会的意见修改托管协议草案。托管</w:t>
      </w:r>
      <w:r w:rsidRPr="00663775">
        <w:rPr>
          <w:rFonts w:ascii="彩虹粗仿宋" w:eastAsia="彩虹粗仿宋" w:hAnsi="宋体" w:cs="Arial" w:hint="eastAsia"/>
          <w:sz w:val="24"/>
        </w:rPr>
        <w:lastRenderedPageBreak/>
        <w:t>协议以中国证监会注册的文本为正式文本。</w:t>
      </w:r>
    </w:p>
    <w:p w14:paraId="3DD04E5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（二）托管协议自《基金合同》成立之日起成立，自《基金合同》生效之日起生效。托管协议的有效期自其生效之日起至基金财产清算结果报中国证监会备案并公告之日止。</w:t>
      </w:r>
    </w:p>
    <w:p w14:paraId="7B5A7516"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（三）托管协议自生效之日起对托管协议当事人具有同等的法律约束力。</w:t>
      </w:r>
    </w:p>
    <w:p w14:paraId="584AB524"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（四）本协议一式六份，协议双方各持二份，上报监管机构二份，每份具有同等的法律效力。</w:t>
      </w:r>
    </w:p>
    <w:p w14:paraId="45141280" w14:textId="77777777" w:rsidR="00B80D0C" w:rsidRDefault="00B80D0C">
      <w:pPr>
        <w:adjustRightInd w:val="0"/>
        <w:snapToGrid w:val="0"/>
        <w:ind w:firstLineChars="200" w:firstLine="480"/>
        <w:rPr>
          <w:rFonts w:ascii="彩虹粗仿宋" w:eastAsia="彩虹粗仿宋" w:hAnsi="宋体" w:cs="Arial"/>
          <w:sz w:val="24"/>
        </w:rPr>
      </w:pPr>
    </w:p>
    <w:p w14:paraId="2E168BF9" w14:textId="77777777" w:rsidR="00B80D0C" w:rsidRDefault="00916999">
      <w:pPr>
        <w:pStyle w:val="2"/>
        <w:jc w:val="center"/>
        <w:rPr>
          <w:rFonts w:ascii="彩虹粗仿宋" w:eastAsia="彩虹粗仿宋"/>
          <w:sz w:val="30"/>
        </w:rPr>
      </w:pPr>
      <w:bookmarkStart w:id="99" w:name="_Toc124325904"/>
      <w:r>
        <w:rPr>
          <w:rFonts w:ascii="彩虹粗仿宋" w:eastAsia="彩虹粗仿宋" w:hint="eastAsia"/>
          <w:sz w:val="30"/>
        </w:rPr>
        <w:t>二十、其他事项</w:t>
      </w:r>
      <w:bookmarkEnd w:id="99"/>
    </w:p>
    <w:p w14:paraId="32049045"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如发生有权司法机关依法冻结基金份额持有人的基金份额时，基金管理人应予以配合，承担司法协助义务。</w:t>
      </w:r>
    </w:p>
    <w:p w14:paraId="741F8579"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除本协议有明确定义外，本协议的用语定义适用《基金合同》的约定。本协议未尽事宜，当事人依据《基金合同》、有关法律法规等规定协商办理。</w:t>
      </w:r>
    </w:p>
    <w:p w14:paraId="78506E10" w14:textId="77777777" w:rsidR="00B80D0C" w:rsidRDefault="00B80D0C">
      <w:pPr>
        <w:adjustRightInd w:val="0"/>
        <w:snapToGrid w:val="0"/>
        <w:rPr>
          <w:rFonts w:ascii="彩虹粗仿宋" w:eastAsia="彩虹粗仿宋"/>
          <w:b/>
          <w:bCs/>
        </w:rPr>
      </w:pPr>
    </w:p>
    <w:p w14:paraId="409B4670" w14:textId="77777777" w:rsidR="00B80D0C" w:rsidRDefault="00916999">
      <w:pPr>
        <w:pStyle w:val="2"/>
        <w:jc w:val="center"/>
        <w:rPr>
          <w:rFonts w:ascii="彩虹粗仿宋" w:eastAsia="彩虹粗仿宋"/>
          <w:sz w:val="30"/>
        </w:rPr>
      </w:pPr>
      <w:bookmarkStart w:id="100" w:name="_Toc124325905"/>
      <w:r>
        <w:rPr>
          <w:rFonts w:ascii="彩虹粗仿宋" w:eastAsia="彩虹粗仿宋" w:hint="eastAsia"/>
          <w:sz w:val="30"/>
        </w:rPr>
        <w:t>二十一、托管协议的签订</w:t>
      </w:r>
      <w:bookmarkEnd w:id="100"/>
    </w:p>
    <w:p w14:paraId="1FE9FC73" w14:textId="77777777" w:rsidR="00B80D0C" w:rsidRDefault="00916999">
      <w:pPr>
        <w:adjustRightInd w:val="0"/>
        <w:snapToGrid w:val="0"/>
        <w:ind w:firstLineChars="200" w:firstLine="480"/>
        <w:rPr>
          <w:rFonts w:ascii="彩虹粗仿宋" w:eastAsia="彩虹粗仿宋" w:hAnsi="宋体" w:cs="Arial"/>
          <w:sz w:val="24"/>
        </w:rPr>
      </w:pPr>
      <w:r>
        <w:rPr>
          <w:rFonts w:ascii="彩虹粗仿宋" w:eastAsia="彩虹粗仿宋" w:hAnsi="宋体" w:cs="Arial" w:hint="eastAsia"/>
          <w:sz w:val="24"/>
        </w:rPr>
        <w:t>本协议双方法定代表人或授权代表签章、签订地、签订日</w:t>
      </w:r>
    </w:p>
    <w:p w14:paraId="6E867F5F" w14:textId="77777777" w:rsidR="00B80D0C" w:rsidRDefault="00B80D0C">
      <w:pPr>
        <w:adjustRightInd w:val="0"/>
        <w:snapToGrid w:val="0"/>
        <w:ind w:firstLineChars="200" w:firstLine="480"/>
        <w:rPr>
          <w:rFonts w:ascii="彩虹粗仿宋" w:eastAsia="彩虹粗仿宋" w:hAnsi="宋体" w:cs="Arial"/>
          <w:sz w:val="24"/>
        </w:rPr>
        <w:sectPr w:rsidR="00B80D0C">
          <w:headerReference w:type="default" r:id="rId10"/>
          <w:pgSz w:w="11906" w:h="16838"/>
          <w:pgMar w:top="1418" w:right="1701" w:bottom="1418" w:left="1701" w:header="851" w:footer="992" w:gutter="0"/>
          <w:cols w:space="425"/>
          <w:docGrid w:type="lines" w:linePitch="312"/>
        </w:sectPr>
      </w:pPr>
    </w:p>
    <w:p w14:paraId="38D1572C" w14:textId="2983BA01" w:rsidR="00B80D0C" w:rsidRDefault="00916999">
      <w:pPr>
        <w:spacing w:line="360" w:lineRule="auto"/>
        <w:ind w:right="26"/>
        <w:rPr>
          <w:rFonts w:ascii="彩虹粗仿宋" w:eastAsia="彩虹粗仿宋"/>
          <w:sz w:val="24"/>
        </w:rPr>
      </w:pPr>
      <w:r>
        <w:rPr>
          <w:rFonts w:ascii="彩虹粗仿宋" w:eastAsia="彩虹粗仿宋" w:hint="eastAsia"/>
          <w:sz w:val="24"/>
        </w:rPr>
        <w:lastRenderedPageBreak/>
        <w:t>本页无正文，为《</w:t>
      </w:r>
      <w:r w:rsidRPr="00663775">
        <w:rPr>
          <w:rFonts w:ascii="彩虹粗仿宋" w:eastAsia="彩虹粗仿宋" w:hint="eastAsia"/>
          <w:sz w:val="24"/>
        </w:rPr>
        <w:t>交银施罗德国证新能源指数证券投资基金（</w:t>
      </w:r>
      <w:r w:rsidRPr="00663775">
        <w:rPr>
          <w:rFonts w:ascii="彩虹粗仿宋" w:eastAsia="彩虹粗仿宋"/>
          <w:sz w:val="24"/>
        </w:rPr>
        <w:t>LOF</w:t>
      </w:r>
      <w:r w:rsidRPr="00663775">
        <w:rPr>
          <w:rFonts w:ascii="彩虹粗仿宋" w:eastAsia="彩虹粗仿宋" w:hint="eastAsia"/>
          <w:sz w:val="24"/>
        </w:rPr>
        <w:t>）</w:t>
      </w:r>
      <w:r>
        <w:rPr>
          <w:rFonts w:ascii="彩虹粗仿宋" w:eastAsia="彩虹粗仿宋" w:hint="eastAsia"/>
          <w:sz w:val="24"/>
        </w:rPr>
        <w:t>托管协议》的签字盖章页。</w:t>
      </w:r>
    </w:p>
    <w:p w14:paraId="520A0FF8" w14:textId="77777777" w:rsidR="00B80D0C" w:rsidRDefault="00B80D0C">
      <w:pPr>
        <w:spacing w:line="360" w:lineRule="auto"/>
        <w:rPr>
          <w:rFonts w:ascii="彩虹粗仿宋" w:eastAsia="彩虹粗仿宋"/>
          <w:sz w:val="24"/>
        </w:rPr>
      </w:pPr>
    </w:p>
    <w:p w14:paraId="671386E4" w14:textId="77777777" w:rsidR="00B80D0C" w:rsidRDefault="00B80D0C">
      <w:pPr>
        <w:spacing w:line="360" w:lineRule="auto"/>
        <w:rPr>
          <w:rFonts w:ascii="彩虹粗仿宋" w:eastAsia="彩虹粗仿宋"/>
          <w:sz w:val="24"/>
        </w:rPr>
      </w:pPr>
    </w:p>
    <w:p w14:paraId="732AC4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基金管理人：交银</w:t>
      </w:r>
      <w:r>
        <w:rPr>
          <w:rFonts w:ascii="彩虹粗仿宋" w:eastAsia="彩虹粗仿宋"/>
          <w:sz w:val="24"/>
        </w:rPr>
        <w:t>施罗德</w:t>
      </w:r>
      <w:r>
        <w:rPr>
          <w:rFonts w:ascii="彩虹粗仿宋" w:eastAsia="彩虹粗仿宋" w:hint="eastAsia"/>
          <w:sz w:val="24"/>
        </w:rPr>
        <w:t>基金管理有限公司（盖章）</w:t>
      </w:r>
    </w:p>
    <w:p w14:paraId="4AD27C3D" w14:textId="77777777" w:rsidR="00B80D0C" w:rsidRDefault="00B80D0C">
      <w:pPr>
        <w:spacing w:line="360" w:lineRule="auto"/>
        <w:ind w:right="26"/>
        <w:rPr>
          <w:rFonts w:ascii="彩虹粗仿宋" w:eastAsia="彩虹粗仿宋"/>
          <w:sz w:val="24"/>
        </w:rPr>
      </w:pPr>
    </w:p>
    <w:p w14:paraId="07F5019C" w14:textId="77777777" w:rsidR="00B80D0C" w:rsidRDefault="00B80D0C">
      <w:pPr>
        <w:spacing w:line="360" w:lineRule="auto"/>
        <w:ind w:right="26"/>
        <w:rPr>
          <w:rFonts w:ascii="彩虹粗仿宋" w:eastAsia="彩虹粗仿宋"/>
          <w:sz w:val="24"/>
        </w:rPr>
      </w:pPr>
    </w:p>
    <w:p w14:paraId="5D4B8228" w14:textId="77777777" w:rsidR="00B80D0C" w:rsidRDefault="00B80D0C">
      <w:pPr>
        <w:spacing w:line="360" w:lineRule="auto"/>
        <w:ind w:right="26"/>
        <w:rPr>
          <w:rFonts w:ascii="彩虹粗仿宋" w:eastAsia="彩虹粗仿宋"/>
          <w:sz w:val="24"/>
        </w:rPr>
      </w:pPr>
    </w:p>
    <w:p w14:paraId="34CD131F"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法定代表人或授权代表：</w:t>
      </w:r>
    </w:p>
    <w:p w14:paraId="3A6356E4" w14:textId="77777777" w:rsidR="00B80D0C" w:rsidRDefault="00B80D0C">
      <w:pPr>
        <w:spacing w:line="360" w:lineRule="auto"/>
        <w:ind w:right="26"/>
        <w:rPr>
          <w:rFonts w:ascii="彩虹粗仿宋" w:eastAsia="彩虹粗仿宋"/>
          <w:sz w:val="24"/>
        </w:rPr>
      </w:pPr>
    </w:p>
    <w:p w14:paraId="10093F60" w14:textId="77777777" w:rsidR="00B80D0C" w:rsidRDefault="00B80D0C">
      <w:pPr>
        <w:spacing w:line="360" w:lineRule="auto"/>
        <w:ind w:right="26"/>
        <w:rPr>
          <w:rFonts w:ascii="彩虹粗仿宋" w:eastAsia="彩虹粗仿宋"/>
          <w:sz w:val="24"/>
        </w:rPr>
      </w:pPr>
    </w:p>
    <w:p w14:paraId="4DD0F17C" w14:textId="77777777" w:rsidR="00B80D0C" w:rsidRDefault="00B80D0C">
      <w:pPr>
        <w:spacing w:line="360" w:lineRule="auto"/>
        <w:ind w:right="26"/>
        <w:rPr>
          <w:rFonts w:ascii="彩虹粗仿宋" w:eastAsia="彩虹粗仿宋"/>
          <w:sz w:val="24"/>
        </w:rPr>
      </w:pPr>
    </w:p>
    <w:p w14:paraId="63CCF0F2" w14:textId="77777777" w:rsidR="00B80D0C" w:rsidRDefault="00916999">
      <w:pPr>
        <w:spacing w:line="360" w:lineRule="auto"/>
        <w:ind w:right="26"/>
        <w:rPr>
          <w:rFonts w:ascii="彩虹粗仿宋" w:eastAsia="彩虹粗仿宋"/>
          <w:sz w:val="24"/>
        </w:rPr>
      </w:pPr>
      <w:r>
        <w:rPr>
          <w:rFonts w:ascii="彩虹粗仿宋" w:eastAsia="彩虹粗仿宋" w:hint="eastAsia"/>
          <w:sz w:val="24"/>
        </w:rPr>
        <w:t>基金托管人：中国建设银行股份有限公司（盖章）</w:t>
      </w:r>
    </w:p>
    <w:p w14:paraId="48445805" w14:textId="77777777" w:rsidR="00B80D0C" w:rsidRDefault="00B80D0C">
      <w:pPr>
        <w:spacing w:line="360" w:lineRule="auto"/>
        <w:ind w:right="26"/>
        <w:rPr>
          <w:rFonts w:ascii="彩虹粗仿宋" w:eastAsia="彩虹粗仿宋"/>
          <w:sz w:val="24"/>
        </w:rPr>
      </w:pPr>
    </w:p>
    <w:p w14:paraId="00F18512" w14:textId="77777777" w:rsidR="00B80D0C" w:rsidRDefault="00B80D0C">
      <w:pPr>
        <w:spacing w:line="360" w:lineRule="auto"/>
        <w:ind w:right="26"/>
        <w:rPr>
          <w:rFonts w:ascii="彩虹粗仿宋" w:eastAsia="彩虹粗仿宋"/>
          <w:sz w:val="24"/>
        </w:rPr>
      </w:pPr>
    </w:p>
    <w:p w14:paraId="4C8AC16E" w14:textId="77777777" w:rsidR="00B80D0C" w:rsidRDefault="00B80D0C">
      <w:pPr>
        <w:spacing w:line="360" w:lineRule="auto"/>
        <w:ind w:right="26"/>
        <w:rPr>
          <w:rFonts w:ascii="彩虹粗仿宋" w:eastAsia="彩虹粗仿宋"/>
          <w:sz w:val="24"/>
        </w:rPr>
      </w:pPr>
    </w:p>
    <w:p w14:paraId="022B7427" w14:textId="77777777" w:rsidR="00B80D0C" w:rsidRDefault="00916999">
      <w:pPr>
        <w:rPr>
          <w:rFonts w:ascii="彩虹粗仿宋" w:eastAsia="彩虹粗仿宋"/>
          <w:sz w:val="24"/>
        </w:rPr>
      </w:pPr>
      <w:r>
        <w:rPr>
          <w:rFonts w:ascii="彩虹粗仿宋" w:eastAsia="彩虹粗仿宋" w:hint="eastAsia"/>
          <w:sz w:val="24"/>
        </w:rPr>
        <w:t>法定代表人或授权代表：</w:t>
      </w:r>
    </w:p>
    <w:p w14:paraId="5813BD48" w14:textId="77777777" w:rsidR="00B80D0C" w:rsidRDefault="00B80D0C">
      <w:pPr>
        <w:rPr>
          <w:rFonts w:ascii="彩虹粗仿宋" w:eastAsia="彩虹粗仿宋"/>
          <w:sz w:val="24"/>
        </w:rPr>
      </w:pPr>
    </w:p>
    <w:p w14:paraId="08514715" w14:textId="77777777" w:rsidR="00B80D0C" w:rsidRDefault="00B80D0C">
      <w:pPr>
        <w:rPr>
          <w:rFonts w:ascii="彩虹粗仿宋" w:eastAsia="彩虹粗仿宋"/>
          <w:sz w:val="24"/>
        </w:rPr>
      </w:pPr>
    </w:p>
    <w:p w14:paraId="3120A588" w14:textId="77777777" w:rsidR="00B80D0C" w:rsidRDefault="00B80D0C">
      <w:pPr>
        <w:rPr>
          <w:rFonts w:ascii="彩虹粗仿宋" w:eastAsia="彩虹粗仿宋"/>
          <w:sz w:val="24"/>
        </w:rPr>
      </w:pPr>
    </w:p>
    <w:p w14:paraId="4C7B0F06" w14:textId="77777777" w:rsidR="00B80D0C" w:rsidRDefault="00916999">
      <w:r>
        <w:rPr>
          <w:rFonts w:hint="eastAsia"/>
        </w:rPr>
        <w:t>签订地点：北京</w:t>
      </w:r>
    </w:p>
    <w:p w14:paraId="27FC30FF" w14:textId="77777777" w:rsidR="00B80D0C" w:rsidRDefault="00B80D0C"/>
    <w:p w14:paraId="10F07BFC" w14:textId="77777777" w:rsidR="00B80D0C" w:rsidRDefault="00916999">
      <w:r>
        <w:rPr>
          <w:rFonts w:hint="eastAsia"/>
        </w:rPr>
        <w:t>签订日：二〇二</w:t>
      </w: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sectPr w:rsidR="00B80D0C">
      <w:headerReference w:type="defaul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34643A" w14:textId="77777777" w:rsidR="003D267E" w:rsidRDefault="003D267E">
      <w:r>
        <w:separator/>
      </w:r>
    </w:p>
  </w:endnote>
  <w:endnote w:type="continuationSeparator" w:id="0">
    <w:p w14:paraId="1FE1199D" w14:textId="77777777" w:rsidR="003D267E" w:rsidRDefault="003D2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charset w:val="86"/>
    <w:family w:val="script"/>
    <w:pitch w:val="default"/>
    <w:sig w:usb0="00000000" w:usb1="080E0000" w:usb2="00000010" w:usb3="00000000" w:csb0="00040000" w:csb1="00000000"/>
  </w:font>
  <w:font w:name="Arial Unicode MS">
    <w:altName w:val="Malgun Gothic Semilight"/>
    <w:panose1 w:val="020B0604020202020204"/>
    <w:charset w:val="86"/>
    <w:family w:val="swiss"/>
    <w:pitch w:val="variable"/>
    <w:sig w:usb0="00000000" w:usb1="E9DFFFFF" w:usb2="0000003F" w:usb3="00000000" w:csb0="003F01FF" w:csb1="00000000"/>
  </w:font>
  <w:font w:name="楷体_GB2312">
    <w:altName w:val="楷体"/>
    <w:panose1 w:val="02010609030101010101"/>
    <w:charset w:val="86"/>
    <w:family w:val="modern"/>
    <w:pitch w:val="fixed"/>
    <w:sig w:usb0="00000001" w:usb1="080E0000" w:usb2="00000010" w:usb3="00000000" w:csb0="00040000" w:csb1="00000000"/>
  </w:font>
  <w:font w:name="彩虹粗仿宋">
    <w:altName w:val="黑体"/>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altName w:val="微软雅黑"/>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BA703" w14:textId="77777777"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end"/>
    </w:r>
  </w:p>
  <w:p w14:paraId="6B52EB90" w14:textId="77777777" w:rsidR="00DC6F28" w:rsidRDefault="00DC6F28">
    <w:pPr>
      <w:pStyle w:val="a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3ACDB" w14:textId="2F377D20" w:rsidR="00DC6F28" w:rsidRDefault="00DC6F28">
    <w:pPr>
      <w:pStyle w:val="ae"/>
      <w:framePr w:wrap="around" w:vAnchor="text" w:hAnchor="margin" w:xAlign="center" w:y="1"/>
      <w:rPr>
        <w:rStyle w:val="af4"/>
      </w:rPr>
    </w:pPr>
    <w:r>
      <w:rPr>
        <w:rStyle w:val="af4"/>
      </w:rPr>
      <w:fldChar w:fldCharType="begin"/>
    </w:r>
    <w:r>
      <w:rPr>
        <w:rStyle w:val="af4"/>
      </w:rPr>
      <w:instrText xml:space="preserve">PAGE  </w:instrText>
    </w:r>
    <w:r>
      <w:rPr>
        <w:rStyle w:val="af4"/>
      </w:rPr>
      <w:fldChar w:fldCharType="separate"/>
    </w:r>
    <w:r w:rsidR="005B2D58">
      <w:rPr>
        <w:rStyle w:val="af4"/>
        <w:noProof/>
      </w:rPr>
      <w:t>1</w:t>
    </w:r>
    <w:r>
      <w:rPr>
        <w:rStyle w:val="af4"/>
      </w:rPr>
      <w:fldChar w:fldCharType="end"/>
    </w:r>
  </w:p>
  <w:p w14:paraId="217B31AA" w14:textId="77777777" w:rsidR="00DC6F28" w:rsidRDefault="00DC6F2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0A922" w14:textId="77777777" w:rsidR="003D267E" w:rsidRDefault="003D267E">
      <w:r>
        <w:separator/>
      </w:r>
    </w:p>
  </w:footnote>
  <w:footnote w:type="continuationSeparator" w:id="0">
    <w:p w14:paraId="3CC0695F" w14:textId="77777777" w:rsidR="003D267E" w:rsidRDefault="003D26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6574FA" w14:textId="00230324" w:rsidR="00DC6F28" w:rsidRDefault="00DC6F28">
    <w:pPr>
      <w:pStyle w:val="af0"/>
      <w:jc w:val="right"/>
    </w:pPr>
    <w:r>
      <w:rPr>
        <w:noProof/>
      </w:rPr>
      <w:drawing>
        <wp:anchor distT="0" distB="0" distL="114300" distR="114300" simplePos="0" relativeHeight="251658240" behindDoc="0" locked="0" layoutInCell="1" allowOverlap="1" wp14:anchorId="51E2BD71" wp14:editId="65CF9D51">
          <wp:simplePos x="0" y="0"/>
          <wp:positionH relativeFrom="margin">
            <wp:align>left</wp:align>
          </wp:positionH>
          <wp:positionV relativeFrom="paragraph">
            <wp:posOffset>-104140</wp:posOffset>
          </wp:positionV>
          <wp:extent cx="1714500" cy="24765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lum contrast="-2000"/>
                    <a:extLst>
                      <a:ext uri="{28A0092B-C50C-407E-A947-70E740481C1C}">
                        <a14:useLocalDpi xmlns:a14="http://schemas.microsoft.com/office/drawing/2010/main" val="0"/>
                      </a:ext>
                    </a:extLst>
                  </a:blip>
                  <a:srcRect/>
                  <a:stretch>
                    <a:fillRect/>
                  </a:stretch>
                </pic:blipFill>
                <pic:spPr bwMode="auto">
                  <a:xfrm>
                    <a:off x="0" y="0"/>
                    <a:ext cx="1714500" cy="247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eastAsia"/>
      </w:rPr>
      <w:t>交银施罗德国证新能源指数证券投资基金（</w:t>
    </w:r>
    <w:r>
      <w:rPr>
        <w:rFonts w:hint="eastAsia"/>
      </w:rPr>
      <w:t>LOF</w:t>
    </w:r>
    <w:r>
      <w:rPr>
        <w:rFonts w:hint="eastAsia"/>
      </w:rPr>
      <w:t>）托管协议</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CC499" w14:textId="77777777" w:rsidR="00DC6F28" w:rsidRDefault="00DC6F28">
    <w:pPr>
      <w:pStyle w:val="af0"/>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A03"/>
    <w:rsid w:val="00004D35"/>
    <w:rsid w:val="0002413C"/>
    <w:rsid w:val="0002708A"/>
    <w:rsid w:val="0003323C"/>
    <w:rsid w:val="000451AA"/>
    <w:rsid w:val="00047AC9"/>
    <w:rsid w:val="00050D92"/>
    <w:rsid w:val="0005262A"/>
    <w:rsid w:val="00067AC8"/>
    <w:rsid w:val="000701A7"/>
    <w:rsid w:val="0007422F"/>
    <w:rsid w:val="0008285C"/>
    <w:rsid w:val="000B0F3F"/>
    <w:rsid w:val="000B68B2"/>
    <w:rsid w:val="000C09FB"/>
    <w:rsid w:val="000C297B"/>
    <w:rsid w:val="000C6593"/>
    <w:rsid w:val="000C7EBD"/>
    <w:rsid w:val="000D159E"/>
    <w:rsid w:val="000E52C3"/>
    <w:rsid w:val="000E69D7"/>
    <w:rsid w:val="000F54AF"/>
    <w:rsid w:val="001026E5"/>
    <w:rsid w:val="00103652"/>
    <w:rsid w:val="0012229E"/>
    <w:rsid w:val="00126B23"/>
    <w:rsid w:val="00142E2C"/>
    <w:rsid w:val="00144253"/>
    <w:rsid w:val="00144D6D"/>
    <w:rsid w:val="00154B93"/>
    <w:rsid w:val="001664ED"/>
    <w:rsid w:val="00174846"/>
    <w:rsid w:val="001839DC"/>
    <w:rsid w:val="0018762A"/>
    <w:rsid w:val="00191972"/>
    <w:rsid w:val="00194895"/>
    <w:rsid w:val="001A21CE"/>
    <w:rsid w:val="001A6650"/>
    <w:rsid w:val="001B0987"/>
    <w:rsid w:val="001B57BD"/>
    <w:rsid w:val="001B5D95"/>
    <w:rsid w:val="001C0465"/>
    <w:rsid w:val="001C1B40"/>
    <w:rsid w:val="001C2257"/>
    <w:rsid w:val="001E5623"/>
    <w:rsid w:val="001E7A03"/>
    <w:rsid w:val="001F2A75"/>
    <w:rsid w:val="00220F22"/>
    <w:rsid w:val="00225827"/>
    <w:rsid w:val="00226D43"/>
    <w:rsid w:val="00231040"/>
    <w:rsid w:val="002310E9"/>
    <w:rsid w:val="00232E70"/>
    <w:rsid w:val="00235357"/>
    <w:rsid w:val="0023621E"/>
    <w:rsid w:val="00240E3D"/>
    <w:rsid w:val="00251CA8"/>
    <w:rsid w:val="002569ED"/>
    <w:rsid w:val="002668FA"/>
    <w:rsid w:val="00270FA0"/>
    <w:rsid w:val="00277CD9"/>
    <w:rsid w:val="002826A7"/>
    <w:rsid w:val="002837FE"/>
    <w:rsid w:val="002905CF"/>
    <w:rsid w:val="00296AFE"/>
    <w:rsid w:val="002A1BE9"/>
    <w:rsid w:val="002B3B24"/>
    <w:rsid w:val="002B7987"/>
    <w:rsid w:val="002C127D"/>
    <w:rsid w:val="002C318B"/>
    <w:rsid w:val="002C6732"/>
    <w:rsid w:val="002D1D54"/>
    <w:rsid w:val="002F094F"/>
    <w:rsid w:val="002F2931"/>
    <w:rsid w:val="003007B6"/>
    <w:rsid w:val="003024BA"/>
    <w:rsid w:val="00304D20"/>
    <w:rsid w:val="00305A55"/>
    <w:rsid w:val="00306741"/>
    <w:rsid w:val="00312783"/>
    <w:rsid w:val="00315CCA"/>
    <w:rsid w:val="003231B7"/>
    <w:rsid w:val="00326339"/>
    <w:rsid w:val="003369AE"/>
    <w:rsid w:val="003450CD"/>
    <w:rsid w:val="00353C7D"/>
    <w:rsid w:val="00354C65"/>
    <w:rsid w:val="003616B2"/>
    <w:rsid w:val="00364A25"/>
    <w:rsid w:val="0037231D"/>
    <w:rsid w:val="00375F86"/>
    <w:rsid w:val="0037626C"/>
    <w:rsid w:val="00385B76"/>
    <w:rsid w:val="00391DC8"/>
    <w:rsid w:val="003A6DF6"/>
    <w:rsid w:val="003B507F"/>
    <w:rsid w:val="003C16A8"/>
    <w:rsid w:val="003D0EEA"/>
    <w:rsid w:val="003D267E"/>
    <w:rsid w:val="003D4930"/>
    <w:rsid w:val="003D583E"/>
    <w:rsid w:val="003E31DC"/>
    <w:rsid w:val="003E4611"/>
    <w:rsid w:val="003E71A8"/>
    <w:rsid w:val="003F663B"/>
    <w:rsid w:val="00402B35"/>
    <w:rsid w:val="00402FE3"/>
    <w:rsid w:val="0042215B"/>
    <w:rsid w:val="0042280C"/>
    <w:rsid w:val="00424A4B"/>
    <w:rsid w:val="00424D8C"/>
    <w:rsid w:val="00431B69"/>
    <w:rsid w:val="00434A73"/>
    <w:rsid w:val="00441976"/>
    <w:rsid w:val="00461B52"/>
    <w:rsid w:val="00461C63"/>
    <w:rsid w:val="00462395"/>
    <w:rsid w:val="00472897"/>
    <w:rsid w:val="00473263"/>
    <w:rsid w:val="00480A56"/>
    <w:rsid w:val="00482D1E"/>
    <w:rsid w:val="00486AAE"/>
    <w:rsid w:val="004A41CB"/>
    <w:rsid w:val="004A566A"/>
    <w:rsid w:val="004B0DAF"/>
    <w:rsid w:val="004B2FDE"/>
    <w:rsid w:val="004C742F"/>
    <w:rsid w:val="004D4005"/>
    <w:rsid w:val="004E14F3"/>
    <w:rsid w:val="004F5FC3"/>
    <w:rsid w:val="004F7051"/>
    <w:rsid w:val="0051608E"/>
    <w:rsid w:val="00524B24"/>
    <w:rsid w:val="00530F17"/>
    <w:rsid w:val="0053167E"/>
    <w:rsid w:val="00535B4B"/>
    <w:rsid w:val="005442C8"/>
    <w:rsid w:val="005477C9"/>
    <w:rsid w:val="00563AB2"/>
    <w:rsid w:val="00567488"/>
    <w:rsid w:val="00567F20"/>
    <w:rsid w:val="0057115D"/>
    <w:rsid w:val="00577523"/>
    <w:rsid w:val="0058092A"/>
    <w:rsid w:val="005814F8"/>
    <w:rsid w:val="005933AC"/>
    <w:rsid w:val="005B2D58"/>
    <w:rsid w:val="005C092F"/>
    <w:rsid w:val="005D004A"/>
    <w:rsid w:val="005E0DAD"/>
    <w:rsid w:val="005E4B3A"/>
    <w:rsid w:val="005F09CB"/>
    <w:rsid w:val="005F2FFD"/>
    <w:rsid w:val="006058FB"/>
    <w:rsid w:val="00612D6F"/>
    <w:rsid w:val="00614707"/>
    <w:rsid w:val="0061608D"/>
    <w:rsid w:val="00616E71"/>
    <w:rsid w:val="00617149"/>
    <w:rsid w:val="00621866"/>
    <w:rsid w:val="00627DD8"/>
    <w:rsid w:val="0063715B"/>
    <w:rsid w:val="00653BFA"/>
    <w:rsid w:val="006547B2"/>
    <w:rsid w:val="00663775"/>
    <w:rsid w:val="00663F85"/>
    <w:rsid w:val="00670E5B"/>
    <w:rsid w:val="00673462"/>
    <w:rsid w:val="00695B55"/>
    <w:rsid w:val="006A47BD"/>
    <w:rsid w:val="006B0301"/>
    <w:rsid w:val="006B5C2D"/>
    <w:rsid w:val="006B743B"/>
    <w:rsid w:val="006C2CC8"/>
    <w:rsid w:val="006D0B95"/>
    <w:rsid w:val="006E0E8B"/>
    <w:rsid w:val="006F6389"/>
    <w:rsid w:val="00710C44"/>
    <w:rsid w:val="00715E7B"/>
    <w:rsid w:val="00723601"/>
    <w:rsid w:val="00734635"/>
    <w:rsid w:val="00737DC5"/>
    <w:rsid w:val="00747422"/>
    <w:rsid w:val="00747B87"/>
    <w:rsid w:val="00765980"/>
    <w:rsid w:val="0076725A"/>
    <w:rsid w:val="0076746D"/>
    <w:rsid w:val="007872B3"/>
    <w:rsid w:val="00796807"/>
    <w:rsid w:val="007A1BD7"/>
    <w:rsid w:val="007A742B"/>
    <w:rsid w:val="007C0F90"/>
    <w:rsid w:val="007C5B5E"/>
    <w:rsid w:val="007D0866"/>
    <w:rsid w:val="007F14E7"/>
    <w:rsid w:val="007F416D"/>
    <w:rsid w:val="007F5424"/>
    <w:rsid w:val="00810D3C"/>
    <w:rsid w:val="008516A6"/>
    <w:rsid w:val="008672D9"/>
    <w:rsid w:val="008826EB"/>
    <w:rsid w:val="00883402"/>
    <w:rsid w:val="008A37D0"/>
    <w:rsid w:val="008B4F6E"/>
    <w:rsid w:val="008B5E56"/>
    <w:rsid w:val="008E0B35"/>
    <w:rsid w:val="008E422C"/>
    <w:rsid w:val="008F0D04"/>
    <w:rsid w:val="008F3611"/>
    <w:rsid w:val="008F3774"/>
    <w:rsid w:val="009105BC"/>
    <w:rsid w:val="00915A7C"/>
    <w:rsid w:val="0091617D"/>
    <w:rsid w:val="00916999"/>
    <w:rsid w:val="00923D50"/>
    <w:rsid w:val="00930190"/>
    <w:rsid w:val="009326C6"/>
    <w:rsid w:val="00940F72"/>
    <w:rsid w:val="009448C9"/>
    <w:rsid w:val="00945E83"/>
    <w:rsid w:val="009522F8"/>
    <w:rsid w:val="00954945"/>
    <w:rsid w:val="009568EA"/>
    <w:rsid w:val="00956F8A"/>
    <w:rsid w:val="0096064F"/>
    <w:rsid w:val="00962C31"/>
    <w:rsid w:val="00963F57"/>
    <w:rsid w:val="00972E87"/>
    <w:rsid w:val="0097578B"/>
    <w:rsid w:val="0098379B"/>
    <w:rsid w:val="009A4EAE"/>
    <w:rsid w:val="009B3CCF"/>
    <w:rsid w:val="009D1F50"/>
    <w:rsid w:val="009D5089"/>
    <w:rsid w:val="009E29AF"/>
    <w:rsid w:val="009E3187"/>
    <w:rsid w:val="009E691F"/>
    <w:rsid w:val="009E7DA5"/>
    <w:rsid w:val="009F5D6F"/>
    <w:rsid w:val="009F7427"/>
    <w:rsid w:val="00A0247F"/>
    <w:rsid w:val="00A27593"/>
    <w:rsid w:val="00A64FA1"/>
    <w:rsid w:val="00A740DB"/>
    <w:rsid w:val="00A74EFA"/>
    <w:rsid w:val="00A8077D"/>
    <w:rsid w:val="00A80B44"/>
    <w:rsid w:val="00A96939"/>
    <w:rsid w:val="00AA71A7"/>
    <w:rsid w:val="00AC2604"/>
    <w:rsid w:val="00AD08AE"/>
    <w:rsid w:val="00AE1EFF"/>
    <w:rsid w:val="00AE2384"/>
    <w:rsid w:val="00AE4965"/>
    <w:rsid w:val="00AF0C83"/>
    <w:rsid w:val="00AF1EAB"/>
    <w:rsid w:val="00AF224B"/>
    <w:rsid w:val="00AF2283"/>
    <w:rsid w:val="00B14218"/>
    <w:rsid w:val="00B16CA6"/>
    <w:rsid w:val="00B3160F"/>
    <w:rsid w:val="00B33DB9"/>
    <w:rsid w:val="00B36E22"/>
    <w:rsid w:val="00B37D6C"/>
    <w:rsid w:val="00B53C60"/>
    <w:rsid w:val="00B6437B"/>
    <w:rsid w:val="00B660D2"/>
    <w:rsid w:val="00B66555"/>
    <w:rsid w:val="00B70E59"/>
    <w:rsid w:val="00B76292"/>
    <w:rsid w:val="00B80D0C"/>
    <w:rsid w:val="00B90D0D"/>
    <w:rsid w:val="00B96190"/>
    <w:rsid w:val="00BA595D"/>
    <w:rsid w:val="00BB28C5"/>
    <w:rsid w:val="00BB791C"/>
    <w:rsid w:val="00BD4BFA"/>
    <w:rsid w:val="00BF7465"/>
    <w:rsid w:val="00C03A92"/>
    <w:rsid w:val="00C2558F"/>
    <w:rsid w:val="00C37790"/>
    <w:rsid w:val="00C46286"/>
    <w:rsid w:val="00C47668"/>
    <w:rsid w:val="00C62925"/>
    <w:rsid w:val="00C67103"/>
    <w:rsid w:val="00C71B46"/>
    <w:rsid w:val="00C804E7"/>
    <w:rsid w:val="00C955C5"/>
    <w:rsid w:val="00C962EB"/>
    <w:rsid w:val="00CA06A1"/>
    <w:rsid w:val="00CE67A2"/>
    <w:rsid w:val="00CF2C25"/>
    <w:rsid w:val="00CF7823"/>
    <w:rsid w:val="00D00878"/>
    <w:rsid w:val="00D07FDE"/>
    <w:rsid w:val="00D228C7"/>
    <w:rsid w:val="00D23A4A"/>
    <w:rsid w:val="00D247DE"/>
    <w:rsid w:val="00D25426"/>
    <w:rsid w:val="00D25480"/>
    <w:rsid w:val="00D33D96"/>
    <w:rsid w:val="00D36093"/>
    <w:rsid w:val="00D40CAD"/>
    <w:rsid w:val="00D47703"/>
    <w:rsid w:val="00D50634"/>
    <w:rsid w:val="00D62665"/>
    <w:rsid w:val="00D64ADB"/>
    <w:rsid w:val="00D67B20"/>
    <w:rsid w:val="00D71589"/>
    <w:rsid w:val="00D74253"/>
    <w:rsid w:val="00D82F33"/>
    <w:rsid w:val="00D93E41"/>
    <w:rsid w:val="00D96A6A"/>
    <w:rsid w:val="00DA4B85"/>
    <w:rsid w:val="00DA72A8"/>
    <w:rsid w:val="00DB2260"/>
    <w:rsid w:val="00DB6C4E"/>
    <w:rsid w:val="00DB7496"/>
    <w:rsid w:val="00DC469F"/>
    <w:rsid w:val="00DC6F28"/>
    <w:rsid w:val="00DE13C8"/>
    <w:rsid w:val="00DE5471"/>
    <w:rsid w:val="00DF2047"/>
    <w:rsid w:val="00DF3C08"/>
    <w:rsid w:val="00DF5218"/>
    <w:rsid w:val="00E12FC3"/>
    <w:rsid w:val="00E24DD0"/>
    <w:rsid w:val="00E41E88"/>
    <w:rsid w:val="00E41F45"/>
    <w:rsid w:val="00E42C2C"/>
    <w:rsid w:val="00E42D1D"/>
    <w:rsid w:val="00E43A23"/>
    <w:rsid w:val="00E46CAF"/>
    <w:rsid w:val="00E529B7"/>
    <w:rsid w:val="00E60B76"/>
    <w:rsid w:val="00EA031A"/>
    <w:rsid w:val="00EA6118"/>
    <w:rsid w:val="00EB13C7"/>
    <w:rsid w:val="00EC20B2"/>
    <w:rsid w:val="00EC2D72"/>
    <w:rsid w:val="00EC51F9"/>
    <w:rsid w:val="00EC53D6"/>
    <w:rsid w:val="00ED6D65"/>
    <w:rsid w:val="00EE7A06"/>
    <w:rsid w:val="00EF21C8"/>
    <w:rsid w:val="00EF56EB"/>
    <w:rsid w:val="00F16794"/>
    <w:rsid w:val="00F2031C"/>
    <w:rsid w:val="00F2631A"/>
    <w:rsid w:val="00F26643"/>
    <w:rsid w:val="00F45A3A"/>
    <w:rsid w:val="00F65CC0"/>
    <w:rsid w:val="00F66409"/>
    <w:rsid w:val="00F700E4"/>
    <w:rsid w:val="00F71EB1"/>
    <w:rsid w:val="00F75E96"/>
    <w:rsid w:val="00F77CB5"/>
    <w:rsid w:val="00F90007"/>
    <w:rsid w:val="00FA7041"/>
    <w:rsid w:val="00FD58E5"/>
    <w:rsid w:val="00FD71B5"/>
    <w:rsid w:val="00FE55C4"/>
    <w:rsid w:val="00FF0D63"/>
    <w:rsid w:val="00FF40A9"/>
    <w:rsid w:val="00FF6EE0"/>
    <w:rsid w:val="383B7079"/>
    <w:rsid w:val="46847234"/>
    <w:rsid w:val="784577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138DD185"/>
  <w15:docId w15:val="{F6EE987F-3538-4C61-9CC7-18B338BCC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lsdException w:name="toc 2" w:semiHidden="1" w:qFormat="1"/>
    <w:lsdException w:name="toc 3" w:semiHidden="1" w:qFormat="1"/>
    <w:lsdException w:name="toc 4" w:semiHidden="1" w:qFormat="1"/>
    <w:lsdException w:name="toc 5" w:semiHidden="1"/>
    <w:lsdException w:name="toc 6" w:semiHidden="1" w:qFormat="1"/>
    <w:lsdException w:name="toc 7" w:semiHidden="1"/>
    <w:lsdException w:name="toc 8" w:semiHidden="1"/>
    <w:lsdException w:name="toc 9" w:semiHidden="1" w:qFormat="1"/>
    <w:lsdException w:name="footnote text" w:semiHidden="1" w:unhideWhenUsed="1"/>
    <w:lsdException w:name="annotation text" w:qFormat="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39"/>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2">
    <w:name w:val="heading 2"/>
    <w:basedOn w:val="a"/>
    <w:next w:val="a0"/>
    <w:link w:val="20"/>
    <w:qFormat/>
    <w:pPr>
      <w:keepNext/>
      <w:keepLines/>
      <w:spacing w:before="260" w:after="260" w:line="416" w:lineRule="auto"/>
      <w:outlineLvl w:val="1"/>
    </w:pPr>
    <w:rPr>
      <w:rFonts w:ascii="Arial" w:eastAsia="黑体" w:hAnsi="Arial"/>
      <w:b/>
      <w:sz w:val="32"/>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pPr>
      <w:ind w:firstLineChars="200" w:firstLine="420"/>
    </w:pPr>
  </w:style>
  <w:style w:type="paragraph" w:styleId="a4">
    <w:name w:val="annotation subject"/>
    <w:basedOn w:val="a5"/>
    <w:next w:val="a5"/>
    <w:link w:val="a6"/>
    <w:rPr>
      <w:b/>
      <w:bCs/>
    </w:rPr>
  </w:style>
  <w:style w:type="paragraph" w:styleId="a5">
    <w:name w:val="annotation text"/>
    <w:basedOn w:val="a"/>
    <w:link w:val="a7"/>
    <w:qFormat/>
    <w:pPr>
      <w:jc w:val="left"/>
    </w:pPr>
  </w:style>
  <w:style w:type="paragraph" w:styleId="7">
    <w:name w:val="toc 7"/>
    <w:basedOn w:val="a"/>
    <w:next w:val="a"/>
    <w:semiHidden/>
    <w:pPr>
      <w:ind w:leftChars="1200" w:left="2520"/>
    </w:pPr>
  </w:style>
  <w:style w:type="paragraph" w:styleId="a8">
    <w:name w:val="Body Text"/>
    <w:basedOn w:val="a"/>
    <w:link w:val="a9"/>
    <w:qFormat/>
    <w:pPr>
      <w:spacing w:line="360" w:lineRule="auto"/>
    </w:pPr>
    <w:rPr>
      <w:rFonts w:ascii="仿宋_GB2312" w:eastAsia="仿宋_GB2312"/>
      <w:color w:val="000000"/>
      <w:kern w:val="0"/>
      <w:sz w:val="24"/>
      <w:szCs w:val="28"/>
    </w:rPr>
  </w:style>
  <w:style w:type="paragraph" w:styleId="aa">
    <w:name w:val="Body Text Indent"/>
    <w:basedOn w:val="a"/>
    <w:link w:val="ab"/>
    <w:qFormat/>
    <w:pPr>
      <w:adjustRightInd w:val="0"/>
      <w:snapToGrid w:val="0"/>
      <w:spacing w:line="560" w:lineRule="exact"/>
      <w:ind w:firstLineChars="200" w:firstLine="480"/>
    </w:pPr>
    <w:rPr>
      <w:rFonts w:eastAsia="方正仿宋简体"/>
      <w:sz w:val="24"/>
      <w:szCs w:val="30"/>
    </w:rPr>
  </w:style>
  <w:style w:type="paragraph" w:styleId="5">
    <w:name w:val="toc 5"/>
    <w:basedOn w:val="a"/>
    <w:next w:val="a"/>
    <w:semiHidden/>
    <w:pPr>
      <w:ind w:leftChars="800" w:left="1680"/>
    </w:pPr>
  </w:style>
  <w:style w:type="paragraph" w:styleId="3">
    <w:name w:val="toc 3"/>
    <w:basedOn w:val="a"/>
    <w:next w:val="a"/>
    <w:semiHidden/>
    <w:qFormat/>
    <w:pPr>
      <w:ind w:leftChars="400" w:left="840"/>
    </w:pPr>
  </w:style>
  <w:style w:type="paragraph" w:styleId="8">
    <w:name w:val="toc 8"/>
    <w:basedOn w:val="a"/>
    <w:next w:val="a"/>
    <w:semiHidden/>
    <w:pPr>
      <w:ind w:leftChars="1400" w:left="2940"/>
    </w:pPr>
  </w:style>
  <w:style w:type="paragraph" w:styleId="21">
    <w:name w:val="Body Text Indent 2"/>
    <w:basedOn w:val="a"/>
    <w:link w:val="22"/>
    <w:qFormat/>
    <w:pPr>
      <w:spacing w:line="360" w:lineRule="auto"/>
      <w:ind w:firstLine="525"/>
    </w:pPr>
    <w:rPr>
      <w:rFonts w:ascii="宋体" w:hAnsi="宋体"/>
      <w:sz w:val="28"/>
      <w:szCs w:val="20"/>
    </w:rPr>
  </w:style>
  <w:style w:type="paragraph" w:styleId="ac">
    <w:name w:val="Balloon Text"/>
    <w:basedOn w:val="a"/>
    <w:link w:val="ad"/>
    <w:semiHidden/>
    <w:qFormat/>
    <w:rPr>
      <w:sz w:val="18"/>
      <w:szCs w:val="18"/>
    </w:rPr>
  </w:style>
  <w:style w:type="paragraph" w:styleId="ae">
    <w:name w:val="footer"/>
    <w:basedOn w:val="a"/>
    <w:link w:val="af"/>
    <w:unhideWhenUsed/>
    <w:qFormat/>
    <w:pPr>
      <w:tabs>
        <w:tab w:val="center" w:pos="4153"/>
        <w:tab w:val="right" w:pos="8306"/>
      </w:tabs>
      <w:snapToGrid w:val="0"/>
      <w:jc w:val="left"/>
    </w:pPr>
    <w:rPr>
      <w:sz w:val="18"/>
      <w:szCs w:val="18"/>
    </w:rPr>
  </w:style>
  <w:style w:type="paragraph" w:styleId="af0">
    <w:name w:val="header"/>
    <w:basedOn w:val="a"/>
    <w:link w:val="af1"/>
    <w:unhideWhenUsed/>
    <w:pPr>
      <w:pBdr>
        <w:bottom w:val="single" w:sz="6" w:space="1" w:color="auto"/>
      </w:pBdr>
      <w:tabs>
        <w:tab w:val="center" w:pos="4153"/>
        <w:tab w:val="right" w:pos="8306"/>
      </w:tabs>
      <w:snapToGrid w:val="0"/>
      <w:jc w:val="center"/>
    </w:pPr>
    <w:rPr>
      <w:sz w:val="18"/>
      <w:szCs w:val="18"/>
    </w:rPr>
  </w:style>
  <w:style w:type="paragraph" w:styleId="1">
    <w:name w:val="toc 1"/>
    <w:basedOn w:val="a"/>
    <w:next w:val="a"/>
    <w:semiHidden/>
  </w:style>
  <w:style w:type="paragraph" w:styleId="4">
    <w:name w:val="toc 4"/>
    <w:basedOn w:val="a"/>
    <w:next w:val="a"/>
    <w:semiHidden/>
    <w:qFormat/>
    <w:pPr>
      <w:ind w:leftChars="600" w:left="1260"/>
    </w:pPr>
  </w:style>
  <w:style w:type="paragraph" w:styleId="6">
    <w:name w:val="toc 6"/>
    <w:basedOn w:val="a"/>
    <w:next w:val="a"/>
    <w:semiHidden/>
    <w:qFormat/>
    <w:pPr>
      <w:ind w:leftChars="1000" w:left="2100"/>
    </w:pPr>
  </w:style>
  <w:style w:type="paragraph" w:styleId="30">
    <w:name w:val="Body Text Indent 3"/>
    <w:basedOn w:val="a"/>
    <w:link w:val="31"/>
    <w:qFormat/>
    <w:pPr>
      <w:adjustRightInd w:val="0"/>
      <w:snapToGrid w:val="0"/>
      <w:ind w:firstLineChars="200" w:firstLine="480"/>
    </w:pPr>
    <w:rPr>
      <w:rFonts w:ascii="仿宋_GB2312" w:eastAsia="仿宋_GB2312" w:hAnsi="宋体" w:cs="Arial"/>
      <w:color w:val="000000"/>
      <w:sz w:val="24"/>
    </w:rPr>
  </w:style>
  <w:style w:type="paragraph" w:styleId="23">
    <w:name w:val="toc 2"/>
    <w:basedOn w:val="a"/>
    <w:next w:val="a"/>
    <w:semiHidden/>
    <w:qFormat/>
    <w:pPr>
      <w:ind w:leftChars="200" w:left="420"/>
    </w:pPr>
  </w:style>
  <w:style w:type="paragraph" w:styleId="9">
    <w:name w:val="toc 9"/>
    <w:basedOn w:val="a"/>
    <w:next w:val="a"/>
    <w:semiHidden/>
    <w:qFormat/>
    <w:pPr>
      <w:ind w:leftChars="1600" w:left="3360"/>
    </w:pPr>
  </w:style>
  <w:style w:type="paragraph" w:styleId="HTML">
    <w:name w:val="HTML Preformatted"/>
    <w:basedOn w:val="a"/>
    <w:link w:val="HTML0"/>
    <w:uiPriority w:val="99"/>
    <w:unhideWhenUsed/>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character" w:styleId="af3">
    <w:name w:val="Strong"/>
    <w:qFormat/>
    <w:rPr>
      <w:b/>
      <w:bCs/>
    </w:rPr>
  </w:style>
  <w:style w:type="character" w:styleId="af4">
    <w:name w:val="page number"/>
    <w:basedOn w:val="a1"/>
    <w:qFormat/>
  </w:style>
  <w:style w:type="character" w:styleId="af5">
    <w:name w:val="FollowedHyperlink"/>
    <w:basedOn w:val="a1"/>
    <w:uiPriority w:val="99"/>
    <w:unhideWhenUsed/>
    <w:rPr>
      <w:color w:val="954F72"/>
      <w:u w:val="single"/>
    </w:rPr>
  </w:style>
  <w:style w:type="character" w:styleId="af6">
    <w:name w:val="Hyperlink"/>
    <w:rPr>
      <w:color w:val="0000FF"/>
      <w:u w:val="single"/>
    </w:rPr>
  </w:style>
  <w:style w:type="character" w:styleId="af7">
    <w:name w:val="annotation reference"/>
    <w:rPr>
      <w:sz w:val="21"/>
      <w:szCs w:val="21"/>
    </w:rPr>
  </w:style>
  <w:style w:type="paragraph" w:customStyle="1" w:styleId="wz1">
    <w:name w:val="wz1"/>
    <w:basedOn w:val="a"/>
    <w:qFormat/>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
    <w:name w:val="Char"/>
    <w:basedOn w:val="a"/>
  </w:style>
  <w:style w:type="paragraph" w:customStyle="1" w:styleId="Char1">
    <w:name w:val="Char1"/>
    <w:basedOn w:val="a"/>
    <w:qFormat/>
    <w:pPr>
      <w:tabs>
        <w:tab w:val="left" w:pos="832"/>
      </w:tabs>
      <w:ind w:left="832" w:hanging="420"/>
      <w:jc w:val="center"/>
    </w:pPr>
    <w:rPr>
      <w:rFonts w:ascii="楷体_GB2312" w:eastAsia="楷体_GB2312"/>
      <w:b/>
      <w:color w:val="000080"/>
      <w:sz w:val="30"/>
      <w:szCs w:val="30"/>
    </w:rPr>
  </w:style>
  <w:style w:type="paragraph" w:customStyle="1" w:styleId="CharCharChar">
    <w:name w:val="Char Char Char"/>
    <w:basedOn w:val="a"/>
  </w:style>
  <w:style w:type="paragraph" w:customStyle="1" w:styleId="CharCharCharCharCharCharChar1CharCharCharCharCharChar">
    <w:name w:val="Char Char Char Char Char Char Char1 Char Char Char Char Char Char"/>
    <w:basedOn w:val="a"/>
    <w:qFormat/>
  </w:style>
  <w:style w:type="paragraph" w:customStyle="1" w:styleId="CharChar">
    <w:name w:val="Char Char"/>
    <w:basedOn w:val="a"/>
    <w:rPr>
      <w:szCs w:val="20"/>
    </w:rPr>
  </w:style>
  <w:style w:type="paragraph" w:customStyle="1" w:styleId="Style47">
    <w:name w:val="_Style 47"/>
    <w:uiPriority w:val="99"/>
    <w:unhideWhenUsed/>
    <w:qFormat/>
    <w:pPr>
      <w:widowControl w:val="0"/>
      <w:jc w:val="both"/>
    </w:pPr>
    <w:rPr>
      <w:kern w:val="2"/>
      <w:sz w:val="21"/>
      <w:szCs w:val="24"/>
    </w:rPr>
  </w:style>
  <w:style w:type="paragraph" w:customStyle="1" w:styleId="10">
    <w:name w:val="修订1"/>
    <w:hidden/>
    <w:uiPriority w:val="99"/>
    <w:semiHidden/>
    <w:qFormat/>
    <w:rPr>
      <w:kern w:val="2"/>
      <w:sz w:val="21"/>
      <w:szCs w:val="24"/>
    </w:rPr>
  </w:style>
  <w:style w:type="paragraph" w:customStyle="1" w:styleId="24">
    <w:name w:val="修订2"/>
    <w:hidden/>
    <w:uiPriority w:val="99"/>
    <w:semiHidden/>
    <w:rPr>
      <w:kern w:val="2"/>
      <w:sz w:val="21"/>
      <w:szCs w:val="24"/>
    </w:rPr>
  </w:style>
  <w:style w:type="character" w:customStyle="1" w:styleId="20">
    <w:name w:val="标题 2 字符"/>
    <w:basedOn w:val="a1"/>
    <w:link w:val="2"/>
    <w:rPr>
      <w:rFonts w:ascii="Arial" w:eastAsia="黑体" w:hAnsi="Arial" w:cs="Times New Roman"/>
      <w:b/>
      <w:sz w:val="32"/>
      <w:szCs w:val="20"/>
    </w:rPr>
  </w:style>
  <w:style w:type="character" w:customStyle="1" w:styleId="af1">
    <w:name w:val="页眉 字符"/>
    <w:basedOn w:val="a1"/>
    <w:link w:val="af0"/>
    <w:rPr>
      <w:rFonts w:ascii="Times New Roman" w:eastAsia="宋体" w:hAnsi="Times New Roman" w:cs="Times New Roman"/>
      <w:sz w:val="18"/>
      <w:szCs w:val="18"/>
    </w:rPr>
  </w:style>
  <w:style w:type="character" w:customStyle="1" w:styleId="af">
    <w:name w:val="页脚 字符"/>
    <w:basedOn w:val="a1"/>
    <w:link w:val="ae"/>
    <w:qFormat/>
    <w:rPr>
      <w:rFonts w:ascii="Times New Roman" w:eastAsia="宋体" w:hAnsi="Times New Roman" w:cs="Times New Roman"/>
      <w:sz w:val="18"/>
      <w:szCs w:val="18"/>
    </w:rPr>
  </w:style>
  <w:style w:type="character" w:customStyle="1" w:styleId="a9">
    <w:name w:val="正文文本 字符"/>
    <w:basedOn w:val="a1"/>
    <w:link w:val="a8"/>
    <w:qFormat/>
    <w:rPr>
      <w:rFonts w:ascii="仿宋_GB2312" w:eastAsia="仿宋_GB2312" w:hAnsi="Times New Roman" w:cs="Times New Roman"/>
      <w:color w:val="000000"/>
      <w:kern w:val="0"/>
      <w:sz w:val="24"/>
      <w:szCs w:val="28"/>
    </w:rPr>
  </w:style>
  <w:style w:type="character" w:customStyle="1" w:styleId="read">
    <w:name w:val="read"/>
    <w:basedOn w:val="a1"/>
  </w:style>
  <w:style w:type="character" w:customStyle="1" w:styleId="ab">
    <w:name w:val="正文文本缩进 字符"/>
    <w:basedOn w:val="a1"/>
    <w:link w:val="aa"/>
    <w:qFormat/>
    <w:rPr>
      <w:rFonts w:ascii="Times New Roman" w:eastAsia="方正仿宋简体" w:hAnsi="Times New Roman" w:cs="Times New Roman"/>
      <w:sz w:val="24"/>
      <w:szCs w:val="30"/>
    </w:rPr>
  </w:style>
  <w:style w:type="character" w:customStyle="1" w:styleId="22">
    <w:name w:val="正文文本缩进 2 字符"/>
    <w:basedOn w:val="a1"/>
    <w:link w:val="21"/>
    <w:rPr>
      <w:rFonts w:ascii="宋体" w:eastAsia="宋体" w:hAnsi="宋体" w:cs="Times New Roman"/>
      <w:sz w:val="28"/>
      <w:szCs w:val="20"/>
    </w:rPr>
  </w:style>
  <w:style w:type="character" w:customStyle="1" w:styleId="31">
    <w:name w:val="正文文本缩进 3 字符"/>
    <w:basedOn w:val="a1"/>
    <w:link w:val="30"/>
    <w:rPr>
      <w:rFonts w:ascii="仿宋_GB2312" w:eastAsia="仿宋_GB2312" w:hAnsi="宋体" w:cs="Arial"/>
      <w:color w:val="000000"/>
      <w:sz w:val="24"/>
      <w:szCs w:val="24"/>
    </w:rPr>
  </w:style>
  <w:style w:type="character" w:customStyle="1" w:styleId="ad">
    <w:name w:val="批注框文本 字符"/>
    <w:basedOn w:val="a1"/>
    <w:link w:val="ac"/>
    <w:semiHidden/>
    <w:qFormat/>
    <w:rPr>
      <w:rFonts w:ascii="Times New Roman" w:eastAsia="宋体" w:hAnsi="Times New Roman" w:cs="Times New Roman"/>
      <w:sz w:val="18"/>
      <w:szCs w:val="18"/>
    </w:rPr>
  </w:style>
  <w:style w:type="character" w:customStyle="1" w:styleId="a7">
    <w:name w:val="批注文字 字符"/>
    <w:basedOn w:val="a1"/>
    <w:link w:val="a5"/>
    <w:qFormat/>
    <w:rPr>
      <w:rFonts w:ascii="Times New Roman" w:eastAsia="宋体" w:hAnsi="Times New Roman" w:cs="Times New Roman"/>
      <w:szCs w:val="24"/>
    </w:rPr>
  </w:style>
  <w:style w:type="character" w:customStyle="1" w:styleId="HTML0">
    <w:name w:val="HTML 预设格式 字符"/>
    <w:basedOn w:val="a1"/>
    <w:link w:val="HTML"/>
    <w:uiPriority w:val="99"/>
    <w:rPr>
      <w:rFonts w:ascii="宋体" w:eastAsia="宋体" w:hAnsi="宋体" w:cs="宋体"/>
      <w:kern w:val="0"/>
      <w:sz w:val="24"/>
      <w:szCs w:val="24"/>
    </w:rPr>
  </w:style>
  <w:style w:type="character" w:customStyle="1" w:styleId="a6">
    <w:name w:val="批注主题 字符"/>
    <w:basedOn w:val="a7"/>
    <w:link w:val="a4"/>
    <w:qFormat/>
    <w:rPr>
      <w:rFonts w:ascii="Times New Roman" w:eastAsia="宋体" w:hAnsi="Times New Roman" w:cs="Times New Roman"/>
      <w:b/>
      <w:bCs/>
      <w:szCs w:val="24"/>
    </w:rPr>
  </w:style>
  <w:style w:type="paragraph" w:styleId="af8">
    <w:name w:val="Revision"/>
    <w:hidden/>
    <w:uiPriority w:val="99"/>
    <w:semiHidden/>
    <w:rsid w:val="003369A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29</Pages>
  <Words>4681</Words>
  <Characters>26682</Characters>
  <Application>Microsoft Office Word</Application>
  <DocSecurity>0</DocSecurity>
  <Lines>222</Lines>
  <Paragraphs>62</Paragraphs>
  <ScaleCrop>false</ScaleCrop>
  <Company>Microsoft</Company>
  <LinksUpToDate>false</LinksUpToDate>
  <CharactersWithSpaces>31301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刘晨晨</dc:creator>
  <cp:lastModifiedBy>张婕茹</cp:lastModifiedBy>
  <cp:revision>9</cp:revision>
  <cp:lastPrinted>2020-11-27T05:38:00Z</cp:lastPrinted>
  <dcterms:created xsi:type="dcterms:W3CDTF">2023-07-07T06:20:00Z</dcterms:created>
  <dcterms:modified xsi:type="dcterms:W3CDTF">2025-03-18T02:41:00Z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ies>
</file>