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660"/>
        </w:tabs>
        <w:spacing w:line="360" w:lineRule="auto"/>
        <w:jc w:val="center"/>
        <w:rPr>
          <w:bCs/>
          <w:sz w:val="44"/>
        </w:rPr>
      </w:pPr>
      <w:bookmarkStart w:id="409" w:name="_GoBack"/>
      <w:bookmarkEnd w:id="409"/>
    </w:p>
    <w:p>
      <w:pPr>
        <w:jc w:val="left"/>
        <w:rPr>
          <w:b/>
          <w:sz w:val="52"/>
        </w:rPr>
      </w:pPr>
    </w:p>
    <w:p>
      <w:pPr>
        <w:jc w:val="center"/>
        <w:rPr>
          <w:b/>
          <w:sz w:val="52"/>
        </w:rPr>
      </w:pPr>
    </w:p>
    <w:p>
      <w:pPr>
        <w:jc w:val="center"/>
        <w:rPr>
          <w:b/>
        </w:rPr>
      </w:pPr>
      <w:r>
        <w:rPr>
          <w:sz w:val="44"/>
        </w:rPr>
        <w:drawing>
          <wp:inline distT="0" distB="0" distL="0" distR="0">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10" cstate="print"/>
                    <a:srcRect/>
                    <a:stretch>
                      <a:fillRect/>
                    </a:stretch>
                  </pic:blipFill>
                  <pic:spPr>
                    <a:xfrm>
                      <a:off x="0" y="0"/>
                      <a:ext cx="4348480" cy="574040"/>
                    </a:xfrm>
                    <a:prstGeom prst="rect">
                      <a:avLst/>
                    </a:prstGeom>
                    <a:noFill/>
                    <a:ln w="9525">
                      <a:noFill/>
                      <a:miter lim="800000"/>
                      <a:headEnd/>
                      <a:tailEnd/>
                    </a:ln>
                  </pic:spPr>
                </pic:pic>
              </a:graphicData>
            </a:graphic>
          </wp:inline>
        </w:drawing>
      </w:r>
    </w:p>
    <w:p>
      <w:pPr>
        <w:jc w:val="center"/>
        <w:rPr>
          <w:b/>
          <w:sz w:val="52"/>
        </w:rPr>
      </w:pPr>
    </w:p>
    <w:p>
      <w:pPr>
        <w:jc w:val="center"/>
        <w:rPr>
          <w:b/>
          <w:sz w:val="52"/>
        </w:rPr>
      </w:pPr>
      <w:bookmarkStart w:id="0" w:name="_Toc123112261"/>
      <w:bookmarkStart w:id="1" w:name="_Toc139991724"/>
      <w:bookmarkStart w:id="2" w:name="_Toc123112222"/>
      <w:bookmarkStart w:id="3" w:name="_Toc139992299"/>
      <w:bookmarkStart w:id="4" w:name="_Toc123701381"/>
      <w:r>
        <w:rPr>
          <w:rFonts w:hint="eastAsia"/>
          <w:b/>
          <w:sz w:val="48"/>
        </w:rPr>
        <w:t>交银施罗德中证环境治理指数型</w:t>
      </w:r>
      <w:r>
        <w:rPr>
          <w:b/>
          <w:sz w:val="48"/>
        </w:rPr>
        <w:t>证券投资基金</w:t>
      </w:r>
      <w:bookmarkEnd w:id="0"/>
      <w:bookmarkEnd w:id="1"/>
      <w:bookmarkEnd w:id="2"/>
      <w:bookmarkEnd w:id="3"/>
      <w:bookmarkEnd w:id="4"/>
      <w:bookmarkStart w:id="5" w:name="_Toc139992300"/>
      <w:bookmarkStart w:id="6" w:name="_Toc123701382"/>
      <w:bookmarkStart w:id="7" w:name="_Toc139991725"/>
      <w:bookmarkStart w:id="8" w:name="_Toc123112223"/>
      <w:bookmarkStart w:id="9" w:name="_Toc123112262"/>
      <w:r>
        <w:rPr>
          <w:rFonts w:hint="eastAsia"/>
          <w:b/>
          <w:sz w:val="48"/>
        </w:rPr>
        <w:t>（LOF）</w:t>
      </w:r>
      <w:r>
        <w:rPr>
          <w:b/>
          <w:sz w:val="48"/>
        </w:rPr>
        <w:t>基金合同</w:t>
      </w:r>
      <w:bookmarkEnd w:id="5"/>
      <w:bookmarkEnd w:id="6"/>
      <w:bookmarkEnd w:id="7"/>
      <w:bookmarkEnd w:id="8"/>
      <w:bookmarkEnd w:id="9"/>
    </w:p>
    <w:p>
      <w:pPr>
        <w:jc w:val="center"/>
        <w:rPr>
          <w:b/>
          <w:sz w:val="52"/>
        </w:rPr>
      </w:pPr>
    </w:p>
    <w:p>
      <w:pPr>
        <w:jc w:val="center"/>
        <w:rPr>
          <w:b/>
          <w:sz w:val="28"/>
          <w:szCs w:val="28"/>
        </w:rPr>
      </w:pPr>
    </w:p>
    <w:p>
      <w:pPr>
        <w:jc w:val="center"/>
        <w:rPr>
          <w:b/>
          <w:sz w:val="28"/>
          <w:szCs w:val="28"/>
        </w:rPr>
      </w:pPr>
    </w:p>
    <w:p>
      <w:pPr>
        <w:jc w:val="center"/>
        <w:rPr>
          <w:b/>
          <w:sz w:val="52"/>
        </w:rPr>
      </w:pPr>
    </w:p>
    <w:p>
      <w:pPr>
        <w:jc w:val="center"/>
        <w:rPr>
          <w:b/>
          <w:sz w:val="52"/>
        </w:rPr>
      </w:pPr>
    </w:p>
    <w:p>
      <w:pPr>
        <w:jc w:val="center"/>
        <w:rPr>
          <w:b/>
          <w:sz w:val="52"/>
        </w:rPr>
      </w:pPr>
    </w:p>
    <w:p>
      <w:pPr>
        <w:rPr>
          <w:b/>
          <w:sz w:val="52"/>
        </w:rPr>
      </w:pPr>
    </w:p>
    <w:p>
      <w:pPr>
        <w:rPr>
          <w:b/>
        </w:rPr>
      </w:pPr>
    </w:p>
    <w:p>
      <w:pPr>
        <w:jc w:val="center"/>
        <w:rPr>
          <w:b/>
          <w:sz w:val="36"/>
        </w:rPr>
      </w:pPr>
      <w:bookmarkStart w:id="10" w:name="_Toc123701383"/>
      <w:bookmarkStart w:id="11" w:name="_Toc139992301"/>
      <w:bookmarkStart w:id="12" w:name="_Toc139991726"/>
      <w:bookmarkStart w:id="13" w:name="_Toc123112224"/>
      <w:bookmarkStart w:id="14" w:name="_Toc123112263"/>
      <w:r>
        <w:rPr>
          <w:b/>
          <w:sz w:val="36"/>
        </w:rPr>
        <w:t>基金管理人：</w:t>
      </w:r>
      <w:bookmarkEnd w:id="10"/>
      <w:bookmarkEnd w:id="11"/>
      <w:bookmarkEnd w:id="12"/>
      <w:bookmarkEnd w:id="13"/>
      <w:bookmarkEnd w:id="14"/>
      <w:r>
        <w:rPr>
          <w:rFonts w:hint="eastAsia"/>
          <w:b/>
          <w:sz w:val="36"/>
        </w:rPr>
        <w:t>交银施罗德基金管理有限公司</w:t>
      </w:r>
    </w:p>
    <w:p>
      <w:pPr>
        <w:jc w:val="center"/>
        <w:rPr>
          <w:b/>
          <w:sz w:val="36"/>
        </w:rPr>
      </w:pPr>
      <w:bookmarkStart w:id="15" w:name="_Toc123701384"/>
      <w:bookmarkStart w:id="16" w:name="_Toc123112264"/>
      <w:bookmarkStart w:id="17" w:name="_Toc139991727"/>
      <w:bookmarkStart w:id="18" w:name="_Toc123112225"/>
      <w:bookmarkStart w:id="19" w:name="_Toc139992302"/>
      <w:r>
        <w:rPr>
          <w:b/>
          <w:sz w:val="36"/>
        </w:rPr>
        <w:t>基金托管人：</w:t>
      </w:r>
      <w:r>
        <w:rPr>
          <w:rFonts w:hint="eastAsia"/>
          <w:b/>
          <w:sz w:val="36"/>
        </w:rPr>
        <w:t>中信银行股份有限公司</w:t>
      </w:r>
      <w:bookmarkEnd w:id="15"/>
      <w:bookmarkEnd w:id="16"/>
      <w:bookmarkEnd w:id="17"/>
      <w:bookmarkEnd w:id="18"/>
      <w:bookmarkEnd w:id="19"/>
    </w:p>
    <w:p>
      <w:pPr>
        <w:rPr>
          <w:bCs/>
          <w:sz w:val="28"/>
        </w:rPr>
      </w:pPr>
      <w:bookmarkStart w:id="20" w:name="_Toc139991729"/>
      <w:bookmarkStart w:id="21" w:name="_Toc123112266"/>
      <w:bookmarkStart w:id="22" w:name="_Toc123701386"/>
      <w:bookmarkStart w:id="23" w:name="_Toc123112227"/>
    </w:p>
    <w:p>
      <w:pPr>
        <w:rPr>
          <w:bCs/>
          <w:sz w:val="28"/>
        </w:rPr>
      </w:pPr>
    </w:p>
    <w:p>
      <w:pPr>
        <w:jc w:val="center"/>
        <w:rPr>
          <w:bCs/>
          <w:sz w:val="28"/>
        </w:rPr>
        <w:sectPr>
          <w:footerReference r:id="rId5" w:type="first"/>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r>
        <w:rPr>
          <w:rFonts w:hint="eastAsia" w:ascii="宋体"/>
          <w:b/>
          <w:bCs/>
          <w:sz w:val="30"/>
        </w:rPr>
        <w:t>二零二五</w:t>
      </w:r>
      <w:r>
        <w:rPr>
          <w:b/>
          <w:bCs/>
          <w:sz w:val="30"/>
        </w:rPr>
        <w:t>年</w:t>
      </w:r>
      <w:r>
        <w:rPr>
          <w:rFonts w:hint="eastAsia"/>
          <w:b/>
          <w:bCs/>
          <w:sz w:val="30"/>
        </w:rPr>
        <w:t>三</w:t>
      </w:r>
      <w:r>
        <w:rPr>
          <w:b/>
          <w:bCs/>
          <w:sz w:val="30"/>
        </w:rPr>
        <w:t>月</w:t>
      </w:r>
    </w:p>
    <w:p>
      <w:pPr>
        <w:jc w:val="center"/>
        <w:rPr>
          <w:bCs/>
          <w:sz w:val="28"/>
        </w:rPr>
      </w:pPr>
      <w:r>
        <w:rPr>
          <w:bCs/>
          <w:sz w:val="28"/>
        </w:rPr>
        <w:t>目    录</w:t>
      </w:r>
      <w:bookmarkEnd w:id="20"/>
      <w:bookmarkEnd w:id="21"/>
      <w:bookmarkEnd w:id="22"/>
      <w:bookmarkEnd w:id="23"/>
    </w:p>
    <w:p>
      <w:pPr>
        <w:pStyle w:val="15"/>
        <w:rPr>
          <w:rFonts w:asciiTheme="minorHAnsi" w:hAnsiTheme="minorHAnsi" w:eastAsiaTheme="minorEastAsia" w:cstheme="minorBidi"/>
          <w:szCs w:val="22"/>
        </w:rPr>
      </w:pPr>
      <w:r>
        <w:rPr>
          <w:bCs/>
          <w:sz w:val="24"/>
        </w:rPr>
        <w:fldChar w:fldCharType="begin"/>
      </w:r>
      <w:r>
        <w:rPr>
          <w:bCs/>
          <w:sz w:val="24"/>
        </w:rPr>
        <w:instrText xml:space="preserve"> TOC \o "1-1" \h \z \u </w:instrText>
      </w:r>
      <w:r>
        <w:rPr>
          <w:bCs/>
          <w:sz w:val="24"/>
        </w:rPr>
        <w:fldChar w:fldCharType="separate"/>
      </w:r>
      <w:r>
        <w:fldChar w:fldCharType="begin"/>
      </w:r>
      <w:r>
        <w:instrText xml:space="preserve"> HYPERLINK \l "_Toc442395191" </w:instrText>
      </w:r>
      <w:r>
        <w:fldChar w:fldCharType="separate"/>
      </w:r>
      <w:r>
        <w:rPr>
          <w:rStyle w:val="26"/>
          <w:rFonts w:hint="eastAsia"/>
        </w:rPr>
        <w:t>第一部分</w:t>
      </w:r>
      <w:r>
        <w:rPr>
          <w:rStyle w:val="26"/>
        </w:rPr>
        <w:t xml:space="preserve">  </w:t>
      </w:r>
      <w:r>
        <w:rPr>
          <w:rStyle w:val="26"/>
          <w:rFonts w:hint="eastAsia"/>
        </w:rPr>
        <w:t>前言</w:t>
      </w:r>
      <w:r>
        <w:tab/>
      </w:r>
      <w:r>
        <w:fldChar w:fldCharType="begin"/>
      </w:r>
      <w:r>
        <w:instrText xml:space="preserve"> PAGEREF _Toc442395191 \h </w:instrText>
      </w:r>
      <w:r>
        <w:fldChar w:fldCharType="separate"/>
      </w:r>
      <w:r>
        <w:t>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"_Toc442395192" </w:instrText>
      </w:r>
      <w:r>
        <w:fldChar w:fldCharType="separate"/>
      </w:r>
      <w:r>
        <w:rPr>
          <w:rStyle w:val="26"/>
          <w:rFonts w:hint="eastAsia"/>
        </w:rPr>
        <w:t>第二部分</w:t>
      </w:r>
      <w:r>
        <w:rPr>
          <w:rStyle w:val="26"/>
        </w:rPr>
        <w:t xml:space="preserve">  </w:t>
      </w:r>
      <w:r>
        <w:rPr>
          <w:rStyle w:val="26"/>
          <w:rFonts w:hint="eastAsia"/>
        </w:rPr>
        <w:t>释义</w:t>
      </w:r>
      <w:r>
        <w:tab/>
      </w:r>
      <w:r>
        <w:fldChar w:fldCharType="begin"/>
      </w:r>
      <w:r>
        <w:instrText xml:space="preserve"> PAGEREF _Toc442395192 \h </w:instrText>
      </w:r>
      <w:r>
        <w:fldChar w:fldCharType="separate"/>
      </w:r>
      <w:r>
        <w:t>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"_Toc442395193" </w:instrText>
      </w:r>
      <w:r>
        <w:fldChar w:fldCharType="separate"/>
      </w:r>
      <w:r>
        <w:rPr>
          <w:rStyle w:val="26"/>
          <w:rFonts w:hint="eastAsia"/>
        </w:rPr>
        <w:t>第三部分</w:t>
      </w:r>
      <w:r>
        <w:rPr>
          <w:rStyle w:val="26"/>
        </w:rPr>
        <w:t xml:space="preserve">  </w:t>
      </w:r>
      <w:r>
        <w:rPr>
          <w:rStyle w:val="26"/>
          <w:rFonts w:hint="eastAsia"/>
        </w:rPr>
        <w:t>基金的基本情况</w:t>
      </w:r>
      <w:r>
        <w:tab/>
      </w:r>
      <w:r>
        <w:fldChar w:fldCharType="begin"/>
      </w:r>
      <w:r>
        <w:instrText xml:space="preserve"> PAGEREF _Toc442395193 \h </w:instrText>
      </w:r>
      <w:r>
        <w:fldChar w:fldCharType="separate"/>
      </w:r>
      <w:r>
        <w:t>9</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"_Toc442395194" </w:instrText>
      </w:r>
      <w:r>
        <w:fldChar w:fldCharType="separate"/>
      </w:r>
      <w:r>
        <w:rPr>
          <w:rStyle w:val="26"/>
          <w:rFonts w:hint="eastAsia"/>
        </w:rPr>
        <w:t>第四部分</w:t>
      </w:r>
      <w:r>
        <w:rPr>
          <w:rStyle w:val="26"/>
        </w:rPr>
        <w:t xml:space="preserve">  </w:t>
      </w:r>
      <w:r>
        <w:rPr>
          <w:rStyle w:val="26"/>
          <w:rFonts w:hint="eastAsia"/>
        </w:rPr>
        <w:t>基金的历史沿革</w:t>
      </w:r>
      <w:r>
        <w:tab/>
      </w:r>
      <w:r>
        <w:fldChar w:fldCharType="begin"/>
      </w:r>
      <w:r>
        <w:instrText xml:space="preserve"> PAGEREF _Toc442395194 \h </w:instrText>
      </w:r>
      <w:r>
        <w:fldChar w:fldCharType="separate"/>
      </w:r>
      <w:r>
        <w:t>11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"_Toc442395195" </w:instrText>
      </w:r>
      <w:r>
        <w:fldChar w:fldCharType="separate"/>
      </w:r>
      <w:r>
        <w:rPr>
          <w:rStyle w:val="26"/>
          <w:rFonts w:hint="eastAsia"/>
        </w:rPr>
        <w:t>第五部分</w:t>
      </w:r>
      <w:r>
        <w:rPr>
          <w:rStyle w:val="26"/>
        </w:rPr>
        <w:t xml:space="preserve">  </w:t>
      </w:r>
      <w:r>
        <w:rPr>
          <w:rStyle w:val="26"/>
          <w:rFonts w:hint="eastAsia"/>
        </w:rPr>
        <w:t>基金的存续</w:t>
      </w:r>
      <w:r>
        <w:tab/>
      </w:r>
      <w:r>
        <w:fldChar w:fldCharType="begin"/>
      </w:r>
      <w:r>
        <w:instrText xml:space="preserve"> PAGEREF _Toc442395195 \h </w:instrText>
      </w:r>
      <w:r>
        <w:fldChar w:fldCharType="separate"/>
      </w:r>
      <w:r>
        <w:t>12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"_Toc442395196" </w:instrText>
      </w:r>
      <w:r>
        <w:fldChar w:fldCharType="separate"/>
      </w:r>
      <w:r>
        <w:rPr>
          <w:rStyle w:val="26"/>
          <w:rFonts w:hint="eastAsia"/>
        </w:rPr>
        <w:t>第六部分</w:t>
      </w:r>
      <w:r>
        <w:rPr>
          <w:rStyle w:val="26"/>
        </w:rPr>
        <w:t xml:space="preserve">  </w:t>
      </w:r>
      <w:r>
        <w:rPr>
          <w:rStyle w:val="26"/>
          <w:rFonts w:hint="eastAsia"/>
        </w:rPr>
        <w:t>基金的上市交易</w:t>
      </w:r>
      <w:r>
        <w:tab/>
      </w:r>
      <w:r>
        <w:fldChar w:fldCharType="begin"/>
      </w:r>
      <w:r>
        <w:instrText xml:space="preserve"> PAGEREF _Toc442395196 \h </w:instrText>
      </w:r>
      <w:r>
        <w:fldChar w:fldCharType="separate"/>
      </w:r>
      <w:r>
        <w:t>13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"_Toc442395197" </w:instrText>
      </w:r>
      <w:r>
        <w:fldChar w:fldCharType="separate"/>
      </w:r>
      <w:r>
        <w:rPr>
          <w:rStyle w:val="26"/>
          <w:rFonts w:hint="eastAsia"/>
        </w:rPr>
        <w:t>第七部分</w:t>
      </w:r>
      <w:r>
        <w:rPr>
          <w:rStyle w:val="26"/>
        </w:rPr>
        <w:t xml:space="preserve">  </w:t>
      </w:r>
      <w:r>
        <w:rPr>
          <w:rStyle w:val="26"/>
          <w:rFonts w:hint="eastAsia"/>
        </w:rPr>
        <w:t>基金份额的申购与赎回</w:t>
      </w:r>
      <w:r>
        <w:tab/>
      </w:r>
      <w:r>
        <w:fldChar w:fldCharType="begin"/>
      </w:r>
      <w:r>
        <w:instrText xml:space="preserve"> PAGEREF _Toc442395197 \h </w:instrText>
      </w:r>
      <w:r>
        <w:fldChar w:fldCharType="separate"/>
      </w:r>
      <w:r>
        <w:t>15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"_Toc442395198" </w:instrText>
      </w:r>
      <w:r>
        <w:fldChar w:fldCharType="separate"/>
      </w:r>
      <w:r>
        <w:rPr>
          <w:rStyle w:val="26"/>
          <w:rFonts w:hint="eastAsia"/>
        </w:rPr>
        <w:t>第八部分</w:t>
      </w:r>
      <w:r>
        <w:rPr>
          <w:rStyle w:val="26"/>
        </w:rPr>
        <w:t xml:space="preserve">  </w:t>
      </w:r>
      <w:r>
        <w:rPr>
          <w:rStyle w:val="26"/>
          <w:rFonts w:hint="eastAsia"/>
        </w:rPr>
        <w:t>基金合同当事人及权利义务</w:t>
      </w:r>
      <w:r>
        <w:tab/>
      </w:r>
      <w:r>
        <w:fldChar w:fldCharType="begin"/>
      </w:r>
      <w:r>
        <w:instrText xml:space="preserve"> PAGEREF _Toc442395198 \h </w:instrText>
      </w:r>
      <w:r>
        <w:fldChar w:fldCharType="separate"/>
      </w:r>
      <w:r>
        <w:t>25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"_Toc442395199" </w:instrText>
      </w:r>
      <w:r>
        <w:fldChar w:fldCharType="separate"/>
      </w:r>
      <w:r>
        <w:rPr>
          <w:rStyle w:val="26"/>
          <w:rFonts w:hint="eastAsia"/>
        </w:rPr>
        <w:t>第九部分</w:t>
      </w:r>
      <w:r>
        <w:rPr>
          <w:rStyle w:val="26"/>
        </w:rPr>
        <w:t xml:space="preserve">  </w:t>
      </w:r>
      <w:r>
        <w:rPr>
          <w:rStyle w:val="26"/>
          <w:rFonts w:hint="eastAsia"/>
        </w:rPr>
        <w:t>基金份额持有人大会</w:t>
      </w:r>
      <w:r>
        <w:tab/>
      </w:r>
      <w:r>
        <w:fldChar w:fldCharType="begin"/>
      </w:r>
      <w:r>
        <w:instrText xml:space="preserve"> PAGEREF _Toc442395199 \h </w:instrText>
      </w:r>
      <w:r>
        <w:fldChar w:fldCharType="separate"/>
      </w:r>
      <w:r>
        <w:t>32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"_Toc442395200" </w:instrText>
      </w:r>
      <w:r>
        <w:fldChar w:fldCharType="separate"/>
      </w:r>
      <w:r>
        <w:rPr>
          <w:rStyle w:val="26"/>
          <w:rFonts w:hint="eastAsia"/>
        </w:rPr>
        <w:t>第十部分</w:t>
      </w:r>
      <w:r>
        <w:rPr>
          <w:rStyle w:val="26"/>
        </w:rPr>
        <w:t xml:space="preserve">  </w:t>
      </w:r>
      <w:r>
        <w:rPr>
          <w:rStyle w:val="26"/>
          <w:rFonts w:hint="eastAsia"/>
        </w:rPr>
        <w:t>基金管理人、基金托管人的更换条件和程序</w:t>
      </w:r>
      <w:r>
        <w:tab/>
      </w:r>
      <w:r>
        <w:fldChar w:fldCharType="begin"/>
      </w:r>
      <w:r>
        <w:instrText xml:space="preserve"> PAGEREF _Toc442395200 \h </w:instrText>
      </w:r>
      <w:r>
        <w:fldChar w:fldCharType="separate"/>
      </w:r>
      <w:r>
        <w:t>40</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"_Toc442395201" </w:instrText>
      </w:r>
      <w:r>
        <w:fldChar w:fldCharType="separate"/>
      </w:r>
      <w:r>
        <w:rPr>
          <w:rStyle w:val="26"/>
          <w:rFonts w:hint="eastAsia"/>
        </w:rPr>
        <w:t>第十一部分</w:t>
      </w:r>
      <w:r>
        <w:rPr>
          <w:rStyle w:val="26"/>
        </w:rPr>
        <w:t xml:space="preserve">  </w:t>
      </w:r>
      <w:r>
        <w:rPr>
          <w:rStyle w:val="26"/>
          <w:rFonts w:hint="eastAsia"/>
        </w:rPr>
        <w:t>基金的托管</w:t>
      </w:r>
      <w:r>
        <w:tab/>
      </w:r>
      <w:r>
        <w:fldChar w:fldCharType="begin"/>
      </w:r>
      <w:r>
        <w:instrText xml:space="preserve"> PAGEREF _Toc442395201 \h </w:instrText>
      </w:r>
      <w:r>
        <w:fldChar w:fldCharType="separate"/>
      </w:r>
      <w:r>
        <w:t>43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"_Toc442395202" </w:instrText>
      </w:r>
      <w:r>
        <w:fldChar w:fldCharType="separate"/>
      </w:r>
      <w:r>
        <w:rPr>
          <w:rStyle w:val="26"/>
          <w:rFonts w:hint="eastAsia"/>
        </w:rPr>
        <w:t>第十二部分</w:t>
      </w:r>
      <w:r>
        <w:rPr>
          <w:rStyle w:val="26"/>
        </w:rPr>
        <w:t xml:space="preserve">  </w:t>
      </w:r>
      <w:r>
        <w:rPr>
          <w:rStyle w:val="26"/>
          <w:rFonts w:hint="eastAsia"/>
        </w:rPr>
        <w:t>基金份额的登记</w:t>
      </w:r>
      <w:r>
        <w:tab/>
      </w:r>
      <w:r>
        <w:fldChar w:fldCharType="begin"/>
      </w:r>
      <w:r>
        <w:instrText xml:space="preserve"> PAGEREF _Toc442395202 \h </w:instrText>
      </w:r>
      <w:r>
        <w:fldChar w:fldCharType="separate"/>
      </w:r>
      <w:r>
        <w:t>44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"_Toc442395203" </w:instrText>
      </w:r>
      <w:r>
        <w:fldChar w:fldCharType="separate"/>
      </w:r>
      <w:r>
        <w:rPr>
          <w:rStyle w:val="26"/>
          <w:rFonts w:hint="eastAsia"/>
        </w:rPr>
        <w:t>第十三部分</w:t>
      </w:r>
      <w:r>
        <w:rPr>
          <w:rStyle w:val="26"/>
        </w:rPr>
        <w:t xml:space="preserve">  </w:t>
      </w:r>
      <w:r>
        <w:rPr>
          <w:rStyle w:val="26"/>
          <w:rFonts w:hint="eastAsia"/>
        </w:rPr>
        <w:t>基金的投资</w:t>
      </w:r>
      <w:r>
        <w:tab/>
      </w:r>
      <w:r>
        <w:fldChar w:fldCharType="begin"/>
      </w:r>
      <w:r>
        <w:instrText xml:space="preserve"> PAGEREF _Toc442395203 \h </w:instrText>
      </w:r>
      <w:r>
        <w:fldChar w:fldCharType="separate"/>
      </w:r>
      <w:r>
        <w:t>46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"_Toc442395204" </w:instrText>
      </w:r>
      <w:r>
        <w:fldChar w:fldCharType="separate"/>
      </w:r>
      <w:r>
        <w:rPr>
          <w:rStyle w:val="26"/>
          <w:rFonts w:hint="eastAsia"/>
        </w:rPr>
        <w:t>第十四部分</w:t>
      </w:r>
      <w:r>
        <w:rPr>
          <w:rStyle w:val="26"/>
        </w:rPr>
        <w:t xml:space="preserve">  </w:t>
      </w:r>
      <w:r>
        <w:rPr>
          <w:rStyle w:val="26"/>
          <w:rFonts w:hint="eastAsia"/>
        </w:rPr>
        <w:t>基金的财产</w:t>
      </w:r>
      <w:r>
        <w:tab/>
      </w:r>
      <w:r>
        <w:fldChar w:fldCharType="begin"/>
      </w:r>
      <w:r>
        <w:instrText xml:space="preserve"> PAGEREF _Toc442395204 \h </w:instrText>
      </w:r>
      <w:r>
        <w:fldChar w:fldCharType="separate"/>
      </w:r>
      <w:r>
        <w:t>52</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"_Toc442395205" </w:instrText>
      </w:r>
      <w:r>
        <w:fldChar w:fldCharType="separate"/>
      </w:r>
      <w:r>
        <w:rPr>
          <w:rStyle w:val="26"/>
          <w:rFonts w:hint="eastAsia"/>
        </w:rPr>
        <w:t>第十五部分</w:t>
      </w:r>
      <w:r>
        <w:rPr>
          <w:rStyle w:val="26"/>
        </w:rPr>
        <w:t xml:space="preserve">  </w:t>
      </w:r>
      <w:r>
        <w:rPr>
          <w:rStyle w:val="26"/>
          <w:rFonts w:hint="eastAsia"/>
        </w:rPr>
        <w:t>基金资产估值</w:t>
      </w:r>
      <w:r>
        <w:tab/>
      </w:r>
      <w:r>
        <w:fldChar w:fldCharType="begin"/>
      </w:r>
      <w:r>
        <w:instrText xml:space="preserve"> PAGEREF _Toc442395205 \h </w:instrText>
      </w:r>
      <w:r>
        <w:fldChar w:fldCharType="separate"/>
      </w:r>
      <w:r>
        <w:t>53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"_Toc442395206" </w:instrText>
      </w:r>
      <w:r>
        <w:fldChar w:fldCharType="separate"/>
      </w:r>
      <w:r>
        <w:rPr>
          <w:rStyle w:val="26"/>
          <w:rFonts w:hint="eastAsia"/>
        </w:rPr>
        <w:t>第十六部分</w:t>
      </w:r>
      <w:r>
        <w:rPr>
          <w:rStyle w:val="26"/>
        </w:rPr>
        <w:t xml:space="preserve">  </w:t>
      </w:r>
      <w:r>
        <w:rPr>
          <w:rStyle w:val="26"/>
          <w:rFonts w:hint="eastAsia"/>
        </w:rPr>
        <w:t>基金费用与税收</w:t>
      </w:r>
      <w:r>
        <w:tab/>
      </w:r>
      <w:r>
        <w:fldChar w:fldCharType="begin"/>
      </w:r>
      <w:r>
        <w:instrText xml:space="preserve"> PAGEREF _Toc442395206 \h </w:instrText>
      </w:r>
      <w:r>
        <w:fldChar w:fldCharType="separate"/>
      </w:r>
      <w:r>
        <w:t>58</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"_Toc442395207" </w:instrText>
      </w:r>
      <w:r>
        <w:fldChar w:fldCharType="separate"/>
      </w:r>
      <w:r>
        <w:rPr>
          <w:rStyle w:val="26"/>
          <w:rFonts w:hint="eastAsia"/>
        </w:rPr>
        <w:t>第十七部分</w:t>
      </w:r>
      <w:r>
        <w:rPr>
          <w:rStyle w:val="26"/>
        </w:rPr>
        <w:t xml:space="preserve">  </w:t>
      </w:r>
      <w:r>
        <w:rPr>
          <w:rStyle w:val="26"/>
          <w:rFonts w:hint="eastAsia"/>
        </w:rPr>
        <w:t>基金的收益与分配</w:t>
      </w:r>
      <w:r>
        <w:tab/>
      </w:r>
      <w:r>
        <w:fldChar w:fldCharType="begin"/>
      </w:r>
      <w:r>
        <w:instrText xml:space="preserve"> PAGEREF _Toc442395207 \h </w:instrText>
      </w:r>
      <w:r>
        <w:fldChar w:fldCharType="separate"/>
      </w:r>
      <w:r>
        <w:t>61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"_Toc442395208" </w:instrText>
      </w:r>
      <w:r>
        <w:fldChar w:fldCharType="separate"/>
      </w:r>
      <w:r>
        <w:rPr>
          <w:rStyle w:val="26"/>
          <w:rFonts w:hint="eastAsia"/>
        </w:rPr>
        <w:t>第十八部分</w:t>
      </w:r>
      <w:r>
        <w:rPr>
          <w:rStyle w:val="26"/>
        </w:rPr>
        <w:t xml:space="preserve">  </w:t>
      </w:r>
      <w:r>
        <w:rPr>
          <w:rStyle w:val="26"/>
          <w:rFonts w:hint="eastAsia"/>
        </w:rPr>
        <w:t>基金的会计与审计</w:t>
      </w:r>
      <w:r>
        <w:tab/>
      </w:r>
      <w:r>
        <w:fldChar w:fldCharType="begin"/>
      </w:r>
      <w:r>
        <w:instrText xml:space="preserve"> PAGEREF _Toc442395208 \h </w:instrText>
      </w:r>
      <w:r>
        <w:fldChar w:fldCharType="separate"/>
      </w:r>
      <w:r>
        <w:t>63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"_Toc442395209" </w:instrText>
      </w:r>
      <w:r>
        <w:fldChar w:fldCharType="separate"/>
      </w:r>
      <w:r>
        <w:rPr>
          <w:rStyle w:val="26"/>
          <w:rFonts w:hint="eastAsia"/>
        </w:rPr>
        <w:t>第十九部分</w:t>
      </w:r>
      <w:r>
        <w:rPr>
          <w:rStyle w:val="26"/>
        </w:rPr>
        <w:t xml:space="preserve">  </w:t>
      </w:r>
      <w:r>
        <w:rPr>
          <w:rStyle w:val="26"/>
          <w:rFonts w:hint="eastAsia"/>
        </w:rPr>
        <w:t>基金的信息披露</w:t>
      </w:r>
      <w:r>
        <w:tab/>
      </w:r>
      <w:r>
        <w:fldChar w:fldCharType="begin"/>
      </w:r>
      <w:r>
        <w:instrText xml:space="preserve"> PAGEREF _Toc442395209 \h </w:instrText>
      </w:r>
      <w:r>
        <w:fldChar w:fldCharType="separate"/>
      </w:r>
      <w:r>
        <w:t>64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"_Toc442395210" </w:instrText>
      </w:r>
      <w:r>
        <w:fldChar w:fldCharType="separate"/>
      </w:r>
      <w:r>
        <w:rPr>
          <w:rStyle w:val="26"/>
          <w:rFonts w:hint="eastAsia"/>
        </w:rPr>
        <w:t>第二十部分</w:t>
      </w:r>
      <w:r>
        <w:rPr>
          <w:rStyle w:val="26"/>
        </w:rPr>
        <w:t xml:space="preserve">  </w:t>
      </w:r>
      <w:r>
        <w:rPr>
          <w:rStyle w:val="26"/>
          <w:rFonts w:hint="eastAsia"/>
        </w:rPr>
        <w:t>基金合同的变更、终止与基金财产的清算</w:t>
      </w:r>
      <w:r>
        <w:tab/>
      </w:r>
      <w:r>
        <w:fldChar w:fldCharType="begin"/>
      </w:r>
      <w:r>
        <w:instrText xml:space="preserve"> PAGEREF _Toc442395210 \h </w:instrText>
      </w:r>
      <w:r>
        <w:fldChar w:fldCharType="separate"/>
      </w:r>
      <w:r>
        <w:t>71</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"_Toc442395211" </w:instrText>
      </w:r>
      <w:r>
        <w:fldChar w:fldCharType="separate"/>
      </w:r>
      <w:r>
        <w:rPr>
          <w:rStyle w:val="26"/>
          <w:rFonts w:hint="eastAsia"/>
        </w:rPr>
        <w:t>第二十一部分</w:t>
      </w:r>
      <w:r>
        <w:rPr>
          <w:rStyle w:val="26"/>
        </w:rPr>
        <w:t xml:space="preserve">  </w:t>
      </w:r>
      <w:r>
        <w:rPr>
          <w:rStyle w:val="26"/>
          <w:rFonts w:hint="eastAsia"/>
        </w:rPr>
        <w:t>违约责任</w:t>
      </w:r>
      <w:r>
        <w:tab/>
      </w:r>
      <w:r>
        <w:fldChar w:fldCharType="begin"/>
      </w:r>
      <w:r>
        <w:instrText xml:space="preserve"> PAGEREF _Toc442395211 \h </w:instrText>
      </w:r>
      <w:r>
        <w:fldChar w:fldCharType="separate"/>
      </w:r>
      <w:r>
        <w:t>73</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"_Toc442395212" </w:instrText>
      </w:r>
      <w:r>
        <w:fldChar w:fldCharType="separate"/>
      </w:r>
      <w:r>
        <w:rPr>
          <w:rStyle w:val="26"/>
          <w:rFonts w:hint="eastAsia"/>
        </w:rPr>
        <w:t>第二十二部分</w:t>
      </w:r>
      <w:r>
        <w:rPr>
          <w:rStyle w:val="26"/>
        </w:rPr>
        <w:t xml:space="preserve">  </w:t>
      </w:r>
      <w:r>
        <w:rPr>
          <w:rStyle w:val="26"/>
          <w:rFonts w:hint="eastAsia"/>
        </w:rPr>
        <w:t>争议的处理和适用的法律</w:t>
      </w:r>
      <w:r>
        <w:tab/>
      </w:r>
      <w:r>
        <w:fldChar w:fldCharType="begin"/>
      </w:r>
      <w:r>
        <w:instrText xml:space="preserve"> PAGEREF _Toc442395212 \h </w:instrText>
      </w:r>
      <w:r>
        <w:fldChar w:fldCharType="separate"/>
      </w:r>
      <w:r>
        <w:t>74</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"_Toc442395213" </w:instrText>
      </w:r>
      <w:r>
        <w:fldChar w:fldCharType="separate"/>
      </w:r>
      <w:r>
        <w:rPr>
          <w:rStyle w:val="26"/>
          <w:rFonts w:hint="eastAsia"/>
        </w:rPr>
        <w:t>第二十三部分</w:t>
      </w:r>
      <w:r>
        <w:rPr>
          <w:rStyle w:val="26"/>
        </w:rPr>
        <w:t xml:space="preserve">  </w:t>
      </w:r>
      <w:r>
        <w:rPr>
          <w:rStyle w:val="26"/>
          <w:rFonts w:hint="eastAsia"/>
        </w:rPr>
        <w:t>基金合同的效力</w:t>
      </w:r>
      <w:r>
        <w:tab/>
      </w:r>
      <w:r>
        <w:fldChar w:fldCharType="begin"/>
      </w:r>
      <w:r>
        <w:instrText xml:space="preserve"> PAGEREF _Toc442395213 \h </w:instrText>
      </w:r>
      <w:r>
        <w:fldChar w:fldCharType="separate"/>
      </w:r>
      <w:r>
        <w:t>75</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"_Toc442395214" </w:instrText>
      </w:r>
      <w:r>
        <w:fldChar w:fldCharType="separate"/>
      </w:r>
      <w:r>
        <w:rPr>
          <w:rStyle w:val="26"/>
          <w:rFonts w:hint="eastAsia"/>
        </w:rPr>
        <w:t>第二十四部分</w:t>
      </w:r>
      <w:r>
        <w:rPr>
          <w:rStyle w:val="26"/>
        </w:rPr>
        <w:t xml:space="preserve">  </w:t>
      </w:r>
      <w:r>
        <w:rPr>
          <w:rStyle w:val="26"/>
          <w:rFonts w:hint="eastAsia"/>
        </w:rPr>
        <w:t>其他事项</w:t>
      </w:r>
      <w:r>
        <w:tab/>
      </w:r>
      <w:r>
        <w:fldChar w:fldCharType="begin"/>
      </w:r>
      <w:r>
        <w:instrText xml:space="preserve"> PAGEREF _Toc442395214 \h </w:instrText>
      </w:r>
      <w:r>
        <w:fldChar w:fldCharType="separate"/>
      </w:r>
      <w:r>
        <w:t>76</w:t>
      </w:r>
      <w:r>
        <w:fldChar w:fldCharType="end"/>
      </w:r>
      <w:r>
        <w:fldChar w:fldCharType="end"/>
      </w:r>
    </w:p>
    <w:p>
      <w:pPr>
        <w:pStyle w:val="15"/>
        <w:rPr>
          <w:rFonts w:asciiTheme="minorHAnsi" w:hAnsiTheme="minorHAnsi" w:eastAsiaTheme="minorEastAsia" w:cstheme="minorBidi"/>
          <w:szCs w:val="22"/>
        </w:rPr>
      </w:pPr>
      <w:r>
        <w:fldChar w:fldCharType="begin"/>
      </w:r>
      <w:r>
        <w:instrText xml:space="preserve"> HYPERLINK \l "_Toc442395215" </w:instrText>
      </w:r>
      <w:r>
        <w:fldChar w:fldCharType="separate"/>
      </w:r>
      <w:r>
        <w:rPr>
          <w:rStyle w:val="26"/>
          <w:rFonts w:hint="eastAsia"/>
        </w:rPr>
        <w:t>第二十五部分</w:t>
      </w:r>
      <w:r>
        <w:rPr>
          <w:rStyle w:val="26"/>
        </w:rPr>
        <w:t xml:space="preserve">  </w:t>
      </w:r>
      <w:r>
        <w:rPr>
          <w:rStyle w:val="26"/>
          <w:rFonts w:hint="eastAsia"/>
        </w:rPr>
        <w:t>基金合同内容摘要</w:t>
      </w:r>
      <w:r>
        <w:tab/>
      </w:r>
      <w:r>
        <w:fldChar w:fldCharType="begin"/>
      </w:r>
      <w:r>
        <w:instrText xml:space="preserve"> PAGEREF _Toc442395215 \h </w:instrText>
      </w:r>
      <w:r>
        <w:fldChar w:fldCharType="separate"/>
      </w:r>
      <w:r>
        <w:t>77</w:t>
      </w:r>
      <w:r>
        <w:fldChar w:fldCharType="end"/>
      </w:r>
      <w:r>
        <w:fldChar w:fldCharType="end"/>
      </w:r>
    </w:p>
    <w:p>
      <w:pPr>
        <w:pStyle w:val="2"/>
        <w:spacing w:before="0" w:after="0" w:line="300" w:lineRule="auto"/>
        <w:jc w:val="left"/>
        <w:rPr>
          <w:rFonts w:ascii="Times New Roman"/>
          <w:b w:val="0"/>
          <w:bCs/>
          <w:color w:val="auto"/>
          <w:kern w:val="2"/>
        </w:rPr>
        <w:sectPr>
          <w:headerReference r:id="rId6" w:type="default"/>
          <w:pgSz w:w="11906" w:h="16838"/>
          <w:pgMar w:top="1440" w:right="1800" w:bottom="1440" w:left="1800" w:header="851" w:footer="992" w:gutter="0"/>
          <w:pgNumType w:start="1"/>
          <w:cols w:space="720" w:num="1"/>
          <w:docGrid w:type="lines" w:linePitch="312" w:charSpace="0"/>
        </w:sectPr>
      </w:pPr>
      <w:r>
        <w:rPr>
          <w:rFonts w:ascii="Times New Roman"/>
          <w:b w:val="0"/>
          <w:bCs/>
          <w:color w:val="auto"/>
          <w:kern w:val="2"/>
        </w:rPr>
        <w:fldChar w:fldCharType="end"/>
      </w:r>
      <w:bookmarkStart w:id="24" w:name="_Toc26897"/>
      <w:bookmarkStart w:id="25" w:name="_Toc4966"/>
      <w:bookmarkStart w:id="26" w:name="_Toc8727"/>
      <w:bookmarkStart w:id="27" w:name="_Toc15517"/>
      <w:bookmarkStart w:id="28" w:name="_Toc6306"/>
      <w:bookmarkStart w:id="29" w:name="_Toc30935"/>
      <w:bookmarkStart w:id="30" w:name="_Toc32639"/>
      <w:bookmarkStart w:id="31" w:name="_Toc29629"/>
      <w:bookmarkStart w:id="32" w:name="_Toc4867"/>
      <w:bookmarkStart w:id="33" w:name="_Toc139991730"/>
      <w:bookmarkStart w:id="34" w:name="_Toc23386"/>
      <w:bookmarkStart w:id="35" w:name="_Toc141703880"/>
      <w:bookmarkStart w:id="36" w:name="_Toc123701389"/>
      <w:bookmarkStart w:id="37" w:name="_Toc123112229"/>
      <w:bookmarkStart w:id="38" w:name="_Toc123112268"/>
      <w:bookmarkStart w:id="39" w:name="_Toc233456271"/>
    </w:p>
    <w:p>
      <w:pPr>
        <w:pStyle w:val="2"/>
        <w:spacing w:before="0" w:after="0"/>
        <w:jc w:val="center"/>
        <w:rPr>
          <w:rFonts w:ascii="Times New Roman"/>
          <w:color w:val="auto"/>
          <w:sz w:val="30"/>
        </w:rPr>
      </w:pPr>
      <w:bookmarkStart w:id="40" w:name="_Toc442395191"/>
      <w:r>
        <w:rPr>
          <w:rFonts w:ascii="Times New Roman"/>
          <w:color w:val="auto"/>
          <w:sz w:val="30"/>
        </w:rPr>
        <w:t>第一部分  前言</w:t>
      </w:r>
      <w:bookmarkEnd w:id="24"/>
      <w:bookmarkEnd w:id="25"/>
      <w:bookmarkEnd w:id="26"/>
      <w:bookmarkEnd w:id="27"/>
      <w:bookmarkEnd w:id="28"/>
      <w:bookmarkEnd w:id="29"/>
      <w:bookmarkEnd w:id="30"/>
      <w:bookmarkEnd w:id="31"/>
      <w:bookmarkEnd w:id="32"/>
      <w:bookmarkEnd w:id="33"/>
      <w:bookmarkEnd w:id="34"/>
      <w:bookmarkEnd w:id="35"/>
      <w:bookmarkEnd w:id="40"/>
    </w:p>
    <w:p>
      <w:pPr>
        <w:rPr>
          <w:bCs/>
        </w:rPr>
      </w:pPr>
      <w:bookmarkStart w:id="41" w:name="_Toc139991731"/>
    </w:p>
    <w:bookmarkEnd w:id="36"/>
    <w:bookmarkEnd w:id="37"/>
    <w:bookmarkEnd w:id="38"/>
    <w:bookmarkEnd w:id="41"/>
    <w:p>
      <w:pPr>
        <w:spacing w:line="360" w:lineRule="auto"/>
        <w:ind w:firstLine="480" w:firstLineChars="200"/>
        <w:rPr>
          <w:bCs/>
          <w:sz w:val="24"/>
        </w:rPr>
      </w:pPr>
      <w:bookmarkStart w:id="42" w:name="_Toc258829399"/>
      <w:r>
        <w:rPr>
          <w:rFonts w:hint="eastAsia"/>
          <w:bCs/>
          <w:sz w:val="24"/>
        </w:rPr>
        <w:t>一、</w:t>
      </w:r>
      <w:r>
        <w:rPr>
          <w:bCs/>
          <w:sz w:val="24"/>
        </w:rPr>
        <w:t>订立本基金合同的目的、依据和原则</w:t>
      </w:r>
    </w:p>
    <w:p>
      <w:pPr>
        <w:spacing w:line="360" w:lineRule="auto"/>
        <w:ind w:firstLine="480" w:firstLineChars="20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pPr>
        <w:spacing w:line="360" w:lineRule="auto"/>
        <w:ind w:firstLine="480" w:firstLineChars="200"/>
        <w:rPr>
          <w:bCs/>
          <w:sz w:val="24"/>
        </w:rPr>
      </w:pPr>
      <w:r>
        <w:rPr>
          <w:bCs/>
          <w:sz w:val="24"/>
        </w:rPr>
        <w:t>2</w:t>
      </w:r>
      <w:r>
        <w:rPr>
          <w:rFonts w:hint="eastAsia"/>
          <w:bCs/>
          <w:sz w:val="24"/>
        </w:rPr>
        <w:t>、</w:t>
      </w:r>
      <w:r>
        <w:rPr>
          <w:bCs/>
          <w:sz w:val="24"/>
        </w:rPr>
        <w:t>订立本基金合同的依据是《中华人民共和国证券投资基金法》(以下简称“《基金法》”)、《</w:t>
      </w:r>
      <w:r>
        <w:rPr>
          <w:rFonts w:hint="eastAsia"/>
          <w:bCs/>
          <w:sz w:val="24"/>
        </w:rPr>
        <w:t>公开募集</w:t>
      </w:r>
      <w:r>
        <w:rPr>
          <w:bCs/>
          <w:sz w:val="24"/>
        </w:rPr>
        <w:t>证券投资基金运作管理办法》(以下简称“《运作办法》”)、《证券投资基金销售管理办法》(以下简称“《销售办法》”)、《公开募集证券投资基金信息披露管理办法》(以下简称“《信息披露办法》”)</w:t>
      </w:r>
      <w:r>
        <w:rPr>
          <w:rFonts w:hint="eastAsia"/>
          <w:bCs/>
          <w:sz w:val="24"/>
        </w:rPr>
        <w:t>、《公开募集开放式证券投资基金流动性风险管理规定》</w:t>
      </w:r>
      <w:r>
        <w:rPr>
          <w:bCs/>
          <w:sz w:val="24"/>
        </w:rPr>
        <w:t>(以下简称“</w:t>
      </w:r>
      <w:r>
        <w:rPr>
          <w:rFonts w:hint="eastAsia"/>
          <w:bCs/>
          <w:sz w:val="24"/>
        </w:rPr>
        <w:t>《流动性规定》</w:t>
      </w:r>
      <w:r>
        <w:rPr>
          <w:bCs/>
          <w:sz w:val="24"/>
        </w:rPr>
        <w:t>”)</w:t>
      </w:r>
      <w:r>
        <w:rPr>
          <w:rFonts w:hint="eastAsia"/>
          <w:bCs/>
          <w:sz w:val="24"/>
        </w:rPr>
        <w:t xml:space="preserve"> 、《公开募集证券投资基金运作指引第3号——指数基金指引》（以下简称“《指数基金指引》”）</w:t>
      </w:r>
      <w:r>
        <w:rPr>
          <w:bCs/>
          <w:sz w:val="24"/>
        </w:rPr>
        <w:t>和其他有关法律法规。</w:t>
      </w:r>
    </w:p>
    <w:p>
      <w:pPr>
        <w:spacing w:line="360" w:lineRule="auto"/>
        <w:ind w:firstLine="480" w:firstLineChars="200"/>
        <w:rPr>
          <w:bCs/>
          <w:sz w:val="24"/>
        </w:rPr>
      </w:pPr>
      <w:r>
        <w:rPr>
          <w:bCs/>
          <w:sz w:val="24"/>
        </w:rPr>
        <w:t>3</w:t>
      </w:r>
      <w:r>
        <w:rPr>
          <w:rFonts w:hint="eastAsia"/>
          <w:bCs/>
          <w:sz w:val="24"/>
        </w:rPr>
        <w:t>、</w:t>
      </w:r>
      <w:r>
        <w:rPr>
          <w:bCs/>
          <w:sz w:val="24"/>
        </w:rPr>
        <w:t>订立本基金合同的原则是平等自愿、诚实信用、充分保护投资人合法权益。</w:t>
      </w:r>
    </w:p>
    <w:p>
      <w:pPr>
        <w:spacing w:line="360" w:lineRule="auto"/>
        <w:ind w:firstLine="480" w:firstLineChars="20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spacing w:line="360" w:lineRule="auto"/>
        <w:ind w:firstLine="480" w:firstLineChars="20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bCs/>
          <w:sz w:val="24"/>
        </w:rPr>
      </w:pPr>
      <w:r>
        <w:rPr>
          <w:rFonts w:hint="eastAsia"/>
          <w:bCs/>
          <w:sz w:val="24"/>
        </w:rPr>
        <w:t>三、交银施罗德中证环境治理指数型</w:t>
      </w:r>
      <w:r>
        <w:rPr>
          <w:bCs/>
          <w:sz w:val="24"/>
        </w:rPr>
        <w:t>证券投资基金</w:t>
      </w:r>
      <w:r>
        <w:rPr>
          <w:rFonts w:hint="eastAsia"/>
          <w:bCs/>
          <w:sz w:val="24"/>
        </w:rPr>
        <w:t>（LOF）</w:t>
      </w:r>
      <w:r>
        <w:rPr>
          <w:bCs/>
          <w:sz w:val="24"/>
        </w:rPr>
        <w:t>由</w:t>
      </w:r>
      <w:r>
        <w:rPr>
          <w:rFonts w:hint="eastAsia"/>
          <w:bCs/>
          <w:sz w:val="24"/>
        </w:rPr>
        <w:t>交银施罗德中证环境治理指数分级证券投资基金转型而来，交银施罗德中证环境治理指数分级证券投资基金由</w:t>
      </w:r>
      <w:r>
        <w:rPr>
          <w:bCs/>
          <w:sz w:val="24"/>
        </w:rPr>
        <w:t>基金管理人依照《基金法》、基金合同及其他有关规定募集，并经中国证券监督管理委员会</w:t>
      </w:r>
      <w:r>
        <w:rPr>
          <w:rFonts w:hint="eastAsia"/>
          <w:bCs/>
          <w:sz w:val="24"/>
        </w:rPr>
        <w:t>（</w:t>
      </w:r>
      <w:r>
        <w:rPr>
          <w:bCs/>
          <w:sz w:val="24"/>
        </w:rPr>
        <w:t>以下简称“中国证监会”</w:t>
      </w:r>
      <w:r>
        <w:rPr>
          <w:rFonts w:hint="eastAsia"/>
          <w:bCs/>
          <w:sz w:val="24"/>
        </w:rPr>
        <w:t>）注册</w:t>
      </w:r>
      <w:r>
        <w:rPr>
          <w:bCs/>
          <w:sz w:val="24"/>
        </w:rPr>
        <w:t>。</w:t>
      </w:r>
      <w:r>
        <w:rPr>
          <w:rFonts w:hint="eastAsia"/>
          <w:bCs/>
          <w:sz w:val="24"/>
        </w:rPr>
        <w:t>交银施罗德中证环境治理指数分级证券投资基金经中国证监会变更注册，转型为交银施罗德中证环境治理指数型证券投资基金（LOF）。</w:t>
      </w:r>
    </w:p>
    <w:p>
      <w:pPr>
        <w:spacing w:line="360" w:lineRule="auto"/>
        <w:ind w:firstLine="480" w:firstLineChars="200"/>
        <w:rPr>
          <w:bCs/>
          <w:sz w:val="24"/>
        </w:rPr>
      </w:pPr>
      <w:r>
        <w:rPr>
          <w:bCs/>
          <w:sz w:val="24"/>
        </w:rPr>
        <w:t>中国证监会对本基金募集的</w:t>
      </w:r>
      <w:r>
        <w:rPr>
          <w:rFonts w:hint="eastAsia"/>
          <w:bCs/>
          <w:sz w:val="24"/>
        </w:rPr>
        <w:t>注册以及变更注册</w:t>
      </w:r>
      <w:r>
        <w:rPr>
          <w:bCs/>
          <w:sz w:val="24"/>
        </w:rPr>
        <w:t>，并不表明其对本基金的价值和收益做出实质性判断或保证，也不表明投资于本基金没有风险</w:t>
      </w:r>
      <w:r>
        <w:rPr>
          <w:rFonts w:hint="eastAsia"/>
          <w:bCs/>
          <w:sz w:val="24"/>
        </w:rPr>
        <w:t>。中国证监会不对基金的投资价值及市场前景等作出实质性判断或者保证</w:t>
      </w:r>
      <w:r>
        <w:rPr>
          <w:bCs/>
          <w:sz w:val="24"/>
        </w:rPr>
        <w:t>。</w:t>
      </w:r>
    </w:p>
    <w:p>
      <w:pPr>
        <w:spacing w:line="360" w:lineRule="auto"/>
        <w:ind w:firstLine="480" w:firstLineChars="200"/>
        <w:rPr>
          <w:bCs/>
          <w:sz w:val="24"/>
        </w:rPr>
      </w:pPr>
      <w:r>
        <w:rPr>
          <w:bCs/>
          <w:sz w:val="24"/>
        </w:rPr>
        <w:t>基金管理人依照恪尽职守、诚实信用、谨慎勤勉的原则管理和运用基金财产，但不保证投资于本基金一定盈利，也不保证最低收益。</w:t>
      </w:r>
    </w:p>
    <w:p>
      <w:pPr>
        <w:spacing w:line="360" w:lineRule="auto"/>
        <w:ind w:firstLine="480" w:firstLineChars="200"/>
        <w:rPr>
          <w:bCs/>
          <w:sz w:val="24"/>
        </w:rPr>
      </w:pPr>
      <w:r>
        <w:rPr>
          <w:rFonts w:hint="eastAsia"/>
          <w:bCs/>
          <w:sz w:val="24"/>
        </w:rPr>
        <w:t>投资者应当认真阅读基金合同、基金招募说明书、基金产品资料概要等信息披露文件，自主判断基金的投资价值，自主做出投资决策，自行承担投资风险。</w:t>
      </w:r>
    </w:p>
    <w:p>
      <w:pPr>
        <w:spacing w:line="360" w:lineRule="auto"/>
        <w:ind w:firstLine="480" w:firstLineChars="200"/>
        <w:rPr>
          <w:bCs/>
          <w:sz w:val="24"/>
        </w:rPr>
      </w:pPr>
      <w:r>
        <w:rPr>
          <w:rFonts w:hint="eastAsia"/>
          <w:bCs/>
          <w:sz w:val="24"/>
        </w:rPr>
        <w:t>本基金为指数基金，投资者投资于本基金面临跟踪误差控制未达约定目标、指数编制机构停止服务、成份券停牌等潜在风险，详见本基金招募说明书。</w:t>
      </w:r>
    </w:p>
    <w:p>
      <w:pPr>
        <w:spacing w:line="360" w:lineRule="auto"/>
        <w:ind w:firstLine="480" w:firstLineChars="200"/>
        <w:rPr>
          <w:bCs/>
          <w:sz w:val="24"/>
        </w:rPr>
      </w:pPr>
      <w:r>
        <w:rPr>
          <w:rFonts w:hint="eastAsia"/>
          <w:bCs/>
          <w:sz w:val="24"/>
        </w:rPr>
        <w:t>四、</w:t>
      </w:r>
      <w:r>
        <w:rPr>
          <w:bCs/>
          <w:sz w:val="24"/>
        </w:rPr>
        <w:t>基金管理人、基金托管人在本基金合同之外披露涉及本基金的信息，其内容涉及界定基金合同当事人之间权利义务关系的，如与基金合同有冲突，以基金合同为准。</w:t>
      </w:r>
    </w:p>
    <w:p>
      <w:pPr>
        <w:spacing w:line="360" w:lineRule="auto"/>
        <w:ind w:firstLine="480" w:firstLineChars="20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pPr>
        <w:spacing w:line="360" w:lineRule="auto"/>
        <w:ind w:firstLine="480" w:firstLineChars="200"/>
        <w:rPr>
          <w:bCs/>
          <w:sz w:val="24"/>
        </w:rPr>
      </w:pPr>
      <w:r>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pPr>
        <w:spacing w:line="360" w:lineRule="auto"/>
        <w:ind w:firstLine="480" w:firstLineChars="20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pPr>
        <w:spacing w:line="360" w:lineRule="auto"/>
        <w:ind w:firstLine="480" w:firstLineChars="200"/>
        <w:rPr>
          <w:bCs/>
          <w:sz w:val="24"/>
        </w:rPr>
      </w:pPr>
    </w:p>
    <w:p>
      <w:pPr>
        <w:pStyle w:val="2"/>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819"/>
      <w:bookmarkStart w:id="45" w:name="_Toc13020"/>
      <w:bookmarkStart w:id="46" w:name="_Toc2465"/>
      <w:bookmarkStart w:id="47" w:name="_Toc24860"/>
      <w:bookmarkStart w:id="48" w:name="_Toc15067"/>
      <w:bookmarkStart w:id="49" w:name="_Toc22864"/>
      <w:bookmarkStart w:id="50" w:name="_Toc442395192"/>
      <w:bookmarkStart w:id="51" w:name="_Toc3224"/>
      <w:bookmarkStart w:id="52" w:name="_Toc19592"/>
      <w:bookmarkStart w:id="53" w:name="_Toc21301"/>
      <w:r>
        <w:rPr>
          <w:rFonts w:ascii="Times New Roman"/>
          <w:color w:val="auto"/>
          <w:sz w:val="30"/>
        </w:rPr>
        <w:t xml:space="preserve">第二部分 </w:t>
      </w:r>
      <w:r>
        <w:rPr>
          <w:rFonts w:hint="eastAsia"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pPr>
        <w:autoSpaceDE w:val="0"/>
        <w:autoSpaceDN w:val="0"/>
        <w:adjustRightInd w:val="0"/>
        <w:spacing w:line="360" w:lineRule="auto"/>
        <w:ind w:firstLine="420" w:firstLineChars="200"/>
        <w:rPr>
          <w:bCs/>
        </w:rPr>
      </w:pPr>
    </w:p>
    <w:p>
      <w:pPr>
        <w:spacing w:line="360" w:lineRule="auto"/>
        <w:ind w:firstLine="480" w:firstLineChars="200"/>
        <w:rPr>
          <w:bCs/>
          <w:sz w:val="24"/>
        </w:rPr>
      </w:pPr>
      <w:r>
        <w:rPr>
          <w:bCs/>
          <w:sz w:val="24"/>
        </w:rPr>
        <w:t>在本基金合同中，除非文意另有所指，下列词语或简称具有如下含义：</w:t>
      </w:r>
    </w:p>
    <w:p>
      <w:pPr>
        <w:spacing w:line="360" w:lineRule="auto"/>
        <w:ind w:firstLine="480" w:firstLineChars="200"/>
        <w:rPr>
          <w:bCs/>
          <w:sz w:val="24"/>
        </w:rPr>
      </w:pPr>
      <w:r>
        <w:rPr>
          <w:bCs/>
          <w:sz w:val="24"/>
        </w:rPr>
        <w:t>1</w:t>
      </w:r>
      <w:r>
        <w:rPr>
          <w:rFonts w:hint="eastAsia"/>
          <w:bCs/>
          <w:sz w:val="24"/>
        </w:rPr>
        <w:t>、</w:t>
      </w:r>
      <w:r>
        <w:rPr>
          <w:bCs/>
          <w:sz w:val="24"/>
        </w:rPr>
        <w:t>基金或本基金：指</w:t>
      </w:r>
      <w:r>
        <w:rPr>
          <w:rFonts w:hint="eastAsia"/>
          <w:bCs/>
          <w:sz w:val="24"/>
        </w:rPr>
        <w:t>交银施罗德中证环境治理指数型</w:t>
      </w:r>
      <w:r>
        <w:rPr>
          <w:bCs/>
          <w:sz w:val="24"/>
        </w:rPr>
        <w:t>证券投资基金</w:t>
      </w:r>
      <w:r>
        <w:rPr>
          <w:rFonts w:hint="eastAsia"/>
          <w:bCs/>
          <w:sz w:val="24"/>
        </w:rPr>
        <w:t>（LOF），本基金由交银施罗德中证环境治理指数分级证券投资基金转型而来</w:t>
      </w:r>
    </w:p>
    <w:p>
      <w:pPr>
        <w:spacing w:line="360" w:lineRule="auto"/>
        <w:ind w:firstLine="480" w:firstLineChars="200"/>
        <w:rPr>
          <w:bCs/>
          <w:sz w:val="24"/>
        </w:rPr>
      </w:pPr>
      <w:r>
        <w:rPr>
          <w:bCs/>
          <w:sz w:val="24"/>
        </w:rPr>
        <w:t>2</w:t>
      </w:r>
      <w:r>
        <w:rPr>
          <w:rFonts w:hint="eastAsia"/>
          <w:bCs/>
          <w:sz w:val="24"/>
        </w:rPr>
        <w:t>、</w:t>
      </w:r>
      <w:r>
        <w:rPr>
          <w:bCs/>
          <w:sz w:val="24"/>
        </w:rPr>
        <w:t>基金管理人</w:t>
      </w:r>
      <w:r>
        <w:rPr>
          <w:rFonts w:hint="eastAsia"/>
          <w:bCs/>
          <w:sz w:val="24"/>
        </w:rPr>
        <w:t>或本基金管理人</w:t>
      </w:r>
      <w:r>
        <w:rPr>
          <w:bCs/>
          <w:sz w:val="24"/>
        </w:rPr>
        <w:t>：指</w:t>
      </w:r>
      <w:r>
        <w:rPr>
          <w:rFonts w:hint="eastAsia"/>
          <w:bCs/>
          <w:sz w:val="24"/>
        </w:rPr>
        <w:t>交银施罗德基金管理有限公司</w:t>
      </w:r>
    </w:p>
    <w:p>
      <w:pPr>
        <w:spacing w:line="360" w:lineRule="auto"/>
        <w:ind w:firstLine="480" w:firstLineChars="200"/>
        <w:rPr>
          <w:bCs/>
          <w:sz w:val="24"/>
        </w:rPr>
      </w:pPr>
      <w:r>
        <w:rPr>
          <w:bCs/>
          <w:sz w:val="24"/>
        </w:rPr>
        <w:t>3</w:t>
      </w:r>
      <w:r>
        <w:rPr>
          <w:rFonts w:hint="eastAsia"/>
          <w:bCs/>
          <w:sz w:val="24"/>
        </w:rPr>
        <w:t>、</w:t>
      </w:r>
      <w:r>
        <w:rPr>
          <w:bCs/>
          <w:sz w:val="24"/>
        </w:rPr>
        <w:t>基金托管人</w:t>
      </w:r>
      <w:r>
        <w:rPr>
          <w:rFonts w:hint="eastAsia"/>
          <w:bCs/>
          <w:sz w:val="24"/>
        </w:rPr>
        <w:t>或本基金托管人</w:t>
      </w:r>
      <w:r>
        <w:rPr>
          <w:bCs/>
          <w:sz w:val="24"/>
        </w:rPr>
        <w:t>：指</w:t>
      </w:r>
      <w:r>
        <w:rPr>
          <w:rFonts w:hint="eastAsia"/>
          <w:bCs/>
          <w:sz w:val="24"/>
        </w:rPr>
        <w:t>中信银行股份有限公司</w:t>
      </w:r>
    </w:p>
    <w:p>
      <w:pPr>
        <w:spacing w:line="360" w:lineRule="auto"/>
        <w:ind w:firstLine="480" w:firstLineChars="20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交银施罗德中证环境治理指数型</w:t>
      </w:r>
      <w:r>
        <w:rPr>
          <w:bCs/>
          <w:sz w:val="24"/>
        </w:rPr>
        <w:t>证券投资基金</w:t>
      </w:r>
      <w:r>
        <w:rPr>
          <w:rFonts w:hint="eastAsia"/>
          <w:bCs/>
          <w:sz w:val="24"/>
        </w:rPr>
        <w:t>（LOF）</w:t>
      </w:r>
      <w:r>
        <w:rPr>
          <w:bCs/>
          <w:sz w:val="24"/>
        </w:rPr>
        <w:t>基金合同》及对本基金合同的任何有效修订和补充</w:t>
      </w:r>
      <w:r>
        <w:rPr>
          <w:rFonts w:hint="eastAsia"/>
          <w:bCs/>
          <w:sz w:val="24"/>
        </w:rPr>
        <w:t>，本基金合同由《交银施罗德中证环境治理指数分级证券投资基金基金合同》修订而成，本基金合同中与基金募集发售等相关的内容仅适用于原交银施罗德中证环境治理指数分级证券投资基金，对变更后的交银施罗德中证环境治理指数型证券投资基金（LOF）不适用</w:t>
      </w:r>
    </w:p>
    <w:p>
      <w:pPr>
        <w:spacing w:line="360" w:lineRule="auto"/>
        <w:ind w:firstLine="480" w:firstLineChars="20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交银施罗德中证环境治理指数型</w:t>
      </w:r>
      <w:r>
        <w:rPr>
          <w:bCs/>
          <w:sz w:val="24"/>
        </w:rPr>
        <w:t>证券投资基金</w:t>
      </w:r>
      <w:r>
        <w:rPr>
          <w:rFonts w:hint="eastAsia"/>
          <w:bCs/>
          <w:sz w:val="24"/>
        </w:rPr>
        <w:t>（LOF）</w:t>
      </w:r>
      <w:r>
        <w:rPr>
          <w:bCs/>
          <w:sz w:val="24"/>
        </w:rPr>
        <w:t>托管协议》及对该托管协议的任何有效修订和补充</w:t>
      </w:r>
      <w:r>
        <w:rPr>
          <w:rFonts w:hint="eastAsia"/>
          <w:bCs/>
          <w:sz w:val="24"/>
        </w:rPr>
        <w:t>，托管协议由《交银施罗德中证环境治理指数分级证券投资基金托管协议》修订而成</w:t>
      </w:r>
    </w:p>
    <w:p>
      <w:pPr>
        <w:spacing w:line="360" w:lineRule="auto"/>
        <w:ind w:firstLine="480" w:firstLineChars="200"/>
        <w:rPr>
          <w:bCs/>
          <w:sz w:val="24"/>
        </w:rPr>
      </w:pPr>
      <w:r>
        <w:rPr>
          <w:bCs/>
          <w:sz w:val="24"/>
        </w:rPr>
        <w:t>6</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交银施罗德中证环境治理指数型</w:t>
      </w:r>
      <w:r>
        <w:rPr>
          <w:bCs/>
          <w:sz w:val="24"/>
        </w:rPr>
        <w:t>证券投资基金</w:t>
      </w:r>
      <w:r>
        <w:rPr>
          <w:rFonts w:hint="eastAsia"/>
          <w:bCs/>
          <w:sz w:val="24"/>
        </w:rPr>
        <w:t>（LOF）</w:t>
      </w:r>
      <w:r>
        <w:rPr>
          <w:bCs/>
          <w:sz w:val="24"/>
        </w:rPr>
        <w:t>招募说明书》及其更新</w:t>
      </w:r>
      <w:r>
        <w:rPr>
          <w:rFonts w:hint="eastAsia"/>
          <w:bCs/>
          <w:sz w:val="24"/>
        </w:rPr>
        <w:t>，本基金招募说明书由《交银施罗德中证环境治理指数分级证券投资基金（更新）招募说明书》修订而成</w:t>
      </w:r>
    </w:p>
    <w:p>
      <w:pPr>
        <w:spacing w:line="360" w:lineRule="auto"/>
        <w:ind w:firstLine="480" w:firstLineChars="200"/>
        <w:rPr>
          <w:bCs/>
          <w:sz w:val="24"/>
        </w:rPr>
      </w:pPr>
      <w:r>
        <w:rPr>
          <w:rFonts w:hint="eastAsia"/>
          <w:bCs/>
          <w:sz w:val="24"/>
        </w:rPr>
        <w:t>7、基金产品资料概要：指《交银施罗德中证环境治理指数型证券投资基金（LOF）基金产品资料概要》及其更新</w:t>
      </w:r>
    </w:p>
    <w:p>
      <w:pPr>
        <w:spacing w:line="360" w:lineRule="auto"/>
        <w:ind w:firstLine="480" w:firstLineChars="200"/>
        <w:rPr>
          <w:bCs/>
          <w:sz w:val="24"/>
        </w:rPr>
      </w:pPr>
      <w:r>
        <w:rPr>
          <w:bCs/>
          <w:sz w:val="24"/>
        </w:rPr>
        <w:t>8</w:t>
      </w:r>
      <w:r>
        <w:rPr>
          <w:rFonts w:hint="eastAsia"/>
          <w:bCs/>
          <w:sz w:val="24"/>
        </w:rPr>
        <w:t>、上市交易公告书：指《交银施罗德中证环境治理指数型证券投资基金（LOF）上市交易公告书》</w:t>
      </w:r>
    </w:p>
    <w:p>
      <w:pPr>
        <w:spacing w:line="360" w:lineRule="auto"/>
        <w:ind w:firstLine="480" w:firstLineChars="20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pPr>
        <w:spacing w:line="360" w:lineRule="auto"/>
        <w:ind w:firstLine="480" w:firstLineChars="200"/>
        <w:rPr>
          <w:bCs/>
          <w:sz w:val="24"/>
        </w:rPr>
      </w:pPr>
      <w:r>
        <w:rPr>
          <w:bCs/>
          <w:sz w:val="24"/>
        </w:rPr>
        <w:t>10</w:t>
      </w:r>
      <w:r>
        <w:rPr>
          <w:rFonts w:hint="eastAsia"/>
          <w:bCs/>
          <w:sz w:val="24"/>
        </w:rPr>
        <w:t>、</w:t>
      </w:r>
      <w:r>
        <w:rPr>
          <w:bCs/>
          <w:sz w:val="24"/>
        </w:rPr>
        <w:t>《基金法》：指《中华人民共和国证券投资基金法》及颁布机关对其不时做出的修订</w:t>
      </w:r>
    </w:p>
    <w:p>
      <w:pPr>
        <w:spacing w:line="360" w:lineRule="auto"/>
        <w:ind w:firstLine="480" w:firstLineChars="200"/>
        <w:rPr>
          <w:bCs/>
          <w:sz w:val="24"/>
        </w:rPr>
      </w:pPr>
      <w:r>
        <w:rPr>
          <w:rFonts w:hint="eastAsia"/>
          <w:bCs/>
          <w:sz w:val="24"/>
        </w:rPr>
        <w:t>1</w:t>
      </w:r>
      <w:r>
        <w:rPr>
          <w:bCs/>
          <w:sz w:val="24"/>
        </w:rPr>
        <w:t>1</w:t>
      </w:r>
      <w:r>
        <w:rPr>
          <w:rFonts w:hint="eastAsia"/>
          <w:bCs/>
          <w:sz w:val="24"/>
        </w:rPr>
        <w:t>、</w:t>
      </w:r>
      <w:r>
        <w:rPr>
          <w:bCs/>
          <w:sz w:val="24"/>
        </w:rPr>
        <w:t>《销售办法》：指《证券投资基金销售管理办法》及颁布机关对其不时做出的修订</w:t>
      </w:r>
    </w:p>
    <w:p>
      <w:pPr>
        <w:spacing w:line="360" w:lineRule="auto"/>
        <w:ind w:firstLine="480" w:firstLineChars="200"/>
        <w:rPr>
          <w:bCs/>
          <w:sz w:val="24"/>
        </w:rPr>
      </w:pPr>
      <w:r>
        <w:rPr>
          <w:rFonts w:hint="eastAsia"/>
          <w:bCs/>
          <w:sz w:val="24"/>
        </w:rPr>
        <w:t>1</w:t>
      </w:r>
      <w:r>
        <w:rPr>
          <w:bCs/>
          <w:sz w:val="24"/>
        </w:rPr>
        <w:t>2</w:t>
      </w:r>
      <w:r>
        <w:rPr>
          <w:rFonts w:hint="eastAsia"/>
          <w:bCs/>
          <w:sz w:val="24"/>
        </w:rPr>
        <w:t>、</w:t>
      </w:r>
      <w:r>
        <w:rPr>
          <w:bCs/>
          <w:sz w:val="24"/>
        </w:rPr>
        <w:t>《信息披露办法》：指《公开募集证券投资基金信息披露管理办法》及颁布机关对其不时做出的修订</w:t>
      </w:r>
    </w:p>
    <w:p>
      <w:pPr>
        <w:spacing w:line="360" w:lineRule="auto"/>
        <w:ind w:firstLine="480" w:firstLineChars="200"/>
        <w:rPr>
          <w:bCs/>
          <w:sz w:val="24"/>
        </w:rPr>
      </w:pPr>
      <w:r>
        <w:rPr>
          <w:rFonts w:hint="eastAsia"/>
          <w:bCs/>
          <w:sz w:val="24"/>
        </w:rPr>
        <w:t>1</w:t>
      </w:r>
      <w:r>
        <w:rPr>
          <w:bCs/>
          <w:sz w:val="24"/>
        </w:rPr>
        <w:t>3</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pPr>
        <w:spacing w:line="360" w:lineRule="auto"/>
        <w:ind w:firstLine="480" w:firstLineChars="200"/>
        <w:rPr>
          <w:bCs/>
          <w:sz w:val="24"/>
        </w:rPr>
      </w:pPr>
      <w:r>
        <w:rPr>
          <w:rFonts w:hint="eastAsia"/>
          <w:bCs/>
          <w:sz w:val="24"/>
        </w:rPr>
        <w:t>1</w:t>
      </w:r>
      <w:r>
        <w:rPr>
          <w:bCs/>
          <w:sz w:val="24"/>
        </w:rPr>
        <w:t>4</w:t>
      </w:r>
      <w:r>
        <w:rPr>
          <w:rFonts w:hint="eastAsia"/>
          <w:bCs/>
          <w:sz w:val="24"/>
        </w:rPr>
        <w:t>、《流动性规定》：指中国证监会2017年8月31日颁布、同年10月1日实施的《公开募集开放式证券投资基金流动性风险管理规定》及颁布机关对其不时做出的修订</w:t>
      </w:r>
    </w:p>
    <w:p>
      <w:pPr>
        <w:spacing w:line="360" w:lineRule="auto"/>
        <w:ind w:firstLine="480" w:firstLineChars="200"/>
        <w:rPr>
          <w:bCs/>
          <w:sz w:val="24"/>
        </w:rPr>
      </w:pPr>
      <w:r>
        <w:rPr>
          <w:rFonts w:hint="eastAsia"/>
          <w:bCs/>
          <w:sz w:val="24"/>
        </w:rPr>
        <w:t>1</w:t>
      </w:r>
      <w:r>
        <w:rPr>
          <w:bCs/>
          <w:sz w:val="24"/>
        </w:rPr>
        <w:t>5</w:t>
      </w:r>
      <w:r>
        <w:rPr>
          <w:rFonts w:hint="eastAsia"/>
          <w:bCs/>
          <w:sz w:val="24"/>
        </w:rPr>
        <w:t>、</w:t>
      </w:r>
      <w:r>
        <w:rPr>
          <w:bCs/>
          <w:sz w:val="24"/>
        </w:rPr>
        <w:t>《</w:t>
      </w:r>
      <w:r>
        <w:rPr>
          <w:rFonts w:hint="eastAsia"/>
          <w:bCs/>
          <w:sz w:val="24"/>
        </w:rPr>
        <w:t>指数基金指引》：指中国证监会2021年1月22日颁布、同年2月1日实施的《公开募集证券投资基金运作指引第3号——指数基金指引》及颁布机关对其不时做出的修订</w:t>
      </w:r>
    </w:p>
    <w:p>
      <w:pPr>
        <w:spacing w:line="360" w:lineRule="auto"/>
        <w:ind w:firstLine="480" w:firstLineChars="200"/>
        <w:rPr>
          <w:bCs/>
          <w:sz w:val="24"/>
        </w:rPr>
      </w:pPr>
      <w:r>
        <w:rPr>
          <w:bCs/>
          <w:sz w:val="24"/>
        </w:rPr>
        <w:t>16、中国证监会：指中国证券监督管理委员会</w:t>
      </w:r>
    </w:p>
    <w:p>
      <w:pPr>
        <w:spacing w:line="360" w:lineRule="auto"/>
        <w:ind w:firstLine="480" w:firstLineChars="200"/>
        <w:rPr>
          <w:bCs/>
          <w:sz w:val="24"/>
        </w:rPr>
      </w:pPr>
      <w:r>
        <w:rPr>
          <w:rFonts w:hint="eastAsia"/>
          <w:bCs/>
          <w:sz w:val="24"/>
        </w:rPr>
        <w:t>1</w:t>
      </w:r>
      <w:r>
        <w:rPr>
          <w:bCs/>
          <w:sz w:val="24"/>
        </w:rPr>
        <w:t>7</w:t>
      </w:r>
      <w:r>
        <w:rPr>
          <w:rFonts w:hint="eastAsia"/>
          <w:bCs/>
          <w:sz w:val="24"/>
        </w:rPr>
        <w:t>、</w:t>
      </w:r>
      <w:r>
        <w:rPr>
          <w:bCs/>
          <w:sz w:val="24"/>
        </w:rPr>
        <w:t>银行业监督管理机构：指中国人民银行和/或中国银行业监督管理委员会</w:t>
      </w:r>
    </w:p>
    <w:p>
      <w:pPr>
        <w:spacing w:line="360" w:lineRule="auto"/>
        <w:ind w:firstLine="480" w:firstLineChars="200"/>
        <w:rPr>
          <w:bCs/>
          <w:sz w:val="24"/>
        </w:rPr>
      </w:pPr>
      <w:r>
        <w:rPr>
          <w:rFonts w:hint="eastAsia"/>
          <w:bCs/>
          <w:sz w:val="24"/>
        </w:rPr>
        <w:t>1</w:t>
      </w:r>
      <w:r>
        <w:rPr>
          <w:bCs/>
          <w:sz w:val="24"/>
        </w:rPr>
        <w:t>8</w:t>
      </w:r>
      <w:r>
        <w:rPr>
          <w:rFonts w:hint="eastAsia"/>
          <w:bCs/>
          <w:sz w:val="24"/>
        </w:rPr>
        <w:t>、</w:t>
      </w:r>
      <w:r>
        <w:rPr>
          <w:bCs/>
          <w:sz w:val="24"/>
        </w:rPr>
        <w:t>基金合同当事人：指受基金合同约束，根据基金合同享有权利并承担义务的法律主体，包括基金管理人、基金托管人和基金份额持有人</w:t>
      </w:r>
    </w:p>
    <w:p>
      <w:pPr>
        <w:spacing w:line="360" w:lineRule="auto"/>
        <w:ind w:firstLine="480" w:firstLineChars="200"/>
        <w:rPr>
          <w:bCs/>
          <w:sz w:val="24"/>
        </w:rPr>
      </w:pPr>
      <w:r>
        <w:rPr>
          <w:rFonts w:hint="eastAsia"/>
          <w:bCs/>
          <w:sz w:val="24"/>
        </w:rPr>
        <w:t>1</w:t>
      </w:r>
      <w:r>
        <w:rPr>
          <w:bCs/>
          <w:sz w:val="24"/>
        </w:rPr>
        <w:t>9</w:t>
      </w:r>
      <w:r>
        <w:rPr>
          <w:rFonts w:hint="eastAsia"/>
          <w:bCs/>
          <w:sz w:val="24"/>
        </w:rPr>
        <w:t>、</w:t>
      </w:r>
      <w:r>
        <w:rPr>
          <w:bCs/>
          <w:sz w:val="24"/>
        </w:rPr>
        <w:t>个人投资者：指依据有关法律法规规定可投资于证券投资基金的自然人</w:t>
      </w:r>
    </w:p>
    <w:p>
      <w:pPr>
        <w:spacing w:line="360" w:lineRule="auto"/>
        <w:ind w:firstLine="480" w:firstLineChars="20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pPr>
        <w:spacing w:line="360" w:lineRule="auto"/>
        <w:ind w:firstLine="480" w:firstLineChars="20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pPr>
        <w:spacing w:line="360" w:lineRule="auto"/>
        <w:ind w:firstLine="480" w:firstLineChars="200"/>
        <w:rPr>
          <w:bCs/>
          <w:sz w:val="24"/>
        </w:rPr>
      </w:pPr>
      <w:r>
        <w:rPr>
          <w:bCs/>
          <w:sz w:val="24"/>
        </w:rPr>
        <w:t>22</w:t>
      </w:r>
      <w:r>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pPr>
        <w:spacing w:line="360" w:lineRule="auto"/>
        <w:ind w:firstLine="480" w:firstLineChars="200"/>
        <w:rPr>
          <w:bCs/>
          <w:sz w:val="24"/>
        </w:rPr>
      </w:pPr>
      <w:r>
        <w:rPr>
          <w:rFonts w:hint="eastAsia"/>
          <w:bCs/>
          <w:sz w:val="24"/>
        </w:rPr>
        <w:t>2</w:t>
      </w:r>
      <w:r>
        <w:rPr>
          <w:bCs/>
          <w:sz w:val="24"/>
        </w:rPr>
        <w:t>3</w:t>
      </w:r>
      <w:r>
        <w:rPr>
          <w:rFonts w:hint="eastAsia"/>
          <w:bCs/>
          <w:sz w:val="24"/>
        </w:rPr>
        <w:t>、</w:t>
      </w:r>
      <w:r>
        <w:rPr>
          <w:bCs/>
          <w:sz w:val="24"/>
        </w:rPr>
        <w:t>投资人</w:t>
      </w:r>
      <w:r>
        <w:rPr>
          <w:rFonts w:hint="eastAsia"/>
          <w:bCs/>
          <w:sz w:val="24"/>
        </w:rPr>
        <w:t>或投资者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pPr>
        <w:spacing w:line="360" w:lineRule="auto"/>
        <w:ind w:firstLine="480" w:firstLineChars="200"/>
        <w:rPr>
          <w:bCs/>
          <w:sz w:val="24"/>
        </w:rPr>
      </w:pPr>
      <w:r>
        <w:rPr>
          <w:rFonts w:hint="eastAsia"/>
          <w:bCs/>
          <w:sz w:val="24"/>
        </w:rPr>
        <w:t>2</w:t>
      </w:r>
      <w:r>
        <w:rPr>
          <w:bCs/>
          <w:sz w:val="24"/>
        </w:rPr>
        <w:t>4</w:t>
      </w:r>
      <w:r>
        <w:rPr>
          <w:rFonts w:hint="eastAsia"/>
          <w:bCs/>
          <w:sz w:val="24"/>
        </w:rPr>
        <w:t>、</w:t>
      </w:r>
      <w:r>
        <w:rPr>
          <w:bCs/>
          <w:sz w:val="24"/>
        </w:rPr>
        <w:t>基金份额持有人：指依基金合同和招募说明书合法取得基金份额的投资人</w:t>
      </w:r>
    </w:p>
    <w:p>
      <w:pPr>
        <w:spacing w:line="360" w:lineRule="auto"/>
        <w:ind w:firstLine="480" w:firstLineChars="200"/>
        <w:rPr>
          <w:bCs/>
          <w:sz w:val="24"/>
        </w:rPr>
      </w:pPr>
      <w:r>
        <w:rPr>
          <w:rFonts w:hint="eastAsia"/>
          <w:bCs/>
          <w:sz w:val="24"/>
        </w:rPr>
        <w:t>2</w:t>
      </w:r>
      <w:r>
        <w:rPr>
          <w:bCs/>
          <w:sz w:val="24"/>
        </w:rPr>
        <w:t>5</w:t>
      </w:r>
      <w:r>
        <w:rPr>
          <w:rFonts w:hint="eastAsia"/>
          <w:bCs/>
          <w:sz w:val="24"/>
        </w:rPr>
        <w:t>、</w:t>
      </w:r>
      <w:r>
        <w:rPr>
          <w:bCs/>
          <w:sz w:val="24"/>
        </w:rPr>
        <w:t>基金销售业务：指基金管理人或销售机构宣传推介基金，</w:t>
      </w:r>
      <w:r>
        <w:rPr>
          <w:rFonts w:hint="eastAsia"/>
          <w:bCs/>
          <w:sz w:val="24"/>
        </w:rPr>
        <w:t>销售</w:t>
      </w:r>
      <w:r>
        <w:rPr>
          <w:bCs/>
          <w:sz w:val="24"/>
        </w:rPr>
        <w:t>基金份额，办理基金份额的申购、赎回、转换、转托管</w:t>
      </w:r>
      <w:r>
        <w:rPr>
          <w:rFonts w:hint="eastAsia"/>
          <w:bCs/>
          <w:sz w:val="24"/>
        </w:rPr>
        <w:t>、</w:t>
      </w:r>
      <w:r>
        <w:rPr>
          <w:bCs/>
          <w:sz w:val="24"/>
        </w:rPr>
        <w:t>定期定额投资等业务</w:t>
      </w:r>
    </w:p>
    <w:p>
      <w:pPr>
        <w:spacing w:line="360" w:lineRule="auto"/>
        <w:ind w:firstLine="480" w:firstLineChars="200"/>
        <w:rPr>
          <w:rFonts w:ascii="宋体" w:hAnsi="宋体"/>
          <w:sz w:val="24"/>
        </w:rPr>
      </w:pPr>
      <w:r>
        <w:rPr>
          <w:bCs/>
          <w:sz w:val="24"/>
        </w:rPr>
        <w:t>26</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pPr>
        <w:spacing w:line="360" w:lineRule="auto"/>
        <w:ind w:firstLine="480" w:firstLineChars="200"/>
        <w:rPr>
          <w:bCs/>
          <w:sz w:val="24"/>
        </w:rPr>
      </w:pPr>
      <w:r>
        <w:rPr>
          <w:bCs/>
          <w:sz w:val="24"/>
        </w:rPr>
        <w:t>27</w:t>
      </w:r>
      <w:r>
        <w:rPr>
          <w:rFonts w:hint="eastAsia"/>
          <w:bCs/>
          <w:sz w:val="24"/>
        </w:rPr>
        <w:t>、会员单位：指深圳证券交易所会员单位</w:t>
      </w:r>
    </w:p>
    <w:p>
      <w:pPr>
        <w:spacing w:line="360" w:lineRule="auto"/>
        <w:ind w:firstLine="480" w:firstLineChars="200"/>
        <w:rPr>
          <w:bCs/>
          <w:sz w:val="24"/>
        </w:rPr>
      </w:pPr>
      <w:r>
        <w:rPr>
          <w:rFonts w:hint="eastAsia"/>
          <w:bCs/>
          <w:sz w:val="24"/>
        </w:rPr>
        <w:t>2</w:t>
      </w:r>
      <w:r>
        <w:rPr>
          <w:bCs/>
          <w:sz w:val="24"/>
        </w:rPr>
        <w:t>8</w:t>
      </w:r>
      <w:r>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pPr>
        <w:spacing w:line="360" w:lineRule="auto"/>
        <w:ind w:firstLine="480" w:firstLineChars="200"/>
        <w:rPr>
          <w:bCs/>
          <w:sz w:val="24"/>
        </w:rPr>
      </w:pPr>
      <w:r>
        <w:rPr>
          <w:bCs/>
          <w:sz w:val="24"/>
        </w:rPr>
        <w:t>29</w:t>
      </w:r>
      <w:r>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pPr>
        <w:spacing w:line="360" w:lineRule="auto"/>
        <w:ind w:firstLine="480" w:firstLineChars="200"/>
        <w:rPr>
          <w:bCs/>
          <w:sz w:val="24"/>
        </w:rPr>
      </w:pPr>
      <w:r>
        <w:rPr>
          <w:bCs/>
          <w:sz w:val="24"/>
        </w:rPr>
        <w:t>30</w:t>
      </w:r>
      <w:r>
        <w:rPr>
          <w:rFonts w:hint="eastAsia"/>
          <w:bCs/>
          <w:sz w:val="24"/>
        </w:rPr>
        <w:t>、标的指数：指中证环境治理指数</w:t>
      </w:r>
    </w:p>
    <w:p>
      <w:pPr>
        <w:spacing w:line="360" w:lineRule="auto"/>
        <w:ind w:firstLine="480" w:firstLineChars="200"/>
        <w:rPr>
          <w:bCs/>
          <w:sz w:val="24"/>
        </w:rPr>
      </w:pPr>
      <w:r>
        <w:rPr>
          <w:bCs/>
          <w:sz w:val="24"/>
        </w:rPr>
        <w:t>31</w:t>
      </w:r>
      <w:r>
        <w:rPr>
          <w:rFonts w:hint="eastAsia"/>
          <w:bCs/>
          <w:sz w:val="24"/>
        </w:rPr>
        <w:t>、注册登记系统：指中国证券登记结算有限责任公司开放式基金登记结算系统，通过场外申购的基金份额登记在注册登记系统</w:t>
      </w:r>
    </w:p>
    <w:p>
      <w:pPr>
        <w:spacing w:line="360" w:lineRule="auto"/>
        <w:ind w:firstLine="480" w:firstLineChars="200"/>
        <w:rPr>
          <w:rFonts w:ascii="宋体" w:hAnsi="宋体"/>
          <w:sz w:val="24"/>
        </w:rPr>
      </w:pPr>
      <w:r>
        <w:rPr>
          <w:bCs/>
          <w:sz w:val="24"/>
        </w:rPr>
        <w:t>32</w:t>
      </w:r>
      <w:r>
        <w:rPr>
          <w:rFonts w:hint="eastAsia"/>
          <w:bCs/>
          <w:sz w:val="24"/>
        </w:rPr>
        <w:t>、</w:t>
      </w:r>
      <w:r>
        <w:rPr>
          <w:rFonts w:hint="eastAsia" w:ascii="宋体" w:hAnsi="宋体"/>
          <w:sz w:val="24"/>
        </w:rPr>
        <w:t>证券登记结算系统：指中国证券登记结算有限责任公司深圳分公司证券登记结算系统，通过场内申购的</w:t>
      </w:r>
      <w:r>
        <w:rPr>
          <w:rFonts w:hint="eastAsia"/>
          <w:bCs/>
          <w:sz w:val="24"/>
        </w:rPr>
        <w:t>基金份额和上市交易买入的基金份额登记在</w:t>
      </w:r>
      <w:r>
        <w:rPr>
          <w:rFonts w:hint="eastAsia" w:ascii="宋体" w:hAnsi="宋体"/>
          <w:sz w:val="24"/>
        </w:rPr>
        <w:t>证券登记结算</w:t>
      </w:r>
      <w:r>
        <w:rPr>
          <w:rFonts w:hint="eastAsia"/>
          <w:bCs/>
          <w:sz w:val="24"/>
        </w:rPr>
        <w:t>系统</w:t>
      </w:r>
    </w:p>
    <w:p>
      <w:pPr>
        <w:spacing w:line="360" w:lineRule="auto"/>
        <w:ind w:firstLine="480" w:firstLineChars="200"/>
        <w:rPr>
          <w:bCs/>
          <w:sz w:val="24"/>
        </w:rPr>
      </w:pPr>
      <w:r>
        <w:rPr>
          <w:rFonts w:hint="eastAsia"/>
          <w:bCs/>
          <w:sz w:val="24"/>
        </w:rPr>
        <w:t>3</w:t>
      </w:r>
      <w:r>
        <w:rPr>
          <w:bCs/>
          <w:sz w:val="24"/>
        </w:rPr>
        <w:t>3</w:t>
      </w:r>
      <w:r>
        <w:rPr>
          <w:rFonts w:hint="eastAsia" w:ascii="宋体" w:hAnsi="宋体"/>
          <w:sz w:val="24"/>
        </w:rPr>
        <w:t>、</w:t>
      </w:r>
      <w:r>
        <w:rPr>
          <w:rFonts w:hint="eastAsia"/>
          <w:bCs/>
          <w:sz w:val="24"/>
        </w:rPr>
        <w:t>场外份额：指登记在注册登记系统下的基金份额</w:t>
      </w:r>
    </w:p>
    <w:p>
      <w:pPr>
        <w:spacing w:line="360" w:lineRule="auto"/>
        <w:ind w:firstLine="480" w:firstLineChars="200"/>
        <w:rPr>
          <w:bCs/>
          <w:sz w:val="24"/>
        </w:rPr>
      </w:pPr>
      <w:r>
        <w:rPr>
          <w:rFonts w:hint="eastAsia"/>
          <w:bCs/>
          <w:sz w:val="24"/>
        </w:rPr>
        <w:t>3</w:t>
      </w:r>
      <w:r>
        <w:rPr>
          <w:bCs/>
          <w:sz w:val="24"/>
        </w:rPr>
        <w:t>4</w:t>
      </w:r>
      <w:r>
        <w:rPr>
          <w:rFonts w:hint="eastAsia"/>
          <w:bCs/>
          <w:sz w:val="24"/>
        </w:rPr>
        <w:t>、场内份额：指登记在证券登记结算系统下的基金份额</w:t>
      </w:r>
    </w:p>
    <w:p>
      <w:pPr>
        <w:spacing w:line="360" w:lineRule="auto"/>
        <w:ind w:firstLine="480" w:firstLineChars="200"/>
        <w:rPr>
          <w:bCs/>
          <w:sz w:val="24"/>
        </w:rPr>
      </w:pPr>
      <w:r>
        <w:rPr>
          <w:rFonts w:hint="eastAsia"/>
          <w:bCs/>
          <w:sz w:val="24"/>
        </w:rPr>
        <w:t>3</w:t>
      </w:r>
      <w:r>
        <w:rPr>
          <w:bCs/>
          <w:sz w:val="24"/>
        </w:rPr>
        <w:t>5</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w:t>
      </w:r>
      <w:r>
        <w:rPr>
          <w:rFonts w:hint="eastAsia"/>
          <w:bCs/>
          <w:sz w:val="24"/>
        </w:rPr>
        <w:t>和基金交易</w:t>
      </w:r>
      <w:r>
        <w:rPr>
          <w:bCs/>
          <w:sz w:val="24"/>
        </w:rPr>
        <w:t>的确认、清算和结算、代理发放红利、建立并保管基金份额持有人名册</w:t>
      </w:r>
      <w:r>
        <w:rPr>
          <w:rFonts w:hint="eastAsia"/>
          <w:bCs/>
          <w:sz w:val="24"/>
        </w:rPr>
        <w:t>和办理非交易过户</w:t>
      </w:r>
      <w:r>
        <w:rPr>
          <w:bCs/>
          <w:sz w:val="24"/>
        </w:rPr>
        <w:t>等</w:t>
      </w:r>
    </w:p>
    <w:p>
      <w:pPr>
        <w:spacing w:line="360" w:lineRule="auto"/>
        <w:ind w:firstLine="480" w:firstLineChars="200"/>
        <w:rPr>
          <w:bCs/>
          <w:sz w:val="24"/>
        </w:rPr>
      </w:pPr>
      <w:r>
        <w:rPr>
          <w:rFonts w:hint="eastAsia"/>
          <w:bCs/>
          <w:sz w:val="24"/>
        </w:rPr>
        <w:t>3</w:t>
      </w:r>
      <w:r>
        <w:rPr>
          <w:bCs/>
          <w:sz w:val="24"/>
        </w:rPr>
        <w:t>6</w:t>
      </w:r>
      <w:r>
        <w:rPr>
          <w:rFonts w:hint="eastAsia"/>
          <w:bCs/>
          <w:sz w:val="24"/>
        </w:rPr>
        <w:t>、</w:t>
      </w:r>
      <w:r>
        <w:rPr>
          <w:bCs/>
          <w:sz w:val="24"/>
        </w:rPr>
        <w:t>登记机构：指办理登记业务的机构。基金的登记机构为</w:t>
      </w:r>
      <w:r>
        <w:rPr>
          <w:rFonts w:hint="eastAsia"/>
          <w:bCs/>
          <w:sz w:val="24"/>
        </w:rPr>
        <w:t>交银施罗德基金管理有限公司</w:t>
      </w:r>
      <w:r>
        <w:rPr>
          <w:bCs/>
          <w:sz w:val="24"/>
        </w:rPr>
        <w:t>或接受</w:t>
      </w:r>
      <w:r>
        <w:rPr>
          <w:rFonts w:hint="eastAsia"/>
          <w:bCs/>
          <w:sz w:val="24"/>
        </w:rPr>
        <w:t>交银施罗德基金管理有限公司</w:t>
      </w:r>
      <w:r>
        <w:rPr>
          <w:bCs/>
          <w:sz w:val="24"/>
        </w:rPr>
        <w:t>委托办理登记业务的机构</w:t>
      </w:r>
    </w:p>
    <w:p>
      <w:pPr>
        <w:spacing w:line="360" w:lineRule="auto"/>
        <w:ind w:firstLine="480" w:firstLineChars="200"/>
        <w:rPr>
          <w:bCs/>
          <w:sz w:val="24"/>
        </w:rPr>
      </w:pPr>
      <w:bookmarkStart w:id="54" w:name="OLE_LINK5"/>
      <w:bookmarkStart w:id="55" w:name="OLE_LINK4"/>
      <w:r>
        <w:rPr>
          <w:rFonts w:hint="eastAsia"/>
          <w:bCs/>
          <w:sz w:val="24"/>
        </w:rPr>
        <w:t>3</w:t>
      </w:r>
      <w:r>
        <w:rPr>
          <w:bCs/>
          <w:sz w:val="24"/>
        </w:rPr>
        <w:t>7</w:t>
      </w:r>
      <w:r>
        <w:rPr>
          <w:rFonts w:hint="eastAsia"/>
          <w:bCs/>
          <w:sz w:val="24"/>
        </w:rPr>
        <w:t>、开放式</w:t>
      </w:r>
      <w:r>
        <w:rPr>
          <w:bCs/>
          <w:sz w:val="24"/>
        </w:rPr>
        <w:t>基金账户：指</w:t>
      </w:r>
      <w:r>
        <w:rPr>
          <w:rFonts w:hint="eastAsia"/>
          <w:bCs/>
          <w:sz w:val="24"/>
        </w:rPr>
        <w:t>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pPr>
        <w:spacing w:line="360" w:lineRule="auto"/>
        <w:ind w:firstLine="480" w:firstLineChars="200"/>
        <w:rPr>
          <w:bCs/>
          <w:color w:val="FF0000"/>
          <w:sz w:val="24"/>
        </w:rPr>
      </w:pPr>
      <w:r>
        <w:rPr>
          <w:rFonts w:hint="eastAsia"/>
          <w:bCs/>
          <w:sz w:val="24"/>
        </w:rPr>
        <w:t>3</w:t>
      </w:r>
      <w:r>
        <w:rPr>
          <w:bCs/>
          <w:sz w:val="24"/>
        </w:rPr>
        <w:t>8</w:t>
      </w:r>
      <w:r>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bookmarkEnd w:id="54"/>
    <w:bookmarkEnd w:id="55"/>
    <w:p>
      <w:pPr>
        <w:spacing w:line="360" w:lineRule="auto"/>
        <w:ind w:firstLine="480" w:firstLineChars="200"/>
        <w:rPr>
          <w:bCs/>
          <w:sz w:val="24"/>
        </w:rPr>
      </w:pPr>
      <w:r>
        <w:rPr>
          <w:rFonts w:hint="eastAsia"/>
          <w:bCs/>
          <w:sz w:val="24"/>
        </w:rPr>
        <w:t>3</w:t>
      </w:r>
      <w:r>
        <w:rPr>
          <w:bCs/>
          <w:sz w:val="24"/>
        </w:rPr>
        <w:t>9</w:t>
      </w:r>
      <w:r>
        <w:rPr>
          <w:rFonts w:hint="eastAsia"/>
          <w:bCs/>
          <w:sz w:val="24"/>
        </w:rPr>
        <w:t>、</w:t>
      </w:r>
      <w:r>
        <w:rPr>
          <w:bCs/>
          <w:sz w:val="24"/>
        </w:rPr>
        <w:t>基金交易账户：指销售机构为投资人开立的、记录投资人通过该销售机构</w:t>
      </w:r>
      <w:r>
        <w:rPr>
          <w:rFonts w:hint="eastAsia" w:ascii="宋体" w:hAnsi="宋体"/>
          <w:sz w:val="24"/>
        </w:rPr>
        <w:t>办理申购、赎回、交易、转换及转托管等业务而引起</w:t>
      </w:r>
      <w:r>
        <w:rPr>
          <w:bCs/>
          <w:sz w:val="24"/>
        </w:rPr>
        <w:t>的基金份额变动及结余情况的账户</w:t>
      </w:r>
    </w:p>
    <w:p>
      <w:pPr>
        <w:spacing w:line="360" w:lineRule="auto"/>
        <w:ind w:firstLine="480" w:firstLineChars="200"/>
        <w:rPr>
          <w:bCs/>
          <w:sz w:val="24"/>
        </w:rPr>
      </w:pPr>
      <w:r>
        <w:rPr>
          <w:bCs/>
          <w:sz w:val="24"/>
        </w:rPr>
        <w:t>40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pPr>
        <w:spacing w:line="360" w:lineRule="auto"/>
        <w:ind w:firstLine="480" w:firstLineChars="200"/>
        <w:rPr>
          <w:bCs/>
          <w:sz w:val="24"/>
        </w:rPr>
      </w:pPr>
      <w:r>
        <w:rPr>
          <w:bCs/>
          <w:sz w:val="24"/>
        </w:rPr>
        <w:t>41</w:t>
      </w:r>
      <w:r>
        <w:rPr>
          <w:rFonts w:hint="eastAsia"/>
          <w:bCs/>
          <w:sz w:val="24"/>
        </w:rPr>
        <w:t>、基金转型实施日：指基金管理人公告的交银施罗德中证环境治理指数分级证券投资基金转型为交银施罗德中证环境治理指数型证券投资基金（LOF）的实施日期。《交银施罗德中证环境治理指数型证券投资基金（LOF）基金合同》经基金管理人和基金托管人加盖公章以及双方法定代表人或授权代表签章，自基金转型实施日起生效，《交银施罗德中证环境治理指数分级证券投资基金基金合同》自同一日起失效</w:t>
      </w:r>
    </w:p>
    <w:p>
      <w:pPr>
        <w:spacing w:line="360" w:lineRule="auto"/>
        <w:ind w:firstLine="480" w:firstLineChars="200"/>
        <w:rPr>
          <w:bCs/>
          <w:sz w:val="24"/>
        </w:rPr>
      </w:pPr>
      <w:r>
        <w:rPr>
          <w:bCs/>
          <w:sz w:val="24"/>
        </w:rPr>
        <w:t>42</w:t>
      </w:r>
      <w:r>
        <w:rPr>
          <w:rFonts w:hint="eastAsia"/>
          <w:bCs/>
          <w:sz w:val="24"/>
        </w:rPr>
        <w:t>、</w:t>
      </w:r>
      <w:r>
        <w:rPr>
          <w:bCs/>
          <w:sz w:val="24"/>
        </w:rPr>
        <w:t>基金合同终止日：指基金合同规定的基金合同终止事由出现后，基金财产清算完毕，清算结果报中国证监会备案并予以公告的日期</w:t>
      </w:r>
    </w:p>
    <w:p>
      <w:pPr>
        <w:spacing w:line="360" w:lineRule="auto"/>
        <w:ind w:firstLine="480" w:firstLineChars="200"/>
        <w:rPr>
          <w:bCs/>
          <w:sz w:val="24"/>
        </w:rPr>
      </w:pPr>
      <w:r>
        <w:rPr>
          <w:rFonts w:hint="eastAsia"/>
          <w:bCs/>
          <w:sz w:val="24"/>
        </w:rPr>
        <w:t>4</w:t>
      </w:r>
      <w:r>
        <w:rPr>
          <w:bCs/>
          <w:sz w:val="24"/>
        </w:rPr>
        <w:t>3</w:t>
      </w:r>
      <w:r>
        <w:rPr>
          <w:rFonts w:hint="eastAsia"/>
          <w:bCs/>
          <w:sz w:val="24"/>
        </w:rPr>
        <w:t>、</w:t>
      </w:r>
      <w:r>
        <w:rPr>
          <w:bCs/>
          <w:sz w:val="24"/>
        </w:rPr>
        <w:t>存续期：指</w:t>
      </w:r>
      <w:r>
        <w:rPr>
          <w:rFonts w:hint="eastAsia"/>
          <w:bCs/>
          <w:sz w:val="24"/>
        </w:rPr>
        <w:t>《交银施罗德中证环境治理指数分级证券投资基金基金合同》</w:t>
      </w:r>
      <w:r>
        <w:rPr>
          <w:bCs/>
          <w:sz w:val="24"/>
        </w:rPr>
        <w:t>生效至</w:t>
      </w:r>
      <w:r>
        <w:rPr>
          <w:rFonts w:hint="eastAsia"/>
          <w:bCs/>
          <w:sz w:val="24"/>
        </w:rPr>
        <w:t>《交银施罗德中证环境治理指数型证券投资基金（LOF）基金合同》</w:t>
      </w:r>
      <w:r>
        <w:rPr>
          <w:bCs/>
          <w:sz w:val="24"/>
        </w:rPr>
        <w:t>终止之间的不定期期限</w:t>
      </w:r>
    </w:p>
    <w:p>
      <w:pPr>
        <w:spacing w:line="360" w:lineRule="auto"/>
        <w:ind w:firstLine="480" w:firstLineChars="200"/>
        <w:rPr>
          <w:bCs/>
          <w:sz w:val="24"/>
        </w:rPr>
      </w:pPr>
      <w:r>
        <w:rPr>
          <w:rFonts w:hint="eastAsia"/>
          <w:bCs/>
          <w:sz w:val="24"/>
        </w:rPr>
        <w:t>4</w:t>
      </w:r>
      <w:r>
        <w:rPr>
          <w:bCs/>
          <w:sz w:val="24"/>
        </w:rPr>
        <w:t>4</w:t>
      </w:r>
      <w:r>
        <w:rPr>
          <w:rFonts w:hint="eastAsia"/>
          <w:bCs/>
          <w:sz w:val="24"/>
        </w:rPr>
        <w:t>、</w:t>
      </w:r>
      <w:r>
        <w:rPr>
          <w:bCs/>
          <w:sz w:val="24"/>
        </w:rPr>
        <w:t>工作日：指上海证券交易所、深圳证券交易所的正常交易日</w:t>
      </w:r>
    </w:p>
    <w:p>
      <w:pPr>
        <w:spacing w:line="360" w:lineRule="auto"/>
        <w:ind w:firstLine="480" w:firstLineChars="200"/>
        <w:rPr>
          <w:bCs/>
          <w:sz w:val="24"/>
        </w:rPr>
      </w:pPr>
      <w:r>
        <w:rPr>
          <w:rFonts w:hint="eastAsia"/>
          <w:bCs/>
          <w:sz w:val="24"/>
        </w:rPr>
        <w:t>4</w:t>
      </w:r>
      <w:r>
        <w:rPr>
          <w:bCs/>
          <w:sz w:val="24"/>
        </w:rPr>
        <w:t>5</w:t>
      </w:r>
      <w:r>
        <w:rPr>
          <w:rFonts w:hint="eastAsia"/>
          <w:bCs/>
          <w:sz w:val="24"/>
        </w:rPr>
        <w:t>、</w:t>
      </w:r>
      <w:r>
        <w:rPr>
          <w:bCs/>
          <w:sz w:val="24"/>
        </w:rPr>
        <w:t>T日：指销售机构在规定时间受理投资人申购、赎回或其他业务申请的开放日</w:t>
      </w:r>
    </w:p>
    <w:p>
      <w:pPr>
        <w:spacing w:line="360" w:lineRule="auto"/>
        <w:ind w:firstLine="480" w:firstLineChars="200"/>
        <w:rPr>
          <w:bCs/>
          <w:sz w:val="24"/>
        </w:rPr>
      </w:pPr>
      <w:r>
        <w:rPr>
          <w:rFonts w:hint="eastAsia"/>
          <w:bCs/>
          <w:sz w:val="24"/>
        </w:rPr>
        <w:t>4</w:t>
      </w:r>
      <w:r>
        <w:rPr>
          <w:bCs/>
          <w:sz w:val="24"/>
        </w:rPr>
        <w:t>6</w:t>
      </w:r>
      <w:r>
        <w:rPr>
          <w:rFonts w:hint="eastAsia"/>
          <w:bCs/>
          <w:sz w:val="24"/>
        </w:rPr>
        <w:t>、</w:t>
      </w:r>
      <w:r>
        <w:rPr>
          <w:bCs/>
          <w:sz w:val="24"/>
        </w:rPr>
        <w:t>T+n日：指自T日起第n个工作日(不包含T日)</w:t>
      </w:r>
    </w:p>
    <w:p>
      <w:pPr>
        <w:spacing w:line="360" w:lineRule="auto"/>
        <w:ind w:firstLine="480" w:firstLineChars="200"/>
        <w:rPr>
          <w:bCs/>
          <w:sz w:val="24"/>
        </w:rPr>
      </w:pPr>
      <w:r>
        <w:rPr>
          <w:rFonts w:hint="eastAsia"/>
          <w:bCs/>
          <w:sz w:val="24"/>
        </w:rPr>
        <w:t>4</w:t>
      </w:r>
      <w:r>
        <w:rPr>
          <w:bCs/>
          <w:sz w:val="24"/>
        </w:rPr>
        <w:t>7</w:t>
      </w:r>
      <w:r>
        <w:rPr>
          <w:rFonts w:hint="eastAsia"/>
          <w:bCs/>
          <w:sz w:val="24"/>
        </w:rPr>
        <w:t>、</w:t>
      </w:r>
      <w:r>
        <w:rPr>
          <w:bCs/>
          <w:sz w:val="24"/>
        </w:rPr>
        <w:t>开放日：指为投资人办理基金份额申购、赎回或其他业务的工作日</w:t>
      </w:r>
    </w:p>
    <w:p>
      <w:pPr>
        <w:spacing w:line="360" w:lineRule="auto"/>
        <w:ind w:firstLine="480" w:firstLineChars="200"/>
        <w:rPr>
          <w:bCs/>
          <w:sz w:val="24"/>
        </w:rPr>
      </w:pPr>
      <w:r>
        <w:rPr>
          <w:rFonts w:hint="eastAsia"/>
          <w:bCs/>
          <w:sz w:val="24"/>
        </w:rPr>
        <w:t>4</w:t>
      </w:r>
      <w:r>
        <w:rPr>
          <w:bCs/>
          <w:sz w:val="24"/>
        </w:rPr>
        <w:t>8</w:t>
      </w:r>
      <w:r>
        <w:rPr>
          <w:rFonts w:hint="eastAsia"/>
          <w:bCs/>
          <w:sz w:val="24"/>
        </w:rPr>
        <w:t>、</w:t>
      </w:r>
      <w:r>
        <w:rPr>
          <w:bCs/>
          <w:sz w:val="24"/>
        </w:rPr>
        <w:t>开放时间：指开放日基金接受申购、赎回或其他交易的时间段</w:t>
      </w:r>
    </w:p>
    <w:p>
      <w:pPr>
        <w:spacing w:line="360" w:lineRule="auto"/>
        <w:ind w:firstLine="480" w:firstLineChars="200"/>
        <w:rPr>
          <w:bCs/>
          <w:sz w:val="24"/>
        </w:rPr>
      </w:pPr>
      <w:r>
        <w:rPr>
          <w:rFonts w:hint="eastAsia"/>
          <w:bCs/>
          <w:sz w:val="24"/>
        </w:rPr>
        <w:t>4</w:t>
      </w:r>
      <w:r>
        <w:rPr>
          <w:bCs/>
          <w:sz w:val="24"/>
        </w:rPr>
        <w:t>9</w:t>
      </w:r>
      <w:r>
        <w:rPr>
          <w:rFonts w:hint="eastAsia"/>
          <w:bCs/>
          <w:sz w:val="24"/>
        </w:rPr>
        <w:t>、《业务规则》</w:t>
      </w:r>
      <w:r>
        <w:rPr>
          <w:bCs/>
          <w:sz w:val="24"/>
        </w:rPr>
        <w:t>：指</w:t>
      </w:r>
      <w:r>
        <w:rPr>
          <w:rFonts w:hint="eastAsia"/>
          <w:bCs/>
          <w:sz w:val="24"/>
        </w:rPr>
        <w:t>本基金管理人、深圳证券交易所、中国证券登记结算有限责任公司及销售机构的相关业务规则及其不时做出的修订</w:t>
      </w:r>
    </w:p>
    <w:p>
      <w:pPr>
        <w:spacing w:line="360" w:lineRule="auto"/>
        <w:ind w:firstLine="480" w:firstLineChars="200"/>
        <w:rPr>
          <w:bCs/>
          <w:sz w:val="24"/>
        </w:rPr>
      </w:pPr>
      <w:r>
        <w:rPr>
          <w:bCs/>
          <w:sz w:val="24"/>
        </w:rPr>
        <w:t>50</w:t>
      </w:r>
      <w:r>
        <w:rPr>
          <w:rFonts w:hint="eastAsia"/>
          <w:bCs/>
          <w:sz w:val="24"/>
        </w:rPr>
        <w:t>、</w:t>
      </w:r>
      <w:r>
        <w:rPr>
          <w:bCs/>
          <w:sz w:val="24"/>
        </w:rPr>
        <w:t>申购：指基金合同生效后，投资人根据基金合同和招募说明书的规定申请购买基金份额的行为</w:t>
      </w:r>
    </w:p>
    <w:p>
      <w:pPr>
        <w:spacing w:line="360" w:lineRule="auto"/>
        <w:ind w:firstLine="480" w:firstLineChars="200"/>
        <w:rPr>
          <w:bCs/>
          <w:sz w:val="24"/>
        </w:rPr>
      </w:pPr>
      <w:r>
        <w:rPr>
          <w:bCs/>
          <w:sz w:val="24"/>
        </w:rPr>
        <w:t>51</w:t>
      </w:r>
      <w:r>
        <w:rPr>
          <w:rFonts w:hint="eastAsia"/>
          <w:bCs/>
          <w:sz w:val="24"/>
        </w:rPr>
        <w:t>、</w:t>
      </w:r>
      <w:r>
        <w:rPr>
          <w:bCs/>
          <w:sz w:val="24"/>
        </w:rPr>
        <w:t>赎回：指基金合同生效后，基金份额持有人按基金合同和招募说明书规定的条件要求将基金份额兑换为现金的行为</w:t>
      </w:r>
    </w:p>
    <w:p>
      <w:pPr>
        <w:spacing w:line="360" w:lineRule="auto"/>
        <w:ind w:firstLine="480" w:firstLineChars="200"/>
        <w:rPr>
          <w:bCs/>
          <w:sz w:val="24"/>
        </w:rPr>
      </w:pPr>
      <w:r>
        <w:rPr>
          <w:bCs/>
          <w:sz w:val="24"/>
        </w:rPr>
        <w:t>52</w:t>
      </w:r>
      <w:r>
        <w:rPr>
          <w:rFonts w:hint="eastAsia"/>
          <w:bCs/>
          <w:sz w:val="24"/>
        </w:rPr>
        <w:t>、上市交易：指基金合同生效后，投资人通过场内会员单位以集中竞价的方式买卖基金份额的行为</w:t>
      </w:r>
    </w:p>
    <w:p>
      <w:pPr>
        <w:spacing w:line="360" w:lineRule="auto"/>
        <w:ind w:firstLine="480" w:firstLineChars="200"/>
        <w:rPr>
          <w:bCs/>
          <w:sz w:val="24"/>
        </w:rPr>
      </w:pPr>
      <w:r>
        <w:rPr>
          <w:rFonts w:hint="eastAsia"/>
          <w:bCs/>
          <w:sz w:val="24"/>
        </w:rPr>
        <w:t>5</w:t>
      </w:r>
      <w:r>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spacing w:line="360" w:lineRule="auto"/>
        <w:ind w:firstLine="480" w:firstLineChars="200"/>
        <w:rPr>
          <w:bCs/>
          <w:sz w:val="24"/>
        </w:rPr>
      </w:pPr>
      <w:r>
        <w:rPr>
          <w:rFonts w:hint="eastAsia"/>
          <w:bCs/>
          <w:sz w:val="24"/>
        </w:rPr>
        <w:t>5</w:t>
      </w:r>
      <w:r>
        <w:rPr>
          <w:bCs/>
          <w:sz w:val="24"/>
        </w:rPr>
        <w:t>4</w:t>
      </w:r>
      <w:r>
        <w:rPr>
          <w:rFonts w:hint="eastAsia"/>
          <w:bCs/>
          <w:sz w:val="24"/>
        </w:rPr>
        <w:t>、</w:t>
      </w:r>
      <w:r>
        <w:rPr>
          <w:bCs/>
          <w:sz w:val="24"/>
        </w:rPr>
        <w:t>转托管：指基金份额持有人在本基金的不同销售机构之间实施的变更所持基金份额销售机构的操作</w:t>
      </w:r>
    </w:p>
    <w:p>
      <w:pPr>
        <w:spacing w:line="360" w:lineRule="auto"/>
        <w:ind w:firstLine="480" w:firstLineChars="200"/>
        <w:rPr>
          <w:bCs/>
          <w:sz w:val="24"/>
        </w:rPr>
      </w:pPr>
      <w:r>
        <w:rPr>
          <w:rFonts w:hint="eastAsia"/>
          <w:bCs/>
          <w:sz w:val="24"/>
        </w:rPr>
        <w:t>5</w:t>
      </w:r>
      <w:r>
        <w:rPr>
          <w:bCs/>
          <w:sz w:val="24"/>
        </w:rPr>
        <w:t>5</w:t>
      </w:r>
      <w:r>
        <w:rPr>
          <w:rFonts w:hint="eastAsia"/>
          <w:bCs/>
          <w:sz w:val="24"/>
        </w:rPr>
        <w:t>、系统内转托管：指基金份额持有人将持有的基金份额在注册登记系统内不同销售机构（网点）之间或证券登记结算系统内不同会员单位（交易单元）之间进行转登记的行为</w:t>
      </w:r>
    </w:p>
    <w:p>
      <w:pPr>
        <w:spacing w:line="360" w:lineRule="auto"/>
        <w:ind w:firstLine="480" w:firstLineChars="200"/>
        <w:rPr>
          <w:bCs/>
          <w:sz w:val="24"/>
        </w:rPr>
      </w:pPr>
      <w:r>
        <w:rPr>
          <w:rFonts w:hint="eastAsia"/>
          <w:bCs/>
          <w:sz w:val="24"/>
        </w:rPr>
        <w:t>5</w:t>
      </w:r>
      <w:r>
        <w:rPr>
          <w:bCs/>
          <w:sz w:val="24"/>
        </w:rPr>
        <w:t>6</w:t>
      </w:r>
      <w:r>
        <w:rPr>
          <w:rFonts w:hint="eastAsia"/>
          <w:bCs/>
          <w:sz w:val="24"/>
        </w:rPr>
        <w:t>、跨系统转托管：指基金份额持有人将持有的A类基金份额在注册登记系统和证券登记结算系统间进行转登记的行为。除经基金管理人另行公告，C类基金份额不能进行跨系统转托管</w:t>
      </w:r>
    </w:p>
    <w:p>
      <w:pPr>
        <w:spacing w:line="360" w:lineRule="auto"/>
        <w:ind w:firstLine="480" w:firstLineChars="200"/>
        <w:rPr>
          <w:bCs/>
          <w:sz w:val="24"/>
        </w:rPr>
      </w:pPr>
      <w:r>
        <w:rPr>
          <w:rFonts w:hint="eastAsia"/>
          <w:bCs/>
          <w:sz w:val="24"/>
        </w:rPr>
        <w:t>5</w:t>
      </w:r>
      <w:r>
        <w:rPr>
          <w:bCs/>
          <w:sz w:val="24"/>
        </w:rPr>
        <w:t>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指定的</w:t>
      </w:r>
      <w:r>
        <w:rPr>
          <w:bCs/>
          <w:sz w:val="24"/>
        </w:rPr>
        <w:t>销售机构在投资人指定银行账户内自动完成扣款</w:t>
      </w:r>
      <w:r>
        <w:rPr>
          <w:rFonts w:hint="eastAsia"/>
          <w:bCs/>
          <w:sz w:val="24"/>
        </w:rPr>
        <w:t>并于每期约定的申购日受理</w:t>
      </w:r>
      <w:r>
        <w:rPr>
          <w:bCs/>
          <w:sz w:val="24"/>
        </w:rPr>
        <w:t>基金申购申请的一种投资方式</w:t>
      </w:r>
    </w:p>
    <w:p>
      <w:pPr>
        <w:spacing w:line="360" w:lineRule="auto"/>
        <w:ind w:firstLine="480" w:firstLineChars="200"/>
        <w:rPr>
          <w:bCs/>
          <w:sz w:val="24"/>
        </w:rPr>
      </w:pPr>
      <w:r>
        <w:rPr>
          <w:rFonts w:hint="eastAsia"/>
          <w:bCs/>
          <w:sz w:val="24"/>
        </w:rPr>
        <w:t>5</w:t>
      </w:r>
      <w:r>
        <w:rPr>
          <w:bCs/>
          <w:sz w:val="24"/>
        </w:rPr>
        <w:t>8</w:t>
      </w:r>
      <w:r>
        <w:rPr>
          <w:rFonts w:hint="eastAsia"/>
          <w:bCs/>
          <w:sz w:val="24"/>
        </w:rPr>
        <w:t>、</w:t>
      </w:r>
      <w:r>
        <w:rPr>
          <w:bCs/>
          <w:sz w:val="24"/>
        </w:rPr>
        <w:t>巨额赎回：指本基金单个开放日，</w:t>
      </w:r>
      <w:r>
        <w:rPr>
          <w:rFonts w:hint="eastAsia"/>
          <w:bCs/>
          <w:sz w:val="24"/>
        </w:rPr>
        <w:t>基金</w:t>
      </w:r>
      <w:r>
        <w:rPr>
          <w:bCs/>
          <w:sz w:val="24"/>
        </w:rPr>
        <w:t>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rFonts w:hint="eastAsia"/>
          <w:bCs/>
          <w:sz w:val="24"/>
        </w:rPr>
        <w:t>10%的情形</w:t>
      </w:r>
    </w:p>
    <w:p>
      <w:pPr>
        <w:spacing w:line="360" w:lineRule="auto"/>
        <w:ind w:firstLine="480" w:firstLineChars="200"/>
        <w:rPr>
          <w:bCs/>
          <w:sz w:val="24"/>
        </w:rPr>
      </w:pPr>
      <w:r>
        <w:rPr>
          <w:rFonts w:hint="eastAsia"/>
          <w:bCs/>
          <w:sz w:val="24"/>
        </w:rPr>
        <w:t>5</w:t>
      </w:r>
      <w:r>
        <w:rPr>
          <w:bCs/>
          <w:sz w:val="24"/>
        </w:rPr>
        <w:t>9</w:t>
      </w:r>
      <w:r>
        <w:rPr>
          <w:rFonts w:hint="eastAsia"/>
          <w:bCs/>
          <w:sz w:val="24"/>
        </w:rPr>
        <w:t>、</w:t>
      </w:r>
      <w:r>
        <w:rPr>
          <w:bCs/>
          <w:sz w:val="24"/>
        </w:rPr>
        <w:t>元：指人民币元</w:t>
      </w:r>
    </w:p>
    <w:p>
      <w:pPr>
        <w:spacing w:line="360" w:lineRule="auto"/>
        <w:ind w:firstLine="480" w:firstLineChars="200"/>
        <w:rPr>
          <w:bCs/>
          <w:sz w:val="24"/>
        </w:rPr>
      </w:pPr>
      <w:r>
        <w:rPr>
          <w:bCs/>
          <w:sz w:val="24"/>
        </w:rPr>
        <w:t>60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pPr>
        <w:spacing w:line="360" w:lineRule="auto"/>
        <w:ind w:firstLine="480" w:firstLineChars="200"/>
        <w:rPr>
          <w:bCs/>
          <w:sz w:val="24"/>
        </w:rPr>
      </w:pPr>
      <w:r>
        <w:rPr>
          <w:bCs/>
          <w:sz w:val="24"/>
        </w:rPr>
        <w:t>61</w:t>
      </w:r>
      <w:r>
        <w:rPr>
          <w:rFonts w:hint="eastAsia"/>
          <w:bCs/>
          <w:sz w:val="24"/>
        </w:rPr>
        <w:t>、</w:t>
      </w:r>
      <w:r>
        <w:rPr>
          <w:bCs/>
          <w:sz w:val="24"/>
        </w:rPr>
        <w:t>基金资产总值：指基金拥有的各类有价证券、</w:t>
      </w:r>
      <w:r>
        <w:rPr>
          <w:rFonts w:hint="eastAsia" w:hAnsi="宋体"/>
          <w:kern w:val="0"/>
          <w:sz w:val="24"/>
        </w:rPr>
        <w:t>股指期货合约、</w:t>
      </w:r>
      <w:r>
        <w:rPr>
          <w:bCs/>
          <w:sz w:val="24"/>
        </w:rPr>
        <w:t>银行存款本息、基金应收申购款及其他资产的价值总和</w:t>
      </w:r>
    </w:p>
    <w:p>
      <w:pPr>
        <w:spacing w:line="360" w:lineRule="auto"/>
        <w:ind w:firstLine="480" w:firstLineChars="200"/>
        <w:rPr>
          <w:bCs/>
          <w:sz w:val="24"/>
        </w:rPr>
      </w:pPr>
      <w:r>
        <w:rPr>
          <w:bCs/>
          <w:sz w:val="24"/>
        </w:rPr>
        <w:t>62</w:t>
      </w:r>
      <w:r>
        <w:rPr>
          <w:rFonts w:hint="eastAsia"/>
          <w:bCs/>
          <w:sz w:val="24"/>
        </w:rPr>
        <w:t>、</w:t>
      </w:r>
      <w:r>
        <w:rPr>
          <w:bCs/>
          <w:sz w:val="24"/>
        </w:rPr>
        <w:t>基金资产净值：指基金资产总值减去基金负债后的价值</w:t>
      </w:r>
    </w:p>
    <w:p>
      <w:pPr>
        <w:spacing w:line="360" w:lineRule="auto"/>
        <w:ind w:firstLine="480" w:firstLineChars="200"/>
        <w:rPr>
          <w:bCs/>
          <w:sz w:val="24"/>
        </w:rPr>
      </w:pPr>
      <w:r>
        <w:rPr>
          <w:rFonts w:hint="eastAsia"/>
          <w:bCs/>
          <w:sz w:val="24"/>
        </w:rPr>
        <w:t>6</w:t>
      </w:r>
      <w:r>
        <w:rPr>
          <w:bCs/>
          <w:sz w:val="24"/>
        </w:rPr>
        <w:t>3</w:t>
      </w:r>
      <w:r>
        <w:rPr>
          <w:rFonts w:hint="eastAsia"/>
          <w:bCs/>
          <w:sz w:val="24"/>
        </w:rPr>
        <w:t>、</w:t>
      </w:r>
      <w:r>
        <w:rPr>
          <w:bCs/>
          <w:sz w:val="24"/>
        </w:rPr>
        <w:t>基金份额净值：指计算日基金资产净值除以计算日基金份额总数</w:t>
      </w:r>
    </w:p>
    <w:p>
      <w:pPr>
        <w:spacing w:line="360" w:lineRule="auto"/>
        <w:ind w:firstLine="480" w:firstLineChars="200"/>
        <w:rPr>
          <w:bCs/>
          <w:sz w:val="24"/>
        </w:rPr>
      </w:pPr>
      <w:r>
        <w:rPr>
          <w:rFonts w:hint="eastAsia"/>
          <w:bCs/>
          <w:sz w:val="24"/>
        </w:rPr>
        <w:t>6</w:t>
      </w:r>
      <w:r>
        <w:rPr>
          <w:bCs/>
          <w:sz w:val="24"/>
        </w:rPr>
        <w:t>4</w:t>
      </w:r>
      <w:r>
        <w:rPr>
          <w:rFonts w:hint="eastAsia"/>
          <w:bCs/>
          <w:sz w:val="24"/>
        </w:rPr>
        <w:t>、</w:t>
      </w:r>
      <w:r>
        <w:rPr>
          <w:bCs/>
          <w:sz w:val="24"/>
        </w:rPr>
        <w:t>基金资产估值：指计算评估基金资产和负债的价值，以确定基金资产净值和基金份额净值的过程</w:t>
      </w:r>
    </w:p>
    <w:p>
      <w:pPr>
        <w:spacing w:line="360" w:lineRule="auto"/>
        <w:ind w:firstLine="480" w:firstLineChars="200"/>
        <w:rPr>
          <w:bCs/>
          <w:sz w:val="24"/>
        </w:rPr>
      </w:pPr>
      <w:r>
        <w:rPr>
          <w:rFonts w:hint="eastAsia"/>
          <w:bCs/>
          <w:sz w:val="24"/>
        </w:rPr>
        <w:t>6</w:t>
      </w:r>
      <w:r>
        <w:rPr>
          <w:bCs/>
          <w:sz w:val="24"/>
        </w:rPr>
        <w:t>5</w:t>
      </w:r>
      <w:r>
        <w:rPr>
          <w:rFonts w:hint="eastAsia"/>
          <w:bCs/>
          <w:sz w:val="24"/>
        </w:rPr>
        <w:t>、销售服务费：指从基金财产中计提的，用于本基金市场推广、销售以及基金份额持有人服务的费用</w:t>
      </w:r>
    </w:p>
    <w:p>
      <w:pPr>
        <w:spacing w:line="360" w:lineRule="auto"/>
        <w:ind w:firstLine="480" w:firstLineChars="200"/>
        <w:rPr>
          <w:bCs/>
          <w:sz w:val="24"/>
        </w:rPr>
      </w:pPr>
      <w:r>
        <w:rPr>
          <w:rFonts w:hint="eastAsia"/>
          <w:bCs/>
          <w:sz w:val="24"/>
        </w:rPr>
        <w:t>6</w:t>
      </w:r>
      <w:r>
        <w:rPr>
          <w:bCs/>
          <w:sz w:val="24"/>
        </w:rPr>
        <w:t>6</w:t>
      </w:r>
      <w:r>
        <w:rPr>
          <w:rFonts w:hint="eastAsia"/>
          <w:bCs/>
          <w:sz w:val="24"/>
        </w:rPr>
        <w:t>、A类基金份额：指在投资人申购时收取申购费用且不从本类别基金资产中计提销售服务费的基金份额</w:t>
      </w:r>
    </w:p>
    <w:p>
      <w:pPr>
        <w:spacing w:line="360" w:lineRule="auto"/>
        <w:ind w:firstLine="480" w:firstLineChars="200"/>
        <w:rPr>
          <w:bCs/>
          <w:sz w:val="24"/>
        </w:rPr>
      </w:pPr>
      <w:r>
        <w:rPr>
          <w:rFonts w:hint="eastAsia"/>
          <w:bCs/>
          <w:sz w:val="24"/>
        </w:rPr>
        <w:t>6</w:t>
      </w:r>
      <w:r>
        <w:rPr>
          <w:bCs/>
          <w:sz w:val="24"/>
        </w:rPr>
        <w:t>7</w:t>
      </w:r>
      <w:r>
        <w:rPr>
          <w:rFonts w:hint="eastAsia"/>
          <w:bCs/>
          <w:sz w:val="24"/>
        </w:rPr>
        <w:t>、C类基金份额：指在投资人申购时不收取申购费用，并从本类别基金资产中计提销售服务费的基金份额</w:t>
      </w:r>
    </w:p>
    <w:p>
      <w:pPr>
        <w:spacing w:line="360" w:lineRule="auto"/>
        <w:ind w:firstLine="480" w:firstLineChars="200"/>
        <w:rPr>
          <w:bCs/>
          <w:sz w:val="24"/>
        </w:rPr>
      </w:pPr>
      <w:r>
        <w:rPr>
          <w:bCs/>
          <w:sz w:val="24"/>
        </w:rPr>
        <w:t>68</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spacing w:line="360" w:lineRule="auto"/>
        <w:ind w:firstLine="480" w:firstLineChars="200"/>
        <w:rPr>
          <w:bCs/>
          <w:sz w:val="24"/>
        </w:rPr>
      </w:pPr>
      <w:r>
        <w:rPr>
          <w:rFonts w:hint="eastAsia"/>
          <w:bCs/>
          <w:sz w:val="24"/>
        </w:rPr>
        <w:t>6</w:t>
      </w:r>
      <w:r>
        <w:rPr>
          <w:bCs/>
          <w:sz w:val="24"/>
        </w:rPr>
        <w:t>9</w:t>
      </w:r>
      <w:r>
        <w:rPr>
          <w:rFonts w:hint="eastAsia"/>
          <w:bCs/>
          <w:sz w:val="24"/>
        </w:rPr>
        <w:t>、</w:t>
      </w:r>
      <w:r>
        <w:rPr>
          <w:bCs/>
          <w:sz w:val="24"/>
        </w:rPr>
        <w:t>指定媒介：指中国证监会指定的用以进行信息披露的全国性报刊</w:t>
      </w:r>
      <w:r>
        <w:rPr>
          <w:rFonts w:hint="eastAsia"/>
          <w:bCs/>
          <w:sz w:val="24"/>
        </w:rPr>
        <w:t>及</w:t>
      </w:r>
      <w:r>
        <w:rPr>
          <w:bCs/>
          <w:sz w:val="24"/>
        </w:rPr>
        <w:t>指定互联网网站</w:t>
      </w:r>
      <w:r>
        <w:rPr>
          <w:rFonts w:hint="eastAsia"/>
          <w:bCs/>
          <w:sz w:val="24"/>
        </w:rPr>
        <w:t>（包括基金管理人网站、基金托管人网站、中国证监会基金电子披露网站）等</w:t>
      </w:r>
      <w:r>
        <w:rPr>
          <w:bCs/>
          <w:sz w:val="24"/>
        </w:rPr>
        <w:t>媒介</w:t>
      </w:r>
    </w:p>
    <w:p>
      <w:pPr>
        <w:spacing w:line="360" w:lineRule="auto"/>
        <w:ind w:firstLine="480" w:firstLineChars="200"/>
        <w:rPr>
          <w:bCs/>
          <w:sz w:val="24"/>
        </w:rPr>
      </w:pPr>
      <w:r>
        <w:rPr>
          <w:bCs/>
          <w:sz w:val="24"/>
        </w:rPr>
        <w:t>70</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pPr>
        <w:pStyle w:val="2"/>
        <w:spacing w:before="0" w:after="0"/>
        <w:ind w:left="420" w:leftChars="200"/>
        <w:jc w:val="center"/>
        <w:rPr>
          <w:rFonts w:ascii="Times New Roman"/>
          <w:color w:val="auto"/>
          <w:sz w:val="30"/>
        </w:rPr>
      </w:pPr>
      <w:r>
        <w:rPr>
          <w:rFonts w:ascii="Times New Roman"/>
          <w:b w:val="0"/>
          <w:bCs/>
          <w:color w:val="auto"/>
        </w:rPr>
        <w:br w:type="page"/>
      </w:r>
      <w:bookmarkStart w:id="56" w:name="_Toc6683"/>
      <w:bookmarkStart w:id="57" w:name="_Toc24571"/>
      <w:bookmarkStart w:id="58" w:name="_Toc545"/>
      <w:bookmarkStart w:id="59" w:name="_Toc18631"/>
      <w:bookmarkStart w:id="60" w:name="_Toc20627"/>
      <w:bookmarkStart w:id="61" w:name="_Toc442395193"/>
      <w:bookmarkStart w:id="62" w:name="_Toc733"/>
      <w:bookmarkStart w:id="63" w:name="_Toc13288"/>
      <w:bookmarkStart w:id="64" w:name="_Toc22708"/>
      <w:bookmarkStart w:id="65" w:name="_Toc20318"/>
      <w:bookmarkStart w:id="66" w:name="_Toc6149"/>
      <w:bookmarkStart w:id="67" w:name="_Toc258829400"/>
      <w:bookmarkStart w:id="68" w:name="_Toc233456272"/>
      <w:r>
        <w:rPr>
          <w:rFonts w:ascii="Times New Roman"/>
          <w:color w:val="auto"/>
          <w:sz w:val="30"/>
        </w:rPr>
        <w:t>第三部分  基金的基本情况</w:t>
      </w:r>
      <w:bookmarkEnd w:id="56"/>
      <w:bookmarkEnd w:id="57"/>
      <w:bookmarkEnd w:id="58"/>
      <w:bookmarkEnd w:id="59"/>
      <w:bookmarkEnd w:id="60"/>
      <w:bookmarkEnd w:id="61"/>
      <w:bookmarkEnd w:id="62"/>
      <w:bookmarkEnd w:id="63"/>
      <w:bookmarkEnd w:id="64"/>
      <w:bookmarkEnd w:id="65"/>
      <w:bookmarkEnd w:id="66"/>
      <w:bookmarkStart w:id="69" w:name="_Toc79392573"/>
    </w:p>
    <w:p>
      <w:pPr>
        <w:spacing w:line="360" w:lineRule="auto"/>
        <w:ind w:firstLine="540"/>
        <w:rPr>
          <w:bCs/>
          <w:sz w:val="24"/>
        </w:rPr>
      </w:pPr>
      <w:bookmarkStart w:id="70" w:name="_Hlt88031774"/>
      <w:bookmarkEnd w:id="70"/>
      <w:bookmarkStart w:id="71" w:name="_Hlt88031741"/>
    </w:p>
    <w:bookmarkEnd w:id="71"/>
    <w:p>
      <w:pPr>
        <w:spacing w:line="360" w:lineRule="auto"/>
        <w:ind w:firstLine="480" w:firstLineChars="200"/>
        <w:rPr>
          <w:bCs/>
          <w:sz w:val="24"/>
        </w:rPr>
      </w:pPr>
      <w:r>
        <w:rPr>
          <w:bCs/>
          <w:sz w:val="24"/>
        </w:rPr>
        <w:t>一、基金名称</w:t>
      </w:r>
      <w:bookmarkEnd w:id="69"/>
    </w:p>
    <w:p>
      <w:pPr>
        <w:spacing w:line="360" w:lineRule="auto"/>
        <w:ind w:firstLine="480" w:firstLineChars="200"/>
        <w:rPr>
          <w:bCs/>
          <w:sz w:val="24"/>
        </w:rPr>
      </w:pPr>
      <w:r>
        <w:rPr>
          <w:rFonts w:hint="eastAsia"/>
          <w:bCs/>
          <w:sz w:val="24"/>
        </w:rPr>
        <w:t>交银施罗德中证环境治理指数型</w:t>
      </w:r>
      <w:r>
        <w:rPr>
          <w:bCs/>
          <w:sz w:val="24"/>
        </w:rPr>
        <w:t>证券投资基金</w:t>
      </w:r>
      <w:r>
        <w:rPr>
          <w:rFonts w:hint="eastAsia"/>
          <w:bCs/>
          <w:sz w:val="24"/>
        </w:rPr>
        <w:t>（LOF）</w:t>
      </w:r>
    </w:p>
    <w:p>
      <w:pPr>
        <w:spacing w:line="360" w:lineRule="auto"/>
        <w:ind w:firstLine="480" w:firstLineChars="200"/>
        <w:rPr>
          <w:bCs/>
          <w:sz w:val="24"/>
        </w:rPr>
      </w:pPr>
    </w:p>
    <w:p>
      <w:pPr>
        <w:spacing w:line="360" w:lineRule="auto"/>
        <w:ind w:firstLine="480" w:firstLineChars="200"/>
        <w:rPr>
          <w:bCs/>
          <w:sz w:val="24"/>
        </w:rPr>
      </w:pPr>
      <w:bookmarkStart w:id="72" w:name="_Toc79392574"/>
      <w:r>
        <w:rPr>
          <w:bCs/>
          <w:sz w:val="24"/>
        </w:rPr>
        <w:t>二、基金的类别</w:t>
      </w:r>
      <w:bookmarkEnd w:id="72"/>
    </w:p>
    <w:p>
      <w:pPr>
        <w:spacing w:line="360" w:lineRule="auto"/>
        <w:ind w:firstLine="480" w:firstLineChars="200"/>
        <w:rPr>
          <w:bCs/>
          <w:sz w:val="24"/>
        </w:rPr>
      </w:pPr>
      <w:r>
        <w:rPr>
          <w:rFonts w:hint="eastAsia"/>
          <w:bCs/>
          <w:sz w:val="24"/>
        </w:rPr>
        <w:t>股票型</w:t>
      </w:r>
      <w:r>
        <w:rPr>
          <w:bCs/>
          <w:sz w:val="24"/>
        </w:rPr>
        <w:t>证券投资基金</w:t>
      </w:r>
    </w:p>
    <w:p>
      <w:pPr>
        <w:spacing w:line="360" w:lineRule="auto"/>
        <w:ind w:left="796" w:leftChars="257" w:hanging="256"/>
        <w:rPr>
          <w:bCs/>
          <w:sz w:val="24"/>
        </w:rPr>
      </w:pPr>
    </w:p>
    <w:p>
      <w:pPr>
        <w:spacing w:line="360" w:lineRule="auto"/>
        <w:ind w:firstLine="480" w:firstLineChars="200"/>
        <w:rPr>
          <w:bCs/>
          <w:sz w:val="24"/>
        </w:rPr>
      </w:pPr>
      <w:bookmarkStart w:id="73" w:name="_Toc79392575"/>
      <w:r>
        <w:rPr>
          <w:bCs/>
          <w:sz w:val="24"/>
        </w:rPr>
        <w:t>三、基金的运作方式</w:t>
      </w:r>
    </w:p>
    <w:p>
      <w:pPr>
        <w:spacing w:line="360" w:lineRule="auto"/>
        <w:ind w:left="796" w:leftChars="257" w:hanging="256"/>
        <w:rPr>
          <w:bCs/>
          <w:sz w:val="24"/>
        </w:rPr>
      </w:pPr>
      <w:r>
        <w:rPr>
          <w:rFonts w:hint="eastAsia"/>
          <w:bCs/>
          <w:sz w:val="24"/>
        </w:rPr>
        <w:t>契约型开放式</w:t>
      </w:r>
    </w:p>
    <w:p>
      <w:pPr>
        <w:spacing w:line="360" w:lineRule="auto"/>
        <w:ind w:left="796" w:leftChars="257" w:hanging="256"/>
        <w:rPr>
          <w:bCs/>
          <w:sz w:val="24"/>
        </w:rPr>
      </w:pPr>
    </w:p>
    <w:p>
      <w:pPr>
        <w:spacing w:line="360" w:lineRule="auto"/>
        <w:ind w:firstLine="480" w:firstLineChars="200"/>
        <w:rPr>
          <w:bCs/>
          <w:sz w:val="24"/>
        </w:rPr>
      </w:pPr>
      <w:r>
        <w:rPr>
          <w:bCs/>
          <w:sz w:val="24"/>
        </w:rPr>
        <w:t>四、基金的投资目标</w:t>
      </w:r>
      <w:bookmarkEnd w:id="73"/>
    </w:p>
    <w:p>
      <w:pPr>
        <w:pStyle w:val="11"/>
        <w:rPr>
          <w:rFonts w:ascii="Times New Roman" w:eastAsia="宋体"/>
          <w:bCs/>
          <w:sz w:val="24"/>
        </w:rPr>
      </w:pPr>
      <w:r>
        <w:rPr>
          <w:rFonts w:hint="eastAsia" w:ascii="Times New Roman" w:eastAsia="宋体"/>
          <w:bCs/>
          <w:sz w:val="24"/>
        </w:rPr>
        <w:t>本基金采用指数化投资，紧密跟踪标的指数，追求跟踪偏离度与跟踪误差最小化。本基金力争控制本基金日均跟踪偏离度的绝对值不超过</w:t>
      </w:r>
      <w:r>
        <w:rPr>
          <w:rFonts w:ascii="Times New Roman" w:eastAsia="宋体"/>
          <w:bCs/>
          <w:sz w:val="24"/>
        </w:rPr>
        <w:t>0.35%</w:t>
      </w:r>
      <w:r>
        <w:rPr>
          <w:rFonts w:hint="eastAsia" w:ascii="Times New Roman" w:eastAsia="宋体"/>
          <w:bCs/>
          <w:sz w:val="24"/>
        </w:rPr>
        <w:t>，年跟踪误差不超过</w:t>
      </w:r>
      <w:r>
        <w:rPr>
          <w:rFonts w:ascii="Times New Roman" w:eastAsia="宋体"/>
          <w:bCs/>
          <w:sz w:val="24"/>
        </w:rPr>
        <w:t>4%</w:t>
      </w:r>
      <w:r>
        <w:rPr>
          <w:rFonts w:hint="eastAsia" w:ascii="Times New Roman" w:eastAsia="宋体"/>
          <w:bCs/>
          <w:sz w:val="24"/>
        </w:rPr>
        <w:t>。</w:t>
      </w:r>
    </w:p>
    <w:p>
      <w:pPr>
        <w:pStyle w:val="11"/>
        <w:rPr>
          <w:rFonts w:ascii="Times New Roman" w:eastAsia="宋体"/>
          <w:bCs/>
          <w:sz w:val="24"/>
        </w:rPr>
      </w:pPr>
    </w:p>
    <w:p>
      <w:pPr>
        <w:spacing w:line="360" w:lineRule="auto"/>
        <w:ind w:firstLine="480" w:firstLineChars="200"/>
        <w:rPr>
          <w:bCs/>
          <w:sz w:val="24"/>
        </w:rPr>
      </w:pPr>
      <w:bookmarkStart w:id="74" w:name="_Toc79392577"/>
      <w:r>
        <w:rPr>
          <w:rFonts w:hint="eastAsia"/>
          <w:bCs/>
          <w:sz w:val="24"/>
        </w:rPr>
        <w:t>五</w:t>
      </w:r>
      <w:r>
        <w:rPr>
          <w:bCs/>
          <w:sz w:val="24"/>
        </w:rPr>
        <w:t>、基金份额面值</w:t>
      </w:r>
      <w:bookmarkEnd w:id="74"/>
    </w:p>
    <w:p>
      <w:pPr>
        <w:spacing w:line="360" w:lineRule="auto"/>
        <w:ind w:firstLine="480"/>
        <w:rPr>
          <w:bCs/>
          <w:sz w:val="24"/>
        </w:rPr>
      </w:pPr>
      <w:r>
        <w:rPr>
          <w:bCs/>
          <w:sz w:val="24"/>
        </w:rPr>
        <w:t>本基金基金份额</w:t>
      </w:r>
      <w:r>
        <w:rPr>
          <w:rFonts w:hint="eastAsia"/>
          <w:bCs/>
          <w:sz w:val="24"/>
        </w:rPr>
        <w:t>的</w:t>
      </w:r>
      <w:r>
        <w:rPr>
          <w:bCs/>
          <w:sz w:val="24"/>
        </w:rPr>
        <w:t>面值为人民币</w:t>
      </w:r>
      <w:r>
        <w:rPr>
          <w:rFonts w:hint="eastAsia"/>
          <w:bCs/>
          <w:sz w:val="24"/>
        </w:rPr>
        <w:t>1.00</w:t>
      </w:r>
      <w:r>
        <w:rPr>
          <w:bCs/>
          <w:sz w:val="24"/>
        </w:rPr>
        <w:t>元。</w:t>
      </w:r>
    </w:p>
    <w:p>
      <w:pPr>
        <w:autoSpaceDE w:val="0"/>
        <w:autoSpaceDN w:val="0"/>
        <w:adjustRightInd w:val="0"/>
        <w:spacing w:line="360" w:lineRule="auto"/>
        <w:ind w:firstLine="480" w:firstLineChars="200"/>
        <w:jc w:val="left"/>
        <w:rPr>
          <w:bCs/>
          <w:sz w:val="24"/>
        </w:rPr>
      </w:pPr>
    </w:p>
    <w:p>
      <w:pPr>
        <w:spacing w:line="360" w:lineRule="auto"/>
        <w:ind w:firstLine="480" w:firstLineChars="200"/>
        <w:rPr>
          <w:bCs/>
          <w:sz w:val="24"/>
        </w:rPr>
      </w:pPr>
      <w:bookmarkStart w:id="75" w:name="_Toc79392578"/>
      <w:r>
        <w:rPr>
          <w:rFonts w:hint="eastAsia"/>
          <w:bCs/>
          <w:sz w:val="24"/>
        </w:rPr>
        <w:t>六</w:t>
      </w:r>
      <w:r>
        <w:rPr>
          <w:bCs/>
          <w:sz w:val="24"/>
        </w:rPr>
        <w:t>、基金存续期限</w:t>
      </w:r>
      <w:bookmarkEnd w:id="75"/>
    </w:p>
    <w:p>
      <w:pPr>
        <w:spacing w:line="360" w:lineRule="auto"/>
        <w:ind w:firstLine="480" w:firstLineChars="200"/>
        <w:rPr>
          <w:bCs/>
          <w:sz w:val="24"/>
        </w:rPr>
      </w:pPr>
      <w:r>
        <w:rPr>
          <w:bCs/>
          <w:sz w:val="24"/>
        </w:rPr>
        <w:t>不定期</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七、标的指数</w:t>
      </w:r>
    </w:p>
    <w:p>
      <w:pPr>
        <w:spacing w:line="360" w:lineRule="auto"/>
        <w:ind w:firstLine="480" w:firstLineChars="200"/>
        <w:rPr>
          <w:bCs/>
          <w:sz w:val="24"/>
        </w:rPr>
      </w:pPr>
      <w:r>
        <w:rPr>
          <w:rFonts w:hint="eastAsia"/>
          <w:sz w:val="24"/>
          <w:szCs w:val="24"/>
        </w:rPr>
        <w:t>本基金的标的指数为</w:t>
      </w:r>
      <w:r>
        <w:rPr>
          <w:rFonts w:hint="eastAsia"/>
          <w:bCs/>
          <w:sz w:val="24"/>
        </w:rPr>
        <w:t>中证环境治理指数。</w:t>
      </w:r>
    </w:p>
    <w:p>
      <w:pPr>
        <w:spacing w:line="360" w:lineRule="auto"/>
        <w:ind w:firstLine="480" w:firstLineChars="20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p>
    <w:p>
      <w:pPr>
        <w:spacing w:line="360" w:lineRule="auto"/>
        <w:ind w:firstLine="480" w:firstLineChars="20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spacing w:line="360" w:lineRule="auto"/>
        <w:ind w:firstLine="480" w:firstLineChars="20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spacing w:line="360" w:lineRule="auto"/>
        <w:ind w:firstLine="480" w:firstLineChars="200"/>
        <w:rPr>
          <w:bCs/>
          <w:sz w:val="24"/>
        </w:rPr>
      </w:pPr>
    </w:p>
    <w:p>
      <w:pPr>
        <w:spacing w:line="360" w:lineRule="auto"/>
        <w:ind w:firstLine="480" w:firstLineChars="200"/>
        <w:rPr>
          <w:bCs/>
          <w:sz w:val="24"/>
        </w:rPr>
      </w:pPr>
      <w:r>
        <w:rPr>
          <w:rFonts w:hint="eastAsia"/>
          <w:bCs/>
          <w:sz w:val="24"/>
        </w:rPr>
        <w:t>八、基金份额类别</w:t>
      </w:r>
    </w:p>
    <w:p>
      <w:pPr>
        <w:spacing w:line="360" w:lineRule="auto"/>
        <w:ind w:firstLine="480" w:firstLineChars="200"/>
        <w:rPr>
          <w:bCs/>
          <w:sz w:val="24"/>
        </w:rPr>
      </w:pPr>
      <w:r>
        <w:rPr>
          <w:rFonts w:hint="eastAsia"/>
          <w:bCs/>
          <w:sz w:val="24"/>
        </w:rPr>
        <w:t>本基金根据申购费用、销售服务费收取方式的不同，将基金份额分为不同的类别。在投资人申购时收取申购费用且不从本类别基金资产中计提销售服务费的，称为A类基金份额；在投资人申购时不收取申购费用，并从本类别基金资产中计提销售服务费的，称为C类基金份额。</w:t>
      </w:r>
    </w:p>
    <w:p>
      <w:pPr>
        <w:spacing w:line="360" w:lineRule="auto"/>
        <w:ind w:firstLine="480" w:firstLineChars="200"/>
        <w:rPr>
          <w:bCs/>
          <w:sz w:val="24"/>
        </w:rPr>
      </w:pPr>
      <w:r>
        <w:rPr>
          <w:rFonts w:hint="eastAsia"/>
          <w:bCs/>
          <w:sz w:val="24"/>
        </w:rPr>
        <w:t>本基金A类基金份额和C类基金份额分别设置基金代码。由于基金费用的不同，本基金A类基金份额和C类基金份额将分别计算基金份额净值并单独公告。</w:t>
      </w:r>
    </w:p>
    <w:p>
      <w:pPr>
        <w:spacing w:line="360" w:lineRule="auto"/>
        <w:ind w:firstLine="480" w:firstLineChars="200"/>
        <w:rPr>
          <w:bCs/>
          <w:sz w:val="24"/>
        </w:rPr>
      </w:pPr>
      <w:r>
        <w:rPr>
          <w:rFonts w:hint="eastAsia"/>
          <w:bCs/>
          <w:sz w:val="24"/>
        </w:rPr>
        <w:t>投资者可自行选择申购的基金份额类别。本基金不同基金份额类别之间不得互相转换。</w:t>
      </w:r>
    </w:p>
    <w:p>
      <w:pPr>
        <w:spacing w:line="360" w:lineRule="auto"/>
        <w:ind w:firstLine="480" w:firstLineChars="200"/>
        <w:rPr>
          <w:bCs/>
          <w:sz w:val="24"/>
        </w:rPr>
      </w:pPr>
      <w:r>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等，并在调整实施前依照《信息披露办法》的有关规定在</w:t>
      </w:r>
      <w:r>
        <w:rPr>
          <w:bCs/>
          <w:sz w:val="24"/>
        </w:rPr>
        <w:t>指定</w:t>
      </w:r>
      <w:r>
        <w:rPr>
          <w:rFonts w:hint="eastAsia"/>
          <w:bCs/>
          <w:sz w:val="24"/>
        </w:rPr>
        <w:t>媒介上公告，而无需召开基金份额持有人大会。</w:t>
      </w:r>
    </w:p>
    <w:p>
      <w:pPr>
        <w:pStyle w:val="2"/>
        <w:spacing w:before="0" w:after="0"/>
        <w:jc w:val="center"/>
        <w:rPr>
          <w:rFonts w:ascii="Times New Roman"/>
          <w:color w:val="auto"/>
          <w:sz w:val="30"/>
        </w:rPr>
      </w:pPr>
      <w:r>
        <w:rPr>
          <w:rFonts w:ascii="Times New Roman"/>
          <w:b w:val="0"/>
          <w:bCs/>
          <w:color w:val="auto"/>
          <w:kern w:val="44"/>
          <w:sz w:val="21"/>
        </w:rPr>
        <w:br w:type="page"/>
      </w:r>
      <w:bookmarkStart w:id="76" w:name="_Toc442395194"/>
      <w:r>
        <w:rPr>
          <w:rFonts w:ascii="Times New Roman"/>
          <w:color w:val="auto"/>
          <w:sz w:val="30"/>
        </w:rPr>
        <w:t xml:space="preserve">第四部分  </w:t>
      </w:r>
      <w:r>
        <w:rPr>
          <w:rFonts w:hint="eastAsia" w:ascii="Times New Roman"/>
          <w:color w:val="auto"/>
          <w:sz w:val="30"/>
        </w:rPr>
        <w:t>基金的历史沿革</w:t>
      </w:r>
      <w:bookmarkEnd w:id="76"/>
    </w:p>
    <w:p>
      <w:pPr>
        <w:spacing w:line="360" w:lineRule="auto"/>
        <w:ind w:firstLine="420" w:firstLineChars="200"/>
        <w:rPr>
          <w:bCs/>
          <w:kern w:val="44"/>
        </w:rPr>
      </w:pPr>
    </w:p>
    <w:p>
      <w:pPr>
        <w:spacing w:line="360" w:lineRule="auto"/>
        <w:ind w:firstLine="480" w:firstLineChars="200"/>
        <w:rPr>
          <w:bCs/>
          <w:sz w:val="24"/>
        </w:rPr>
      </w:pPr>
      <w:r>
        <w:rPr>
          <w:rFonts w:hint="eastAsia"/>
          <w:bCs/>
          <w:sz w:val="24"/>
        </w:rPr>
        <w:t>交银施罗德中证环境治理指数型证券投资基金（LOF）由交银施罗德中证环境治理指数分级证券投资基金转型而来。</w:t>
      </w:r>
    </w:p>
    <w:p>
      <w:pPr>
        <w:spacing w:line="360" w:lineRule="auto"/>
        <w:ind w:firstLine="480" w:firstLineChars="200"/>
        <w:rPr>
          <w:bCs/>
          <w:sz w:val="24"/>
        </w:rPr>
      </w:pPr>
      <w:r>
        <w:rPr>
          <w:rFonts w:hint="eastAsia"/>
          <w:bCs/>
          <w:sz w:val="24"/>
        </w:rPr>
        <w:t>交银施罗德中证环境治理指数分级证券投资基金经2015年5月20日中国证监会证监许可【2015】940号文准予募集</w:t>
      </w:r>
      <w:r>
        <w:rPr>
          <w:bCs/>
          <w:sz w:val="24"/>
        </w:rPr>
        <w:t>注册</w:t>
      </w:r>
      <w:r>
        <w:rPr>
          <w:rFonts w:hint="eastAsia"/>
          <w:bCs/>
          <w:sz w:val="24"/>
        </w:rPr>
        <w:t>，基金管理人为交银施罗德基金管理有限公司，基金托管人为中信银行股份有限公司。经中国证监会书面确认，《交银施罗德中证环境治理指数分级证券投资基金基金合同》于2015年8月13日生效。</w:t>
      </w:r>
    </w:p>
    <w:p>
      <w:pPr>
        <w:spacing w:line="360" w:lineRule="auto"/>
        <w:ind w:firstLine="480" w:firstLineChars="200"/>
        <w:rPr>
          <w:bCs/>
          <w:sz w:val="24"/>
        </w:rPr>
      </w:pPr>
      <w:r>
        <w:rPr>
          <w:rFonts w:hint="eastAsia"/>
          <w:bCs/>
          <w:sz w:val="24"/>
        </w:rPr>
        <w:t>交银施罗德中证环境治理指数分级证券投资基金以通讯方式召开基金份额持有人大会，大会于2016年6月30日表决通过了《关于交银施罗德中证环境治理指数分级证券投资基金转型及基金合同修改有关事项的议案》，同意交银施罗德中证环境治理指数分级证券投资基金由指数分级基金转为上市开放式基金（LOF），基金名称相应变更为“交银施罗德中证环境治理指数型证券投资基金（LOF）”，交银施罗德中证环境治理指数分级证券投资基金之交银环境治理份额、交银环境治理A份额及交银环境治理B份额均转换为交银施罗德中证环境治理指数型证券投资基金（LOF）份额。转型后，基金的投资目标、投资范围不变。</w:t>
      </w:r>
    </w:p>
    <w:p>
      <w:pPr>
        <w:spacing w:line="360" w:lineRule="auto"/>
        <w:ind w:firstLine="480" w:firstLineChars="200"/>
        <w:rPr>
          <w:bCs/>
          <w:sz w:val="24"/>
        </w:rPr>
      </w:pPr>
      <w:r>
        <w:rPr>
          <w:rFonts w:hint="eastAsia"/>
          <w:bCs/>
          <w:sz w:val="24"/>
        </w:rPr>
        <w:t>基金份额持有人大会决议自表决通过之日起生效，基金管理人根据基金份额持有人大会的授权，定于2016年7月</w:t>
      </w:r>
      <w:r>
        <w:rPr>
          <w:bCs/>
          <w:sz w:val="24"/>
        </w:rPr>
        <w:t>19</w:t>
      </w:r>
      <w:r>
        <w:rPr>
          <w:rFonts w:hint="eastAsia"/>
          <w:bCs/>
          <w:sz w:val="24"/>
        </w:rPr>
        <w:t>日正式实施基金转型，自基金转型实施日起，《交银施罗德中证环境治理指数分级证券投资基金基金合同》失效且《交银施罗德中证环境治理指数型证券投资基金（LOF）基金合同》同时生效，交银施罗德中证环境治理指数分级证券投资基金正式变更为交银施罗德中证环境治理指数型证券投资基金（LOF）。</w:t>
      </w:r>
    </w:p>
    <w:p>
      <w:pPr>
        <w:widowControl/>
        <w:jc w:val="left"/>
        <w:rPr>
          <w:b/>
          <w:kern w:val="0"/>
          <w:sz w:val="30"/>
        </w:rPr>
      </w:pPr>
      <w:r>
        <w:rPr>
          <w:sz w:val="30"/>
        </w:rPr>
        <w:br w:type="page"/>
      </w:r>
    </w:p>
    <w:p>
      <w:pPr>
        <w:pStyle w:val="2"/>
        <w:spacing w:before="0" w:after="0"/>
        <w:jc w:val="center"/>
        <w:rPr>
          <w:rFonts w:ascii="Times New Roman"/>
          <w:color w:val="auto"/>
          <w:sz w:val="30"/>
        </w:rPr>
      </w:pPr>
      <w:bookmarkStart w:id="77" w:name="_Toc442395195"/>
      <w:bookmarkStart w:id="78" w:name="_Toc4741"/>
      <w:bookmarkStart w:id="79" w:name="_Toc18797"/>
      <w:bookmarkStart w:id="80" w:name="_Toc14893"/>
      <w:bookmarkStart w:id="81" w:name="_Toc141703885"/>
      <w:bookmarkStart w:id="82" w:name="_Toc1823"/>
      <w:bookmarkStart w:id="83" w:name="_Toc7848"/>
      <w:bookmarkStart w:id="84" w:name="_Toc18329"/>
      <w:bookmarkStart w:id="85" w:name="_Toc21988"/>
      <w:bookmarkStart w:id="86" w:name="_Toc17912"/>
      <w:bookmarkStart w:id="87" w:name="_Toc26986"/>
      <w:bookmarkStart w:id="88" w:name="_Toc18526"/>
      <w:bookmarkStart w:id="89" w:name="_Toc139991735"/>
      <w:r>
        <w:rPr>
          <w:rFonts w:ascii="Times New Roman"/>
          <w:color w:val="auto"/>
          <w:sz w:val="30"/>
        </w:rPr>
        <w:t>第</w:t>
      </w:r>
      <w:r>
        <w:rPr>
          <w:rFonts w:hint="eastAsia" w:ascii="Times New Roman"/>
          <w:color w:val="auto"/>
          <w:sz w:val="30"/>
        </w:rPr>
        <w:t>五</w:t>
      </w:r>
      <w:r>
        <w:rPr>
          <w:rFonts w:ascii="Times New Roman"/>
          <w:color w:val="auto"/>
          <w:sz w:val="30"/>
        </w:rPr>
        <w:t>部分  基金</w:t>
      </w:r>
      <w:r>
        <w:rPr>
          <w:rFonts w:hint="eastAsia" w:ascii="Times New Roman"/>
          <w:color w:val="auto"/>
          <w:sz w:val="30"/>
        </w:rPr>
        <w:t>的存续</w:t>
      </w:r>
      <w:bookmarkEnd w:id="77"/>
      <w:bookmarkEnd w:id="78"/>
      <w:bookmarkEnd w:id="79"/>
      <w:bookmarkEnd w:id="80"/>
      <w:bookmarkEnd w:id="81"/>
      <w:bookmarkEnd w:id="82"/>
      <w:bookmarkEnd w:id="83"/>
      <w:bookmarkEnd w:id="84"/>
      <w:bookmarkEnd w:id="85"/>
      <w:bookmarkEnd w:id="86"/>
      <w:bookmarkEnd w:id="87"/>
      <w:bookmarkEnd w:id="88"/>
      <w:bookmarkEnd w:id="89"/>
    </w:p>
    <w:p>
      <w:pPr>
        <w:spacing w:line="360" w:lineRule="auto"/>
        <w:ind w:firstLine="540"/>
        <w:rPr>
          <w:bCs/>
          <w:sz w:val="24"/>
        </w:rPr>
      </w:pPr>
    </w:p>
    <w:p>
      <w:pPr>
        <w:spacing w:line="360" w:lineRule="auto"/>
        <w:ind w:firstLine="480" w:firstLineChars="200"/>
        <w:rPr>
          <w:bCs/>
          <w:sz w:val="24"/>
        </w:rPr>
      </w:pPr>
      <w:r>
        <w:rPr>
          <w:rFonts w:hint="eastAsia"/>
          <w:bCs/>
          <w:sz w:val="24"/>
        </w:rPr>
        <w:t>基金合同</w:t>
      </w:r>
      <w:r>
        <w:rPr>
          <w:bCs/>
          <w:sz w:val="24"/>
        </w:rPr>
        <w:t>生效后，连续</w:t>
      </w:r>
      <w:r>
        <w:rPr>
          <w:rFonts w:hint="eastAsia"/>
          <w:bCs/>
          <w:sz w:val="24"/>
        </w:rPr>
        <w:t>20</w:t>
      </w:r>
      <w:r>
        <w:rPr>
          <w:bCs/>
          <w:sz w:val="24"/>
        </w:rPr>
        <w:t>个工作日出现基金份额持有人数量不满</w:t>
      </w:r>
      <w:r>
        <w:rPr>
          <w:rFonts w:hint="eastAsia"/>
          <w:bCs/>
          <w:sz w:val="24"/>
        </w:rPr>
        <w:t>200</w:t>
      </w:r>
      <w:r>
        <w:rPr>
          <w:bCs/>
          <w:sz w:val="24"/>
        </w:rPr>
        <w:t>人或者基金资产净值低于</w:t>
      </w:r>
      <w:r>
        <w:rPr>
          <w:rFonts w:hint="eastAsia"/>
          <w:bCs/>
          <w:sz w:val="24"/>
        </w:rPr>
        <w:t>5000万</w:t>
      </w:r>
      <w:r>
        <w:rPr>
          <w:bCs/>
          <w:sz w:val="24"/>
        </w:rPr>
        <w:t>元</w:t>
      </w:r>
      <w:r>
        <w:rPr>
          <w:rFonts w:hint="eastAsia"/>
          <w:bCs/>
          <w:sz w:val="24"/>
        </w:rPr>
        <w:t>情形</w:t>
      </w:r>
      <w:r>
        <w:rPr>
          <w:bCs/>
          <w:sz w:val="24"/>
        </w:rPr>
        <w:t>的，基金管理人应当</w:t>
      </w:r>
      <w:r>
        <w:rPr>
          <w:rFonts w:hint="eastAsia"/>
          <w:bCs/>
          <w:sz w:val="24"/>
        </w:rPr>
        <w:t>在定期报告中予以披露。连续60个工作日出现前述情形的，基金管理人应当向中国证监会报告并提出解决方案，如转换运作方式、与其他基金合并或者终止基金合同等，并召开基金份额持有人大会进行表决。</w:t>
      </w:r>
    </w:p>
    <w:p>
      <w:pPr>
        <w:spacing w:line="360" w:lineRule="auto"/>
        <w:ind w:firstLine="480" w:firstLineChars="200"/>
        <w:rPr>
          <w:bCs/>
          <w:sz w:val="24"/>
        </w:rPr>
      </w:pPr>
      <w:r>
        <w:rPr>
          <w:bCs/>
          <w:sz w:val="24"/>
        </w:rPr>
        <w:t>法律法规另有规定时，从其规定。</w:t>
      </w:r>
    </w:p>
    <w:p>
      <w:pPr>
        <w:pStyle w:val="2"/>
        <w:spacing w:before="0" w:after="0"/>
        <w:jc w:val="center"/>
        <w:rPr>
          <w:rFonts w:ascii="Times New Roman"/>
          <w:color w:val="auto"/>
          <w:sz w:val="30"/>
        </w:rPr>
      </w:pPr>
      <w:r>
        <w:rPr>
          <w:rFonts w:ascii="Times New Roman"/>
          <w:b w:val="0"/>
          <w:bCs/>
          <w:color w:val="auto"/>
          <w:kern w:val="44"/>
          <w:sz w:val="21"/>
        </w:rPr>
        <w:br w:type="page"/>
      </w:r>
      <w:bookmarkStart w:id="90" w:name="_Toc442395196"/>
      <w:r>
        <w:rPr>
          <w:rFonts w:ascii="Times New Roman"/>
          <w:color w:val="auto"/>
          <w:sz w:val="30"/>
        </w:rPr>
        <w:t>第</w:t>
      </w:r>
      <w:r>
        <w:rPr>
          <w:rFonts w:hint="eastAsia" w:ascii="Times New Roman"/>
          <w:color w:val="auto"/>
          <w:sz w:val="30"/>
        </w:rPr>
        <w:t>六</w:t>
      </w:r>
      <w:r>
        <w:rPr>
          <w:rFonts w:ascii="Times New Roman"/>
          <w:color w:val="auto"/>
          <w:sz w:val="30"/>
        </w:rPr>
        <w:t xml:space="preserve">部分  </w:t>
      </w:r>
      <w:r>
        <w:rPr>
          <w:rFonts w:hint="eastAsia" w:ascii="Times New Roman"/>
          <w:color w:val="auto"/>
          <w:sz w:val="30"/>
        </w:rPr>
        <w:t>基金的上市交易</w:t>
      </w:r>
      <w:bookmarkEnd w:id="90"/>
    </w:p>
    <w:p>
      <w:pPr>
        <w:spacing w:line="360" w:lineRule="auto"/>
        <w:ind w:firstLine="540"/>
        <w:rPr>
          <w:bCs/>
          <w:sz w:val="24"/>
        </w:rPr>
      </w:pPr>
    </w:p>
    <w:p>
      <w:pPr>
        <w:spacing w:line="360" w:lineRule="auto"/>
        <w:ind w:firstLine="480" w:firstLineChars="200"/>
        <w:rPr>
          <w:bCs/>
          <w:sz w:val="24"/>
        </w:rPr>
      </w:pPr>
      <w:r>
        <w:rPr>
          <w:rFonts w:hint="eastAsia"/>
          <w:bCs/>
          <w:sz w:val="24"/>
        </w:rPr>
        <w:t>基金合同生效后，基金管理人将根据有关规定，申请本基金A类基金份额上市交易。如无特别说明，本部分约定仅适用于本基金A类基金份额。</w:t>
      </w:r>
    </w:p>
    <w:p>
      <w:pPr>
        <w:spacing w:line="360" w:lineRule="auto"/>
        <w:ind w:firstLine="480" w:firstLineChars="200"/>
        <w:rPr>
          <w:bCs/>
          <w:sz w:val="24"/>
        </w:rPr>
      </w:pPr>
      <w:r>
        <w:rPr>
          <w:rFonts w:hint="eastAsia"/>
          <w:bCs/>
          <w:sz w:val="24"/>
        </w:rPr>
        <w:t>基金上市后，登记在证券登记结算系统中的A类基金份额可直接在深圳证券交易所上市；登记在注册登记系统中的A类基金份额可通过办理跨系统转托管业务将基金份额转托管在证券登记结算系统中后，再上市交易。</w:t>
      </w:r>
    </w:p>
    <w:p>
      <w:pPr>
        <w:spacing w:line="360" w:lineRule="auto"/>
        <w:ind w:firstLine="480" w:firstLineChars="200"/>
        <w:rPr>
          <w:bCs/>
          <w:sz w:val="24"/>
        </w:rPr>
      </w:pPr>
      <w:r>
        <w:rPr>
          <w:rFonts w:hint="eastAsia"/>
          <w:bCs/>
          <w:sz w:val="24"/>
        </w:rPr>
        <w:t>未来，基金管理人在符合法律法规的情况下也可申请本基金C类基金份额的上市交易，基金管理人可根据需要修改基金合同相关内容，但应在实施日前依照《信息披露办法》的有关规定在指定媒介上公告。</w:t>
      </w:r>
    </w:p>
    <w:p>
      <w:pPr>
        <w:spacing w:line="360" w:lineRule="auto"/>
        <w:ind w:firstLine="480" w:firstLineChars="200"/>
        <w:rPr>
          <w:bCs/>
          <w:sz w:val="24"/>
        </w:rPr>
      </w:pPr>
      <w:r>
        <w:rPr>
          <w:rFonts w:hint="eastAsia"/>
          <w:bCs/>
          <w:sz w:val="24"/>
        </w:rPr>
        <w:t>一、上市交易的地点</w:t>
      </w:r>
    </w:p>
    <w:p>
      <w:pPr>
        <w:spacing w:line="360" w:lineRule="auto"/>
        <w:ind w:firstLine="480" w:firstLineChars="200"/>
        <w:rPr>
          <w:bCs/>
        </w:rPr>
      </w:pPr>
      <w:r>
        <w:rPr>
          <w:rFonts w:hint="eastAsia"/>
          <w:bCs/>
          <w:sz w:val="24"/>
        </w:rPr>
        <w:t>本基金A类基金份额上市交易的地点为深圳证券交易所。</w:t>
      </w:r>
    </w:p>
    <w:p>
      <w:pPr>
        <w:spacing w:line="360" w:lineRule="auto"/>
        <w:ind w:firstLine="480" w:firstLineChars="200"/>
        <w:rPr>
          <w:bCs/>
          <w:sz w:val="24"/>
        </w:rPr>
      </w:pPr>
      <w:r>
        <w:rPr>
          <w:rFonts w:hint="eastAsia"/>
          <w:bCs/>
          <w:sz w:val="24"/>
        </w:rPr>
        <w:t>二、上市交易的时间</w:t>
      </w:r>
    </w:p>
    <w:p>
      <w:pPr>
        <w:spacing w:line="360" w:lineRule="auto"/>
        <w:ind w:firstLine="480" w:firstLineChars="200"/>
        <w:rPr>
          <w:bCs/>
          <w:sz w:val="24"/>
        </w:rPr>
      </w:pPr>
      <w:r>
        <w:rPr>
          <w:rFonts w:hint="eastAsia"/>
          <w:bCs/>
          <w:sz w:val="24"/>
        </w:rPr>
        <w:t>基金合同生效后，本基金A类基金份额将申请在深圳证券交易所上市交易。</w:t>
      </w:r>
    </w:p>
    <w:p>
      <w:pPr>
        <w:spacing w:line="360" w:lineRule="auto"/>
        <w:ind w:firstLine="480" w:firstLineChars="200"/>
        <w:rPr>
          <w:bCs/>
          <w:sz w:val="24"/>
        </w:rPr>
      </w:pPr>
      <w:r>
        <w:rPr>
          <w:rFonts w:hint="eastAsia"/>
          <w:bCs/>
          <w:sz w:val="24"/>
        </w:rPr>
        <w:t>在确定上市交易的时间后，基金管理人应依照《信息披露办法》的有关规定在指定媒介上刊登A类基金份额上市交易公告书。</w:t>
      </w:r>
    </w:p>
    <w:p>
      <w:pPr>
        <w:spacing w:line="360" w:lineRule="auto"/>
        <w:ind w:firstLine="480" w:firstLineChars="200"/>
        <w:rPr>
          <w:bCs/>
          <w:sz w:val="24"/>
        </w:rPr>
      </w:pPr>
      <w:r>
        <w:rPr>
          <w:rFonts w:hint="eastAsia"/>
          <w:bCs/>
          <w:sz w:val="24"/>
        </w:rPr>
        <w:t>三、上市交易的规则</w:t>
      </w:r>
    </w:p>
    <w:p>
      <w:pPr>
        <w:spacing w:line="360" w:lineRule="auto"/>
        <w:ind w:firstLine="480" w:firstLineChars="200"/>
        <w:rPr>
          <w:bCs/>
        </w:rPr>
      </w:pPr>
      <w:r>
        <w:rPr>
          <w:rFonts w:hint="eastAsia"/>
          <w:bCs/>
          <w:sz w:val="24"/>
        </w:rPr>
        <w:t>本基金A类基金份额在深圳证券交易所的上市交易需遵循《深圳证券交易所证券投资基金上市规则》、《深圳证券交易所交易规则》、《深圳证券交易所证券投资基金交易和申购赎回实施细则》等有关规定。</w:t>
      </w:r>
    </w:p>
    <w:p>
      <w:pPr>
        <w:spacing w:line="360" w:lineRule="auto"/>
        <w:ind w:firstLine="480" w:firstLineChars="200"/>
        <w:rPr>
          <w:bCs/>
          <w:sz w:val="24"/>
        </w:rPr>
      </w:pPr>
      <w:r>
        <w:rPr>
          <w:rFonts w:hint="eastAsia"/>
          <w:bCs/>
          <w:sz w:val="24"/>
        </w:rPr>
        <w:t>四、上市交易的费用</w:t>
      </w:r>
    </w:p>
    <w:p>
      <w:pPr>
        <w:spacing w:line="360" w:lineRule="auto"/>
        <w:ind w:firstLine="480" w:firstLineChars="200"/>
        <w:rPr>
          <w:bCs/>
        </w:rPr>
      </w:pPr>
      <w:r>
        <w:rPr>
          <w:rFonts w:hint="eastAsia"/>
          <w:bCs/>
          <w:sz w:val="24"/>
        </w:rPr>
        <w:t>本基金A类基金份额上市交易的费用按照深圳证券交易所有关规定执行。</w:t>
      </w:r>
    </w:p>
    <w:p>
      <w:pPr>
        <w:spacing w:line="360" w:lineRule="auto"/>
        <w:ind w:firstLine="480" w:firstLineChars="200"/>
        <w:rPr>
          <w:bCs/>
          <w:sz w:val="24"/>
        </w:rPr>
      </w:pPr>
      <w:r>
        <w:rPr>
          <w:rFonts w:hint="eastAsia"/>
          <w:bCs/>
          <w:sz w:val="24"/>
        </w:rPr>
        <w:t>五、上市交易的行情揭示</w:t>
      </w:r>
    </w:p>
    <w:p>
      <w:pPr>
        <w:spacing w:line="360" w:lineRule="auto"/>
        <w:ind w:firstLine="480" w:firstLineChars="200"/>
        <w:rPr>
          <w:bCs/>
        </w:rPr>
      </w:pPr>
      <w:r>
        <w:rPr>
          <w:rFonts w:hint="eastAsia"/>
          <w:bCs/>
          <w:sz w:val="24"/>
        </w:rPr>
        <w:t>本基金A类基金份额在深圳证券交易所挂牌交易，交易行情通过行情发布系统揭示。行情发布系统同时揭示前一交易日A类基金份额的基金份额净值。</w:t>
      </w:r>
    </w:p>
    <w:p>
      <w:pPr>
        <w:spacing w:line="360" w:lineRule="auto"/>
        <w:ind w:firstLine="480" w:firstLineChars="200"/>
        <w:rPr>
          <w:bCs/>
          <w:sz w:val="24"/>
        </w:rPr>
      </w:pPr>
      <w:r>
        <w:rPr>
          <w:rFonts w:hint="eastAsia"/>
          <w:bCs/>
          <w:sz w:val="24"/>
        </w:rPr>
        <w:t>六、上市交易的停复牌、暂停上市、恢复上市和终止上市</w:t>
      </w:r>
    </w:p>
    <w:p>
      <w:pPr>
        <w:spacing w:line="360" w:lineRule="auto"/>
        <w:ind w:firstLine="480" w:firstLineChars="200"/>
        <w:rPr>
          <w:bCs/>
        </w:rPr>
      </w:pPr>
      <w:r>
        <w:rPr>
          <w:rFonts w:hint="eastAsia"/>
          <w:bCs/>
          <w:sz w:val="24"/>
        </w:rPr>
        <w:t>本基金A类基金份额的停复牌、暂停上市、恢复上市和终止上市按照相关法律法规和深圳证券交易所的相关规定执行。</w:t>
      </w:r>
    </w:p>
    <w:p>
      <w:pPr>
        <w:spacing w:line="360" w:lineRule="auto"/>
        <w:ind w:firstLine="480" w:firstLineChars="200"/>
        <w:rPr>
          <w:bCs/>
          <w:sz w:val="24"/>
        </w:rPr>
      </w:pPr>
      <w:r>
        <w:rPr>
          <w:rFonts w:hint="eastAsia"/>
          <w:bCs/>
          <w:sz w:val="24"/>
        </w:rPr>
        <w:t>七、相关法律法规、中国证监会及深圳证券交易所对基金上市交易的规则等相关规定内容进行调整的，基金合同相应予以修改，且此项修改无须召开基金份额持有人大会。</w:t>
      </w:r>
    </w:p>
    <w:p>
      <w:pPr>
        <w:spacing w:line="360" w:lineRule="auto"/>
        <w:ind w:firstLine="480" w:firstLineChars="200"/>
        <w:rPr>
          <w:bCs/>
          <w:sz w:val="24"/>
        </w:rPr>
      </w:pPr>
      <w:r>
        <w:rPr>
          <w:rFonts w:hint="eastAsia"/>
          <w:bCs/>
          <w:sz w:val="24"/>
        </w:rPr>
        <w:t>八、若深圳证券交易所、中国证券登记结算有限责任公司增加了基金场内交易的新业务，基金管理人可以在履行适当的程序后为本基金增加办理相应的新业务。</w:t>
      </w:r>
    </w:p>
    <w:p>
      <w:pPr>
        <w:pStyle w:val="2"/>
        <w:spacing w:before="0" w:after="0"/>
        <w:jc w:val="center"/>
        <w:rPr>
          <w:rFonts w:ascii="Times New Roman"/>
          <w:color w:val="auto"/>
          <w:sz w:val="30"/>
        </w:rPr>
      </w:pPr>
      <w:r>
        <w:rPr>
          <w:rFonts w:ascii="Times New Roman"/>
          <w:b w:val="0"/>
          <w:bCs/>
          <w:color w:val="auto"/>
          <w:kern w:val="44"/>
          <w:sz w:val="21"/>
        </w:rPr>
        <w:br w:type="page"/>
      </w:r>
      <w:bookmarkStart w:id="91" w:name="_Toc442395197"/>
      <w:r>
        <w:rPr>
          <w:rFonts w:ascii="Times New Roman"/>
          <w:color w:val="auto"/>
          <w:sz w:val="30"/>
        </w:rPr>
        <w:t>第</w:t>
      </w:r>
      <w:r>
        <w:rPr>
          <w:rFonts w:hint="eastAsia" w:ascii="Times New Roman"/>
          <w:color w:val="auto"/>
          <w:sz w:val="30"/>
        </w:rPr>
        <w:t>七</w:t>
      </w:r>
      <w:r>
        <w:rPr>
          <w:rFonts w:ascii="Times New Roman"/>
          <w:color w:val="auto"/>
          <w:sz w:val="30"/>
        </w:rPr>
        <w:t xml:space="preserve">部分  </w:t>
      </w:r>
      <w:r>
        <w:rPr>
          <w:rFonts w:hint="eastAsia" w:ascii="Times New Roman"/>
          <w:color w:val="auto"/>
          <w:sz w:val="30"/>
        </w:rPr>
        <w:t>基金份额的申购与赎回</w:t>
      </w:r>
      <w:bookmarkEnd w:id="91"/>
    </w:p>
    <w:p>
      <w:pPr>
        <w:spacing w:line="360" w:lineRule="auto"/>
        <w:ind w:firstLine="480" w:firstLineChars="200"/>
        <w:rPr>
          <w:bCs/>
          <w:sz w:val="24"/>
        </w:rPr>
      </w:pPr>
      <w:r>
        <w:rPr>
          <w:rFonts w:hint="eastAsia"/>
          <w:bCs/>
          <w:sz w:val="24"/>
        </w:rPr>
        <w:t>投资者可通过场外和场内两种方式申购与赎回A类基金份额；C类基金份额不上市交易，也不开设场内申购、赎回的方式，投资者只能通过场外方式申购与赎回C类基金份额。</w:t>
      </w:r>
    </w:p>
    <w:p>
      <w:pPr>
        <w:spacing w:line="360" w:lineRule="auto"/>
        <w:ind w:firstLine="480" w:firstLineChars="200"/>
        <w:rPr>
          <w:bCs/>
          <w:sz w:val="24"/>
        </w:rPr>
      </w:pPr>
      <w:r>
        <w:rPr>
          <w:bCs/>
          <w:sz w:val="24"/>
        </w:rPr>
        <w:t>一、申购和赎回场所</w:t>
      </w:r>
    </w:p>
    <w:p>
      <w:pPr>
        <w:spacing w:line="360" w:lineRule="auto"/>
        <w:ind w:firstLine="480" w:firstLineChars="200"/>
        <w:rPr>
          <w:bCs/>
          <w:sz w:val="24"/>
        </w:rPr>
      </w:pPr>
      <w:r>
        <w:rPr>
          <w:rFonts w:hint="eastAsia"/>
          <w:bCs/>
          <w:sz w:val="24"/>
        </w:rPr>
        <w:t>本基金</w:t>
      </w:r>
      <w:r>
        <w:rPr>
          <w:bCs/>
          <w:sz w:val="24"/>
        </w:rPr>
        <w:t>的申购与赎回将通过销售机构进行</w:t>
      </w:r>
      <w:r>
        <w:rPr>
          <w:rFonts w:hint="eastAsia" w:ascii="宋体" w:hAnsi="宋体"/>
          <w:sz w:val="24"/>
        </w:rPr>
        <w:t>，其中销售机构包括场内销售机构和场外销售机构。场内销售机构为</w:t>
      </w:r>
      <w:r>
        <w:rPr>
          <w:rFonts w:hint="eastAsia"/>
          <w:bCs/>
          <w:sz w:val="24"/>
        </w:rPr>
        <w:t>具有基金销售业务资格、经深圳证券交易所和中国证券登记结算有限责任公司认可的、</w:t>
      </w:r>
      <w:r>
        <w:rPr>
          <w:rFonts w:hint="eastAsia" w:ascii="宋体" w:hAnsi="宋体"/>
          <w:sz w:val="24"/>
        </w:rPr>
        <w:t>通过深圳证券交易所交易系统办理基金销售业务的深圳证券交易所会员单位；场外销售机构包括直销机构和其他场外销售机构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w:t>
      </w:r>
      <w:r>
        <w:rPr>
          <w:bCs/>
          <w:sz w:val="24"/>
        </w:rPr>
        <w:t>网站公示。基金投资者应当</w:t>
      </w:r>
      <w:r>
        <w:rPr>
          <w:rFonts w:hint="eastAsia"/>
          <w:bCs/>
          <w:sz w:val="24"/>
        </w:rPr>
        <w:t>在</w:t>
      </w:r>
      <w:r>
        <w:rPr>
          <w:bCs/>
          <w:sz w:val="24"/>
        </w:rPr>
        <w:t>销售机构办理基金销售业务的营业场所或按销售机构提供的其他方式办理</w:t>
      </w:r>
      <w:r>
        <w:rPr>
          <w:rFonts w:hint="eastAsia"/>
          <w:bCs/>
          <w:sz w:val="24"/>
        </w:rPr>
        <w:t>基金份额</w:t>
      </w:r>
      <w:r>
        <w:rPr>
          <w:bCs/>
          <w:sz w:val="24"/>
        </w:rPr>
        <w:t>的申购与赎回。</w:t>
      </w:r>
    </w:p>
    <w:p>
      <w:pPr>
        <w:spacing w:line="360" w:lineRule="auto"/>
        <w:ind w:firstLine="480" w:firstLineChars="200"/>
        <w:rPr>
          <w:bCs/>
          <w:sz w:val="24"/>
        </w:rPr>
      </w:pPr>
      <w:r>
        <w:rPr>
          <w:bCs/>
          <w:sz w:val="24"/>
        </w:rPr>
        <w:t>二、申购和赎回的开放日及时间</w:t>
      </w:r>
    </w:p>
    <w:p>
      <w:pPr>
        <w:spacing w:line="360" w:lineRule="auto"/>
        <w:ind w:firstLine="480" w:firstLineChars="200"/>
        <w:rPr>
          <w:bCs/>
          <w:sz w:val="24"/>
        </w:rPr>
      </w:pPr>
      <w:r>
        <w:rPr>
          <w:bCs/>
          <w:sz w:val="24"/>
        </w:rPr>
        <w:t>1</w:t>
      </w:r>
      <w:r>
        <w:rPr>
          <w:rFonts w:hint="eastAsia"/>
          <w:bCs/>
          <w:sz w:val="24"/>
        </w:rPr>
        <w:t>、</w:t>
      </w:r>
      <w:r>
        <w:rPr>
          <w:bCs/>
          <w:sz w:val="24"/>
        </w:rPr>
        <w:t>开放日及开放时间</w:t>
      </w:r>
    </w:p>
    <w:p>
      <w:pPr>
        <w:spacing w:line="360" w:lineRule="auto"/>
        <w:ind w:firstLine="480" w:firstLineChars="200"/>
        <w:rPr>
          <w:bCs/>
          <w:sz w:val="24"/>
        </w:rPr>
      </w:pPr>
      <w:r>
        <w:rPr>
          <w:bCs/>
          <w:sz w:val="24"/>
        </w:rPr>
        <w:t>投资人在开放日办理</w:t>
      </w:r>
      <w:r>
        <w:rPr>
          <w:rFonts w:hint="eastAsia"/>
          <w:bCs/>
          <w:sz w:val="24"/>
        </w:rPr>
        <w:t>基金份额</w:t>
      </w:r>
      <w:r>
        <w:rPr>
          <w:bCs/>
          <w:sz w:val="24"/>
        </w:rPr>
        <w:t>的申购和赎回，具体办理时间为上海证券交易所、深圳证券交易所的正常交易日的交易时间，但基金管理人根据法律法规、中国证监会的要求或本基金合同的规定公告暂停申购、赎回时除外。</w:t>
      </w:r>
    </w:p>
    <w:p>
      <w:pPr>
        <w:spacing w:line="360" w:lineRule="auto"/>
        <w:ind w:firstLine="480" w:firstLineChars="200"/>
        <w:rPr>
          <w:bCs/>
          <w:sz w:val="24"/>
        </w:rPr>
      </w:pPr>
      <w:r>
        <w:rPr>
          <w:bCs/>
          <w:sz w:val="24"/>
        </w:rPr>
        <w:t>若出现新的证券</w:t>
      </w:r>
      <w:r>
        <w:rPr>
          <w:rFonts w:hint="eastAsia"/>
          <w:bCs/>
          <w:sz w:val="24"/>
        </w:rPr>
        <w:t>/期货</w:t>
      </w:r>
      <w:r>
        <w:rPr>
          <w:bCs/>
          <w:sz w:val="24"/>
        </w:rPr>
        <w:t>交易市场、证券</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pPr>
        <w:spacing w:line="360" w:lineRule="auto"/>
        <w:ind w:firstLine="480" w:firstLineChars="200"/>
        <w:rPr>
          <w:bCs/>
          <w:sz w:val="24"/>
        </w:rPr>
      </w:pPr>
      <w:r>
        <w:rPr>
          <w:bCs/>
          <w:sz w:val="24"/>
        </w:rPr>
        <w:t>2</w:t>
      </w:r>
      <w:r>
        <w:rPr>
          <w:rFonts w:hint="eastAsia"/>
          <w:bCs/>
          <w:sz w:val="24"/>
        </w:rPr>
        <w:t>、</w:t>
      </w:r>
      <w:r>
        <w:rPr>
          <w:bCs/>
          <w:sz w:val="24"/>
        </w:rPr>
        <w:t>申购、赎回开始日及业务办理时间</w:t>
      </w:r>
    </w:p>
    <w:p>
      <w:pPr>
        <w:spacing w:line="360" w:lineRule="auto"/>
        <w:ind w:firstLine="480" w:firstLineChars="200"/>
        <w:rPr>
          <w:bCs/>
          <w:sz w:val="24"/>
        </w:rPr>
      </w:pPr>
      <w:r>
        <w:rPr>
          <w:bCs/>
          <w:sz w:val="24"/>
        </w:rPr>
        <w:t>基金管理人应依照《信息披露办法》的有关规定在指定媒介上公告</w:t>
      </w:r>
      <w:r>
        <w:rPr>
          <w:rFonts w:hint="eastAsia"/>
          <w:bCs/>
          <w:sz w:val="24"/>
        </w:rPr>
        <w:t>本基金转型后办理</w:t>
      </w:r>
      <w:r>
        <w:rPr>
          <w:bCs/>
          <w:sz w:val="24"/>
        </w:rPr>
        <w:t>申购与赎回的开始时间。</w:t>
      </w:r>
    </w:p>
    <w:p>
      <w:pPr>
        <w:spacing w:line="360" w:lineRule="auto"/>
        <w:ind w:firstLine="480" w:firstLineChars="200"/>
        <w:rPr>
          <w:bCs/>
        </w:rPr>
      </w:pPr>
      <w:r>
        <w:rPr>
          <w:bCs/>
          <w:sz w:val="24"/>
        </w:rPr>
        <w:t>基金管理人不得在基金合同约定之外的日期或者时间办理</w:t>
      </w:r>
      <w:r>
        <w:rPr>
          <w:rFonts w:hint="eastAsia"/>
          <w:bCs/>
          <w:sz w:val="24"/>
        </w:rPr>
        <w:t>基金份额</w:t>
      </w:r>
      <w:r>
        <w:rPr>
          <w:bCs/>
          <w:sz w:val="24"/>
        </w:rPr>
        <w:t>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w:t>
      </w:r>
      <w:r>
        <w:rPr>
          <w:rFonts w:hint="eastAsia"/>
          <w:bCs/>
          <w:sz w:val="24"/>
        </w:rPr>
        <w:t>基金份额</w:t>
      </w:r>
      <w:r>
        <w:rPr>
          <w:bCs/>
          <w:sz w:val="24"/>
        </w:rPr>
        <w:t>申购、赎回价格为下一开放日</w:t>
      </w:r>
      <w:r>
        <w:rPr>
          <w:rFonts w:hint="eastAsia"/>
          <w:bCs/>
          <w:sz w:val="24"/>
        </w:rPr>
        <w:t>基金份额</w:t>
      </w:r>
      <w:r>
        <w:rPr>
          <w:bCs/>
          <w:sz w:val="24"/>
        </w:rPr>
        <w:t>申购、赎回的价格。</w:t>
      </w:r>
    </w:p>
    <w:p>
      <w:pPr>
        <w:spacing w:line="360" w:lineRule="auto"/>
        <w:ind w:firstLine="480" w:firstLineChars="200"/>
        <w:rPr>
          <w:bCs/>
          <w:sz w:val="24"/>
        </w:rPr>
      </w:pPr>
      <w:r>
        <w:rPr>
          <w:bCs/>
          <w:sz w:val="24"/>
        </w:rPr>
        <w:t>三、申购与赎回的原则</w:t>
      </w:r>
    </w:p>
    <w:p>
      <w:pPr>
        <w:spacing w:line="360" w:lineRule="auto"/>
        <w:ind w:firstLine="480" w:firstLineChars="200"/>
        <w:rPr>
          <w:bCs/>
          <w:sz w:val="24"/>
        </w:rPr>
      </w:pPr>
      <w:r>
        <w:rPr>
          <w:bCs/>
          <w:sz w:val="24"/>
        </w:rPr>
        <w:t>1</w:t>
      </w:r>
      <w:r>
        <w:rPr>
          <w:rFonts w:hint="eastAsia"/>
          <w:bCs/>
          <w:sz w:val="24"/>
        </w:rPr>
        <w:t>、</w:t>
      </w:r>
      <w:r>
        <w:rPr>
          <w:bCs/>
          <w:sz w:val="24"/>
        </w:rPr>
        <w:t>“未知价”原则，即申购、赎回价格以申请当日收市后计算的</w:t>
      </w:r>
      <w:r>
        <w:rPr>
          <w:rFonts w:hint="eastAsia"/>
          <w:bCs/>
          <w:sz w:val="24"/>
        </w:rPr>
        <w:t>基金份额</w:t>
      </w:r>
      <w:r>
        <w:rPr>
          <w:bCs/>
          <w:sz w:val="24"/>
        </w:rPr>
        <w:t>净值为基准进行计算；</w:t>
      </w:r>
    </w:p>
    <w:p>
      <w:pPr>
        <w:spacing w:line="360" w:lineRule="auto"/>
        <w:ind w:firstLine="480" w:firstLineChars="200"/>
        <w:rPr>
          <w:bCs/>
          <w:sz w:val="24"/>
        </w:rPr>
      </w:pPr>
      <w:r>
        <w:rPr>
          <w:bCs/>
          <w:sz w:val="24"/>
        </w:rPr>
        <w:t>2</w:t>
      </w:r>
      <w:r>
        <w:rPr>
          <w:rFonts w:hint="eastAsia"/>
          <w:bCs/>
          <w:sz w:val="24"/>
        </w:rPr>
        <w:t>、</w:t>
      </w:r>
      <w:r>
        <w:rPr>
          <w:bCs/>
          <w:sz w:val="24"/>
        </w:rPr>
        <w:t>“金额申购、份额赎回”原则，即申购以金额申请，赎回以份额申请；</w:t>
      </w:r>
    </w:p>
    <w:p>
      <w:pPr>
        <w:spacing w:line="360" w:lineRule="auto"/>
        <w:ind w:firstLine="480" w:firstLineChars="200"/>
        <w:rPr>
          <w:bCs/>
          <w:sz w:val="24"/>
        </w:rPr>
      </w:pPr>
      <w:r>
        <w:rPr>
          <w:bCs/>
          <w:sz w:val="24"/>
        </w:rPr>
        <w:t>3</w:t>
      </w:r>
      <w:r>
        <w:rPr>
          <w:rFonts w:hint="eastAsia"/>
          <w:bCs/>
          <w:sz w:val="24"/>
        </w:rPr>
        <w:t>、</w:t>
      </w:r>
      <w:r>
        <w:rPr>
          <w:bCs/>
          <w:sz w:val="24"/>
        </w:rPr>
        <w:t>当日的</w:t>
      </w:r>
      <w:r>
        <w:rPr>
          <w:rFonts w:hint="eastAsia"/>
          <w:bCs/>
          <w:sz w:val="24"/>
        </w:rPr>
        <w:t>场外</w:t>
      </w:r>
      <w:r>
        <w:rPr>
          <w:bCs/>
          <w:sz w:val="24"/>
        </w:rPr>
        <w:t>申购与赎回申请可以在基金管理人规定的时间以内撤销</w:t>
      </w:r>
      <w:r>
        <w:rPr>
          <w:rFonts w:hint="eastAsia"/>
          <w:bCs/>
          <w:sz w:val="24"/>
        </w:rPr>
        <w:t>，但申请经登记机构受理的不得撤销</w:t>
      </w:r>
      <w:r>
        <w:rPr>
          <w:bCs/>
          <w:sz w:val="24"/>
        </w:rPr>
        <w:t>；</w:t>
      </w:r>
    </w:p>
    <w:p>
      <w:pPr>
        <w:spacing w:line="360" w:lineRule="auto"/>
        <w:ind w:firstLine="480" w:firstLineChars="200"/>
        <w:rPr>
          <w:bCs/>
          <w:sz w:val="24"/>
        </w:rPr>
      </w:pPr>
      <w:r>
        <w:rPr>
          <w:bCs/>
          <w:sz w:val="24"/>
        </w:rPr>
        <w:t>4</w:t>
      </w:r>
      <w:r>
        <w:rPr>
          <w:rFonts w:hint="eastAsia"/>
          <w:bCs/>
          <w:sz w:val="24"/>
        </w:rPr>
        <w:t>、投资者办理基金份额场外申购、赎回应使用开放式基金账户，办理基金份额场内申购、赎回应使用深圳证券账户；</w:t>
      </w:r>
    </w:p>
    <w:p>
      <w:pPr>
        <w:spacing w:line="360" w:lineRule="auto"/>
        <w:ind w:firstLine="480" w:firstLineChars="200"/>
        <w:rPr>
          <w:bCs/>
          <w:sz w:val="24"/>
        </w:rPr>
      </w:pPr>
      <w:r>
        <w:rPr>
          <w:rFonts w:hint="eastAsia"/>
          <w:bCs/>
          <w:sz w:val="24"/>
        </w:rPr>
        <w:t>5、基金份额持有人在场外赎回基金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spacing w:line="360" w:lineRule="auto"/>
        <w:ind w:firstLine="480" w:firstLineChars="200"/>
        <w:rPr>
          <w:bCs/>
          <w:sz w:val="24"/>
        </w:rPr>
      </w:pPr>
      <w:r>
        <w:rPr>
          <w:rFonts w:hint="eastAsia"/>
          <w:bCs/>
          <w:sz w:val="24"/>
        </w:rPr>
        <w:t>6、投资人通过深圳证券交易所交易系统办理基金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pPr>
        <w:spacing w:line="360" w:lineRule="auto"/>
        <w:ind w:firstLine="480" w:firstLineChars="200"/>
        <w:rPr>
          <w:bCs/>
        </w:rPr>
      </w:pPr>
      <w:r>
        <w:rPr>
          <w:bCs/>
          <w:sz w:val="24"/>
        </w:rPr>
        <w:t>基金管理人可在法律法规允许的情况下，对上述原则进行调整。基金管理人必须在新规则开始实施前依照《信息披露办法》的有关规定在指定媒介上公告。</w:t>
      </w:r>
    </w:p>
    <w:p>
      <w:pPr>
        <w:spacing w:line="360" w:lineRule="auto"/>
        <w:ind w:firstLine="480" w:firstLineChars="200"/>
        <w:rPr>
          <w:bCs/>
          <w:sz w:val="24"/>
        </w:rPr>
      </w:pPr>
      <w:r>
        <w:rPr>
          <w:bCs/>
          <w:sz w:val="24"/>
        </w:rPr>
        <w:t>四、申购与赎回的程序</w:t>
      </w:r>
    </w:p>
    <w:p>
      <w:pPr>
        <w:spacing w:line="360" w:lineRule="auto"/>
        <w:ind w:firstLine="480" w:firstLineChars="200"/>
        <w:rPr>
          <w:bCs/>
          <w:sz w:val="24"/>
        </w:rPr>
      </w:pPr>
      <w:r>
        <w:rPr>
          <w:bCs/>
          <w:sz w:val="24"/>
        </w:rPr>
        <w:t>1</w:t>
      </w:r>
      <w:r>
        <w:rPr>
          <w:rFonts w:hint="eastAsia"/>
          <w:bCs/>
          <w:sz w:val="24"/>
        </w:rPr>
        <w:t>、</w:t>
      </w:r>
      <w:r>
        <w:rPr>
          <w:bCs/>
          <w:sz w:val="24"/>
        </w:rPr>
        <w:t>申购和赎回的申请方式</w:t>
      </w:r>
    </w:p>
    <w:p>
      <w:pPr>
        <w:spacing w:line="360" w:lineRule="auto"/>
        <w:ind w:firstLine="480" w:firstLineChars="20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pPr>
        <w:spacing w:line="360" w:lineRule="auto"/>
        <w:ind w:firstLine="480" w:firstLineChars="200"/>
        <w:rPr>
          <w:bCs/>
          <w:sz w:val="24"/>
        </w:rPr>
      </w:pPr>
      <w:r>
        <w:rPr>
          <w:bCs/>
          <w:sz w:val="24"/>
        </w:rPr>
        <w:t>2</w:t>
      </w:r>
      <w:r>
        <w:rPr>
          <w:rFonts w:hint="eastAsia"/>
          <w:bCs/>
          <w:sz w:val="24"/>
        </w:rPr>
        <w:t>、</w:t>
      </w:r>
      <w:r>
        <w:rPr>
          <w:bCs/>
          <w:sz w:val="24"/>
        </w:rPr>
        <w:t>申购和赎回的款项支付</w:t>
      </w:r>
    </w:p>
    <w:p>
      <w:pPr>
        <w:spacing w:line="360" w:lineRule="auto"/>
        <w:ind w:firstLine="480" w:firstLineChars="200"/>
        <w:rPr>
          <w:bCs/>
          <w:sz w:val="24"/>
          <w:lang w:val="zh-CN"/>
        </w:rPr>
      </w:pPr>
      <w:r>
        <w:rPr>
          <w:bCs/>
          <w:sz w:val="24"/>
          <w:lang w:val="zh-CN"/>
        </w:rPr>
        <w:t>投资人申购</w:t>
      </w:r>
      <w:r>
        <w:rPr>
          <w:rFonts w:hint="eastAsia"/>
          <w:bCs/>
          <w:sz w:val="24"/>
        </w:rPr>
        <w:t>基金份额</w:t>
      </w:r>
      <w:r>
        <w:rPr>
          <w:bCs/>
          <w:sz w:val="24"/>
          <w:lang w:val="zh-CN"/>
        </w:rPr>
        <w:t>时，必须全额交付申购款项，</w:t>
      </w:r>
      <w:r>
        <w:rPr>
          <w:rFonts w:hint="eastAsia"/>
          <w:bCs/>
          <w:sz w:val="24"/>
          <w:lang w:val="zh-CN"/>
        </w:rPr>
        <w:t>若申购资金在规定时间内未全额到账则申购不成立。投资人全额交付申购款项，申购成立；登记机构确认基金份额时，申购生效。</w:t>
      </w:r>
    </w:p>
    <w:p>
      <w:pPr>
        <w:spacing w:line="360" w:lineRule="auto"/>
        <w:ind w:firstLine="480" w:firstLineChars="200"/>
        <w:rPr>
          <w:bCs/>
          <w:sz w:val="24"/>
        </w:rPr>
      </w:pPr>
      <w:r>
        <w:rPr>
          <w:rFonts w:hint="eastAsia"/>
          <w:bCs/>
          <w:sz w:val="24"/>
          <w:lang w:val="zh-CN"/>
        </w:rPr>
        <w:t>投资人递交赎回申请，赎回成立；登记机构确认赎回时，赎回生效。</w:t>
      </w:r>
      <w:bookmarkStart w:id="92" w:name="OLE_LINK22"/>
      <w:bookmarkStart w:id="93" w:name="OLE_LINK23"/>
      <w:r>
        <w:rPr>
          <w:bCs/>
          <w:sz w:val="24"/>
        </w:rPr>
        <w:t>投资人赎回申请成功后，基金管理人将在T＋</w:t>
      </w:r>
      <w:r>
        <w:rPr>
          <w:rFonts w:hint="eastAsia"/>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内支付赎回款项。在发生巨额赎回时，款项的支付办法参照本基金合同有关条款处理。</w:t>
      </w:r>
    </w:p>
    <w:bookmarkEnd w:id="92"/>
    <w:bookmarkEnd w:id="93"/>
    <w:p>
      <w:pPr>
        <w:spacing w:line="360" w:lineRule="auto"/>
        <w:ind w:firstLine="480" w:firstLineChars="200"/>
        <w:rPr>
          <w:bCs/>
          <w:sz w:val="24"/>
        </w:rPr>
      </w:pPr>
      <w:r>
        <w:rPr>
          <w:bCs/>
          <w:sz w:val="24"/>
        </w:rPr>
        <w:t>3</w:t>
      </w:r>
      <w:r>
        <w:rPr>
          <w:rFonts w:hint="eastAsia"/>
          <w:bCs/>
          <w:sz w:val="24"/>
        </w:rPr>
        <w:t>、</w:t>
      </w:r>
      <w:r>
        <w:rPr>
          <w:bCs/>
          <w:sz w:val="24"/>
        </w:rPr>
        <w:t>申购和赎回申请的确认</w:t>
      </w:r>
    </w:p>
    <w:p>
      <w:pPr>
        <w:spacing w:line="360" w:lineRule="auto"/>
        <w:ind w:firstLine="480" w:firstLineChars="20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T日</w:t>
      </w:r>
      <w:r>
        <w:rPr>
          <w:rFonts w:hint="eastAsia"/>
          <w:bCs/>
          <w:sz w:val="24"/>
        </w:rPr>
        <w:t>）</w:t>
      </w:r>
      <w:r>
        <w:rPr>
          <w:bCs/>
          <w:sz w:val="24"/>
        </w:rPr>
        <w:t>，在正常情况下，</w:t>
      </w:r>
      <w:bookmarkStart w:id="94" w:name="OLE_LINK24"/>
      <w:bookmarkStart w:id="95" w:name="OLE_LINK25"/>
      <w:r>
        <w:rPr>
          <w:bCs/>
          <w:sz w:val="24"/>
        </w:rPr>
        <w:t>本基金登记机构在T+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内对该交易的有效性进行确认。T日提交的有效申请，投资人</w:t>
      </w:r>
      <w:r>
        <w:rPr>
          <w:rFonts w:hint="eastAsia"/>
          <w:bCs/>
          <w:sz w:val="24"/>
        </w:rPr>
        <w:t>应</w:t>
      </w:r>
      <w:r>
        <w:rPr>
          <w:bCs/>
          <w:sz w:val="24"/>
        </w:rPr>
        <w:t>在T+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w:t>
      </w:r>
      <w:bookmarkEnd w:id="94"/>
      <w:bookmarkEnd w:id="95"/>
      <w:r>
        <w:rPr>
          <w:bCs/>
          <w:sz w:val="24"/>
        </w:rPr>
        <w:t>若申购不成功，则申购款项退还给投资人。</w:t>
      </w:r>
    </w:p>
    <w:p>
      <w:pPr>
        <w:spacing w:line="360" w:lineRule="auto"/>
        <w:ind w:firstLine="480" w:firstLineChars="200"/>
        <w:rPr>
          <w:rFonts w:ascii="宋体" w:hAnsi="宋体"/>
          <w:sz w:val="24"/>
          <w:szCs w:val="18"/>
        </w:rPr>
      </w:pPr>
      <w:r>
        <w:rPr>
          <w:rFonts w:hint="eastAsia" w:ascii="宋体" w:hAnsi="宋体"/>
          <w:sz w:val="24"/>
          <w:szCs w:val="18"/>
        </w:rPr>
        <w:t>基金管理人可在法律法规允许的范围内，依法对上述申购和赎回申请的确认时间进行调整，并必须在调整实施日前按照《信息披露办法》的有关规定在指定媒介上公告并报中国证监会备案。</w:t>
      </w:r>
    </w:p>
    <w:p>
      <w:pPr>
        <w:spacing w:line="360" w:lineRule="auto"/>
        <w:ind w:firstLine="480" w:firstLineChars="200"/>
        <w:rPr>
          <w:bCs/>
          <w:sz w:val="24"/>
        </w:rPr>
      </w:pPr>
      <w:r>
        <w:rPr>
          <w:rFonts w:hint="eastAsia" w:ascii="宋体" w:hAnsi="宋体"/>
          <w:sz w:val="24"/>
          <w:szCs w:val="18"/>
        </w:rPr>
        <w:t>销售机构对申购、赎回申请的受理并不代表该申请一定成功，而仅代表销售机构确实接收到申购、赎回申请。申购、赎回申请的确认以登记机构的确认结果为准。</w:t>
      </w:r>
      <w:r>
        <w:rPr>
          <w:rFonts w:hint="eastAsia" w:ascii="宋体" w:hAnsi="宋体"/>
          <w:sz w:val="24"/>
        </w:rPr>
        <w:t>对于申请的确认情况，投资者应及时查询。</w:t>
      </w:r>
    </w:p>
    <w:p>
      <w:pPr>
        <w:spacing w:line="360" w:lineRule="auto"/>
        <w:ind w:firstLine="480" w:firstLineChars="200"/>
        <w:rPr>
          <w:bCs/>
          <w:sz w:val="24"/>
        </w:rPr>
      </w:pPr>
      <w:r>
        <w:rPr>
          <w:bCs/>
          <w:sz w:val="24"/>
        </w:rPr>
        <w:t>五、申购和赎回的数量限制</w:t>
      </w:r>
    </w:p>
    <w:p>
      <w:pPr>
        <w:spacing w:line="360" w:lineRule="auto"/>
        <w:ind w:firstLine="480" w:firstLineChars="20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p>
    <w:p>
      <w:pPr>
        <w:spacing w:line="360" w:lineRule="auto"/>
        <w:ind w:firstLine="480" w:firstLineChars="200"/>
        <w:rPr>
          <w:bCs/>
          <w:sz w:val="24"/>
        </w:rPr>
      </w:pPr>
      <w:r>
        <w:rPr>
          <w:bCs/>
          <w:sz w:val="24"/>
        </w:rPr>
        <w:t>2</w:t>
      </w:r>
      <w:r>
        <w:rPr>
          <w:rFonts w:hint="eastAsia"/>
          <w:bCs/>
          <w:sz w:val="24"/>
        </w:rPr>
        <w:t>、</w:t>
      </w:r>
      <w:r>
        <w:rPr>
          <w:bCs/>
          <w:sz w:val="24"/>
        </w:rPr>
        <w:t>基金管理人可以规定投资人每个基金交易账户的最低基金份额</w:t>
      </w:r>
      <w:r>
        <w:rPr>
          <w:rFonts w:hint="eastAsia"/>
          <w:bCs/>
          <w:sz w:val="24"/>
        </w:rPr>
        <w:t>保留</w:t>
      </w:r>
      <w:r>
        <w:rPr>
          <w:bCs/>
          <w:sz w:val="24"/>
        </w:rPr>
        <w:t>余额，具体规定请参见招募说明书。</w:t>
      </w:r>
    </w:p>
    <w:p>
      <w:pPr>
        <w:spacing w:line="360" w:lineRule="auto"/>
        <w:ind w:firstLine="480" w:firstLineChars="200"/>
        <w:rPr>
          <w:bCs/>
          <w:sz w:val="24"/>
        </w:rPr>
      </w:pPr>
      <w:r>
        <w:rPr>
          <w:bCs/>
          <w:sz w:val="24"/>
        </w:rPr>
        <w:t>3</w:t>
      </w:r>
      <w:r>
        <w:rPr>
          <w:rFonts w:hint="eastAsia"/>
          <w:bCs/>
          <w:sz w:val="24"/>
        </w:rPr>
        <w:t>、</w:t>
      </w:r>
      <w:r>
        <w:rPr>
          <w:bCs/>
          <w:sz w:val="24"/>
        </w:rPr>
        <w:t>基金管理人可以规定单个投资人累计持有的基金份额上限，具体规定请参见招募说明书。</w:t>
      </w:r>
    </w:p>
    <w:p>
      <w:pPr>
        <w:spacing w:line="360" w:lineRule="auto"/>
        <w:ind w:firstLine="480" w:firstLineChars="200"/>
        <w:rPr>
          <w:bCs/>
          <w:sz w:val="24"/>
        </w:rPr>
      </w:pPr>
      <w:r>
        <w:rPr>
          <w:rFonts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pPr>
        <w:spacing w:line="360" w:lineRule="auto"/>
        <w:ind w:firstLine="480" w:firstLineChars="200"/>
        <w:rPr>
          <w:bCs/>
          <w:sz w:val="24"/>
        </w:rPr>
      </w:pPr>
      <w:r>
        <w:rPr>
          <w:bCs/>
          <w:sz w:val="24"/>
        </w:rPr>
        <w:t>5</w:t>
      </w:r>
      <w:r>
        <w:rPr>
          <w:rFonts w:hint="eastAsia"/>
          <w:bCs/>
          <w:sz w:val="24"/>
        </w:rPr>
        <w:t>、</w:t>
      </w:r>
      <w:r>
        <w:rPr>
          <w:rFonts w:hint="eastAsia" w:ascii="宋体" w:hAnsi="宋体"/>
          <w:kern w:val="0"/>
          <w:sz w:val="24"/>
        </w:rPr>
        <w:t>对于场内申购、赎回及持有场内</w:t>
      </w:r>
      <w:r>
        <w:rPr>
          <w:rFonts w:hint="eastAsia"/>
          <w:bCs/>
          <w:sz w:val="24"/>
        </w:rPr>
        <w:t>基金份额</w:t>
      </w:r>
      <w:r>
        <w:rPr>
          <w:rFonts w:hint="eastAsia" w:ascii="宋体" w:hAnsi="宋体"/>
          <w:kern w:val="0"/>
          <w:sz w:val="24"/>
        </w:rPr>
        <w:t>的数量限制，深圳证券交易所和中国证券登记结算有限责任公司的相关业务规则有规定的，从其最新规定办理。</w:t>
      </w:r>
    </w:p>
    <w:p>
      <w:pPr>
        <w:spacing w:line="360" w:lineRule="auto"/>
        <w:ind w:firstLine="480" w:firstLineChars="200"/>
        <w:rPr>
          <w:bCs/>
          <w:sz w:val="24"/>
        </w:rPr>
      </w:pPr>
      <w:r>
        <w:rPr>
          <w:bCs/>
          <w:sz w:val="24"/>
        </w:rPr>
        <w:t>6</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w:t>
      </w:r>
      <w:r>
        <w:rPr>
          <w:rFonts w:hint="eastAsia"/>
          <w:bCs/>
          <w:sz w:val="24"/>
        </w:rPr>
        <w:t>和最低基金份额保留余额</w:t>
      </w:r>
      <w:r>
        <w:rPr>
          <w:bCs/>
          <w:sz w:val="24"/>
        </w:rPr>
        <w:t>的数量限制。基金管理人必须在调整</w:t>
      </w:r>
      <w:r>
        <w:rPr>
          <w:rFonts w:hint="eastAsia"/>
          <w:bCs/>
          <w:sz w:val="24"/>
        </w:rPr>
        <w:t>实施</w:t>
      </w:r>
      <w:r>
        <w:rPr>
          <w:bCs/>
          <w:sz w:val="24"/>
        </w:rPr>
        <w:t>前依照《信息披露办法》的有关规定在指定媒介上公告并报中国证监会备案。</w:t>
      </w:r>
    </w:p>
    <w:p>
      <w:pPr>
        <w:spacing w:line="360" w:lineRule="auto"/>
        <w:ind w:firstLine="480" w:firstLineChars="200"/>
        <w:rPr>
          <w:bCs/>
          <w:sz w:val="24"/>
        </w:rPr>
      </w:pPr>
      <w:r>
        <w:rPr>
          <w:bCs/>
          <w:sz w:val="24"/>
        </w:rPr>
        <w:t>六、申购和赎回的价格、费用及其用途</w:t>
      </w:r>
    </w:p>
    <w:p>
      <w:pPr>
        <w:spacing w:line="360" w:lineRule="auto"/>
        <w:ind w:firstLine="480" w:firstLineChars="200"/>
        <w:rPr>
          <w:bCs/>
          <w:sz w:val="24"/>
        </w:rPr>
      </w:pPr>
      <w:r>
        <w:rPr>
          <w:rFonts w:hint="eastAsia"/>
          <w:bCs/>
          <w:sz w:val="24"/>
        </w:rPr>
        <w:t>1、本基金基金份额分为A类基金份额和C类基金份额。投资人申购A类基金份额在申购时支付申购费用；申购C类基金份额不支付申购费用，并从该类别基金资产中计提销售服务费。</w:t>
      </w:r>
    </w:p>
    <w:p>
      <w:pPr>
        <w:spacing w:line="360" w:lineRule="auto"/>
        <w:ind w:firstLine="480" w:firstLineChars="200"/>
        <w:rPr>
          <w:bCs/>
          <w:sz w:val="24"/>
        </w:rPr>
      </w:pPr>
      <w:r>
        <w:rPr>
          <w:bCs/>
          <w:sz w:val="24"/>
        </w:rPr>
        <w:t>2</w:t>
      </w:r>
      <w:r>
        <w:rPr>
          <w:rFonts w:hint="eastAsia"/>
          <w:bCs/>
          <w:sz w:val="24"/>
        </w:rPr>
        <w:t>、本</w:t>
      </w:r>
      <w:r>
        <w:rPr>
          <w:bCs/>
          <w:sz w:val="24"/>
        </w:rPr>
        <w:t>基金A</w:t>
      </w:r>
      <w:r>
        <w:rPr>
          <w:rFonts w:hint="eastAsia"/>
          <w:bCs/>
          <w:sz w:val="24"/>
        </w:rPr>
        <w:t>类基金份额和</w:t>
      </w:r>
      <w:r>
        <w:rPr>
          <w:bCs/>
          <w:sz w:val="24"/>
        </w:rPr>
        <w:t>C</w:t>
      </w:r>
      <w:r>
        <w:rPr>
          <w:rFonts w:hint="eastAsia"/>
          <w:bCs/>
          <w:sz w:val="24"/>
        </w:rPr>
        <w:t>类基金份额的基金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位，小数点后第5位四舍五入，由此产生的收益或损失由基金财产承担。</w:t>
      </w:r>
      <w:bookmarkStart w:id="96" w:name="OLE_LINK27"/>
      <w:bookmarkStart w:id="97" w:name="OLE_LINK26"/>
      <w:r>
        <w:rPr>
          <w:bCs/>
          <w:sz w:val="24"/>
        </w:rPr>
        <w:t>T日的基金份额净值在当天收市后计算，并在T+</w:t>
      </w:r>
      <w:r>
        <w:rPr>
          <w:rFonts w:hint="eastAsia"/>
          <w:bCs/>
          <w:sz w:val="24"/>
        </w:rPr>
        <w:t>1</w:t>
      </w:r>
      <w:r>
        <w:rPr>
          <w:bCs/>
          <w:sz w:val="24"/>
        </w:rPr>
        <w:t>日</w:t>
      </w:r>
      <w:r>
        <w:rPr>
          <w:rFonts w:hint="eastAsia"/>
          <w:bCs/>
          <w:sz w:val="24"/>
        </w:rPr>
        <w:t>（</w:t>
      </w:r>
      <w:r>
        <w:rPr>
          <w:bCs/>
          <w:sz w:val="24"/>
        </w:rPr>
        <w:t>包括该日</w:t>
      </w:r>
      <w:r>
        <w:rPr>
          <w:rFonts w:hint="eastAsia"/>
          <w:bCs/>
          <w:sz w:val="24"/>
        </w:rPr>
        <w:t>）</w:t>
      </w:r>
      <w:r>
        <w:rPr>
          <w:bCs/>
          <w:sz w:val="24"/>
        </w:rPr>
        <w:t>内公告。</w:t>
      </w:r>
      <w:bookmarkEnd w:id="96"/>
      <w:bookmarkEnd w:id="97"/>
      <w:r>
        <w:rPr>
          <w:bCs/>
          <w:sz w:val="24"/>
        </w:rPr>
        <w:t>遇特殊情况，经中国证监会同意，可以适当延迟计算或公告。</w:t>
      </w:r>
    </w:p>
    <w:p>
      <w:pPr>
        <w:spacing w:line="360" w:lineRule="auto"/>
        <w:ind w:firstLine="480" w:firstLineChars="200"/>
        <w:rPr>
          <w:bCs/>
          <w:sz w:val="24"/>
        </w:rPr>
      </w:pPr>
      <w:r>
        <w:rPr>
          <w:bCs/>
          <w:sz w:val="24"/>
        </w:rPr>
        <w:t>3</w:t>
      </w:r>
      <w:r>
        <w:rPr>
          <w:rFonts w:hint="eastAsia"/>
          <w:bCs/>
          <w:sz w:val="24"/>
        </w:rPr>
        <w:t>、</w:t>
      </w:r>
      <w:r>
        <w:rPr>
          <w:bCs/>
          <w:sz w:val="24"/>
        </w:rPr>
        <w:t>申购份额的计算及余额的处理方式：</w:t>
      </w:r>
      <w:r>
        <w:rPr>
          <w:rFonts w:hint="eastAsia"/>
          <w:bCs/>
          <w:sz w:val="24"/>
        </w:rPr>
        <w:t>本基金</w:t>
      </w:r>
      <w:r>
        <w:rPr>
          <w:bCs/>
          <w:sz w:val="24"/>
        </w:rPr>
        <w:t>申购份额的计算详见《招募说明书》。</w:t>
      </w:r>
      <w:r>
        <w:rPr>
          <w:rFonts w:hint="eastAsia"/>
          <w:bCs/>
          <w:sz w:val="24"/>
        </w:rPr>
        <w:t>本基金</w:t>
      </w:r>
      <w:r>
        <w:rPr>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中列示。申购A</w:t>
      </w:r>
      <w:r>
        <w:rPr>
          <w:rFonts w:hint="eastAsia"/>
          <w:bCs/>
          <w:sz w:val="24"/>
        </w:rPr>
        <w:t>类基金份额或</w:t>
      </w:r>
      <w:r>
        <w:rPr>
          <w:bCs/>
          <w:sz w:val="24"/>
        </w:rPr>
        <w:t>C</w:t>
      </w:r>
      <w:r>
        <w:rPr>
          <w:rFonts w:hint="eastAsia"/>
          <w:bCs/>
          <w:sz w:val="24"/>
        </w:rPr>
        <w:t>类基金份额</w:t>
      </w:r>
      <w:r>
        <w:rPr>
          <w:bCs/>
          <w:sz w:val="24"/>
        </w:rPr>
        <w:t>的有效份额为净申购金额除以当日</w:t>
      </w:r>
      <w:r>
        <w:rPr>
          <w:rFonts w:hint="eastAsia"/>
          <w:bCs/>
          <w:sz w:val="24"/>
        </w:rPr>
        <w:t>该类基金份额</w:t>
      </w:r>
      <w:r>
        <w:rPr>
          <w:bCs/>
          <w:sz w:val="24"/>
        </w:rPr>
        <w:t>的基金份额净值，有效份额单位为份</w:t>
      </w:r>
      <w:r>
        <w:rPr>
          <w:rFonts w:hint="eastAsia"/>
          <w:bCs/>
          <w:sz w:val="24"/>
        </w:rPr>
        <w:t>，</w:t>
      </w:r>
      <w:r>
        <w:rPr>
          <w:rFonts w:hint="eastAsia" w:ascii="宋体" w:hAnsi="宋体"/>
          <w:sz w:val="24"/>
        </w:rPr>
        <w:t>场外申购份额</w:t>
      </w:r>
      <w:r>
        <w:rPr>
          <w:rFonts w:hint="eastAsia"/>
          <w:bCs/>
          <w:sz w:val="24"/>
        </w:rPr>
        <w:t>计算结果按四舍五入方法，保留到小数点后</w:t>
      </w:r>
      <w:r>
        <w:rPr>
          <w:bCs/>
          <w:sz w:val="24"/>
        </w:rPr>
        <w:t>2</w:t>
      </w:r>
      <w:r>
        <w:rPr>
          <w:rFonts w:hint="eastAsia"/>
          <w:bCs/>
          <w:sz w:val="24"/>
        </w:rPr>
        <w:t>位，由此产生的收益或损失由基金财产承担；</w:t>
      </w:r>
      <w:r>
        <w:rPr>
          <w:rFonts w:hint="eastAsia" w:hAnsi="宋体"/>
          <w:sz w:val="24"/>
        </w:rPr>
        <w:t>场内申购份额计算结果</w:t>
      </w:r>
      <w:r>
        <w:rPr>
          <w:rFonts w:hint="eastAsia" w:ascii="宋体" w:hAnsi="宋体"/>
          <w:sz w:val="24"/>
        </w:rPr>
        <w:t>采用截位的方式</w:t>
      </w:r>
      <w:r>
        <w:rPr>
          <w:rFonts w:hAnsi="宋体"/>
          <w:sz w:val="24"/>
        </w:rPr>
        <w:t>，保留到整数位，剩余部分折回金额返回投资人</w:t>
      </w:r>
      <w:r>
        <w:rPr>
          <w:rFonts w:hint="eastAsia"/>
          <w:bCs/>
          <w:sz w:val="24"/>
        </w:rPr>
        <w:t>。</w:t>
      </w:r>
    </w:p>
    <w:p>
      <w:pPr>
        <w:spacing w:line="360" w:lineRule="auto"/>
        <w:ind w:firstLine="480" w:firstLineChars="200"/>
        <w:rPr>
          <w:bCs/>
          <w:sz w:val="24"/>
        </w:rPr>
      </w:pPr>
      <w:r>
        <w:rPr>
          <w:bCs/>
          <w:sz w:val="24"/>
        </w:rPr>
        <w:t>4</w:t>
      </w:r>
      <w:r>
        <w:rPr>
          <w:rFonts w:hint="eastAsia"/>
          <w:bCs/>
          <w:sz w:val="24"/>
        </w:rPr>
        <w:t>、赎回金额的计算及处理方式：本基金赎回金额的计算详见《招</w:t>
      </w:r>
      <w:r>
        <w:rPr>
          <w:bCs/>
          <w:sz w:val="24"/>
        </w:rPr>
        <w:t>募说明书》。</w:t>
      </w:r>
      <w:r>
        <w:rPr>
          <w:rFonts w:hint="eastAsia"/>
          <w:bCs/>
          <w:sz w:val="24"/>
        </w:rPr>
        <w:t>本基金</w:t>
      </w:r>
      <w:r>
        <w:rPr>
          <w:bCs/>
          <w:sz w:val="24"/>
        </w:rPr>
        <w:t>A</w:t>
      </w:r>
      <w:r>
        <w:rPr>
          <w:rFonts w:hint="eastAsia"/>
          <w:bCs/>
          <w:sz w:val="24"/>
        </w:rPr>
        <w:t>类基金份额和</w:t>
      </w:r>
      <w:r>
        <w:rPr>
          <w:bCs/>
          <w:sz w:val="24"/>
        </w:rPr>
        <w:t>C</w:t>
      </w:r>
      <w:r>
        <w:rPr>
          <w:rFonts w:hint="eastAsia"/>
          <w:bCs/>
          <w:sz w:val="24"/>
        </w:rPr>
        <w:t>类基金份额</w:t>
      </w:r>
      <w:r>
        <w:rPr>
          <w:bCs/>
          <w:sz w:val="24"/>
        </w:rPr>
        <w:t>的赎回费率由基金管理人决定，并在招募说明书</w:t>
      </w:r>
      <w:r>
        <w:rPr>
          <w:rFonts w:hint="eastAsia"/>
          <w:bCs/>
          <w:sz w:val="24"/>
        </w:rPr>
        <w:t>及基金产品资料概要</w:t>
      </w:r>
      <w:r>
        <w:rPr>
          <w:bCs/>
          <w:sz w:val="24"/>
        </w:rPr>
        <w:t>中列示。赎回金额为按实际确认的A</w:t>
      </w:r>
      <w:r>
        <w:rPr>
          <w:rFonts w:hint="eastAsia"/>
          <w:bCs/>
          <w:sz w:val="24"/>
        </w:rPr>
        <w:t>类基金份额和</w:t>
      </w:r>
      <w:r>
        <w:rPr>
          <w:bCs/>
          <w:sz w:val="24"/>
        </w:rPr>
        <w:t>C</w:t>
      </w:r>
      <w:r>
        <w:rPr>
          <w:rFonts w:hint="eastAsia"/>
          <w:bCs/>
          <w:sz w:val="24"/>
        </w:rPr>
        <w:t>类基金份额</w:t>
      </w:r>
      <w:r>
        <w:rPr>
          <w:bCs/>
          <w:sz w:val="24"/>
        </w:rPr>
        <w:t>有效赎回份额乘以当日</w:t>
      </w:r>
      <w:r>
        <w:rPr>
          <w:rFonts w:hint="eastAsia"/>
          <w:bCs/>
          <w:sz w:val="24"/>
        </w:rPr>
        <w:t>该类基金份额的</w:t>
      </w:r>
      <w:r>
        <w:rPr>
          <w:bCs/>
          <w:sz w:val="24"/>
        </w:rPr>
        <w:t>基金份额净值并扣除相应的费用。</w:t>
      </w:r>
      <w:r>
        <w:rPr>
          <w:rFonts w:hint="eastAsia" w:ascii="宋体" w:hAnsi="宋体"/>
          <w:sz w:val="24"/>
        </w:rPr>
        <w:t>赎回金额</w:t>
      </w:r>
      <w:r>
        <w:rPr>
          <w:bCs/>
          <w:sz w:val="24"/>
        </w:rPr>
        <w:t>计算结果按四舍五入方法，保留到小数点后</w:t>
      </w:r>
      <w:r>
        <w:rPr>
          <w:rFonts w:hint="eastAsia"/>
          <w:bCs/>
          <w:sz w:val="24"/>
        </w:rPr>
        <w:t>2</w:t>
      </w:r>
      <w:r>
        <w:rPr>
          <w:bCs/>
          <w:sz w:val="24"/>
        </w:rPr>
        <w:t>位，由此产生的收益或损失由基金财产承担。</w:t>
      </w:r>
    </w:p>
    <w:p>
      <w:pPr>
        <w:spacing w:line="360" w:lineRule="auto"/>
        <w:ind w:firstLine="480" w:firstLineChars="200"/>
        <w:rPr>
          <w:bCs/>
          <w:sz w:val="24"/>
        </w:rPr>
      </w:pPr>
      <w:r>
        <w:rPr>
          <w:bCs/>
          <w:sz w:val="24"/>
        </w:rPr>
        <w:t>5</w:t>
      </w:r>
      <w:r>
        <w:rPr>
          <w:rFonts w:hint="eastAsia"/>
          <w:bCs/>
          <w:sz w:val="24"/>
        </w:rPr>
        <w:t>、本基金</w:t>
      </w:r>
      <w:r>
        <w:rPr>
          <w:bCs/>
          <w:sz w:val="24"/>
        </w:rPr>
        <w:t>A</w:t>
      </w:r>
      <w:r>
        <w:rPr>
          <w:rFonts w:hint="eastAsia"/>
          <w:bCs/>
          <w:sz w:val="24"/>
        </w:rPr>
        <w:t>类基金份额的申购费用由申购</w:t>
      </w:r>
      <w:r>
        <w:rPr>
          <w:bCs/>
          <w:sz w:val="24"/>
        </w:rPr>
        <w:t>A</w:t>
      </w:r>
      <w:r>
        <w:rPr>
          <w:rFonts w:hint="eastAsia"/>
          <w:bCs/>
          <w:sz w:val="24"/>
        </w:rPr>
        <w:t>类基金份额的</w:t>
      </w:r>
      <w:r>
        <w:rPr>
          <w:bCs/>
          <w:sz w:val="24"/>
        </w:rPr>
        <w:t>投资人承担，不列入基金财产。</w:t>
      </w:r>
    </w:p>
    <w:p>
      <w:pPr>
        <w:spacing w:line="360" w:lineRule="auto"/>
        <w:ind w:firstLine="480" w:firstLineChars="200"/>
        <w:rPr>
          <w:bCs/>
          <w:sz w:val="24"/>
        </w:rPr>
      </w:pPr>
      <w:r>
        <w:rPr>
          <w:bCs/>
          <w:sz w:val="24"/>
        </w:rPr>
        <w:t>6</w:t>
      </w:r>
      <w:r>
        <w:rPr>
          <w:rFonts w:hint="eastAsia"/>
          <w:bCs/>
          <w:sz w:val="24"/>
        </w:rPr>
        <w:t>、本基金</w:t>
      </w:r>
      <w:r>
        <w:rPr>
          <w:bCs/>
          <w:sz w:val="24"/>
        </w:rPr>
        <w:t>A</w:t>
      </w:r>
      <w:r>
        <w:rPr>
          <w:rFonts w:hint="eastAsia"/>
          <w:bCs/>
          <w:sz w:val="24"/>
        </w:rPr>
        <w:t>类基金份额和</w:t>
      </w:r>
      <w:r>
        <w:rPr>
          <w:bCs/>
          <w:sz w:val="24"/>
        </w:rPr>
        <w:t>C</w:t>
      </w:r>
      <w:r>
        <w:rPr>
          <w:rFonts w:hint="eastAsia"/>
          <w:bCs/>
          <w:sz w:val="24"/>
        </w:rPr>
        <w:t>类基金份额的</w:t>
      </w:r>
      <w:r>
        <w:rPr>
          <w:bCs/>
          <w:sz w:val="24"/>
        </w:rPr>
        <w:t>赎回费用由赎回该类</w:t>
      </w:r>
      <w:r>
        <w:rPr>
          <w:rFonts w:hint="eastAsia"/>
          <w:bCs/>
          <w:sz w:val="24"/>
        </w:rPr>
        <w:t>基金份额</w:t>
      </w:r>
      <w:r>
        <w:rPr>
          <w:bCs/>
          <w:sz w:val="24"/>
        </w:rPr>
        <w:t>的基金份额持有人承担，在基金份额持有人赎回基金份额时收取。</w:t>
      </w:r>
      <w:r>
        <w:rPr>
          <w:rFonts w:hint="eastAsia"/>
          <w:bCs/>
          <w:sz w:val="24"/>
        </w:rPr>
        <w:t>赎回费用纳入基金财产的比例详见招募说明书，未归入基金财产的部分</w:t>
      </w:r>
      <w:r>
        <w:rPr>
          <w:bCs/>
          <w:sz w:val="24"/>
        </w:rPr>
        <w:t>用于支付登记费和其他必要的手续费</w:t>
      </w:r>
      <w:r>
        <w:rPr>
          <w:rFonts w:hint="eastAsia"/>
          <w:bCs/>
          <w:sz w:val="24"/>
        </w:rPr>
        <w:t>。其中，对持续持有期少于7日的投资者收取不低于1.5%的赎回费并全额计入基金财产。</w:t>
      </w:r>
    </w:p>
    <w:p>
      <w:pPr>
        <w:spacing w:line="360" w:lineRule="auto"/>
        <w:ind w:firstLine="480" w:firstLineChars="20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pPr>
        <w:spacing w:line="360" w:lineRule="auto"/>
        <w:ind w:firstLine="480" w:firstLineChars="200"/>
        <w:rPr>
          <w:bCs/>
          <w:sz w:val="24"/>
        </w:rPr>
      </w:pPr>
      <w:r>
        <w:rPr>
          <w:bCs/>
          <w:sz w:val="24"/>
        </w:rPr>
        <w:t>8、</w:t>
      </w:r>
      <w:r>
        <w:rPr>
          <w:rFonts w:hint="eastAsia" w:ascii="宋体" w:hAnsi="宋体"/>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spacing w:line="360" w:lineRule="auto"/>
        <w:ind w:firstLine="480" w:firstLineChars="200"/>
        <w:rPr>
          <w:bCs/>
          <w:sz w:val="24"/>
        </w:rPr>
      </w:pPr>
      <w:r>
        <w:rPr>
          <w:bCs/>
          <w:sz w:val="24"/>
        </w:rPr>
        <w:t>七</w:t>
      </w:r>
      <w:r>
        <w:rPr>
          <w:rFonts w:hint="eastAsia"/>
          <w:bCs/>
          <w:sz w:val="24"/>
        </w:rPr>
        <w:t>、</w:t>
      </w:r>
      <w:r>
        <w:rPr>
          <w:bCs/>
          <w:sz w:val="24"/>
        </w:rPr>
        <w:t>拒绝或暂停申购的情形</w:t>
      </w:r>
    </w:p>
    <w:p>
      <w:pPr>
        <w:spacing w:line="360" w:lineRule="auto"/>
        <w:ind w:firstLine="480" w:firstLineChars="200"/>
        <w:rPr>
          <w:bCs/>
          <w:sz w:val="24"/>
        </w:rPr>
      </w:pPr>
      <w:r>
        <w:rPr>
          <w:bCs/>
          <w:sz w:val="24"/>
        </w:rPr>
        <w:t>发生下列情况时，基金管理人可拒绝或暂停接受投资人的申购申请：</w:t>
      </w:r>
    </w:p>
    <w:p>
      <w:pPr>
        <w:spacing w:line="360" w:lineRule="auto"/>
        <w:ind w:firstLine="480" w:firstLineChars="200"/>
        <w:rPr>
          <w:bCs/>
          <w:sz w:val="24"/>
        </w:rPr>
      </w:pPr>
      <w:r>
        <w:rPr>
          <w:bCs/>
          <w:sz w:val="24"/>
        </w:rPr>
        <w:t>1</w:t>
      </w:r>
      <w:r>
        <w:rPr>
          <w:rFonts w:hint="eastAsia"/>
          <w:bCs/>
          <w:sz w:val="24"/>
        </w:rPr>
        <w:t>、</w:t>
      </w:r>
      <w:r>
        <w:rPr>
          <w:bCs/>
          <w:sz w:val="24"/>
        </w:rPr>
        <w:t>因不可抗力导致基金无法正常运作。</w:t>
      </w:r>
    </w:p>
    <w:p>
      <w:pPr>
        <w:spacing w:line="360" w:lineRule="auto"/>
        <w:ind w:firstLine="480" w:firstLineChars="200"/>
        <w:rPr>
          <w:bCs/>
          <w:sz w:val="24"/>
        </w:rPr>
      </w:pPr>
      <w:r>
        <w:rPr>
          <w:bCs/>
          <w:sz w:val="24"/>
        </w:rPr>
        <w:t>2</w:t>
      </w:r>
      <w:r>
        <w:rPr>
          <w:rFonts w:hint="eastAsia"/>
          <w:bCs/>
          <w:sz w:val="24"/>
        </w:rPr>
        <w:t>、发生基金合同规定的暂停基金资产估值情况时，基金管理人可暂停接受投资人的申购申请。</w:t>
      </w:r>
    </w:p>
    <w:p>
      <w:pPr>
        <w:spacing w:line="360" w:lineRule="auto"/>
        <w:ind w:firstLine="480" w:firstLineChars="200"/>
        <w:rPr>
          <w:bCs/>
          <w:sz w:val="24"/>
        </w:rPr>
      </w:pPr>
      <w:bookmarkStart w:id="98" w:name="OLE_LINK28"/>
      <w:bookmarkStart w:id="99" w:name="OLE_LINK29"/>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交易所交易时间非正常停市，导致基金管理人无法计算当日基金资产净值。</w:t>
      </w:r>
    </w:p>
    <w:bookmarkEnd w:id="98"/>
    <w:bookmarkEnd w:id="99"/>
    <w:p>
      <w:pPr>
        <w:spacing w:line="360" w:lineRule="auto"/>
        <w:ind w:firstLine="480" w:firstLineChars="200"/>
        <w:rPr>
          <w:bCs/>
          <w:sz w:val="24"/>
        </w:rPr>
      </w:pPr>
      <w:bookmarkStart w:id="100" w:name="_Hlt70481650"/>
      <w:bookmarkEnd w:id="100"/>
      <w:r>
        <w:rPr>
          <w:rFonts w:hint="eastAsia"/>
          <w:bCs/>
          <w:sz w:val="24"/>
        </w:rPr>
        <w:t>4、</w:t>
      </w:r>
      <w:r>
        <w:rPr>
          <w:bCs/>
          <w:sz w:val="24"/>
        </w:rPr>
        <w:t>基金管理人认为接受某笔或某些申购申请可能会影响或损害现有基金份额持有人利益时。</w:t>
      </w:r>
    </w:p>
    <w:p>
      <w:pPr>
        <w:spacing w:line="360" w:lineRule="auto"/>
        <w:ind w:firstLine="480" w:firstLineChars="200"/>
        <w:rPr>
          <w:bCs/>
          <w:sz w:val="24"/>
        </w:rPr>
      </w:pPr>
      <w:r>
        <w:rPr>
          <w:rFonts w:hint="eastAsia"/>
          <w:bCs/>
          <w:sz w:val="24"/>
        </w:rPr>
        <w:t>5、</w:t>
      </w:r>
      <w:r>
        <w:rPr>
          <w:bCs/>
          <w:sz w:val="24"/>
        </w:rPr>
        <w:t>基金资产规模过大，使基金管理人无法找到合适的投资品种，或其他可能对基金业绩产生负面影响，</w:t>
      </w:r>
      <w:r>
        <w:rPr>
          <w:rFonts w:hint="eastAsia"/>
          <w:bCs/>
          <w:sz w:val="24"/>
        </w:rPr>
        <w:t>或基金管理人认定的其他</w:t>
      </w:r>
      <w:r>
        <w:rPr>
          <w:bCs/>
          <w:sz w:val="24"/>
        </w:rPr>
        <w:t>损害现有基金份额持有人利益的情形。</w:t>
      </w:r>
    </w:p>
    <w:p>
      <w:pPr>
        <w:spacing w:line="360" w:lineRule="auto"/>
        <w:ind w:firstLine="480" w:firstLineChars="200"/>
        <w:rPr>
          <w:bCs/>
          <w:sz w:val="24"/>
        </w:rPr>
      </w:pPr>
      <w:bookmarkStart w:id="101" w:name="OLE_LINK30"/>
      <w:bookmarkStart w:id="102" w:name="OLE_LINK31"/>
      <w:r>
        <w:rPr>
          <w:rFonts w:hint="eastAsia"/>
          <w:bCs/>
          <w:sz w:val="24"/>
        </w:rPr>
        <w:t>6、基金管理人、基金托管人、基金销售机构、基金销售支付结算机构或登记机构的异常情况导致基金销售系统、基金销售支付结算系统、基金注册登记系统或基金会计系统无法正常运行。</w:t>
      </w:r>
    </w:p>
    <w:p>
      <w:pPr>
        <w:spacing w:line="360" w:lineRule="auto"/>
        <w:ind w:firstLine="480" w:firstLineChars="200"/>
        <w:rPr>
          <w:bCs/>
          <w:sz w:val="24"/>
        </w:rPr>
      </w:pPr>
      <w:r>
        <w:rPr>
          <w:rFonts w:hint="eastAsia"/>
          <w:bCs/>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pPr>
        <w:spacing w:line="360" w:lineRule="auto"/>
        <w:ind w:firstLine="480" w:firstLineChars="200"/>
        <w:rPr>
          <w:bCs/>
          <w:sz w:val="24"/>
        </w:rPr>
      </w:pPr>
      <w:r>
        <w:rPr>
          <w:rFonts w:hint="eastAsia"/>
          <w:bCs/>
          <w:sz w:val="24"/>
        </w:rPr>
        <w:t>8、基金管理人接受某笔或者某些申购申请有可能导致单一投资者持有基金份额的比例超过50%，或者变相规避50%集中度的情形时。出现上述情形时，基金管理人有权将上述申购申请全部或部分确认失败。</w:t>
      </w:r>
    </w:p>
    <w:p>
      <w:pPr>
        <w:spacing w:line="360" w:lineRule="auto"/>
        <w:ind w:firstLine="480" w:firstLineChars="200"/>
        <w:rPr>
          <w:bCs/>
          <w:sz w:val="24"/>
        </w:rPr>
      </w:pPr>
      <w:r>
        <w:rPr>
          <w:bCs/>
          <w:sz w:val="24"/>
        </w:rPr>
        <w:t>9</w:t>
      </w:r>
      <w:r>
        <w:rPr>
          <w:rFonts w:hint="eastAsia"/>
          <w:bCs/>
          <w:sz w:val="24"/>
        </w:rPr>
        <w:t>、</w:t>
      </w:r>
      <w:bookmarkEnd w:id="101"/>
      <w:bookmarkEnd w:id="102"/>
      <w:r>
        <w:rPr>
          <w:rFonts w:hint="eastAsia"/>
          <w:bCs/>
          <w:sz w:val="24"/>
        </w:rPr>
        <w:t>基金合同约定、</w:t>
      </w:r>
      <w:r>
        <w:rPr>
          <w:bCs/>
          <w:sz w:val="24"/>
        </w:rPr>
        <w:t>法律法规规定或中国证监会认定的其他情形。</w:t>
      </w:r>
    </w:p>
    <w:p>
      <w:pPr>
        <w:spacing w:line="360" w:lineRule="auto"/>
        <w:ind w:firstLine="480" w:firstLineChars="200"/>
        <w:rPr>
          <w:bCs/>
        </w:rPr>
      </w:pPr>
      <w:r>
        <w:rPr>
          <w:bCs/>
          <w:sz w:val="24"/>
        </w:rPr>
        <w:t>发生上述</w:t>
      </w:r>
      <w:r>
        <w:rPr>
          <w:rFonts w:hint="eastAsia"/>
          <w:bCs/>
          <w:sz w:val="24"/>
        </w:rPr>
        <w:t>除第</w:t>
      </w:r>
      <w:r>
        <w:rPr>
          <w:bCs/>
          <w:sz w:val="24"/>
        </w:rPr>
        <w:t>4</w:t>
      </w:r>
      <w:r>
        <w:rPr>
          <w:rFonts w:hint="eastAsia"/>
          <w:bCs/>
          <w:sz w:val="24"/>
        </w:rPr>
        <w:t>、8</w:t>
      </w:r>
      <w:r>
        <w:rPr>
          <w:bCs/>
          <w:sz w:val="24"/>
        </w:rPr>
        <w:t>项</w:t>
      </w:r>
      <w:r>
        <w:rPr>
          <w:rFonts w:hint="eastAsia"/>
          <w:bCs/>
          <w:sz w:val="24"/>
        </w:rPr>
        <w:t>以外的</w:t>
      </w:r>
      <w:r>
        <w:rPr>
          <w:bCs/>
          <w:sz w:val="24"/>
        </w:rPr>
        <w:t>暂停申购情形</w:t>
      </w:r>
      <w:r>
        <w:rPr>
          <w:rFonts w:hint="eastAsia"/>
          <w:bCs/>
          <w:sz w:val="24"/>
        </w:rPr>
        <w:t>之一</w:t>
      </w:r>
      <w:r>
        <w:rPr>
          <w:rFonts w:hAnsi="宋体"/>
          <w:sz w:val="24"/>
          <w:szCs w:val="18"/>
        </w:rPr>
        <w:t>且基金管理人决定暂停</w:t>
      </w:r>
      <w:r>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pPr>
        <w:spacing w:line="360" w:lineRule="auto"/>
        <w:ind w:firstLine="480" w:firstLineChars="200"/>
        <w:rPr>
          <w:bCs/>
          <w:sz w:val="24"/>
        </w:rPr>
      </w:pPr>
      <w:r>
        <w:rPr>
          <w:bCs/>
          <w:sz w:val="24"/>
        </w:rPr>
        <w:t>八</w:t>
      </w:r>
      <w:r>
        <w:rPr>
          <w:rFonts w:hint="eastAsia"/>
          <w:bCs/>
          <w:sz w:val="24"/>
        </w:rPr>
        <w:t>、</w:t>
      </w:r>
      <w:r>
        <w:rPr>
          <w:bCs/>
          <w:sz w:val="24"/>
        </w:rPr>
        <w:t>暂停赎回或延缓支付赎回款项的情形</w:t>
      </w:r>
    </w:p>
    <w:p>
      <w:pPr>
        <w:spacing w:line="360" w:lineRule="auto"/>
        <w:ind w:firstLine="480" w:firstLineChars="200"/>
        <w:rPr>
          <w:bCs/>
          <w:sz w:val="24"/>
        </w:rPr>
      </w:pPr>
      <w:r>
        <w:rPr>
          <w:bCs/>
          <w:sz w:val="24"/>
        </w:rPr>
        <w:t>发生下列情形时，基金管理人可暂停接受投资人的赎回申请或延缓支付赎回款项：</w:t>
      </w:r>
    </w:p>
    <w:p>
      <w:pPr>
        <w:spacing w:line="360" w:lineRule="auto"/>
        <w:ind w:firstLine="480" w:firstLineChars="200"/>
        <w:rPr>
          <w:bCs/>
          <w:sz w:val="24"/>
        </w:rPr>
      </w:pPr>
      <w:r>
        <w:rPr>
          <w:bCs/>
          <w:sz w:val="24"/>
        </w:rPr>
        <w:t>1</w:t>
      </w:r>
      <w:r>
        <w:rPr>
          <w:rFonts w:hint="eastAsia"/>
          <w:bCs/>
          <w:sz w:val="24"/>
        </w:rPr>
        <w:t>、</w:t>
      </w:r>
      <w:r>
        <w:rPr>
          <w:bCs/>
          <w:sz w:val="24"/>
        </w:rPr>
        <w:t>因不可抗力导致基金管理人不能支付赎回款项。</w:t>
      </w:r>
    </w:p>
    <w:p>
      <w:pPr>
        <w:spacing w:line="360" w:lineRule="auto"/>
        <w:ind w:firstLine="480" w:firstLineChars="200"/>
        <w:rPr>
          <w:bCs/>
          <w:sz w:val="24"/>
        </w:rPr>
      </w:pPr>
      <w:r>
        <w:rPr>
          <w:bCs/>
          <w:sz w:val="24"/>
        </w:rPr>
        <w:t>2</w:t>
      </w:r>
      <w:r>
        <w:rPr>
          <w:rFonts w:hint="eastAsia"/>
          <w:bCs/>
          <w:sz w:val="24"/>
        </w:rPr>
        <w:t>、发生基金合同规定的暂停基金资产估值情况时，基金管理人可暂停接受投资人的赎回申请或延缓支付赎回款项。</w:t>
      </w:r>
    </w:p>
    <w:p>
      <w:pPr>
        <w:spacing w:line="360" w:lineRule="auto"/>
        <w:ind w:firstLine="480" w:firstLineChars="200"/>
        <w:rPr>
          <w:bCs/>
          <w:sz w:val="24"/>
        </w:rPr>
      </w:pPr>
      <w:bookmarkStart w:id="103" w:name="OLE_LINK34"/>
      <w:bookmarkStart w:id="104" w:name="OLE_LINK35"/>
      <w:r>
        <w:rPr>
          <w:rFonts w:hint="eastAsia"/>
          <w:bCs/>
          <w:sz w:val="24"/>
        </w:rPr>
        <w:t>3、</w:t>
      </w:r>
      <w:r>
        <w:rPr>
          <w:bCs/>
          <w:sz w:val="24"/>
        </w:rPr>
        <w:t>证券</w:t>
      </w:r>
      <w:r>
        <w:rPr>
          <w:rFonts w:hint="eastAsia"/>
          <w:bCs/>
          <w:sz w:val="24"/>
        </w:rPr>
        <w:t>、期货</w:t>
      </w:r>
      <w:r>
        <w:rPr>
          <w:bCs/>
          <w:sz w:val="24"/>
        </w:rPr>
        <w:t>交易所交易时间非正常停市，导致基金管理人无法计算当日基金资产</w:t>
      </w:r>
      <w:bookmarkStart w:id="105" w:name="_Hlt152500890"/>
      <w:r>
        <w:rPr>
          <w:bCs/>
          <w:sz w:val="24"/>
        </w:rPr>
        <w:t>净值。</w:t>
      </w:r>
    </w:p>
    <w:bookmarkEnd w:id="103"/>
    <w:bookmarkEnd w:id="104"/>
    <w:p>
      <w:pPr>
        <w:spacing w:line="360" w:lineRule="auto"/>
        <w:ind w:firstLine="480" w:firstLineChars="200"/>
        <w:rPr>
          <w:bCs/>
          <w:sz w:val="24"/>
        </w:rPr>
      </w:pPr>
      <w:r>
        <w:rPr>
          <w:rFonts w:hint="eastAsia"/>
          <w:bCs/>
          <w:sz w:val="24"/>
        </w:rPr>
        <w:t>4、</w:t>
      </w:r>
      <w:r>
        <w:rPr>
          <w:bCs/>
          <w:sz w:val="24"/>
        </w:rPr>
        <w:t>连续两个或两个以上开放日发生巨额赎回。</w:t>
      </w:r>
    </w:p>
    <w:bookmarkEnd w:id="105"/>
    <w:p>
      <w:pPr>
        <w:spacing w:line="360" w:lineRule="auto"/>
        <w:ind w:firstLine="480" w:firstLineChars="200"/>
        <w:rPr>
          <w:bCs/>
          <w:sz w:val="24"/>
        </w:rPr>
      </w:pPr>
      <w:r>
        <w:rPr>
          <w:rFonts w:hint="eastAsia"/>
          <w:bCs/>
          <w:sz w:val="24"/>
        </w:rPr>
        <w:t>5、继续接受赎回申请将损害</w:t>
      </w:r>
      <w:r>
        <w:rPr>
          <w:bCs/>
          <w:sz w:val="24"/>
        </w:rPr>
        <w:t>现有基金份额持有人利益的情形</w:t>
      </w:r>
      <w:r>
        <w:rPr>
          <w:rFonts w:hint="eastAsia"/>
          <w:bCs/>
          <w:sz w:val="24"/>
        </w:rPr>
        <w:t>时，可暂停接受投资人的赎回申请。</w:t>
      </w:r>
    </w:p>
    <w:p>
      <w:pPr>
        <w:spacing w:line="360" w:lineRule="auto"/>
        <w:ind w:firstLine="480" w:firstLineChars="200"/>
        <w:rPr>
          <w:bCs/>
          <w:sz w:val="24"/>
        </w:rPr>
      </w:pPr>
      <w:r>
        <w:rPr>
          <w:rFonts w:hint="eastAsia"/>
          <w:bCs/>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spacing w:line="360" w:lineRule="auto"/>
        <w:ind w:firstLine="480" w:firstLineChars="200"/>
        <w:rPr>
          <w:bCs/>
          <w:sz w:val="24"/>
        </w:rPr>
      </w:pPr>
      <w:r>
        <w:rPr>
          <w:bCs/>
          <w:sz w:val="24"/>
        </w:rPr>
        <w:t>7</w:t>
      </w:r>
      <w:r>
        <w:rPr>
          <w:rFonts w:hint="eastAsia"/>
          <w:bCs/>
          <w:sz w:val="24"/>
        </w:rPr>
        <w:t>、基金合同约定、</w:t>
      </w:r>
      <w:r>
        <w:rPr>
          <w:bCs/>
          <w:sz w:val="24"/>
        </w:rPr>
        <w:t>法律法规规定或中国证监会认定的其他情形。</w:t>
      </w:r>
    </w:p>
    <w:p>
      <w:pPr>
        <w:spacing w:line="360" w:lineRule="auto"/>
        <w:ind w:firstLine="480" w:firstLineChars="200"/>
        <w:rPr>
          <w:bCs/>
          <w:sz w:val="24"/>
        </w:rPr>
      </w:pPr>
      <w:r>
        <w:rPr>
          <w:bCs/>
          <w:sz w:val="24"/>
        </w:rPr>
        <w:t>发生上述情形</w:t>
      </w:r>
      <w:r>
        <w:rPr>
          <w:rFonts w:hint="eastAsia"/>
          <w:bCs/>
          <w:sz w:val="24"/>
        </w:rPr>
        <w:t>之一且基金管理人决定暂停接受投资人的赎回申请或延缓支付赎回款项</w:t>
      </w:r>
      <w:r>
        <w:rPr>
          <w:bCs/>
          <w:sz w:val="24"/>
        </w:rPr>
        <w:t>时，基金管理人应在当日报中国证监会备案，已确认的赎回申请，基金管理人应足额支付；如暂时不能足额支付，</w:t>
      </w:r>
      <w:r>
        <w:rPr>
          <w:rFonts w:hint="eastAsia"/>
          <w:bCs/>
          <w:sz w:val="24"/>
        </w:rPr>
        <w:t>对于场外的赎回申请，</w:t>
      </w:r>
      <w:r>
        <w:rPr>
          <w:bCs/>
          <w:sz w:val="24"/>
        </w:rPr>
        <w:t>应将可支付部分按单个账户申请量占申请总量的比例分配给赎回申请人，未支付部分可延期</w:t>
      </w:r>
      <w:r>
        <w:rPr>
          <w:rFonts w:hint="eastAsia"/>
          <w:bCs/>
          <w:sz w:val="24"/>
        </w:rPr>
        <w:t>确认并</w:t>
      </w:r>
      <w:r>
        <w:rPr>
          <w:bCs/>
          <w:sz w:val="24"/>
        </w:rPr>
        <w:t>支付，并以后续开放日的基金份额净值为依据计算赎回金额。若出现上述第</w:t>
      </w:r>
      <w:r>
        <w:rPr>
          <w:rFonts w:hint="eastAsia"/>
          <w:bCs/>
          <w:sz w:val="24"/>
        </w:rPr>
        <w:t>4</w:t>
      </w:r>
      <w:r>
        <w:rPr>
          <w:bCs/>
          <w:sz w:val="24"/>
        </w:rPr>
        <w:t>项所述情形，按基金合同的相关条款处理。基金份额持有人在申请</w:t>
      </w:r>
      <w:r>
        <w:rPr>
          <w:rFonts w:hint="eastAsia"/>
          <w:bCs/>
          <w:sz w:val="24"/>
        </w:rPr>
        <w:t>场外</w:t>
      </w:r>
      <w:r>
        <w:rPr>
          <w:bCs/>
          <w:sz w:val="24"/>
        </w:rPr>
        <w:t>赎回时可事先选择将当日可能未获受理部分予以撤销。</w:t>
      </w:r>
      <w:r>
        <w:rPr>
          <w:rFonts w:hint="eastAsia"/>
          <w:bCs/>
          <w:sz w:val="24"/>
        </w:rPr>
        <w:t>对于场内赎回部分，</w:t>
      </w:r>
      <w:r>
        <w:rPr>
          <w:rFonts w:hint="eastAsia" w:ascii="宋体" w:hAnsi="宋体"/>
          <w:sz w:val="24"/>
          <w:szCs w:val="21"/>
        </w:rPr>
        <w:t>按照深圳证券交易所及中国证券登记结算有限责任公司的有关规定办理。</w:t>
      </w:r>
      <w:r>
        <w:rPr>
          <w:bCs/>
          <w:sz w:val="24"/>
        </w:rPr>
        <w:t>在暂停赎回的情况消除时，基金管理人应及时恢复赎回业务的办理并公告。</w:t>
      </w:r>
    </w:p>
    <w:p>
      <w:pPr>
        <w:spacing w:line="360" w:lineRule="auto"/>
        <w:ind w:firstLine="480" w:firstLineChars="200"/>
        <w:rPr>
          <w:bCs/>
          <w:sz w:val="24"/>
        </w:rPr>
      </w:pPr>
      <w:r>
        <w:rPr>
          <w:bCs/>
          <w:sz w:val="24"/>
        </w:rPr>
        <w:t>九</w:t>
      </w:r>
      <w:r>
        <w:rPr>
          <w:rFonts w:hint="eastAsia"/>
          <w:bCs/>
          <w:sz w:val="24"/>
        </w:rPr>
        <w:t>、</w:t>
      </w:r>
      <w:r>
        <w:rPr>
          <w:bCs/>
          <w:sz w:val="24"/>
        </w:rPr>
        <w:t>巨额赎回的情形及处理方式</w:t>
      </w:r>
    </w:p>
    <w:p>
      <w:pPr>
        <w:spacing w:line="360" w:lineRule="auto"/>
        <w:ind w:firstLine="480" w:firstLineChars="200"/>
        <w:rPr>
          <w:bCs/>
          <w:sz w:val="24"/>
        </w:rPr>
      </w:pPr>
      <w:r>
        <w:rPr>
          <w:bCs/>
          <w:sz w:val="24"/>
        </w:rPr>
        <w:t>1</w:t>
      </w:r>
      <w:r>
        <w:rPr>
          <w:rFonts w:hint="eastAsia"/>
          <w:bCs/>
          <w:sz w:val="24"/>
        </w:rPr>
        <w:t>、</w:t>
      </w:r>
      <w:r>
        <w:rPr>
          <w:bCs/>
          <w:sz w:val="24"/>
        </w:rPr>
        <w:t>巨额赎回的认定</w:t>
      </w:r>
    </w:p>
    <w:p>
      <w:pPr>
        <w:spacing w:line="360" w:lineRule="auto"/>
        <w:ind w:firstLine="480" w:firstLineChars="200"/>
        <w:rPr>
          <w:bCs/>
          <w:sz w:val="24"/>
        </w:rPr>
      </w:pPr>
      <w:r>
        <w:rPr>
          <w:bCs/>
          <w:sz w:val="24"/>
        </w:rPr>
        <w:t>若</w:t>
      </w:r>
      <w:r>
        <w:rPr>
          <w:rFonts w:hint="eastAsia"/>
          <w:bCs/>
          <w:sz w:val="24"/>
        </w:rPr>
        <w:t>本基金</w:t>
      </w:r>
      <w:r>
        <w:rPr>
          <w:bCs/>
          <w:sz w:val="24"/>
        </w:rPr>
        <w:t>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pPr>
        <w:spacing w:line="360" w:lineRule="auto"/>
        <w:ind w:firstLine="480" w:firstLineChars="200"/>
        <w:rPr>
          <w:bCs/>
          <w:sz w:val="24"/>
        </w:rPr>
      </w:pPr>
      <w:r>
        <w:rPr>
          <w:bCs/>
          <w:sz w:val="24"/>
        </w:rPr>
        <w:t>2</w:t>
      </w:r>
      <w:r>
        <w:rPr>
          <w:rFonts w:hint="eastAsia"/>
          <w:bCs/>
          <w:sz w:val="24"/>
        </w:rPr>
        <w:t>、</w:t>
      </w:r>
      <w:r>
        <w:rPr>
          <w:bCs/>
          <w:sz w:val="24"/>
        </w:rPr>
        <w:t>巨额赎回的处理方式</w:t>
      </w:r>
    </w:p>
    <w:p>
      <w:pPr>
        <w:spacing w:line="360" w:lineRule="auto"/>
        <w:ind w:firstLine="480" w:firstLineChars="200"/>
        <w:rPr>
          <w:bCs/>
          <w:sz w:val="24"/>
        </w:rPr>
      </w:pPr>
      <w:r>
        <w:rPr>
          <w:bCs/>
          <w:sz w:val="24"/>
        </w:rPr>
        <w:t>当基金出现巨额赎回时，</w:t>
      </w:r>
      <w:r>
        <w:rPr>
          <w:rFonts w:hint="eastAsia"/>
          <w:bCs/>
          <w:sz w:val="24"/>
        </w:rPr>
        <w:t>对于场外赎回申请，</w:t>
      </w:r>
      <w:r>
        <w:rPr>
          <w:bCs/>
          <w:sz w:val="24"/>
        </w:rPr>
        <w:t>基金管理人可以根据基金当时的资产组合状况决定全额赎回或部分延期赎回。</w:t>
      </w:r>
    </w:p>
    <w:p>
      <w:pPr>
        <w:spacing w:line="360" w:lineRule="auto"/>
        <w:ind w:firstLine="480" w:firstLineChars="200"/>
        <w:rPr>
          <w:bCs/>
          <w:sz w:val="24"/>
        </w:rPr>
      </w:pPr>
      <w:r>
        <w:rPr>
          <w:bCs/>
          <w:sz w:val="24"/>
        </w:rPr>
        <w:t>（1）全额赎回：当基金管理人认为有能力支付投资人的全部赎回申请时，按正常赎回程序执行。</w:t>
      </w:r>
    </w:p>
    <w:p>
      <w:pPr>
        <w:spacing w:line="360" w:lineRule="auto"/>
        <w:ind w:firstLine="480" w:firstLineChars="20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Pr>
          <w:rFonts w:hint="eastAsia"/>
          <w:bCs/>
          <w:sz w:val="24"/>
        </w:rPr>
        <w:t>的10%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pPr>
        <w:spacing w:line="360" w:lineRule="auto"/>
        <w:ind w:firstLine="480" w:firstLineChars="200"/>
        <w:rPr>
          <w:rFonts w:ascii="宋体" w:hAnsi="宋体"/>
          <w:sz w:val="24"/>
        </w:rPr>
      </w:pPr>
      <w:r>
        <w:rPr>
          <w:rFonts w:hint="eastAsia"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spacing w:line="360" w:lineRule="auto"/>
        <w:ind w:firstLine="480" w:firstLineChars="200"/>
        <w:rPr>
          <w:bCs/>
          <w:sz w:val="24"/>
        </w:rPr>
      </w:pPr>
      <w:r>
        <w:rPr>
          <w:rFonts w:hint="eastAsia" w:ascii="宋体" w:hAnsi="宋体"/>
          <w:sz w:val="24"/>
        </w:rPr>
        <w:t>巨额赎回业务的场内处理，按照深圳证券交易所及中国证券登记结算有限责任公司的有关规定办理。</w:t>
      </w:r>
    </w:p>
    <w:p>
      <w:pPr>
        <w:spacing w:line="360" w:lineRule="auto"/>
        <w:ind w:firstLine="480" w:firstLineChars="200"/>
        <w:rPr>
          <w:bCs/>
          <w:sz w:val="24"/>
        </w:rPr>
      </w:pPr>
      <w:r>
        <w:rPr>
          <w:bCs/>
          <w:sz w:val="24"/>
        </w:rPr>
        <w:t>（</w:t>
      </w:r>
      <w:r>
        <w:rPr>
          <w:rFonts w:hint="eastAsia"/>
          <w:bCs/>
          <w:sz w:val="24"/>
        </w:rPr>
        <w:t>3</w:t>
      </w:r>
      <w:r>
        <w:rPr>
          <w:bCs/>
          <w:sz w:val="24"/>
        </w:rPr>
        <w:t>）暂停赎回：连续</w:t>
      </w:r>
      <w:r>
        <w:rPr>
          <w:rFonts w:hint="eastAsia"/>
          <w:bCs/>
          <w:sz w:val="24"/>
        </w:rPr>
        <w:t>2个开放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pPr>
        <w:spacing w:line="360" w:lineRule="auto"/>
        <w:ind w:firstLine="480" w:firstLineChars="200"/>
        <w:rPr>
          <w:bCs/>
          <w:sz w:val="24"/>
        </w:rPr>
      </w:pPr>
      <w:r>
        <w:rPr>
          <w:bCs/>
          <w:sz w:val="24"/>
        </w:rPr>
        <w:t>3</w:t>
      </w:r>
      <w:r>
        <w:rPr>
          <w:rFonts w:hint="eastAsia"/>
          <w:bCs/>
          <w:sz w:val="24"/>
        </w:rPr>
        <w:t>、</w:t>
      </w:r>
      <w:r>
        <w:rPr>
          <w:bCs/>
          <w:sz w:val="24"/>
        </w:rPr>
        <w:t>巨额赎回的公告</w:t>
      </w:r>
    </w:p>
    <w:p>
      <w:pPr>
        <w:spacing w:line="360" w:lineRule="auto"/>
        <w:ind w:firstLine="480" w:firstLineChars="20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2日</w:t>
      </w:r>
      <w:r>
        <w:rPr>
          <w:bCs/>
          <w:sz w:val="24"/>
        </w:rPr>
        <w:t>内在指定媒介上刊登公告。</w:t>
      </w:r>
    </w:p>
    <w:p>
      <w:pPr>
        <w:spacing w:line="360" w:lineRule="auto"/>
        <w:ind w:firstLine="480" w:firstLineChars="200"/>
        <w:rPr>
          <w:bCs/>
          <w:sz w:val="24"/>
        </w:rPr>
      </w:pPr>
      <w:bookmarkStart w:id="106" w:name="OLE_LINK38"/>
      <w:bookmarkStart w:id="107" w:name="OLE_LINK39"/>
      <w:r>
        <w:rPr>
          <w:bCs/>
          <w:sz w:val="24"/>
        </w:rPr>
        <w:t>十</w:t>
      </w:r>
      <w:r>
        <w:rPr>
          <w:rFonts w:hint="eastAsia"/>
          <w:bCs/>
          <w:sz w:val="24"/>
        </w:rPr>
        <w:t>、</w:t>
      </w:r>
      <w:r>
        <w:rPr>
          <w:bCs/>
          <w:sz w:val="24"/>
        </w:rPr>
        <w:t>暂停申购或赎回的公告和重新开放申购或赎回的公告</w:t>
      </w:r>
    </w:p>
    <w:p>
      <w:pPr>
        <w:spacing w:line="360" w:lineRule="auto"/>
        <w:ind w:firstLine="480" w:firstLineChars="20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在规定期限内在指定媒介上刊登暂停公告。</w:t>
      </w:r>
    </w:p>
    <w:p>
      <w:pPr>
        <w:spacing w:line="360" w:lineRule="auto"/>
        <w:ind w:firstLine="480" w:firstLineChars="200"/>
        <w:rPr>
          <w:bCs/>
          <w:sz w:val="24"/>
        </w:rPr>
      </w:pPr>
      <w:r>
        <w:rPr>
          <w:sz w:val="24"/>
          <w:szCs w:val="24"/>
        </w:rPr>
        <w:t>2</w:t>
      </w:r>
      <w:r>
        <w:rPr>
          <w:rFonts w:hAnsi="宋体"/>
          <w:sz w:val="24"/>
          <w:szCs w:val="24"/>
        </w:rPr>
        <w:t>、</w:t>
      </w:r>
      <w:r>
        <w:rPr>
          <w:rFonts w:hint="eastAsia" w:ascii="宋体" w:hAnsi="宋体"/>
          <w:sz w:val="24"/>
          <w:szCs w:val="24"/>
        </w:rPr>
        <w:t>暂停结束，基金重新开放申购或赎回时，基金管理人应依照《信息披露办法》的有关规定，不迟于重新开放日，在指定媒介上刊登基金重新开放申购或赎回公告，并公布最近一个开放日</w:t>
      </w:r>
      <w:bookmarkStart w:id="108" w:name="_Hlk61363612"/>
      <w:r>
        <w:rPr>
          <w:rFonts w:hint="eastAsia"/>
          <w:bCs/>
          <w:sz w:val="24"/>
        </w:rPr>
        <w:t>各类基金份额</w:t>
      </w:r>
      <w:bookmarkEnd w:id="108"/>
      <w:r>
        <w:rPr>
          <w:rFonts w:hint="eastAsia" w:ascii="宋体" w:hAnsi="宋体"/>
          <w:sz w:val="24"/>
          <w:szCs w:val="24"/>
        </w:rPr>
        <w:t>的基金份额净值。</w:t>
      </w:r>
    </w:p>
    <w:bookmarkEnd w:id="106"/>
    <w:bookmarkEnd w:id="107"/>
    <w:p>
      <w:pPr>
        <w:spacing w:line="360" w:lineRule="auto"/>
        <w:ind w:firstLine="480" w:firstLineChars="200"/>
        <w:rPr>
          <w:bCs/>
          <w:sz w:val="24"/>
        </w:rPr>
      </w:pPr>
      <w:r>
        <w:rPr>
          <w:bCs/>
          <w:sz w:val="24"/>
        </w:rPr>
        <w:t>十一</w:t>
      </w:r>
      <w:r>
        <w:rPr>
          <w:rFonts w:hint="eastAsia"/>
          <w:bCs/>
          <w:sz w:val="24"/>
        </w:rPr>
        <w:t>、</w:t>
      </w:r>
      <w:r>
        <w:rPr>
          <w:bCs/>
          <w:sz w:val="24"/>
        </w:rPr>
        <w:t>基金转换</w:t>
      </w:r>
    </w:p>
    <w:p>
      <w:pPr>
        <w:spacing w:line="360" w:lineRule="auto"/>
        <w:ind w:firstLine="480" w:firstLineChars="20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spacing w:line="360" w:lineRule="auto"/>
        <w:ind w:firstLine="480" w:firstLineChars="200"/>
        <w:rPr>
          <w:bCs/>
          <w:sz w:val="24"/>
        </w:rPr>
      </w:pPr>
      <w:r>
        <w:rPr>
          <w:bCs/>
          <w:sz w:val="24"/>
        </w:rPr>
        <w:t>十</w:t>
      </w:r>
      <w:r>
        <w:rPr>
          <w:rFonts w:hint="eastAsia"/>
          <w:bCs/>
          <w:sz w:val="24"/>
        </w:rPr>
        <w:t>二、</w:t>
      </w:r>
      <w:r>
        <w:rPr>
          <w:bCs/>
          <w:sz w:val="24"/>
        </w:rPr>
        <w:t>定期定额投资计划</w:t>
      </w:r>
    </w:p>
    <w:p>
      <w:pPr>
        <w:spacing w:line="360" w:lineRule="auto"/>
        <w:ind w:firstLine="480" w:firstLineChars="200"/>
        <w:rPr>
          <w:sz w:val="30"/>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spacing w:line="360" w:lineRule="auto"/>
        <w:ind w:firstLine="480" w:firstLineChars="200"/>
        <w:rPr>
          <w:bCs/>
          <w:sz w:val="24"/>
        </w:rPr>
      </w:pPr>
      <w:r>
        <w:rPr>
          <w:rFonts w:hint="eastAsia"/>
          <w:bCs/>
          <w:sz w:val="24"/>
        </w:rPr>
        <w:t>十三、</w:t>
      </w:r>
      <w:r>
        <w:rPr>
          <w:bCs/>
          <w:sz w:val="24"/>
        </w:rPr>
        <w:t>基金的非交易过户</w:t>
      </w:r>
    </w:p>
    <w:p>
      <w:pPr>
        <w:spacing w:line="360" w:lineRule="auto"/>
        <w:ind w:firstLine="480" w:firstLineChars="20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pPr>
        <w:spacing w:line="360" w:lineRule="auto"/>
        <w:ind w:firstLine="480" w:firstLineChars="200"/>
        <w:rPr>
          <w:bCs/>
          <w:sz w:val="24"/>
        </w:rPr>
      </w:pPr>
      <w:r>
        <w:rPr>
          <w:rFonts w:hint="eastAsia"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spacing w:line="360" w:lineRule="auto"/>
        <w:ind w:firstLine="480" w:firstLineChars="200"/>
        <w:rPr>
          <w:bCs/>
          <w:sz w:val="24"/>
        </w:rPr>
      </w:pPr>
      <w:r>
        <w:rPr>
          <w:rFonts w:hint="eastAsia"/>
          <w:bCs/>
          <w:sz w:val="24"/>
        </w:rPr>
        <w:t>十四、</w:t>
      </w:r>
      <w:r>
        <w:rPr>
          <w:bCs/>
          <w:sz w:val="24"/>
        </w:rPr>
        <w:t>基金的转托管</w:t>
      </w:r>
    </w:p>
    <w:p>
      <w:pPr>
        <w:spacing w:line="360" w:lineRule="auto"/>
        <w:ind w:firstLine="480" w:firstLineChars="200"/>
        <w:rPr>
          <w:bCs/>
          <w:sz w:val="24"/>
        </w:rPr>
      </w:pPr>
      <w:r>
        <w:rPr>
          <w:bCs/>
          <w:sz w:val="24"/>
        </w:rPr>
        <w:t>基金份额持有人可办理已持有</w:t>
      </w:r>
      <w:r>
        <w:rPr>
          <w:rFonts w:hint="eastAsia"/>
          <w:bCs/>
          <w:sz w:val="24"/>
        </w:rPr>
        <w:t>基金份额在不同销售机构之间的转托管，基金销售机构可以按照规定的标准收取转托管费。本基金份额的转托管包括系统内转托管和跨系统转托管。</w:t>
      </w:r>
    </w:p>
    <w:p>
      <w:pPr>
        <w:spacing w:line="360" w:lineRule="auto"/>
        <w:ind w:firstLine="480" w:firstLineChars="200"/>
        <w:rPr>
          <w:bCs/>
          <w:sz w:val="24"/>
        </w:rPr>
      </w:pPr>
      <w:r>
        <w:rPr>
          <w:bCs/>
          <w:sz w:val="24"/>
        </w:rPr>
        <w:t>1</w:t>
      </w:r>
      <w:r>
        <w:rPr>
          <w:rFonts w:hint="eastAsia"/>
          <w:bCs/>
          <w:sz w:val="24"/>
        </w:rPr>
        <w:t>、基金份额的登记</w:t>
      </w:r>
    </w:p>
    <w:p>
      <w:pPr>
        <w:spacing w:line="360" w:lineRule="auto"/>
        <w:ind w:firstLine="480" w:firstLineChars="200"/>
        <w:rPr>
          <w:bCs/>
          <w:sz w:val="24"/>
        </w:rPr>
      </w:pPr>
      <w:r>
        <w:rPr>
          <w:rFonts w:hint="eastAsia"/>
          <w:bCs/>
          <w:sz w:val="24"/>
        </w:rPr>
        <w:t>（</w:t>
      </w:r>
      <w:r>
        <w:rPr>
          <w:bCs/>
          <w:sz w:val="24"/>
        </w:rPr>
        <w:t>1</w:t>
      </w:r>
      <w:r>
        <w:rPr>
          <w:rFonts w:hint="eastAsia"/>
          <w:bCs/>
          <w:sz w:val="24"/>
        </w:rPr>
        <w:t>）本基金的份额采用分系统登记的原则。场外认购、申购的基金份额登记在注册登记系统中基金份额持有人的开放式基金账户下；场内认购、申购的基金份额，以及上市交易买入的基金份额，登记在证券登记结算系统基金份额持有人深圳证券账户下。</w:t>
      </w:r>
    </w:p>
    <w:p>
      <w:pPr>
        <w:spacing w:line="360" w:lineRule="auto"/>
        <w:ind w:firstLine="480" w:firstLineChars="200"/>
        <w:rPr>
          <w:bCs/>
          <w:sz w:val="24"/>
        </w:rPr>
      </w:pPr>
      <w:r>
        <w:rPr>
          <w:rFonts w:hint="eastAsia"/>
          <w:bCs/>
          <w:sz w:val="24"/>
        </w:rPr>
        <w:t>（</w:t>
      </w:r>
      <w:r>
        <w:rPr>
          <w:bCs/>
          <w:sz w:val="24"/>
        </w:rPr>
        <w:t>2</w:t>
      </w:r>
      <w:r>
        <w:rPr>
          <w:rFonts w:hint="eastAsia"/>
          <w:bCs/>
          <w:sz w:val="24"/>
        </w:rPr>
        <w:t>）登记在证券登记结算系统中的基金份额，可以在深圳证券交易所上市交易，也可以直接申请场内赎回，或经跨系统转托管至注册登记系统后申请场外赎回。</w:t>
      </w:r>
    </w:p>
    <w:p>
      <w:pPr>
        <w:spacing w:line="360" w:lineRule="auto"/>
        <w:ind w:firstLine="480" w:firstLineChars="200"/>
        <w:rPr>
          <w:bCs/>
          <w:sz w:val="24"/>
        </w:rPr>
      </w:pPr>
      <w:r>
        <w:rPr>
          <w:rFonts w:hint="eastAsia"/>
          <w:bCs/>
          <w:sz w:val="24"/>
        </w:rPr>
        <w:t>（3）登记在注册登记系统中的A类基金份额，既可以直接申请场外赎回，也可经跨系统转托管至证券登记结算系统后，在深圳证券交易所上市交易。</w:t>
      </w:r>
    </w:p>
    <w:p>
      <w:pPr>
        <w:spacing w:line="360" w:lineRule="auto"/>
        <w:ind w:firstLine="480" w:firstLineChars="200"/>
        <w:rPr>
          <w:bCs/>
          <w:sz w:val="24"/>
        </w:rPr>
      </w:pPr>
      <w:r>
        <w:rPr>
          <w:bCs/>
          <w:sz w:val="24"/>
        </w:rPr>
        <w:t>2</w:t>
      </w:r>
      <w:r>
        <w:rPr>
          <w:rFonts w:hint="eastAsia"/>
          <w:bCs/>
          <w:sz w:val="24"/>
        </w:rPr>
        <w:t>、系统内转托管</w:t>
      </w:r>
    </w:p>
    <w:p>
      <w:pPr>
        <w:spacing w:line="360" w:lineRule="auto"/>
        <w:ind w:firstLine="480" w:firstLineChars="200"/>
        <w:rPr>
          <w:bCs/>
          <w:sz w:val="24"/>
        </w:rPr>
      </w:pPr>
      <w:r>
        <w:rPr>
          <w:rFonts w:hint="eastAsia"/>
          <w:bCs/>
          <w:sz w:val="24"/>
        </w:rPr>
        <w:t>（</w:t>
      </w:r>
      <w:r>
        <w:rPr>
          <w:bCs/>
          <w:sz w:val="24"/>
        </w:rPr>
        <w:t>1</w:t>
      </w:r>
      <w:r>
        <w:rPr>
          <w:rFonts w:hint="eastAsia"/>
          <w:bCs/>
          <w:sz w:val="24"/>
        </w:rPr>
        <w:t>）系统内转托管是指基金份额持有人将持有的基金份额在注册登记系统内不同销售机构之间，或在证券登记结算系统内不同会员单位（交易单元）之间进行转登记的行为。</w:t>
      </w:r>
    </w:p>
    <w:p>
      <w:pPr>
        <w:spacing w:line="360" w:lineRule="auto"/>
        <w:ind w:firstLine="480" w:firstLineChars="200"/>
        <w:rPr>
          <w:bCs/>
          <w:sz w:val="24"/>
        </w:rPr>
      </w:pPr>
      <w:r>
        <w:rPr>
          <w:rFonts w:hint="eastAsia"/>
          <w:bCs/>
          <w:sz w:val="24"/>
        </w:rPr>
        <w:t>（</w:t>
      </w:r>
      <w:r>
        <w:rPr>
          <w:bCs/>
          <w:sz w:val="24"/>
        </w:rPr>
        <w:t>2</w:t>
      </w:r>
      <w:r>
        <w:rPr>
          <w:rFonts w:hint="eastAsia"/>
          <w:bCs/>
          <w:sz w:val="24"/>
        </w:rPr>
        <w:t>）基金份额登记在注册登记系统的基金份额持有人在变更办理基金份额场外赎回业务的销售机构时，需办理已持有基金份额的系统内转托管。</w:t>
      </w:r>
    </w:p>
    <w:p>
      <w:pPr>
        <w:spacing w:line="360" w:lineRule="auto"/>
        <w:ind w:firstLine="480" w:firstLineChars="200"/>
        <w:rPr>
          <w:bCs/>
          <w:sz w:val="24"/>
        </w:rPr>
      </w:pPr>
      <w:r>
        <w:rPr>
          <w:rFonts w:hint="eastAsia"/>
          <w:bCs/>
          <w:sz w:val="24"/>
        </w:rPr>
        <w:t>（</w:t>
      </w:r>
      <w:r>
        <w:rPr>
          <w:bCs/>
          <w:sz w:val="24"/>
        </w:rPr>
        <w:t>3</w:t>
      </w:r>
      <w:r>
        <w:rPr>
          <w:rFonts w:hint="eastAsia"/>
          <w:bCs/>
          <w:sz w:val="24"/>
        </w:rPr>
        <w:t>）基金份额登记在证券登记结算系统的基金份额持有人在变更办理基金份额场内赎回的会员单位（交易单元）时，需办理已持有基金份额的系统内转托管。</w:t>
      </w:r>
    </w:p>
    <w:p>
      <w:pPr>
        <w:spacing w:line="360" w:lineRule="auto"/>
        <w:ind w:firstLine="480" w:firstLineChars="200"/>
        <w:rPr>
          <w:bCs/>
          <w:sz w:val="24"/>
        </w:rPr>
      </w:pPr>
      <w:r>
        <w:rPr>
          <w:bCs/>
          <w:sz w:val="24"/>
        </w:rPr>
        <w:t>3</w:t>
      </w:r>
      <w:r>
        <w:rPr>
          <w:rFonts w:hint="eastAsia"/>
          <w:bCs/>
          <w:sz w:val="24"/>
        </w:rPr>
        <w:t>、跨系统转托管</w:t>
      </w:r>
    </w:p>
    <w:p>
      <w:pPr>
        <w:spacing w:line="360" w:lineRule="auto"/>
        <w:ind w:firstLine="480" w:firstLineChars="200"/>
        <w:rPr>
          <w:bCs/>
          <w:sz w:val="24"/>
        </w:rPr>
      </w:pPr>
      <w:r>
        <w:rPr>
          <w:rFonts w:hint="eastAsia"/>
          <w:bCs/>
          <w:sz w:val="24"/>
        </w:rPr>
        <w:t>（</w:t>
      </w:r>
      <w:r>
        <w:rPr>
          <w:bCs/>
          <w:sz w:val="24"/>
        </w:rPr>
        <w:t>1</w:t>
      </w:r>
      <w:r>
        <w:rPr>
          <w:rFonts w:hint="eastAsia"/>
          <w:bCs/>
          <w:sz w:val="24"/>
        </w:rPr>
        <w:t>）跨系统转托管是指基金份额持有人将持有的A类基金份额在注册登记系统和证券登记结算系统之间进行转登记的行为。除经基金管理人另行公告，C类基金份额不能进行跨系统转托管。</w:t>
      </w:r>
    </w:p>
    <w:p>
      <w:pPr>
        <w:spacing w:line="360" w:lineRule="auto"/>
        <w:ind w:firstLine="480" w:firstLineChars="200"/>
        <w:rPr>
          <w:bCs/>
          <w:sz w:val="24"/>
        </w:rPr>
      </w:pPr>
      <w:r>
        <w:rPr>
          <w:rFonts w:hint="eastAsia"/>
          <w:bCs/>
          <w:sz w:val="24"/>
        </w:rPr>
        <w:t>（</w:t>
      </w:r>
      <w:r>
        <w:rPr>
          <w:bCs/>
          <w:sz w:val="24"/>
        </w:rPr>
        <w:t>2</w:t>
      </w:r>
      <w:r>
        <w:rPr>
          <w:rFonts w:hint="eastAsia"/>
          <w:bCs/>
          <w:sz w:val="24"/>
        </w:rPr>
        <w:t>）本基金跨系统转托管具体业务按照中国证券登记结算有限责任公司及深圳证券交易所的相关规定办理。</w:t>
      </w:r>
    </w:p>
    <w:p>
      <w:pPr>
        <w:spacing w:line="360" w:lineRule="auto"/>
        <w:ind w:firstLine="480" w:firstLineChars="200"/>
        <w:rPr>
          <w:bCs/>
          <w:sz w:val="24"/>
        </w:rPr>
      </w:pPr>
      <w:r>
        <w:rPr>
          <w:rFonts w:hint="eastAsia"/>
          <w:bCs/>
          <w:sz w:val="24"/>
        </w:rPr>
        <w:t>十五、基金份额的冻结和解冻</w:t>
      </w:r>
    </w:p>
    <w:p>
      <w:pPr>
        <w:spacing w:line="360" w:lineRule="auto"/>
        <w:ind w:firstLine="480" w:firstLineChars="200"/>
        <w:rPr>
          <w:bCs/>
          <w:sz w:val="24"/>
        </w:rPr>
      </w:pPr>
      <w:r>
        <w:rPr>
          <w:rFonts w:hint="eastAsia"/>
          <w:bCs/>
          <w:sz w:val="24"/>
        </w:rPr>
        <w:t>登记机构只受理国家有权机关依法要求的基金份额的冻结与解冻，以及登记机构认可、符合法律法规的其他情况下的冻结与解冻。</w:t>
      </w:r>
    </w:p>
    <w:p>
      <w:pPr>
        <w:spacing w:line="360" w:lineRule="auto"/>
        <w:ind w:firstLine="480" w:firstLineChars="200"/>
        <w:rPr>
          <w:bCs/>
          <w:sz w:val="24"/>
        </w:rPr>
      </w:pPr>
      <w:r>
        <w:rPr>
          <w:rFonts w:hint="eastAsia"/>
          <w:bCs/>
          <w:sz w:val="24"/>
        </w:rPr>
        <w:t>十六、其他业务</w:t>
      </w:r>
    </w:p>
    <w:p>
      <w:pPr>
        <w:spacing w:line="360" w:lineRule="auto"/>
        <w:ind w:firstLine="480" w:firstLineChars="200"/>
        <w:rPr>
          <w:bCs/>
          <w:sz w:val="24"/>
        </w:rPr>
      </w:pPr>
      <w:r>
        <w:rPr>
          <w:rFonts w:hint="eastAsia"/>
          <w:bCs/>
          <w:sz w:val="24"/>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pPr>
        <w:pStyle w:val="2"/>
        <w:spacing w:before="0" w:after="0"/>
        <w:jc w:val="center"/>
        <w:rPr>
          <w:rFonts w:ascii="Times New Roman"/>
          <w:color w:val="auto"/>
          <w:sz w:val="30"/>
        </w:rPr>
      </w:pPr>
      <w:r>
        <w:rPr>
          <w:rFonts w:ascii="Times New Roman"/>
          <w:b w:val="0"/>
          <w:bCs/>
          <w:color w:val="auto"/>
          <w:kern w:val="44"/>
          <w:sz w:val="21"/>
        </w:rPr>
        <w:br w:type="page"/>
      </w:r>
      <w:bookmarkStart w:id="109" w:name="_Toc442395198"/>
      <w:r>
        <w:rPr>
          <w:rFonts w:ascii="Times New Roman"/>
          <w:color w:val="auto"/>
          <w:sz w:val="30"/>
        </w:rPr>
        <w:t>第</w:t>
      </w:r>
      <w:r>
        <w:rPr>
          <w:rFonts w:hint="eastAsia" w:ascii="Times New Roman"/>
          <w:color w:val="auto"/>
          <w:sz w:val="30"/>
        </w:rPr>
        <w:t>八</w:t>
      </w:r>
      <w:r>
        <w:rPr>
          <w:rFonts w:ascii="Times New Roman"/>
          <w:color w:val="auto"/>
          <w:sz w:val="30"/>
        </w:rPr>
        <w:t xml:space="preserve">部分  </w:t>
      </w:r>
      <w:r>
        <w:rPr>
          <w:rFonts w:hint="eastAsia" w:ascii="Times New Roman"/>
          <w:color w:val="auto"/>
          <w:sz w:val="30"/>
        </w:rPr>
        <w:t>基金合同当事人及权利义务</w:t>
      </w:r>
      <w:bookmarkEnd w:id="109"/>
    </w:p>
    <w:p>
      <w:pPr>
        <w:spacing w:line="360" w:lineRule="auto"/>
        <w:ind w:firstLine="540"/>
        <w:rPr>
          <w:bCs/>
          <w:sz w:val="24"/>
        </w:rPr>
      </w:pPr>
    </w:p>
    <w:p>
      <w:pPr>
        <w:spacing w:line="360" w:lineRule="auto"/>
        <w:ind w:firstLine="480" w:firstLineChars="200"/>
        <w:rPr>
          <w:bCs/>
          <w:sz w:val="24"/>
        </w:rPr>
      </w:pPr>
      <w:bookmarkStart w:id="110" w:name="_Hlt55355235"/>
      <w:bookmarkEnd w:id="110"/>
      <w:bookmarkStart w:id="111" w:name="_Toc523711668"/>
      <w:bookmarkStart w:id="112" w:name="_Toc15118234"/>
      <w:bookmarkStart w:id="113" w:name="_Toc79392580"/>
      <w:bookmarkStart w:id="114" w:name="_Toc57530239"/>
      <w:r>
        <w:rPr>
          <w:bCs/>
          <w:sz w:val="24"/>
        </w:rPr>
        <w:t>一、基金</w:t>
      </w:r>
      <w:bookmarkEnd w:id="111"/>
      <w:r>
        <w:rPr>
          <w:bCs/>
          <w:sz w:val="24"/>
        </w:rPr>
        <w:t>管理人</w:t>
      </w:r>
      <w:bookmarkEnd w:id="112"/>
      <w:bookmarkEnd w:id="113"/>
      <w:bookmarkEnd w:id="114"/>
    </w:p>
    <w:p>
      <w:pPr>
        <w:spacing w:line="360" w:lineRule="auto"/>
        <w:ind w:firstLine="480" w:firstLineChars="200"/>
        <w:rPr>
          <w:bCs/>
          <w:sz w:val="24"/>
        </w:rPr>
      </w:pPr>
      <w:bookmarkStart w:id="115" w:name="_Toc15118235"/>
      <w:r>
        <w:rPr>
          <w:bCs/>
          <w:sz w:val="24"/>
        </w:rPr>
        <w:t>（一）</w:t>
      </w:r>
      <w:r>
        <w:rPr>
          <w:bCs/>
          <w:sz w:val="24"/>
        </w:rPr>
        <w:tab/>
      </w:r>
      <w:r>
        <w:rPr>
          <w:bCs/>
          <w:sz w:val="24"/>
        </w:rPr>
        <w:t>基金管理人简况</w:t>
      </w:r>
      <w:bookmarkEnd w:id="115"/>
    </w:p>
    <w:p>
      <w:pPr>
        <w:spacing w:line="360" w:lineRule="auto"/>
        <w:ind w:firstLine="480" w:firstLineChars="200"/>
        <w:rPr>
          <w:bCs/>
          <w:sz w:val="24"/>
        </w:rPr>
      </w:pPr>
      <w:bookmarkStart w:id="116" w:name="_Toc15118236"/>
      <w:bookmarkStart w:id="117" w:name="_Toc15118237"/>
      <w:r>
        <w:rPr>
          <w:bCs/>
          <w:sz w:val="24"/>
        </w:rPr>
        <w:t>名称：</w:t>
      </w:r>
      <w:bookmarkEnd w:id="116"/>
      <w:r>
        <w:rPr>
          <w:rFonts w:hint="eastAsia" w:ascii="宋体" w:hAnsi="宋体"/>
          <w:sz w:val="24"/>
          <w:szCs w:val="18"/>
        </w:rPr>
        <w:t>交银施罗德</w:t>
      </w:r>
      <w:r>
        <w:rPr>
          <w:rFonts w:hint="eastAsia" w:ascii="宋体" w:hAnsi="宋体"/>
          <w:sz w:val="24"/>
        </w:rPr>
        <w:t>基金管理有限公司</w:t>
      </w:r>
    </w:p>
    <w:p>
      <w:pPr>
        <w:spacing w:line="360" w:lineRule="auto"/>
        <w:ind w:firstLine="480" w:firstLineChars="200"/>
        <w:rPr>
          <w:bCs/>
          <w:sz w:val="24"/>
        </w:rPr>
      </w:pPr>
      <w:r>
        <w:rPr>
          <w:rFonts w:hint="eastAsia"/>
          <w:bCs/>
          <w:sz w:val="24"/>
        </w:rPr>
        <w:t>住所：中国（上海）自由贸易试验区银城中路188号交通银行大楼二层（裙）</w:t>
      </w:r>
    </w:p>
    <w:p>
      <w:pPr>
        <w:spacing w:line="360" w:lineRule="auto"/>
        <w:ind w:firstLine="480" w:firstLineChars="200"/>
        <w:rPr>
          <w:bCs/>
          <w:sz w:val="24"/>
        </w:rPr>
      </w:pPr>
      <w:r>
        <w:rPr>
          <w:rFonts w:hint="eastAsia"/>
          <w:bCs/>
          <w:sz w:val="24"/>
        </w:rPr>
        <w:t>法定代表人：张宏良</w:t>
      </w:r>
    </w:p>
    <w:p>
      <w:pPr>
        <w:spacing w:line="360" w:lineRule="auto"/>
        <w:ind w:firstLine="480" w:firstLineChars="20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pPr>
        <w:spacing w:line="360" w:lineRule="auto"/>
        <w:ind w:firstLine="480" w:firstLineChars="200"/>
        <w:rPr>
          <w:bCs/>
          <w:sz w:val="24"/>
        </w:rPr>
      </w:pPr>
      <w:r>
        <w:rPr>
          <w:bCs/>
          <w:sz w:val="24"/>
        </w:rPr>
        <w:t>批准设立机关及批准设立文号：</w:t>
      </w:r>
      <w:r>
        <w:rPr>
          <w:rFonts w:hint="eastAsia" w:ascii="宋体" w:hAnsi="宋体"/>
          <w:sz w:val="24"/>
        </w:rPr>
        <w:t>中国证监会证监基金字</w:t>
      </w:r>
      <w:r>
        <w:rPr>
          <w:rFonts w:hint="eastAsia"/>
          <w:sz w:val="24"/>
        </w:rPr>
        <w:t>[</w:t>
      </w:r>
      <w:r>
        <w:rPr>
          <w:sz w:val="24"/>
        </w:rPr>
        <w:t>2005</w:t>
      </w:r>
      <w:r>
        <w:rPr>
          <w:rFonts w:hint="eastAsia"/>
          <w:sz w:val="24"/>
        </w:rPr>
        <w:t>]</w:t>
      </w:r>
      <w:r>
        <w:rPr>
          <w:sz w:val="24"/>
        </w:rPr>
        <w:t>128</w:t>
      </w:r>
      <w:r>
        <w:rPr>
          <w:rFonts w:hint="eastAsia" w:ascii="宋体" w:hAnsi="宋体"/>
          <w:sz w:val="24"/>
        </w:rPr>
        <w:t>号</w:t>
      </w:r>
    </w:p>
    <w:p>
      <w:pPr>
        <w:spacing w:line="360" w:lineRule="auto"/>
        <w:ind w:firstLine="480" w:firstLineChars="200"/>
        <w:rPr>
          <w:bCs/>
          <w:sz w:val="24"/>
        </w:rPr>
      </w:pPr>
      <w:r>
        <w:rPr>
          <w:bCs/>
          <w:sz w:val="24"/>
        </w:rPr>
        <w:t>组织形式：</w:t>
      </w:r>
      <w:r>
        <w:rPr>
          <w:rFonts w:hint="eastAsia" w:ascii="宋体" w:hAnsi="宋体"/>
          <w:sz w:val="24"/>
        </w:rPr>
        <w:t>有限责任公司</w:t>
      </w:r>
    </w:p>
    <w:p>
      <w:pPr>
        <w:spacing w:line="360" w:lineRule="auto"/>
        <w:ind w:firstLine="480" w:firstLineChars="200"/>
        <w:rPr>
          <w:bCs/>
          <w:sz w:val="24"/>
        </w:rPr>
      </w:pPr>
      <w:r>
        <w:rPr>
          <w:bCs/>
          <w:sz w:val="24"/>
        </w:rPr>
        <w:t>注册资本：</w:t>
      </w:r>
      <w:r>
        <w:rPr>
          <w:sz w:val="24"/>
        </w:rPr>
        <w:t>2</w:t>
      </w:r>
      <w:r>
        <w:rPr>
          <w:rFonts w:hint="eastAsia" w:ascii="宋体" w:hAnsi="宋体"/>
          <w:sz w:val="24"/>
        </w:rPr>
        <w:t>亿元人民币</w:t>
      </w:r>
    </w:p>
    <w:p>
      <w:pPr>
        <w:spacing w:line="360" w:lineRule="auto"/>
        <w:ind w:firstLine="480" w:firstLineChars="200"/>
        <w:rPr>
          <w:bCs/>
          <w:sz w:val="24"/>
        </w:rPr>
      </w:pPr>
      <w:r>
        <w:rPr>
          <w:bCs/>
          <w:sz w:val="24"/>
        </w:rPr>
        <w:t>存续期限：</w:t>
      </w:r>
      <w:r>
        <w:rPr>
          <w:rFonts w:hint="eastAsia" w:ascii="宋体" w:hAnsi="宋体"/>
          <w:sz w:val="24"/>
        </w:rPr>
        <w:t>持续经营</w:t>
      </w:r>
    </w:p>
    <w:p>
      <w:pPr>
        <w:spacing w:line="360" w:lineRule="auto"/>
        <w:ind w:firstLine="480" w:firstLineChars="200"/>
        <w:rPr>
          <w:bCs/>
          <w:sz w:val="24"/>
        </w:rPr>
      </w:pPr>
      <w:r>
        <w:rPr>
          <w:bCs/>
          <w:sz w:val="24"/>
        </w:rPr>
        <w:t>联系电话</w:t>
      </w:r>
      <w:r>
        <w:rPr>
          <w:rFonts w:hint="eastAsia"/>
          <w:bCs/>
          <w:sz w:val="24"/>
        </w:rPr>
        <w:t>：</w:t>
      </w:r>
      <w:r>
        <w:rPr>
          <w:rFonts w:hint="eastAsia"/>
          <w:kern w:val="0"/>
          <w:sz w:val="24"/>
        </w:rPr>
        <w:t>（</w:t>
      </w:r>
      <w:r>
        <w:rPr>
          <w:kern w:val="0"/>
          <w:sz w:val="24"/>
        </w:rPr>
        <w:t>021</w:t>
      </w:r>
      <w:r>
        <w:rPr>
          <w:rFonts w:hint="eastAsia"/>
          <w:kern w:val="0"/>
          <w:sz w:val="24"/>
        </w:rPr>
        <w:t>）</w:t>
      </w:r>
      <w:r>
        <w:rPr>
          <w:kern w:val="0"/>
          <w:sz w:val="24"/>
        </w:rPr>
        <w:t>61055050</w:t>
      </w:r>
    </w:p>
    <w:p>
      <w:pPr>
        <w:spacing w:line="360" w:lineRule="auto"/>
        <w:ind w:firstLine="480" w:firstLineChars="200"/>
        <w:rPr>
          <w:bCs/>
          <w:sz w:val="24"/>
        </w:rPr>
      </w:pPr>
      <w:r>
        <w:rPr>
          <w:bCs/>
          <w:sz w:val="24"/>
        </w:rPr>
        <w:t>（二）</w:t>
      </w:r>
      <w:r>
        <w:rPr>
          <w:bCs/>
          <w:sz w:val="24"/>
        </w:rPr>
        <w:tab/>
      </w:r>
      <w:r>
        <w:rPr>
          <w:bCs/>
          <w:sz w:val="24"/>
        </w:rPr>
        <w:t>基金管理人的权利与义务</w:t>
      </w:r>
      <w:bookmarkEnd w:id="117"/>
    </w:p>
    <w:p>
      <w:pPr>
        <w:spacing w:line="360" w:lineRule="auto"/>
        <w:ind w:firstLine="480" w:firstLineChars="200"/>
        <w:rPr>
          <w:bCs/>
          <w:sz w:val="24"/>
        </w:rPr>
      </w:pPr>
      <w:r>
        <w:rPr>
          <w:bCs/>
          <w:sz w:val="24"/>
        </w:rPr>
        <w:t>1、根据《基金法》、《运作办法》及其他有关规定，基金管理人的权利包括但不限于：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资金</w:t>
      </w:r>
      <w:r>
        <w:rPr>
          <w:bCs/>
          <w:sz w:val="24"/>
        </w:rPr>
        <w:t>；</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bookmarkStart w:id="118" w:name="_Hlt88896155"/>
      <w:r>
        <w:rPr>
          <w:rFonts w:hint="eastAsia"/>
          <w:bCs/>
          <w:sz w:val="24"/>
        </w:rPr>
        <w:t>按照规定</w:t>
      </w:r>
      <w:r>
        <w:rPr>
          <w:bCs/>
          <w:sz w:val="24"/>
        </w:rPr>
        <w:t>召集</w:t>
      </w:r>
      <w:bookmarkEnd w:id="118"/>
      <w:r>
        <w:rPr>
          <w:bCs/>
          <w:sz w:val="24"/>
        </w:rPr>
        <w:t>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（11）在《基金合同》约定的范围内，拒绝或暂停受理申购与赎回申请；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spacing w:line="440" w:lineRule="atLeast"/>
        <w:ind w:firstLine="480" w:firstLineChars="200"/>
        <w:rPr>
          <w:bCs/>
          <w:sz w:val="24"/>
        </w:rPr>
      </w:pPr>
      <w:bookmarkStart w:id="119" w:name="OLE_LINK41"/>
      <w:bookmarkStart w:id="120" w:name="OLE_LINK40"/>
      <w:r>
        <w:rPr>
          <w:bCs/>
          <w:sz w:val="24"/>
        </w:rPr>
        <w:t>（16）在符合有关法律、法规的前提下，制</w:t>
      </w:r>
      <w:r>
        <w:rPr>
          <w:rFonts w:hint="eastAsia"/>
          <w:bCs/>
          <w:sz w:val="24"/>
        </w:rPr>
        <w:t>定</w:t>
      </w:r>
      <w:r>
        <w:rPr>
          <w:bCs/>
          <w:sz w:val="24"/>
        </w:rPr>
        <w:t>和调整有关基金申购、赎回、转换</w:t>
      </w:r>
      <w:r>
        <w:rPr>
          <w:rFonts w:hint="eastAsia"/>
          <w:bCs/>
          <w:sz w:val="24"/>
        </w:rPr>
        <w:t>、上市交易等</w:t>
      </w:r>
      <w:r>
        <w:rPr>
          <w:bCs/>
          <w:sz w:val="24"/>
        </w:rPr>
        <w:t>的业务规则；</w:t>
      </w:r>
    </w:p>
    <w:bookmarkEnd w:id="119"/>
    <w:bookmarkEnd w:id="120"/>
    <w:p>
      <w:pPr>
        <w:spacing w:line="440" w:lineRule="atLeast"/>
        <w:ind w:firstLine="480" w:firstLineChars="200"/>
        <w:rPr>
          <w:bCs/>
          <w:sz w:val="24"/>
        </w:rPr>
      </w:pPr>
      <w:r>
        <w:rPr>
          <w:bCs/>
          <w:sz w:val="24"/>
        </w:rPr>
        <w:t>（17）法律法规及中国证监会规定的和《基金合同》约定的其他权利。</w:t>
      </w:r>
    </w:p>
    <w:p>
      <w:pPr>
        <w:spacing w:line="440" w:lineRule="atLeast"/>
        <w:ind w:firstLine="480" w:firstLineChars="200"/>
        <w:rPr>
          <w:bCs/>
          <w:sz w:val="24"/>
        </w:rPr>
      </w:pPr>
      <w:r>
        <w:rPr>
          <w:bCs/>
          <w:sz w:val="24"/>
        </w:rPr>
        <w:t>2、根据《基金法》、《运作办法》及其他有关规定，基金管理人的义务包括但不限于：</w:t>
      </w:r>
    </w:p>
    <w:p>
      <w:pPr>
        <w:spacing w:line="440" w:lineRule="atLeast"/>
        <w:ind w:firstLine="480" w:firstLineChars="200"/>
        <w:rPr>
          <w:bCs/>
          <w:sz w:val="24"/>
        </w:rPr>
      </w:pPr>
      <w:bookmarkStart w:id="121" w:name="_Toc523711669"/>
      <w:r>
        <w:rPr>
          <w:bCs/>
          <w:sz w:val="24"/>
        </w:rPr>
        <w:t>（1）依法募集</w:t>
      </w:r>
      <w:r>
        <w:rPr>
          <w:rFonts w:hint="eastAsia"/>
          <w:bCs/>
          <w:sz w:val="24"/>
        </w:rPr>
        <w:t>资金</w:t>
      </w:r>
      <w:r>
        <w:rPr>
          <w:bCs/>
          <w:sz w:val="24"/>
        </w:rPr>
        <w:t>，办理或者委托经中国证监会认定的其他机构办理基金份额的申购、赎回和登记事宜；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bookmarkStart w:id="122" w:name="_Hlt88897298"/>
      <w:bookmarkEnd w:id="122"/>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w:t>
      </w:r>
      <w:r>
        <w:rPr>
          <w:rFonts w:hint="eastAsia"/>
          <w:bCs/>
          <w:sz w:val="24"/>
        </w:rPr>
        <w:t>基金份额</w:t>
      </w:r>
      <w:r>
        <w:rPr>
          <w:bCs/>
          <w:sz w:val="24"/>
        </w:rPr>
        <w:t>申购、赎回和注销价格的方法符合《基金合同》等法律文件的规定，按有关规定计算并公告</w:t>
      </w:r>
      <w:r>
        <w:rPr>
          <w:rFonts w:hint="eastAsia"/>
          <w:bCs/>
          <w:sz w:val="24"/>
        </w:rPr>
        <w:t>基金净值信息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（10）编制季度报告、</w:t>
      </w:r>
      <w:r>
        <w:rPr>
          <w:rFonts w:hint="eastAsia"/>
          <w:bCs/>
          <w:sz w:val="24"/>
        </w:rPr>
        <w:t>中期</w:t>
      </w:r>
      <w:r>
        <w:rPr>
          <w:bCs/>
          <w:sz w:val="24"/>
        </w:rPr>
        <w:t>报告和年度报告；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bookmarkStart w:id="123" w:name="_Hlt88823209"/>
      <w:bookmarkEnd w:id="123"/>
      <w:r>
        <w:rPr>
          <w:bCs/>
          <w:sz w:val="24"/>
        </w:rPr>
        <w:t>（2</w:t>
      </w:r>
      <w:r>
        <w:rPr>
          <w:rFonts w:hint="eastAsia"/>
          <w:bCs/>
          <w:sz w:val="24"/>
        </w:rPr>
        <w:t>4</w:t>
      </w:r>
      <w:r>
        <w:rPr>
          <w:bCs/>
          <w:sz w:val="24"/>
        </w:rPr>
        <w:t>）执行生效的基金份额持有人大会的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w:t>
      </w:r>
      <w:r>
        <w:rPr>
          <w:rFonts w:hint="eastAsia"/>
          <w:bCs/>
          <w:sz w:val="24"/>
        </w:rPr>
        <w:t>5</w:t>
      </w:r>
      <w:r>
        <w:rPr>
          <w:bCs/>
          <w:sz w:val="24"/>
        </w:rPr>
        <w:t>）建立并保存基金份额持有人名册；</w:t>
      </w:r>
    </w:p>
    <w:p>
      <w:pPr>
        <w:spacing w:line="360" w:lineRule="auto"/>
        <w:ind w:firstLine="480" w:firstLineChars="200"/>
        <w:rPr>
          <w:bCs/>
          <w:sz w:val="24"/>
        </w:rPr>
      </w:pPr>
      <w:r>
        <w:rPr>
          <w:bCs/>
          <w:sz w:val="24"/>
        </w:rPr>
        <w:t>（2</w:t>
      </w:r>
      <w:r>
        <w:rPr>
          <w:rFonts w:hint="eastAsia"/>
          <w:bCs/>
          <w:sz w:val="24"/>
        </w:rPr>
        <w:t>6</w:t>
      </w:r>
      <w:r>
        <w:rPr>
          <w:bCs/>
          <w:sz w:val="24"/>
        </w:rPr>
        <w:t>）法律法规及中国证监会规定的和《基金合同》约定的其他义务。</w:t>
      </w:r>
    </w:p>
    <w:p>
      <w:pPr>
        <w:spacing w:line="360" w:lineRule="auto"/>
        <w:ind w:firstLine="480" w:firstLineChars="200"/>
        <w:rPr>
          <w:bCs/>
          <w:sz w:val="24"/>
        </w:rPr>
      </w:pPr>
      <w:bookmarkStart w:id="124" w:name="_Toc57530240"/>
      <w:bookmarkStart w:id="125" w:name="_Toc79392581"/>
      <w:bookmarkStart w:id="126" w:name="_Toc15118238"/>
      <w:r>
        <w:rPr>
          <w:bCs/>
          <w:sz w:val="24"/>
        </w:rPr>
        <w:t>二、基金托管人</w:t>
      </w:r>
      <w:bookmarkEnd w:id="121"/>
      <w:bookmarkEnd w:id="124"/>
      <w:bookmarkEnd w:id="125"/>
      <w:bookmarkEnd w:id="126"/>
    </w:p>
    <w:p>
      <w:pPr>
        <w:adjustRightInd w:val="0"/>
        <w:snapToGrid w:val="0"/>
        <w:spacing w:line="360" w:lineRule="auto"/>
        <w:ind w:firstLine="480" w:firstLineChars="200"/>
        <w:rPr>
          <w:bCs/>
          <w:sz w:val="24"/>
        </w:rPr>
      </w:pPr>
      <w:bookmarkStart w:id="127" w:name="_Toc15118239"/>
      <w:r>
        <w:rPr>
          <w:bCs/>
          <w:sz w:val="24"/>
        </w:rPr>
        <w:t>（一）</w:t>
      </w:r>
      <w:r>
        <w:rPr>
          <w:bCs/>
          <w:sz w:val="24"/>
        </w:rPr>
        <w:tab/>
      </w:r>
      <w:r>
        <w:rPr>
          <w:bCs/>
          <w:sz w:val="24"/>
        </w:rPr>
        <w:t>基金托管人简况</w:t>
      </w:r>
      <w:bookmarkEnd w:id="127"/>
    </w:p>
    <w:p>
      <w:pPr>
        <w:adjustRightInd w:val="0"/>
        <w:snapToGrid w:val="0"/>
        <w:spacing w:line="360" w:lineRule="auto"/>
        <w:ind w:firstLine="480" w:firstLineChars="200"/>
        <w:rPr>
          <w:bCs/>
          <w:sz w:val="24"/>
        </w:rPr>
      </w:pPr>
      <w:r>
        <w:rPr>
          <w:bCs/>
          <w:sz w:val="24"/>
        </w:rPr>
        <w:t>名称：</w:t>
      </w:r>
      <w:r>
        <w:rPr>
          <w:rFonts w:hint="eastAsia"/>
          <w:sz w:val="24"/>
        </w:rPr>
        <w:t>中信银行股份有限公司</w:t>
      </w:r>
      <w:r>
        <w:rPr>
          <w:bCs/>
          <w:sz w:val="24"/>
        </w:rPr>
        <w:t>（简称：</w:t>
      </w:r>
      <w:r>
        <w:rPr>
          <w:rFonts w:hint="eastAsia"/>
          <w:sz w:val="24"/>
        </w:rPr>
        <w:t>中信银行</w:t>
      </w:r>
      <w:r>
        <w:rPr>
          <w:bCs/>
          <w:sz w:val="24"/>
        </w:rPr>
        <w:t>）</w:t>
      </w:r>
    </w:p>
    <w:p>
      <w:pPr>
        <w:adjustRightInd w:val="0"/>
        <w:snapToGrid w:val="0"/>
        <w:spacing w:line="360" w:lineRule="auto"/>
        <w:ind w:firstLine="480" w:firstLineChars="200"/>
        <w:rPr>
          <w:bCs/>
          <w:sz w:val="24"/>
        </w:rPr>
      </w:pPr>
      <w:r>
        <w:rPr>
          <w:rFonts w:hint="eastAsia"/>
          <w:bCs/>
          <w:sz w:val="24"/>
        </w:rPr>
        <w:t>住所：北京市东城区朝阳门北大街9号</w:t>
      </w:r>
    </w:p>
    <w:p>
      <w:pPr>
        <w:adjustRightInd w:val="0"/>
        <w:snapToGrid w:val="0"/>
        <w:spacing w:line="360" w:lineRule="auto"/>
        <w:ind w:firstLine="480" w:firstLineChars="200"/>
        <w:rPr>
          <w:bCs/>
          <w:sz w:val="24"/>
        </w:rPr>
      </w:pPr>
      <w:r>
        <w:rPr>
          <w:rFonts w:hint="eastAsia"/>
          <w:bCs/>
          <w:sz w:val="24"/>
        </w:rPr>
        <w:t>法定代表人：李庆萍</w:t>
      </w:r>
    </w:p>
    <w:p>
      <w:pPr>
        <w:adjustRightInd w:val="0"/>
        <w:snapToGrid w:val="0"/>
        <w:spacing w:line="360" w:lineRule="auto"/>
        <w:ind w:firstLine="480" w:firstLineChars="200"/>
        <w:rPr>
          <w:bCs/>
          <w:sz w:val="24"/>
        </w:rPr>
      </w:pPr>
      <w:r>
        <w:rPr>
          <w:rFonts w:hint="eastAsia"/>
          <w:bCs/>
          <w:sz w:val="24"/>
        </w:rPr>
        <w:t>成立时间：1987年4月20日</w:t>
      </w:r>
    </w:p>
    <w:p>
      <w:pPr>
        <w:adjustRightInd w:val="0"/>
        <w:snapToGrid w:val="0"/>
        <w:spacing w:line="360" w:lineRule="auto"/>
        <w:ind w:firstLine="480" w:firstLineChars="200"/>
        <w:rPr>
          <w:bCs/>
          <w:sz w:val="24"/>
        </w:rPr>
      </w:pPr>
      <w:r>
        <w:rPr>
          <w:rFonts w:hint="eastAsia"/>
          <w:bCs/>
          <w:sz w:val="24"/>
        </w:rPr>
        <w:t>批准设立文号：中华人民共和国国务院办公厅国办函[1987]14号</w:t>
      </w:r>
    </w:p>
    <w:p>
      <w:pPr>
        <w:adjustRightInd w:val="0"/>
        <w:snapToGrid w:val="0"/>
        <w:spacing w:line="360" w:lineRule="auto"/>
        <w:ind w:firstLine="480" w:firstLineChars="200"/>
        <w:rPr>
          <w:bCs/>
          <w:sz w:val="24"/>
        </w:rPr>
      </w:pPr>
      <w:r>
        <w:rPr>
          <w:rFonts w:hint="eastAsia"/>
          <w:bCs/>
          <w:sz w:val="24"/>
        </w:rPr>
        <w:t>基金托管业务批准文号：中国证监会证监基金字[2004]125号</w:t>
      </w:r>
    </w:p>
    <w:p>
      <w:pPr>
        <w:adjustRightInd w:val="0"/>
        <w:snapToGrid w:val="0"/>
        <w:spacing w:line="360" w:lineRule="auto"/>
        <w:ind w:firstLine="480" w:firstLineChars="200"/>
        <w:rPr>
          <w:bCs/>
          <w:sz w:val="24"/>
        </w:rPr>
      </w:pPr>
      <w:r>
        <w:rPr>
          <w:rFonts w:hint="eastAsia"/>
          <w:bCs/>
          <w:sz w:val="24"/>
        </w:rPr>
        <w:t>组织形式：股份有限公司</w:t>
      </w:r>
    </w:p>
    <w:p>
      <w:pPr>
        <w:adjustRightInd w:val="0"/>
        <w:snapToGrid w:val="0"/>
        <w:spacing w:line="360" w:lineRule="auto"/>
        <w:ind w:firstLine="480" w:firstLineChars="200"/>
        <w:rPr>
          <w:bCs/>
          <w:sz w:val="24"/>
        </w:rPr>
      </w:pPr>
      <w:r>
        <w:rPr>
          <w:rFonts w:hint="eastAsia"/>
          <w:bCs/>
          <w:sz w:val="24"/>
        </w:rPr>
        <w:t>注册资本：489.35亿元人民币</w:t>
      </w:r>
    </w:p>
    <w:p>
      <w:pPr>
        <w:adjustRightInd w:val="0"/>
        <w:snapToGrid w:val="0"/>
        <w:spacing w:line="360" w:lineRule="auto"/>
        <w:ind w:firstLine="480" w:firstLineChars="200"/>
        <w:rPr>
          <w:bCs/>
          <w:sz w:val="24"/>
        </w:rPr>
      </w:pPr>
      <w:r>
        <w:rPr>
          <w:rFonts w:hint="eastAsia"/>
          <w:bCs/>
          <w:sz w:val="24"/>
        </w:rPr>
        <w:t>存续期间：持续经营</w:t>
      </w:r>
    </w:p>
    <w:p>
      <w:pPr>
        <w:spacing w:line="360" w:lineRule="auto"/>
        <w:ind w:firstLine="480" w:firstLineChars="200"/>
        <w:rPr>
          <w:bCs/>
          <w:sz w:val="24"/>
        </w:rPr>
      </w:pPr>
      <w:bookmarkStart w:id="128" w:name="_Toc15118240"/>
      <w:r>
        <w:rPr>
          <w:bCs/>
          <w:sz w:val="24"/>
        </w:rPr>
        <w:t>（二）</w:t>
      </w:r>
      <w:r>
        <w:rPr>
          <w:bCs/>
          <w:sz w:val="24"/>
        </w:rPr>
        <w:tab/>
      </w:r>
      <w:r>
        <w:rPr>
          <w:bCs/>
          <w:sz w:val="24"/>
        </w:rPr>
        <w:t>基金托管人的权利与义务</w:t>
      </w:r>
      <w:bookmarkEnd w:id="128"/>
    </w:p>
    <w:p>
      <w:pPr>
        <w:spacing w:line="360" w:lineRule="auto"/>
        <w:ind w:firstLine="480" w:firstLineChars="200"/>
        <w:rPr>
          <w:bCs/>
          <w:sz w:val="24"/>
        </w:rPr>
      </w:pPr>
      <w:r>
        <w:rPr>
          <w:bCs/>
          <w:sz w:val="24"/>
        </w:rPr>
        <w:t>1、根据《基金法》、《运作办法》及其他有关规定，基金托管人的权利包括但不限于：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w:t>
      </w:r>
      <w:r>
        <w:rPr>
          <w:rFonts w:hint="eastAsia"/>
          <w:bCs/>
          <w:sz w:val="24"/>
        </w:rPr>
        <w:t>协助开立股指期货业务相关账户及交易编码、</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2、根据《基金法》、《运作办法》及其他有关规定，基金托管人的义务包括但不限于：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（6）按规定开设基金财产的资金账户和证券账户</w:t>
      </w:r>
      <w:r>
        <w:rPr>
          <w:rFonts w:hint="eastAsia"/>
          <w:bCs/>
          <w:sz w:val="24"/>
        </w:rPr>
        <w:t>等投资所需账户，协助开立股指期货业务相关账户及交易编码，</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w:t>
      </w:r>
      <w:r>
        <w:rPr>
          <w:rFonts w:hint="eastAsia"/>
          <w:bCs/>
          <w:sz w:val="24"/>
        </w:rPr>
        <w:t>各类</w:t>
      </w:r>
      <w:r>
        <w:rPr>
          <w:bCs/>
          <w:sz w:val="24"/>
        </w:rPr>
        <w:t>基金份额净值</w:t>
      </w:r>
      <w:r>
        <w:rPr>
          <w:rFonts w:hint="eastAsia"/>
          <w:bCs/>
          <w:sz w:val="24"/>
        </w:rPr>
        <w:t>、基金份额</w:t>
      </w:r>
      <w:r>
        <w:rPr>
          <w:bCs/>
          <w:sz w:val="24"/>
        </w:rPr>
        <w:t>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w:t>
      </w:r>
      <w:r>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rPr>
        <w:t>15</w:t>
      </w:r>
      <w:r>
        <w:rPr>
          <w:bCs/>
          <w:sz w:val="24"/>
        </w:rPr>
        <w:t>年以上；</w:t>
      </w:r>
    </w:p>
    <w:p>
      <w:pPr>
        <w:spacing w:line="360" w:lineRule="auto"/>
        <w:ind w:firstLine="480" w:firstLineChars="200"/>
        <w:rPr>
          <w:bCs/>
          <w:sz w:val="24"/>
        </w:rPr>
      </w:pPr>
      <w:r>
        <w:rPr>
          <w:bCs/>
          <w:sz w:val="24"/>
        </w:rPr>
        <w:t>（12）建立并保存基金份额持有人名册；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（18）面临解散、依法被撤销或者被依法宣告破产时，及时报告中国证监会和银行业监督管理机构，并通知基金管理人；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bookmarkStart w:id="129" w:name="_Hlt88825668"/>
      <w:bookmarkEnd w:id="129"/>
      <w:r>
        <w:rPr>
          <w:bCs/>
          <w:sz w:val="24"/>
        </w:rPr>
        <w:t>；</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w:t>
      </w:r>
      <w:bookmarkStart w:id="130" w:name="_Toc523711670"/>
      <w:r>
        <w:rPr>
          <w:bCs/>
          <w:sz w:val="24"/>
        </w:rPr>
        <w:t>法律法规及中国证监会规定的和《基金合同》约定的其他义务。</w:t>
      </w:r>
    </w:p>
    <w:bookmarkEnd w:id="130"/>
    <w:p>
      <w:pPr>
        <w:spacing w:line="360" w:lineRule="auto"/>
        <w:ind w:firstLine="480" w:firstLineChars="200"/>
        <w:rPr>
          <w:bCs/>
          <w:sz w:val="24"/>
        </w:rPr>
      </w:pPr>
      <w:bookmarkStart w:id="131" w:name="_Toc79392582"/>
      <w:r>
        <w:rPr>
          <w:bCs/>
          <w:sz w:val="24"/>
        </w:rPr>
        <w:t>三、基金份额持有人</w:t>
      </w:r>
      <w:bookmarkEnd w:id="131"/>
    </w:p>
    <w:p>
      <w:pPr>
        <w:spacing w:line="360" w:lineRule="auto"/>
        <w:ind w:firstLine="480" w:firstLineChars="200"/>
        <w:rPr>
          <w:bCs/>
          <w:sz w:val="24"/>
        </w:rPr>
      </w:pPr>
      <w:r>
        <w:rPr>
          <w:bCs/>
          <w:sz w:val="24"/>
        </w:rPr>
        <w:t>基金投资者</w:t>
      </w:r>
      <w:r>
        <w:rPr>
          <w:rFonts w:hint="eastAsia"/>
          <w:bCs/>
          <w:sz w:val="24"/>
        </w:rPr>
        <w:t>持有</w:t>
      </w:r>
      <w:r>
        <w:rPr>
          <w:bCs/>
          <w:sz w:val="24"/>
        </w:rPr>
        <w:t>本基金</w:t>
      </w:r>
      <w:bookmarkStart w:id="132" w:name="_Hlt88899909"/>
      <w:bookmarkEnd w:id="132"/>
      <w:r>
        <w:rPr>
          <w:bCs/>
          <w:sz w:val="24"/>
        </w:rPr>
        <w:t>基金份额的行为即视为对《基金合同》的承认和接受，基金投资者自依据《基金合同》取得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ascii="宋体" w:hAnsi="宋体"/>
          <w:sz w:val="24"/>
        </w:rPr>
        <w:t>同一类别的</w:t>
      </w:r>
      <w:r>
        <w:rPr>
          <w:bCs/>
          <w:sz w:val="24"/>
        </w:rPr>
        <w:t>每份</w:t>
      </w:r>
      <w:r>
        <w:rPr>
          <w:rFonts w:hint="eastAsia"/>
          <w:bCs/>
          <w:sz w:val="24"/>
        </w:rPr>
        <w:t>基金份额</w:t>
      </w:r>
      <w:r>
        <w:rPr>
          <w:bCs/>
          <w:sz w:val="24"/>
        </w:rPr>
        <w:t>具有同等的合法权益。</w:t>
      </w:r>
    </w:p>
    <w:p>
      <w:pPr>
        <w:spacing w:line="360" w:lineRule="auto"/>
        <w:ind w:firstLine="480" w:firstLineChars="200"/>
        <w:rPr>
          <w:bCs/>
          <w:sz w:val="24"/>
        </w:rPr>
      </w:pPr>
      <w:r>
        <w:rPr>
          <w:bCs/>
          <w:sz w:val="24"/>
        </w:rPr>
        <w:t>1、根据《基金法》、《运作办法》及其他有关规定，基金份额持有人的权利包括但不限于：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bookmarkStart w:id="133" w:name="_Hlt88825574"/>
      <w:bookmarkEnd w:id="133"/>
    </w:p>
    <w:p>
      <w:pPr>
        <w:spacing w:line="360" w:lineRule="auto"/>
        <w:ind w:firstLine="480" w:firstLineChars="200"/>
        <w:rPr>
          <w:bCs/>
          <w:sz w:val="24"/>
        </w:rPr>
      </w:pPr>
      <w:r>
        <w:rPr>
          <w:bCs/>
          <w:sz w:val="24"/>
        </w:rPr>
        <w:t>（3）依法</w:t>
      </w:r>
      <w:r>
        <w:rPr>
          <w:rFonts w:hint="eastAsia"/>
          <w:bCs/>
          <w:sz w:val="24"/>
        </w:rPr>
        <w:t>并按照基金合同和招募说明书的规定</w:t>
      </w:r>
      <w:r>
        <w:rPr>
          <w:bCs/>
          <w:sz w:val="24"/>
        </w:rPr>
        <w:t>申请赎回</w:t>
      </w:r>
      <w:r>
        <w:rPr>
          <w:rFonts w:hint="eastAsia"/>
          <w:bCs/>
          <w:sz w:val="24"/>
        </w:rPr>
        <w:t>或转让</w:t>
      </w:r>
      <w:r>
        <w:rPr>
          <w:bCs/>
          <w:sz w:val="24"/>
        </w:rPr>
        <w:t>其持有的</w:t>
      </w:r>
      <w:r>
        <w:rPr>
          <w:rFonts w:hint="eastAsia"/>
          <w:bCs/>
          <w:sz w:val="24"/>
        </w:rPr>
        <w:t>基金份额</w:t>
      </w:r>
      <w:r>
        <w:rPr>
          <w:bCs/>
          <w:sz w:val="24"/>
        </w:rPr>
        <w:t>；</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bCs/>
          <w:sz w:val="24"/>
        </w:rPr>
      </w:pPr>
      <w:r>
        <w:rPr>
          <w:bCs/>
          <w:sz w:val="24"/>
        </w:rPr>
        <w:t>2、根据《基金法》、《运作办法》及其他有关规定，基金份额持有人的义务包括但不限于：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bookmarkStart w:id="134" w:name="OLE_LINK56"/>
      <w:bookmarkStart w:id="135" w:name="OLE_LINK57"/>
      <w:r>
        <w:rPr>
          <w:bCs/>
          <w:sz w:val="24"/>
        </w:rPr>
        <w:t>（4）缴纳基金申购款项及法律法规和《基金合同》所规定的费用；</w:t>
      </w:r>
    </w:p>
    <w:bookmarkEnd w:id="134"/>
    <w:bookmarkEnd w:id="135"/>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（9）遵守基金管理人、基金托管人、深圳证券交易所、销售机构和登记机构的相关交易及业务规则；</w:t>
      </w:r>
    </w:p>
    <w:p>
      <w:pPr>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bCs/>
          <w:sz w:val="24"/>
        </w:rPr>
        <w:t>（</w:t>
      </w:r>
      <w:r>
        <w:rPr>
          <w:rFonts w:hint="eastAsia"/>
          <w:bCs/>
          <w:sz w:val="24"/>
        </w:rPr>
        <w:t>11</w:t>
      </w:r>
      <w:r>
        <w:rPr>
          <w:bCs/>
          <w:sz w:val="24"/>
        </w:rPr>
        <w:t>）法律法规及中国证监会规定的和《基金合同》约定的其他义务。</w:t>
      </w:r>
    </w:p>
    <w:p>
      <w:pPr>
        <w:pStyle w:val="2"/>
        <w:spacing w:before="0" w:after="0"/>
        <w:jc w:val="center"/>
        <w:rPr>
          <w:rFonts w:ascii="Times New Roman"/>
          <w:color w:val="auto"/>
          <w:sz w:val="30"/>
        </w:rPr>
      </w:pPr>
      <w:r>
        <w:rPr>
          <w:rFonts w:ascii="Times New Roman"/>
          <w:b w:val="0"/>
          <w:bCs/>
          <w:color w:val="auto"/>
        </w:rPr>
        <w:br w:type="page"/>
      </w:r>
      <w:bookmarkStart w:id="136" w:name="_Toc139991738"/>
      <w:bookmarkStart w:id="137" w:name="_Toc3771"/>
      <w:bookmarkStart w:id="138" w:name="_Toc123102455"/>
      <w:bookmarkStart w:id="139" w:name="_Toc79392583"/>
      <w:bookmarkStart w:id="140" w:name="_Toc141703888"/>
      <w:bookmarkStart w:id="141" w:name="_Toc10650"/>
      <w:bookmarkStart w:id="142" w:name="_Toc123051454"/>
      <w:bookmarkStart w:id="143" w:name="_Toc9706"/>
      <w:bookmarkStart w:id="144" w:name="_Toc7058"/>
      <w:bookmarkStart w:id="145" w:name="_Toc442395199"/>
      <w:bookmarkStart w:id="146" w:name="_Toc11030"/>
      <w:bookmarkStart w:id="147" w:name="_Toc3321"/>
      <w:bookmarkStart w:id="148" w:name="_Toc18567"/>
      <w:bookmarkStart w:id="149" w:name="_Toc4559"/>
      <w:bookmarkStart w:id="150" w:name="_Toc6447"/>
      <w:bookmarkStart w:id="151" w:name="_Toc98560354"/>
      <w:bookmarkStart w:id="152" w:name="_Toc123112236"/>
      <w:bookmarkStart w:id="153" w:name="_Toc25783"/>
      <w:r>
        <w:rPr>
          <w:rFonts w:ascii="Times New Roman"/>
          <w:color w:val="auto"/>
          <w:sz w:val="30"/>
        </w:rPr>
        <w:t>第</w:t>
      </w:r>
      <w:r>
        <w:rPr>
          <w:rFonts w:hint="eastAsia" w:ascii="Times New Roman"/>
          <w:color w:val="auto"/>
          <w:sz w:val="30"/>
        </w:rPr>
        <w:t>九</w:t>
      </w:r>
      <w:r>
        <w:rPr>
          <w:rFonts w:ascii="Times New Roman"/>
          <w:color w:val="auto"/>
          <w:sz w:val="30"/>
        </w:rPr>
        <w:t>部分  基金份额持有人大会</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tabs>
          <w:tab w:val="left" w:pos="1080"/>
        </w:tabs>
        <w:spacing w:line="360" w:lineRule="auto"/>
        <w:ind w:left="1075" w:leftChars="199" w:hanging="657" w:hangingChars="274"/>
        <w:rPr>
          <w:bCs/>
          <w:sz w:val="24"/>
        </w:rPr>
      </w:pP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w:t>
      </w:r>
      <w:r>
        <w:rPr>
          <w:rFonts w:hint="eastAsia"/>
          <w:bCs/>
          <w:sz w:val="24"/>
        </w:rPr>
        <w:t>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before="156" w:beforeLines="50" w:line="360" w:lineRule="auto"/>
        <w:ind w:firstLine="480" w:firstLineChars="200"/>
        <w:rPr>
          <w:bCs/>
          <w:sz w:val="24"/>
        </w:rPr>
      </w:pPr>
      <w:bookmarkStart w:id="154" w:name="_Toc57530243"/>
      <w:bookmarkStart w:id="155" w:name="_Toc79392584"/>
      <w:bookmarkStart w:id="156" w:name="_Toc15641220"/>
      <w:r>
        <w:rPr>
          <w:bCs/>
          <w:sz w:val="24"/>
        </w:rPr>
        <w:t>一、召开事由</w:t>
      </w:r>
      <w:bookmarkEnd w:id="154"/>
      <w:bookmarkEnd w:id="155"/>
      <w:bookmarkEnd w:id="156"/>
    </w:p>
    <w:p>
      <w:pPr>
        <w:spacing w:line="360" w:lineRule="auto"/>
        <w:ind w:firstLine="480" w:firstLineChars="200"/>
        <w:rPr>
          <w:bCs/>
          <w:sz w:val="24"/>
        </w:rPr>
      </w:pPr>
      <w:r>
        <w:rPr>
          <w:bCs/>
          <w:sz w:val="24"/>
        </w:rPr>
        <w:t>1、当出现或需要决定下列事由之一的，应当召开基金份额持有人大会</w:t>
      </w:r>
      <w:r>
        <w:rPr>
          <w:rFonts w:hint="eastAsia"/>
          <w:bCs/>
          <w:sz w:val="24"/>
        </w:rPr>
        <w:t>，法律法规、基金合同和中国证监会另有规定的除外</w:t>
      </w:r>
      <w:r>
        <w:rPr>
          <w:bCs/>
          <w:sz w:val="24"/>
        </w:rPr>
        <w:t>：</w:t>
      </w:r>
    </w:p>
    <w:p>
      <w:pPr>
        <w:spacing w:line="360" w:lineRule="auto"/>
        <w:ind w:firstLine="480" w:firstLineChars="200"/>
        <w:rPr>
          <w:bCs/>
          <w:sz w:val="24"/>
        </w:rPr>
      </w:pPr>
      <w:r>
        <w:rPr>
          <w:bCs/>
          <w:sz w:val="24"/>
        </w:rPr>
        <w:t>（1）终止《基金合同》；</w:t>
      </w:r>
    </w:p>
    <w:p>
      <w:pPr>
        <w:spacing w:line="360" w:lineRule="auto"/>
        <w:ind w:firstLine="480" w:firstLineChars="200"/>
        <w:rPr>
          <w:bCs/>
          <w:sz w:val="24"/>
        </w:rPr>
      </w:pPr>
      <w:r>
        <w:rPr>
          <w:bCs/>
          <w:sz w:val="24"/>
        </w:rPr>
        <w:t>（2）更换基金管理人；</w:t>
      </w:r>
    </w:p>
    <w:p>
      <w:pPr>
        <w:spacing w:line="360" w:lineRule="auto"/>
        <w:ind w:firstLine="480" w:firstLineChars="200"/>
        <w:rPr>
          <w:bCs/>
          <w:sz w:val="24"/>
        </w:rPr>
      </w:pPr>
      <w:r>
        <w:rPr>
          <w:bCs/>
          <w:sz w:val="24"/>
        </w:rPr>
        <w:t>（3）更换基金托管人；</w:t>
      </w:r>
    </w:p>
    <w:p>
      <w:pPr>
        <w:spacing w:line="360" w:lineRule="auto"/>
        <w:ind w:firstLine="480" w:firstLineChars="200"/>
        <w:rPr>
          <w:bCs/>
          <w:sz w:val="24"/>
        </w:rPr>
      </w:pPr>
      <w:r>
        <w:rPr>
          <w:bCs/>
          <w:sz w:val="24"/>
        </w:rPr>
        <w:t>（4）转换基金运作方式；</w:t>
      </w:r>
    </w:p>
    <w:p>
      <w:pPr>
        <w:spacing w:line="360" w:lineRule="auto"/>
        <w:ind w:firstLine="480" w:firstLineChars="200"/>
        <w:rPr>
          <w:bCs/>
          <w:sz w:val="24"/>
        </w:rPr>
      </w:pPr>
      <w:r>
        <w:rPr>
          <w:bCs/>
          <w:sz w:val="24"/>
        </w:rPr>
        <w:t>（5）提高基金管理人、基金托管人的报酬标准</w:t>
      </w:r>
      <w:r>
        <w:rPr>
          <w:rFonts w:hint="eastAsia"/>
          <w:bCs/>
          <w:sz w:val="24"/>
        </w:rPr>
        <w:t>或提高销售服务费率</w:t>
      </w:r>
      <w:r>
        <w:rPr>
          <w:bCs/>
          <w:sz w:val="24"/>
        </w:rPr>
        <w:t>；</w:t>
      </w:r>
    </w:p>
    <w:p>
      <w:pPr>
        <w:spacing w:line="360" w:lineRule="auto"/>
        <w:ind w:firstLine="480" w:firstLineChars="200"/>
        <w:rPr>
          <w:bCs/>
          <w:sz w:val="24"/>
        </w:rPr>
      </w:pPr>
      <w:r>
        <w:rPr>
          <w:bCs/>
          <w:sz w:val="24"/>
        </w:rPr>
        <w:t>（6）变更基金类别；</w:t>
      </w:r>
    </w:p>
    <w:p>
      <w:pPr>
        <w:spacing w:line="360" w:lineRule="auto"/>
        <w:ind w:firstLine="480" w:firstLineChars="200"/>
        <w:rPr>
          <w:bCs/>
          <w:sz w:val="24"/>
        </w:rPr>
      </w:pPr>
      <w:r>
        <w:rPr>
          <w:bCs/>
          <w:sz w:val="24"/>
        </w:rPr>
        <w:t>（7）本基金与其他基金的合并；</w:t>
      </w:r>
    </w:p>
    <w:p>
      <w:pPr>
        <w:spacing w:line="360" w:lineRule="auto"/>
        <w:ind w:firstLine="480" w:firstLineChars="200"/>
        <w:rPr>
          <w:bCs/>
          <w:sz w:val="24"/>
        </w:rPr>
      </w:pPr>
      <w:r>
        <w:rPr>
          <w:bCs/>
          <w:sz w:val="24"/>
        </w:rPr>
        <w:t>（8）变更基金投资目标、范围或策略；</w:t>
      </w:r>
    </w:p>
    <w:p>
      <w:pPr>
        <w:spacing w:line="360" w:lineRule="auto"/>
        <w:ind w:firstLine="480" w:firstLineChars="200"/>
        <w:rPr>
          <w:bCs/>
          <w:sz w:val="24"/>
        </w:rPr>
      </w:pPr>
      <w:r>
        <w:rPr>
          <w:bCs/>
          <w:sz w:val="24"/>
        </w:rPr>
        <w:t>（9）变更基金份额持有人大会程序；</w:t>
      </w:r>
    </w:p>
    <w:p>
      <w:pPr>
        <w:spacing w:line="360" w:lineRule="auto"/>
        <w:ind w:firstLine="480" w:firstLineChars="200"/>
        <w:rPr>
          <w:bCs/>
          <w:sz w:val="24"/>
        </w:rPr>
      </w:pPr>
      <w:r>
        <w:rPr>
          <w:bCs/>
          <w:sz w:val="24"/>
        </w:rPr>
        <w:t>（10）基金管理人或基金托管人要求召开基金份额持有人大会；</w:t>
      </w:r>
    </w:p>
    <w:p>
      <w:pPr>
        <w:spacing w:line="360" w:lineRule="auto"/>
        <w:ind w:firstLine="480" w:firstLineChars="200"/>
        <w:rPr>
          <w:bCs/>
          <w:sz w:val="24"/>
        </w:rPr>
      </w:pPr>
      <w:r>
        <w:rPr>
          <w:bCs/>
          <w:sz w:val="24"/>
        </w:rPr>
        <w:t>（11）</w:t>
      </w:r>
      <w:r>
        <w:rPr>
          <w:rFonts w:hint="eastAsia"/>
          <w:bCs/>
          <w:sz w:val="24"/>
        </w:rPr>
        <w:t>终止基金上市，但因基金不再具备上市条件而被深圳证券交易所终止上市的除外；</w:t>
      </w:r>
    </w:p>
    <w:p>
      <w:pPr>
        <w:spacing w:line="360" w:lineRule="auto"/>
        <w:ind w:firstLine="480" w:firstLineChars="200"/>
        <w:rPr>
          <w:bCs/>
          <w:sz w:val="24"/>
        </w:rPr>
      </w:pPr>
      <w:r>
        <w:rPr>
          <w:bCs/>
          <w:sz w:val="24"/>
        </w:rPr>
        <w:t>（1</w:t>
      </w:r>
      <w:r>
        <w:rPr>
          <w:rFonts w:hint="eastAsia"/>
          <w:bCs/>
          <w:sz w:val="24"/>
        </w:rPr>
        <w:t>2</w:t>
      </w:r>
      <w:r>
        <w:rPr>
          <w:bCs/>
          <w:sz w:val="24"/>
        </w:rPr>
        <w:t>）单独或合计持有本基金总份额10%以上（含10%）基金份额的基金份额持有人（</w:t>
      </w:r>
      <w:r>
        <w:rPr>
          <w:rFonts w:hint="eastAsia"/>
          <w:bCs/>
          <w:sz w:val="24"/>
        </w:rPr>
        <w:t>以基金管理人收到提议当日的基金份额计算，下同</w:t>
      </w:r>
      <w:r>
        <w:rPr>
          <w:bCs/>
          <w:sz w:val="24"/>
        </w:rPr>
        <w:t>）就同一事项书面要求召开基金份额持有人大会；</w:t>
      </w:r>
    </w:p>
    <w:p>
      <w:pPr>
        <w:spacing w:line="360" w:lineRule="auto"/>
        <w:ind w:firstLine="480" w:firstLineChars="200"/>
        <w:rPr>
          <w:bCs/>
          <w:sz w:val="24"/>
        </w:rPr>
      </w:pP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pPr>
        <w:spacing w:line="360" w:lineRule="auto"/>
        <w:ind w:firstLine="480" w:firstLineChars="200"/>
        <w:rPr>
          <w:bCs/>
          <w:sz w:val="24"/>
        </w:rPr>
      </w:pPr>
      <w:r>
        <w:rPr>
          <w:bCs/>
          <w:sz w:val="24"/>
        </w:rPr>
        <w:t>（1</w:t>
      </w:r>
      <w:r>
        <w:rPr>
          <w:rFonts w:hint="eastAsia"/>
          <w:bCs/>
          <w:sz w:val="24"/>
        </w:rPr>
        <w:t>4</w:t>
      </w:r>
      <w:r>
        <w:rPr>
          <w:bCs/>
          <w:sz w:val="24"/>
        </w:rPr>
        <w:t>）法律法规、《基金合同》或中国证监会规定的其他应当召开基金份额持有人大会的事项。</w:t>
      </w:r>
    </w:p>
    <w:p>
      <w:pPr>
        <w:spacing w:line="360" w:lineRule="auto"/>
        <w:ind w:firstLine="480" w:firstLineChars="200"/>
        <w:rPr>
          <w:bCs/>
          <w:sz w:val="24"/>
        </w:rPr>
      </w:pPr>
      <w:r>
        <w:rPr>
          <w:bCs/>
          <w:sz w:val="24"/>
        </w:rPr>
        <w:t>2、</w:t>
      </w:r>
      <w:r>
        <w:rPr>
          <w:rFonts w:hint="eastAsia"/>
          <w:bCs/>
          <w:sz w:val="24"/>
        </w:rPr>
        <w:t>在符合法律法规及本基金合同规定、并且对基金份额持有人利益无实质不利影响的前提下，</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（1）法律法规要求增加的基金费用的收取；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）在法律法规和《基金合同》规定的范围内调整</w:t>
      </w:r>
      <w:r>
        <w:rPr>
          <w:rFonts w:hint="eastAsia"/>
          <w:bCs/>
          <w:sz w:val="24"/>
        </w:rPr>
        <w:t>本基金</w:t>
      </w:r>
      <w:r>
        <w:rPr>
          <w:bCs/>
          <w:sz w:val="24"/>
        </w:rPr>
        <w:t>的申购费率、调低赎回费率</w:t>
      </w:r>
      <w:r>
        <w:rPr>
          <w:rFonts w:hint="eastAsia" w:ascii="宋体" w:hAnsi="宋体"/>
          <w:sz w:val="24"/>
        </w:rPr>
        <w:t>及销售服务费率</w:t>
      </w:r>
      <w:r>
        <w:rPr>
          <w:rFonts w:hint="eastAsia"/>
          <w:bCs/>
          <w:sz w:val="24"/>
        </w:rPr>
        <w:t>、在对现有基金份额持有人利益无实质性不利影响的前提下变更或增加收费方式</w:t>
      </w:r>
      <w:r>
        <w:rPr>
          <w:bCs/>
          <w:sz w:val="24"/>
        </w:rPr>
        <w:t>；</w:t>
      </w:r>
    </w:p>
    <w:p>
      <w:pPr>
        <w:spacing w:line="360" w:lineRule="auto"/>
        <w:ind w:firstLine="480" w:firstLineChars="200"/>
        <w:rPr>
          <w:bCs/>
          <w:sz w:val="24"/>
        </w:rPr>
      </w:pPr>
      <w:r>
        <w:rPr>
          <w:rFonts w:hint="eastAsia"/>
          <w:bCs/>
          <w:sz w:val="24"/>
        </w:rPr>
        <w:t>（</w:t>
      </w:r>
      <w:r>
        <w:rPr>
          <w:bCs/>
          <w:sz w:val="24"/>
        </w:rPr>
        <w:t>3</w:t>
      </w:r>
      <w:r>
        <w:rPr>
          <w:rFonts w:hint="eastAsia"/>
          <w:bCs/>
          <w:sz w:val="24"/>
        </w:rPr>
        <w:t>）调整基金份额类别设置、对基金份额分类办法及规则进行调整；</w:t>
      </w:r>
    </w:p>
    <w:p>
      <w:pPr>
        <w:spacing w:line="360" w:lineRule="auto"/>
        <w:ind w:firstLine="480" w:firstLineChars="200"/>
        <w:rPr>
          <w:bCs/>
          <w:sz w:val="24"/>
        </w:rPr>
      </w:pPr>
      <w:r>
        <w:rPr>
          <w:rFonts w:hint="eastAsia"/>
          <w:bCs/>
          <w:sz w:val="24"/>
        </w:rPr>
        <w:t>（</w:t>
      </w:r>
      <w:r>
        <w:rPr>
          <w:bCs/>
          <w:sz w:val="24"/>
        </w:rPr>
        <w:t>4</w:t>
      </w:r>
      <w:r>
        <w:rPr>
          <w:rFonts w:hint="eastAsia"/>
          <w:bCs/>
          <w:sz w:val="24"/>
        </w:rPr>
        <w:t>）标的指数供应商根据相应指数使用许可协议变更标的指数许可使用费费率和计费方式；</w:t>
      </w:r>
    </w:p>
    <w:p>
      <w:pPr>
        <w:spacing w:line="360" w:lineRule="auto"/>
        <w:ind w:firstLine="480" w:firstLineChars="200"/>
        <w:rPr>
          <w:bCs/>
          <w:sz w:val="24"/>
        </w:rPr>
      </w:pPr>
      <w:r>
        <w:rPr>
          <w:bCs/>
          <w:sz w:val="24"/>
        </w:rPr>
        <w:t>（5）因相应的法律法规、深圳证券交易所或登记机构的相关业务规则发生变动而应当对《基金合同》进行修改；</w:t>
      </w:r>
    </w:p>
    <w:p>
      <w:pPr>
        <w:spacing w:line="360" w:lineRule="auto"/>
        <w:ind w:firstLine="480" w:firstLineChars="200"/>
        <w:rPr>
          <w:bCs/>
          <w:sz w:val="24"/>
        </w:rPr>
      </w:pPr>
      <w:r>
        <w:rPr>
          <w:bCs/>
          <w:sz w:val="24"/>
        </w:rPr>
        <w:t>（6）对《基金合同》的修改对基金份额持有人利益无实质性不利影响或修改不涉及《基金合同》当事人权利义务关系发生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w:t>
      </w:r>
      <w:r>
        <w:rPr>
          <w:bCs/>
          <w:sz w:val="24"/>
        </w:rPr>
        <w:t>7</w:t>
      </w:r>
      <w:r>
        <w:rPr>
          <w:rFonts w:hint="eastAsia"/>
          <w:bCs/>
          <w:sz w:val="24"/>
        </w:rPr>
        <w:t>）在法律法规允许的情况下基金推出新业务或服务，且对基金份额持有人利益无实质性不利影响；</w:t>
      </w:r>
    </w:p>
    <w:p>
      <w:pPr>
        <w:spacing w:line="360" w:lineRule="auto"/>
        <w:ind w:firstLine="480" w:firstLineChars="200"/>
        <w:rPr>
          <w:bCs/>
          <w:sz w:val="24"/>
        </w:rPr>
      </w:pPr>
      <w:r>
        <w:rPr>
          <w:rFonts w:hint="eastAsia"/>
          <w:bCs/>
          <w:sz w:val="24"/>
        </w:rPr>
        <w:t>（</w:t>
      </w:r>
      <w:r>
        <w:rPr>
          <w:bCs/>
          <w:sz w:val="24"/>
        </w:rPr>
        <w:t>8</w:t>
      </w:r>
      <w:r>
        <w:rPr>
          <w:rFonts w:hint="eastAsia"/>
          <w:bCs/>
          <w:sz w:val="24"/>
        </w:rPr>
        <w:t>）变更标的指数对基金投资范围和投资策略无实质性影响（包括但不限于指数编制单位变更、指数更名等事项），且对基金份额持有人利益无实质性不利影响；</w:t>
      </w:r>
    </w:p>
    <w:p>
      <w:pPr>
        <w:spacing w:line="360" w:lineRule="auto"/>
        <w:ind w:firstLine="480" w:firstLineChars="200"/>
        <w:rPr>
          <w:bCs/>
          <w:sz w:val="24"/>
        </w:rPr>
      </w:pPr>
      <w:r>
        <w:rPr>
          <w:rFonts w:hint="eastAsia"/>
          <w:bCs/>
          <w:sz w:val="24"/>
        </w:rPr>
        <w:t>（</w:t>
      </w:r>
      <w:r>
        <w:rPr>
          <w:bCs/>
          <w:sz w:val="24"/>
        </w:rPr>
        <w:t>9</w:t>
      </w:r>
      <w:r>
        <w:rPr>
          <w:rFonts w:hint="eastAsia"/>
          <w:bCs/>
          <w:sz w:val="24"/>
        </w:rPr>
        <w:t>）基金管理人、登记机构、深圳证券交易所、销售机构在法律法规规定的范围内调整有关基金申购、赎回、转换、非交易过户、转托管、上市交易等业务的规则；</w:t>
      </w:r>
    </w:p>
    <w:p>
      <w:pPr>
        <w:spacing w:line="360" w:lineRule="auto"/>
        <w:ind w:firstLine="480" w:firstLineChars="200"/>
        <w:rPr>
          <w:bCs/>
          <w:sz w:val="24"/>
        </w:rPr>
      </w:pPr>
      <w:r>
        <w:rPr>
          <w:rFonts w:hint="eastAsia"/>
          <w:bCs/>
          <w:sz w:val="24"/>
        </w:rPr>
        <w:t>（</w:t>
      </w:r>
      <w:r>
        <w:rPr>
          <w:bCs/>
          <w:sz w:val="24"/>
        </w:rPr>
        <w:t>10</w:t>
      </w:r>
      <w:r>
        <w:rPr>
          <w:rFonts w:hint="eastAsia"/>
          <w:bCs/>
          <w:sz w:val="24"/>
        </w:rPr>
        <w:t>）</w:t>
      </w:r>
      <w:r>
        <w:rPr>
          <w:bCs/>
          <w:sz w:val="24"/>
        </w:rPr>
        <w:t>按照法律法规和《基金合同》规定不需召开基金份额持有人大会的以外的其他情形。</w:t>
      </w:r>
    </w:p>
    <w:p>
      <w:pPr>
        <w:spacing w:line="360" w:lineRule="auto"/>
        <w:ind w:firstLine="480" w:firstLineChars="200"/>
        <w:rPr>
          <w:bCs/>
          <w:sz w:val="24"/>
        </w:rPr>
      </w:pPr>
      <w:bookmarkStart w:id="157" w:name="_Toc79392585"/>
      <w:bookmarkStart w:id="158" w:name="_Toc57530244"/>
      <w:bookmarkStart w:id="159" w:name="_Toc15641221"/>
      <w:r>
        <w:rPr>
          <w:bCs/>
          <w:sz w:val="24"/>
        </w:rPr>
        <w:t>二、会议召集人及召集方式</w:t>
      </w:r>
      <w:bookmarkEnd w:id="157"/>
      <w:bookmarkEnd w:id="158"/>
      <w:bookmarkEnd w:id="159"/>
    </w:p>
    <w:p>
      <w:pPr>
        <w:spacing w:line="360" w:lineRule="auto"/>
        <w:ind w:firstLine="480" w:firstLineChars="200"/>
        <w:rPr>
          <w:bCs/>
          <w:sz w:val="24"/>
        </w:rPr>
      </w:pPr>
      <w:bookmarkStart w:id="160" w:name="_Toc57530245"/>
      <w:bookmarkStart w:id="161" w:name="_Toc15641222"/>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2、基金管理人未按规定召集或不能召集时，由基金托管人召集；</w:t>
      </w:r>
    </w:p>
    <w:p>
      <w:pPr>
        <w:adjustRightInd w:val="0"/>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bCs/>
          <w:sz w:val="24"/>
        </w:rPr>
        <w:t>60</w:t>
      </w:r>
      <w:r>
        <w:rPr>
          <w:rFonts w:hint="eastAsia"/>
          <w:bCs/>
          <w:sz w:val="24"/>
        </w:rPr>
        <w:t>日内召开并告知基金管理人，基金管理人应当配合；</w:t>
      </w:r>
    </w:p>
    <w:p>
      <w:pPr>
        <w:adjustRightInd w:val="0"/>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bookmarkStart w:id="162" w:name="_Toc79392586"/>
      <w:r>
        <w:rPr>
          <w:bCs/>
          <w:sz w:val="24"/>
        </w:rPr>
        <w:t>三、召开基金份额持有人大会的通知时间、通知内容、通知方式</w:t>
      </w:r>
      <w:bookmarkEnd w:id="160"/>
      <w:bookmarkEnd w:id="161"/>
      <w:bookmarkEnd w:id="162"/>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日，在指定媒介公告。基金份额持有人大会通知应至少载明以下内容：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bookmarkStart w:id="163" w:name="_Toc57530246"/>
      <w:bookmarkStart w:id="164" w:name="_Toc15641223"/>
      <w:bookmarkStart w:id="165" w:name="_Toc79392587"/>
      <w:r>
        <w:rPr>
          <w:bCs/>
          <w:sz w:val="24"/>
        </w:rPr>
        <w:t>四、基金份额持有人出席会议的方式</w:t>
      </w:r>
      <w:bookmarkEnd w:id="163"/>
      <w:bookmarkEnd w:id="164"/>
      <w:bookmarkEnd w:id="165"/>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ascii="宋体" w:hAnsi="宋体"/>
          <w:sz w:val="24"/>
        </w:rPr>
        <w:t>或法律法规和监管机关允许的其他方式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2、通讯开会。通讯开会系指基金份额持有人将其对表决事项的投票以书面形式在表决截至日以前送达至召集人指定的地址。通讯开会应以书面方式进行表决。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540" w:firstLineChars="225"/>
        <w:rPr>
          <w:bCs/>
          <w:sz w:val="24"/>
        </w:rPr>
      </w:pPr>
      <w:r>
        <w:rPr>
          <w:bCs/>
          <w:sz w:val="24"/>
        </w:rPr>
        <w:t>（3）本人直接出具书面意见或授权他人代表出具书面意见的，基金份额持有人所持有的</w:t>
      </w:r>
      <w:r>
        <w:rPr>
          <w:rFonts w:hint="eastAsia"/>
          <w:bCs/>
          <w:sz w:val="24"/>
        </w:rPr>
        <w:t>基金份额</w:t>
      </w:r>
      <w:r>
        <w:rPr>
          <w:bCs/>
          <w:sz w:val="24"/>
        </w:rPr>
        <w:t>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w:t>
      </w:r>
      <w:r>
        <w:rPr>
          <w:rFonts w:hint="eastAsia"/>
          <w:bCs/>
          <w:sz w:val="24"/>
        </w:rPr>
        <w:t>的</w:t>
      </w:r>
      <w:r>
        <w:rPr>
          <w:bCs/>
          <w:sz w:val="24"/>
        </w:rPr>
        <w:t>基金份额持有人所持有的</w:t>
      </w:r>
      <w:r>
        <w:rPr>
          <w:rFonts w:hint="eastAsia"/>
          <w:bCs/>
          <w:sz w:val="24"/>
        </w:rPr>
        <w:t>基金份额</w:t>
      </w:r>
      <w:r>
        <w:rPr>
          <w:bCs/>
          <w:sz w:val="24"/>
        </w:rPr>
        <w:t>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基金总份额三分之一以上（含三分之一）基金份额的持有人直接出具书面意见或授权他人代表出具书面意见；</w:t>
      </w:r>
    </w:p>
    <w:p>
      <w:pPr>
        <w:spacing w:line="360" w:lineRule="auto"/>
        <w:ind w:firstLine="480" w:firstLineChars="200"/>
        <w:rPr>
          <w:bCs/>
          <w:sz w:val="24"/>
        </w:rPr>
      </w:pPr>
      <w:r>
        <w:rPr>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pPr>
        <w:spacing w:line="360" w:lineRule="auto"/>
        <w:ind w:firstLine="480"/>
        <w:rPr>
          <w:bCs/>
          <w:sz w:val="24"/>
        </w:rPr>
      </w:pPr>
      <w:bookmarkStart w:id="166" w:name="OLE_LINK58"/>
      <w:bookmarkStart w:id="167" w:name="OLE_LINK59"/>
      <w:r>
        <w:rPr>
          <w:rFonts w:hint="eastAsia"/>
          <w:bCs/>
          <w:sz w:val="24"/>
          <w:szCs w:val="24"/>
        </w:rPr>
        <w:t>3、在法律法规和监管机关允许的情况下，经会议通知载明，</w:t>
      </w:r>
      <w:r>
        <w:rPr>
          <w:rFonts w:hAnsi="宋体"/>
          <w:bCs/>
          <w:sz w:val="24"/>
        </w:rPr>
        <w:t>本基金可采用网络、电话</w:t>
      </w:r>
      <w:r>
        <w:rPr>
          <w:rFonts w:hint="eastAsia" w:hAnsi="宋体"/>
          <w:bCs/>
          <w:sz w:val="24"/>
        </w:rPr>
        <w:t>、短信</w:t>
      </w:r>
      <w:r>
        <w:rPr>
          <w:rFonts w:hAnsi="宋体"/>
          <w:bCs/>
          <w:sz w:val="24"/>
        </w:rPr>
        <w:t>等其他非书面方式由基金份额持有人向其授权代表进行授权</w:t>
      </w:r>
      <w:r>
        <w:rPr>
          <w:rFonts w:hint="eastAsia" w:hAnsi="宋体"/>
          <w:bCs/>
          <w:sz w:val="24"/>
        </w:rPr>
        <w:t>；</w:t>
      </w:r>
      <w:r>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bookmarkEnd w:id="166"/>
    <w:bookmarkEnd w:id="167"/>
    <w:p>
      <w:pPr>
        <w:spacing w:line="360" w:lineRule="auto"/>
        <w:ind w:firstLine="480" w:firstLineChars="200"/>
        <w:rPr>
          <w:bCs/>
          <w:sz w:val="24"/>
        </w:rPr>
      </w:pPr>
      <w:bookmarkStart w:id="168" w:name="_Toc57530247"/>
      <w:bookmarkStart w:id="169" w:name="_Toc79392588"/>
      <w:bookmarkStart w:id="170" w:name="_Toc15641224"/>
      <w:r>
        <w:rPr>
          <w:bCs/>
          <w:sz w:val="24"/>
        </w:rPr>
        <w:t>五、议事内容与程序</w:t>
      </w:r>
      <w:bookmarkEnd w:id="168"/>
      <w:bookmarkEnd w:id="169"/>
      <w:bookmarkEnd w:id="170"/>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bCs/>
          <w:sz w:val="24"/>
        </w:rPr>
      </w:pPr>
      <w:bookmarkStart w:id="171" w:name="_Toc57530248"/>
      <w:bookmarkStart w:id="172" w:name="_Toc15641225"/>
      <w:bookmarkStart w:id="173" w:name="_Toc79392589"/>
      <w:r>
        <w:rPr>
          <w:bCs/>
          <w:sz w:val="24"/>
        </w:rPr>
        <w:t>六、表决</w:t>
      </w:r>
      <w:bookmarkEnd w:id="171"/>
      <w:bookmarkEnd w:id="172"/>
      <w:bookmarkEnd w:id="173"/>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bookmarkStart w:id="174" w:name="_Toc15641226"/>
      <w:bookmarkStart w:id="175" w:name="_Toc57530249"/>
      <w:bookmarkStart w:id="176" w:name="_Toc79392590"/>
      <w:r>
        <w:rPr>
          <w:bCs/>
          <w:sz w:val="24"/>
        </w:rPr>
        <w:t>七、计票</w:t>
      </w:r>
      <w:bookmarkEnd w:id="174"/>
      <w:bookmarkEnd w:id="175"/>
      <w:bookmarkEnd w:id="176"/>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77" w:name="_Toc57530250"/>
      <w:bookmarkStart w:id="178" w:name="_Toc15641227"/>
      <w:bookmarkStart w:id="179" w:name="_Toc79392591"/>
      <w:r>
        <w:rPr>
          <w:bCs/>
          <w:sz w:val="24"/>
        </w:rPr>
        <w:t>。基金管理人或基金托管人拒派代表对表决意见的计票进行监督的，不影响计票和表决结果。</w:t>
      </w:r>
    </w:p>
    <w:p>
      <w:pPr>
        <w:spacing w:line="360" w:lineRule="auto"/>
        <w:ind w:firstLine="480" w:firstLineChars="200"/>
        <w:rPr>
          <w:bCs/>
          <w:sz w:val="24"/>
        </w:rPr>
      </w:pPr>
      <w:r>
        <w:rPr>
          <w:bCs/>
          <w:sz w:val="24"/>
        </w:rPr>
        <w:t>八、生效与公告</w:t>
      </w:r>
      <w:bookmarkEnd w:id="177"/>
      <w:bookmarkEnd w:id="178"/>
      <w:bookmarkEnd w:id="179"/>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w:t>
      </w:r>
      <w:bookmarkStart w:id="180" w:name="_Hlt88820702"/>
      <w:bookmarkEnd w:id="180"/>
      <w:r>
        <w:rPr>
          <w:bCs/>
          <w:sz w:val="24"/>
        </w:rPr>
        <w:t>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bCs/>
          <w:sz w:val="24"/>
        </w:rPr>
      </w:pPr>
      <w:bookmarkStart w:id="181" w:name="OLE_LINK60"/>
      <w:bookmarkStart w:id="182" w:name="OLE_LINK61"/>
      <w:bookmarkStart w:id="183" w:name="_Toc3963"/>
      <w:bookmarkStart w:id="184" w:name="_Toc1745"/>
      <w:r>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181"/>
    <w:bookmarkEnd w:id="182"/>
    <w:p>
      <w:pPr>
        <w:pStyle w:val="2"/>
        <w:jc w:val="center"/>
        <w:rPr>
          <w:rFonts w:ascii="Times New Roman"/>
          <w:color w:val="auto"/>
        </w:rPr>
      </w:pPr>
      <w:r>
        <w:rPr>
          <w:rFonts w:ascii="Times New Roman"/>
          <w:b w:val="0"/>
          <w:bCs/>
          <w:color w:val="auto"/>
        </w:rPr>
        <w:br w:type="page"/>
      </w:r>
      <w:bookmarkStart w:id="185" w:name="_Toc18206"/>
      <w:bookmarkStart w:id="186" w:name="_Toc725"/>
      <w:bookmarkStart w:id="187" w:name="_Toc3572"/>
      <w:bookmarkStart w:id="188" w:name="_Toc31821"/>
      <w:bookmarkStart w:id="189" w:name="_Toc16164"/>
      <w:bookmarkStart w:id="190" w:name="_Toc98560355"/>
      <w:bookmarkStart w:id="191" w:name="_Toc141703889"/>
      <w:bookmarkStart w:id="192" w:name="_Toc3080"/>
      <w:bookmarkStart w:id="193" w:name="_Toc123051455"/>
      <w:bookmarkStart w:id="194" w:name="_Toc123112237"/>
      <w:bookmarkStart w:id="195" w:name="_Toc123102456"/>
      <w:bookmarkStart w:id="196" w:name="_Toc442395200"/>
      <w:bookmarkStart w:id="197" w:name="_Toc10398"/>
      <w:bookmarkStart w:id="198" w:name="_Toc139991739"/>
      <w:bookmarkStart w:id="199" w:name="_Toc21735"/>
      <w:r>
        <w:rPr>
          <w:rFonts w:ascii="Times New Roman"/>
          <w:color w:val="auto"/>
          <w:sz w:val="30"/>
        </w:rPr>
        <w:t>第</w:t>
      </w:r>
      <w:r>
        <w:rPr>
          <w:rFonts w:hint="eastAsia" w:ascii="Times New Roman"/>
          <w:color w:val="auto"/>
          <w:sz w:val="30"/>
        </w:rPr>
        <w:t>十</w:t>
      </w:r>
      <w:r>
        <w:rPr>
          <w:rFonts w:ascii="Times New Roman"/>
          <w:color w:val="auto"/>
          <w:sz w:val="30"/>
        </w:rPr>
        <w:t>部分  基金管理人、基金托管人的更换条件和程序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autoSpaceDE w:val="0"/>
        <w:autoSpaceDN w:val="0"/>
        <w:spacing w:line="360" w:lineRule="auto"/>
        <w:textAlignment w:val="bottom"/>
        <w:rPr>
          <w:bCs/>
          <w:sz w:val="24"/>
        </w:rPr>
      </w:pPr>
      <w:bookmarkStart w:id="200" w:name="_Toc15118245"/>
      <w:bookmarkStart w:id="201" w:name="_Toc57530252"/>
      <w:bookmarkStart w:id="202" w:name="_Toc79392593"/>
    </w:p>
    <w:p>
      <w:pPr>
        <w:spacing w:line="360" w:lineRule="auto"/>
        <w:ind w:firstLine="480" w:firstLineChars="200"/>
        <w:rPr>
          <w:bCs/>
          <w:sz w:val="24"/>
        </w:rPr>
      </w:pPr>
      <w:r>
        <w:rPr>
          <w:bCs/>
          <w:sz w:val="24"/>
        </w:rPr>
        <w:t>一、基金管理人和基金托管人职责终止的情形</w:t>
      </w:r>
      <w:bookmarkEnd w:id="200"/>
      <w:bookmarkEnd w:id="201"/>
      <w:bookmarkEnd w:id="202"/>
    </w:p>
    <w:p>
      <w:pPr>
        <w:spacing w:line="360" w:lineRule="auto"/>
        <w:ind w:firstLine="480" w:firstLineChars="200"/>
        <w:rPr>
          <w:bCs/>
          <w:sz w:val="24"/>
        </w:rPr>
      </w:pPr>
      <w:bookmarkStart w:id="203" w:name="_Toc22005971"/>
      <w:r>
        <w:rPr>
          <w:bCs/>
          <w:sz w:val="24"/>
        </w:rPr>
        <w:t>（一）</w:t>
      </w:r>
      <w:r>
        <w:rPr>
          <w:bCs/>
          <w:sz w:val="24"/>
        </w:rPr>
        <w:tab/>
      </w:r>
      <w:r>
        <w:rPr>
          <w:bCs/>
          <w:sz w:val="24"/>
        </w:rPr>
        <w:t>基金管理人职责终止的情形</w:t>
      </w:r>
      <w:bookmarkEnd w:id="203"/>
    </w:p>
    <w:p>
      <w:pPr>
        <w:spacing w:line="360" w:lineRule="auto"/>
        <w:ind w:firstLine="480" w:firstLineChars="200"/>
        <w:rPr>
          <w:bCs/>
          <w:sz w:val="24"/>
        </w:rPr>
      </w:pPr>
      <w:r>
        <w:rPr>
          <w:bCs/>
          <w:sz w:val="24"/>
        </w:rPr>
        <w:t>有下列情形之一的，基金管理人职责终止：</w:t>
      </w:r>
    </w:p>
    <w:p>
      <w:pPr>
        <w:spacing w:line="360" w:lineRule="auto"/>
        <w:ind w:firstLine="480" w:firstLineChars="200"/>
        <w:rPr>
          <w:bCs/>
          <w:sz w:val="24"/>
        </w:rPr>
      </w:pPr>
      <w:r>
        <w:rPr>
          <w:bCs/>
          <w:sz w:val="24"/>
        </w:rPr>
        <w:t>1、被依法取消基金管理资格；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04" w:name="_Toc22005972"/>
      <w:r>
        <w:rPr>
          <w:bCs/>
          <w:sz w:val="24"/>
        </w:rPr>
        <w:t>（二）</w:t>
      </w:r>
      <w:r>
        <w:rPr>
          <w:bCs/>
          <w:sz w:val="24"/>
        </w:rPr>
        <w:tab/>
      </w:r>
      <w:r>
        <w:rPr>
          <w:bCs/>
          <w:sz w:val="24"/>
        </w:rPr>
        <w:t>基金托管人职责终止的情形</w:t>
      </w:r>
      <w:bookmarkEnd w:id="204"/>
    </w:p>
    <w:p>
      <w:pPr>
        <w:spacing w:line="360" w:lineRule="auto"/>
        <w:ind w:firstLine="480" w:firstLineChars="200"/>
        <w:rPr>
          <w:bCs/>
          <w:sz w:val="24"/>
        </w:rPr>
      </w:pPr>
      <w:r>
        <w:rPr>
          <w:bCs/>
          <w:sz w:val="24"/>
        </w:rPr>
        <w:t>有下列情形之一的，基金托管人职责终止：</w:t>
      </w:r>
    </w:p>
    <w:p>
      <w:pPr>
        <w:spacing w:line="360" w:lineRule="auto"/>
        <w:ind w:firstLine="480" w:firstLineChars="200"/>
        <w:rPr>
          <w:bCs/>
          <w:sz w:val="24"/>
        </w:rPr>
      </w:pPr>
      <w:r>
        <w:rPr>
          <w:bCs/>
          <w:sz w:val="24"/>
        </w:rPr>
        <w:t>1、被依法取消基金托管资格；</w:t>
      </w:r>
    </w:p>
    <w:p>
      <w:pPr>
        <w:spacing w:line="360" w:lineRule="auto"/>
        <w:ind w:firstLine="480" w:firstLineChars="200"/>
        <w:rPr>
          <w:bCs/>
          <w:sz w:val="24"/>
        </w:rPr>
      </w:pPr>
      <w:r>
        <w:rPr>
          <w:bCs/>
          <w:sz w:val="24"/>
        </w:rPr>
        <w:t>2、被基金份额持有人大会解任；</w:t>
      </w:r>
    </w:p>
    <w:p>
      <w:pPr>
        <w:spacing w:line="360" w:lineRule="auto"/>
        <w:ind w:firstLine="480" w:firstLineChars="200"/>
        <w:rPr>
          <w:bCs/>
          <w:sz w:val="24"/>
        </w:rPr>
      </w:pPr>
      <w:r>
        <w:rPr>
          <w:bCs/>
          <w:sz w:val="24"/>
        </w:rPr>
        <w:t>3、依法解散、被依法撤销或被依法宣告破产；</w:t>
      </w:r>
    </w:p>
    <w:p>
      <w:pPr>
        <w:spacing w:line="360" w:lineRule="auto"/>
        <w:ind w:firstLine="480" w:firstLineChars="200"/>
        <w:rPr>
          <w:bCs/>
          <w:sz w:val="24"/>
        </w:rPr>
      </w:pPr>
      <w:r>
        <w:rPr>
          <w:bCs/>
          <w:sz w:val="24"/>
        </w:rPr>
        <w:t>4、</w:t>
      </w:r>
      <w:r>
        <w:rPr>
          <w:rFonts w:hint="eastAsia"/>
          <w:bCs/>
          <w:sz w:val="24"/>
        </w:rPr>
        <w:t>法律法规及中国证监会规定的和《基金合同》约定的其他</w:t>
      </w:r>
      <w:r>
        <w:rPr>
          <w:bCs/>
          <w:sz w:val="24"/>
        </w:rPr>
        <w:t>情形。</w:t>
      </w:r>
    </w:p>
    <w:p>
      <w:pPr>
        <w:spacing w:line="360" w:lineRule="auto"/>
        <w:ind w:firstLine="480" w:firstLineChars="200"/>
        <w:rPr>
          <w:bCs/>
          <w:sz w:val="24"/>
        </w:rPr>
      </w:pPr>
      <w:bookmarkStart w:id="205" w:name="_Toc15118246"/>
      <w:bookmarkStart w:id="206" w:name="_Toc57530253"/>
      <w:bookmarkStart w:id="207" w:name="_Toc79392594"/>
      <w:r>
        <w:rPr>
          <w:bCs/>
          <w:sz w:val="24"/>
        </w:rPr>
        <w:t>二、基金管理人和基金托管人的更换程序</w:t>
      </w:r>
      <w:bookmarkEnd w:id="205"/>
      <w:bookmarkEnd w:id="206"/>
      <w:bookmarkEnd w:id="207"/>
    </w:p>
    <w:p>
      <w:pPr>
        <w:spacing w:line="360" w:lineRule="auto"/>
        <w:ind w:firstLine="480" w:firstLineChars="200"/>
        <w:rPr>
          <w:bCs/>
          <w:sz w:val="24"/>
        </w:rPr>
      </w:pPr>
      <w:bookmarkStart w:id="208" w:name="_Toc22005974"/>
      <w:r>
        <w:rPr>
          <w:bCs/>
          <w:sz w:val="24"/>
        </w:rPr>
        <w:t>（一）</w:t>
      </w:r>
      <w:r>
        <w:rPr>
          <w:bCs/>
          <w:sz w:val="24"/>
        </w:rPr>
        <w:tab/>
      </w:r>
      <w:r>
        <w:rPr>
          <w:bCs/>
          <w:sz w:val="24"/>
        </w:rPr>
        <w:t>基金管理人的更换程序</w:t>
      </w:r>
      <w:bookmarkEnd w:id="208"/>
    </w:p>
    <w:p>
      <w:pPr>
        <w:spacing w:line="360" w:lineRule="auto"/>
        <w:ind w:firstLine="480" w:firstLineChars="200"/>
        <w:rPr>
          <w:bCs/>
          <w:sz w:val="24"/>
        </w:rPr>
      </w:pPr>
      <w:r>
        <w:rPr>
          <w:bCs/>
          <w:sz w:val="24"/>
        </w:rPr>
        <w:t>1、提名：新任基金管理人由基金托管人或由单独或合计持有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pPr>
        <w:spacing w:line="360" w:lineRule="auto"/>
        <w:ind w:firstLine="480" w:firstLineChars="200"/>
        <w:rPr>
          <w:bCs/>
          <w:sz w:val="24"/>
        </w:rPr>
      </w:pPr>
      <w:r>
        <w:rPr>
          <w:bCs/>
          <w:sz w:val="24"/>
        </w:rPr>
        <w:t>2、决议：基金份额持有人大会在基金管理人职责终止后</w:t>
      </w:r>
      <w:r>
        <w:rPr>
          <w:rFonts w:hint="eastAsia"/>
          <w:bCs/>
          <w:sz w:val="24"/>
        </w:rPr>
        <w:t>6</w:t>
      </w:r>
      <w:r>
        <w:rPr>
          <w:bCs/>
          <w:sz w:val="24"/>
        </w:rPr>
        <w:t>个月内对被提名的</w:t>
      </w:r>
      <w:r>
        <w:rPr>
          <w:rFonts w:hint="eastAsia"/>
          <w:bCs/>
          <w:sz w:val="24"/>
        </w:rPr>
        <w:t>新任</w:t>
      </w:r>
      <w:r>
        <w:rPr>
          <w:bCs/>
          <w:sz w:val="24"/>
        </w:rPr>
        <w:t>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，新任基金管理人应当符合法律法规及中国证监会规定的资格条件</w:t>
      </w:r>
      <w:r>
        <w:rPr>
          <w:bCs/>
          <w:sz w:val="24"/>
        </w:rPr>
        <w:t>；</w:t>
      </w:r>
    </w:p>
    <w:p>
      <w:pPr>
        <w:spacing w:line="360" w:lineRule="auto"/>
        <w:ind w:firstLine="480" w:firstLineChars="200"/>
        <w:rPr>
          <w:bCs/>
          <w:sz w:val="24"/>
        </w:rPr>
      </w:pPr>
      <w:r>
        <w:rPr>
          <w:bCs/>
          <w:sz w:val="24"/>
        </w:rPr>
        <w:t>3、临时基金管理人：新任基金管理人产生之前，由中国证监会指定临时基金管理人；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向</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5、公告：基金管理人更换后，由基金托管人在</w:t>
      </w:r>
      <w:r>
        <w:rPr>
          <w:rFonts w:hint="eastAsia"/>
          <w:bCs/>
          <w:sz w:val="24"/>
        </w:rPr>
        <w:t>更换基金管理人的基金份额持有人大会决议生效</w:t>
      </w:r>
      <w:r>
        <w:rPr>
          <w:bCs/>
          <w:sz w:val="24"/>
        </w:rPr>
        <w:t>后2日内在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pPr>
        <w:spacing w:line="360" w:lineRule="auto"/>
        <w:ind w:firstLine="480" w:firstLineChars="200"/>
        <w:rPr>
          <w:bCs/>
          <w:sz w:val="24"/>
        </w:rPr>
      </w:pPr>
      <w:r>
        <w:rPr>
          <w:bCs/>
          <w:sz w:val="24"/>
        </w:rPr>
        <w:t>8、基金名称变更：基金管理人更换后，如果原任或新任基金管理人要求，应按其要求替换或删除基金名称中与原基金管理人有关的名称字样。</w:t>
      </w:r>
    </w:p>
    <w:p>
      <w:pPr>
        <w:spacing w:line="360" w:lineRule="auto"/>
        <w:ind w:firstLine="480" w:firstLineChars="200"/>
        <w:rPr>
          <w:bCs/>
          <w:sz w:val="24"/>
        </w:rPr>
      </w:pPr>
      <w:bookmarkStart w:id="209" w:name="_Toc22005975"/>
      <w:r>
        <w:rPr>
          <w:bCs/>
          <w:sz w:val="24"/>
        </w:rPr>
        <w:t>（二）</w:t>
      </w:r>
      <w:r>
        <w:rPr>
          <w:bCs/>
          <w:sz w:val="24"/>
        </w:rPr>
        <w:tab/>
      </w:r>
      <w:r>
        <w:rPr>
          <w:bCs/>
          <w:sz w:val="24"/>
        </w:rPr>
        <w:t>基金托管人的更换程序</w:t>
      </w:r>
      <w:bookmarkEnd w:id="209"/>
    </w:p>
    <w:p>
      <w:pPr>
        <w:spacing w:line="360" w:lineRule="auto"/>
        <w:ind w:firstLine="480" w:firstLineChars="200"/>
        <w:rPr>
          <w:bCs/>
          <w:sz w:val="24"/>
        </w:rPr>
      </w:pPr>
      <w:r>
        <w:rPr>
          <w:bCs/>
          <w:sz w:val="24"/>
        </w:rPr>
        <w:t>1、提名：新任基金托管人由基金管理人或由单独或合计持有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pPr>
        <w:spacing w:line="360" w:lineRule="auto"/>
        <w:ind w:firstLine="480" w:firstLineChars="200"/>
        <w:rPr>
          <w:bCs/>
          <w:sz w:val="24"/>
        </w:rPr>
      </w:pPr>
      <w:r>
        <w:rPr>
          <w:bCs/>
          <w:sz w:val="24"/>
        </w:rPr>
        <w:t>2、决议：基金份额持有人大会在基金托管人职责终止后</w:t>
      </w:r>
      <w:r>
        <w:rPr>
          <w:rFonts w:hint="eastAsia"/>
          <w:bCs/>
          <w:sz w:val="24"/>
        </w:rPr>
        <w:t>6</w:t>
      </w:r>
      <w:r>
        <w:rPr>
          <w:bCs/>
          <w:sz w:val="24"/>
        </w:rPr>
        <w:t>个月内对被提名的</w:t>
      </w:r>
      <w:r>
        <w:rPr>
          <w:rFonts w:hint="eastAsia"/>
          <w:bCs/>
          <w:sz w:val="24"/>
        </w:rPr>
        <w:t>新任</w:t>
      </w:r>
      <w:r>
        <w:rPr>
          <w:bCs/>
          <w:sz w:val="24"/>
        </w:rPr>
        <w:t>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，新任基金托管人应当符合法律法规及中国证监会规定的资格条件</w:t>
      </w:r>
      <w:r>
        <w:rPr>
          <w:bCs/>
          <w:sz w:val="24"/>
        </w:rPr>
        <w:t>；</w:t>
      </w:r>
    </w:p>
    <w:p>
      <w:pPr>
        <w:spacing w:line="360" w:lineRule="auto"/>
        <w:ind w:firstLine="480" w:firstLineChars="200"/>
        <w:rPr>
          <w:bCs/>
          <w:sz w:val="24"/>
        </w:rPr>
      </w:pPr>
      <w:r>
        <w:rPr>
          <w:bCs/>
          <w:sz w:val="24"/>
        </w:rPr>
        <w:t>3、临时基金托管人：新任基金托管人产生之前，由中国证监会指定临时基金托管人；</w:t>
      </w:r>
    </w:p>
    <w:p>
      <w:pPr>
        <w:spacing w:line="360" w:lineRule="auto"/>
        <w:ind w:firstLine="480" w:firstLineChars="200"/>
        <w:rPr>
          <w:bCs/>
          <w:sz w:val="24"/>
        </w:rPr>
      </w:pPr>
      <w:r>
        <w:rPr>
          <w:bCs/>
          <w:sz w:val="24"/>
        </w:rPr>
        <w:t>4、</w:t>
      </w:r>
      <w:r>
        <w:rPr>
          <w:rFonts w:hint="eastAsia"/>
          <w:bCs/>
          <w:sz w:val="24"/>
        </w:rPr>
        <w:t>备案</w:t>
      </w:r>
      <w:r>
        <w:rPr>
          <w:bCs/>
          <w:sz w:val="24"/>
        </w:rPr>
        <w:t>：基金份额持有人大会更换基金托管人的决议须</w:t>
      </w:r>
      <w:r>
        <w:rPr>
          <w:rFonts w:hint="eastAsia"/>
          <w:bCs/>
          <w:sz w:val="24"/>
        </w:rPr>
        <w:t>向</w:t>
      </w:r>
      <w:r>
        <w:rPr>
          <w:bCs/>
          <w:sz w:val="24"/>
        </w:rPr>
        <w:t>中国证监会</w:t>
      </w:r>
      <w:r>
        <w:rPr>
          <w:rFonts w:hint="eastAsia"/>
          <w:bCs/>
          <w:sz w:val="24"/>
        </w:rPr>
        <w:t>备案</w:t>
      </w:r>
      <w:r>
        <w:rPr>
          <w:bCs/>
          <w:sz w:val="24"/>
        </w:rPr>
        <w:t>；</w:t>
      </w:r>
    </w:p>
    <w:p>
      <w:pPr>
        <w:spacing w:line="360" w:lineRule="auto"/>
        <w:ind w:firstLine="480" w:firstLineChars="200"/>
        <w:rPr>
          <w:bCs/>
          <w:sz w:val="24"/>
        </w:rPr>
      </w:pPr>
      <w:r>
        <w:rPr>
          <w:bCs/>
          <w:sz w:val="24"/>
        </w:rPr>
        <w:t>5、公告：基金托管人更换后，由基金管理人在</w:t>
      </w:r>
      <w:r>
        <w:rPr>
          <w:rFonts w:hint="eastAsia" w:ascii="宋体" w:hAnsi="宋体"/>
          <w:sz w:val="24"/>
          <w:szCs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指定媒介</w:t>
      </w:r>
      <w:r>
        <w:rPr>
          <w:bCs/>
          <w:sz w:val="24"/>
        </w:rPr>
        <w:t>公告</w:t>
      </w:r>
      <w:r>
        <w:rPr>
          <w:rFonts w:hint="eastAsia"/>
          <w:bCs/>
          <w:sz w:val="24"/>
        </w:rPr>
        <w:t>；</w:t>
      </w:r>
    </w:p>
    <w:p>
      <w:pPr>
        <w:spacing w:line="360" w:lineRule="auto"/>
        <w:ind w:firstLine="480" w:firstLineChars="200"/>
        <w:rPr>
          <w:bCs/>
          <w:sz w:val="24"/>
        </w:rPr>
      </w:pPr>
      <w:r>
        <w:rPr>
          <w:bCs/>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rFonts w:hint="eastAsia"/>
          <w:bCs/>
          <w:sz w:val="24"/>
        </w:rPr>
        <w:t>和净值</w:t>
      </w:r>
      <w:r>
        <w:rPr>
          <w:bCs/>
          <w:sz w:val="24"/>
        </w:rPr>
        <w:t>；</w:t>
      </w:r>
    </w:p>
    <w:p>
      <w:pPr>
        <w:spacing w:line="360" w:lineRule="auto"/>
        <w:ind w:firstLine="480" w:firstLineChars="200"/>
        <w:rPr>
          <w:bCs/>
          <w:sz w:val="24"/>
        </w:rPr>
      </w:pPr>
      <w:r>
        <w:rPr>
          <w:bCs/>
          <w:sz w:val="24"/>
        </w:rPr>
        <w:t>7、审计：基金托管人职责终止的，应当按照法律法规规定聘请会计师事务所对基金财产进行审计，并将审计结果予以公告，同时报中国证监会备案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pPr>
        <w:spacing w:line="360" w:lineRule="auto"/>
        <w:ind w:firstLine="480" w:firstLineChars="200"/>
        <w:rPr>
          <w:bCs/>
          <w:sz w:val="24"/>
        </w:rPr>
      </w:pPr>
      <w:bookmarkStart w:id="210" w:name="_Toc1357"/>
      <w:r>
        <w:rPr>
          <w:bCs/>
          <w:sz w:val="24"/>
        </w:rPr>
        <w:t>（三）基金管理人与基金托管人同时更换的条件和程序</w:t>
      </w:r>
      <w:bookmarkEnd w:id="210"/>
    </w:p>
    <w:p>
      <w:pPr>
        <w:spacing w:line="360" w:lineRule="auto"/>
        <w:ind w:firstLine="480" w:firstLineChars="20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pPr>
        <w:spacing w:line="360" w:lineRule="auto"/>
        <w:ind w:firstLine="480" w:firstLineChars="200"/>
        <w:rPr>
          <w:bCs/>
          <w:sz w:val="24"/>
        </w:rPr>
      </w:pPr>
      <w:r>
        <w:rPr>
          <w:bCs/>
          <w:sz w:val="24"/>
        </w:rPr>
        <w:t>2</w:t>
      </w:r>
      <w:r>
        <w:rPr>
          <w:rFonts w:hint="eastAsia"/>
          <w:bCs/>
          <w:sz w:val="24"/>
        </w:rPr>
        <w:t>、</w:t>
      </w:r>
      <w:r>
        <w:rPr>
          <w:bCs/>
          <w:sz w:val="24"/>
        </w:rPr>
        <w:t>基金管理人和基金托管人的更换分别按上述程序进行；</w:t>
      </w:r>
    </w:p>
    <w:p>
      <w:pPr>
        <w:spacing w:line="360" w:lineRule="auto"/>
        <w:ind w:firstLine="480" w:firstLineChars="20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后2日内在指定媒介上联合公告。</w:t>
      </w:r>
    </w:p>
    <w:p>
      <w:pPr>
        <w:pStyle w:val="2"/>
        <w:spacing w:before="0" w:after="0"/>
        <w:jc w:val="center"/>
        <w:rPr>
          <w:rFonts w:ascii="Times New Roman"/>
          <w:color w:val="auto"/>
          <w:sz w:val="30"/>
        </w:rPr>
      </w:pPr>
      <w:r>
        <w:rPr>
          <w:rFonts w:ascii="Times New Roman"/>
          <w:b w:val="0"/>
          <w:bCs/>
          <w:color w:val="auto"/>
          <w:kern w:val="2"/>
        </w:rPr>
        <w:br w:type="page"/>
      </w:r>
      <w:bookmarkStart w:id="211" w:name="_Toc8791"/>
      <w:bookmarkStart w:id="212" w:name="_Toc3329"/>
      <w:bookmarkStart w:id="213" w:name="_Toc123112238"/>
      <w:bookmarkStart w:id="214" w:name="_Toc123102457"/>
      <w:bookmarkStart w:id="215" w:name="_Toc139991740"/>
      <w:bookmarkStart w:id="216" w:name="_Toc32584"/>
      <w:bookmarkStart w:id="217" w:name="_Toc79392622"/>
      <w:bookmarkStart w:id="218" w:name="_Toc123051456"/>
      <w:bookmarkStart w:id="219" w:name="_Toc17920"/>
      <w:bookmarkStart w:id="220" w:name="_Toc739"/>
      <w:bookmarkStart w:id="221" w:name="_Toc21237"/>
      <w:bookmarkStart w:id="222" w:name="_Toc5170"/>
      <w:bookmarkStart w:id="223" w:name="_Toc17198"/>
      <w:bookmarkStart w:id="224" w:name="_Toc98560356"/>
      <w:bookmarkStart w:id="225" w:name="_Toc32092"/>
      <w:bookmarkStart w:id="226" w:name="_Toc442395201"/>
      <w:bookmarkStart w:id="227" w:name="_Toc48649708"/>
      <w:bookmarkStart w:id="228" w:name="_Toc141703890"/>
      <w:bookmarkStart w:id="229" w:name="_Toc29408"/>
      <w:r>
        <w:rPr>
          <w:rFonts w:ascii="Times New Roman"/>
          <w:color w:val="auto"/>
          <w:sz w:val="30"/>
        </w:rPr>
        <w:t>第十</w:t>
      </w:r>
      <w:r>
        <w:rPr>
          <w:rFonts w:hint="eastAsia" w:ascii="Times New Roman"/>
          <w:color w:val="auto"/>
          <w:sz w:val="30"/>
        </w:rPr>
        <w:t>一</w:t>
      </w:r>
      <w:r>
        <w:rPr>
          <w:rFonts w:ascii="Times New Roman"/>
          <w:color w:val="auto"/>
          <w:sz w:val="30"/>
        </w:rPr>
        <w:t>部分  基金的托管</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autoSpaceDE w:val="0"/>
        <w:autoSpaceDN w:val="0"/>
        <w:spacing w:line="360" w:lineRule="auto"/>
        <w:textAlignment w:val="bottom"/>
        <w:rPr>
          <w:bCs/>
          <w:sz w:val="24"/>
        </w:rPr>
      </w:pPr>
    </w:p>
    <w:p>
      <w:pPr>
        <w:spacing w:line="360" w:lineRule="auto"/>
        <w:ind w:firstLine="480" w:firstLineChars="200"/>
        <w:rPr>
          <w:bCs/>
          <w:sz w:val="24"/>
        </w:rPr>
      </w:pPr>
      <w:r>
        <w:rPr>
          <w:bCs/>
          <w:sz w:val="24"/>
        </w:rPr>
        <w:t>基金托管人和基金管理人按照《基金法》、《基金合同》及其他有关规定订立托管协议。</w:t>
      </w:r>
    </w:p>
    <w:p>
      <w:pPr>
        <w:autoSpaceDE w:val="0"/>
        <w:autoSpaceDN w:val="0"/>
        <w:spacing w:line="360" w:lineRule="auto"/>
        <w:ind w:firstLine="480" w:firstLineChars="20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pPr>
        <w:pStyle w:val="2"/>
        <w:spacing w:before="0" w:after="0"/>
        <w:jc w:val="center"/>
        <w:rPr>
          <w:rFonts w:ascii="Times New Roman"/>
          <w:color w:val="auto"/>
          <w:sz w:val="30"/>
        </w:rPr>
      </w:pPr>
      <w:r>
        <w:rPr>
          <w:rFonts w:ascii="Times New Roman"/>
          <w:b w:val="0"/>
          <w:bCs/>
          <w:color w:val="auto"/>
        </w:rPr>
        <w:br w:type="page"/>
      </w:r>
      <w:bookmarkStart w:id="230" w:name="_Toc123112239"/>
      <w:bookmarkStart w:id="231" w:name="_Toc123102458"/>
      <w:bookmarkStart w:id="232" w:name="_Toc123051457"/>
      <w:bookmarkStart w:id="233" w:name="_Toc442395202"/>
      <w:bookmarkStart w:id="234" w:name="_Toc21886"/>
      <w:bookmarkStart w:id="235" w:name="_Toc26152"/>
      <w:bookmarkStart w:id="236" w:name="_Toc2255"/>
      <w:bookmarkStart w:id="237" w:name="_Toc48649710"/>
      <w:bookmarkStart w:id="238" w:name="_Toc16789"/>
      <w:bookmarkStart w:id="239" w:name="_Toc3244"/>
      <w:bookmarkStart w:id="240" w:name="_Toc26383"/>
      <w:bookmarkStart w:id="241" w:name="_Toc98560357"/>
      <w:bookmarkStart w:id="242" w:name="_Toc14725"/>
      <w:bookmarkStart w:id="243" w:name="_Toc79392624"/>
      <w:bookmarkStart w:id="244" w:name="_Toc141703891"/>
      <w:bookmarkStart w:id="245" w:name="_Toc22674"/>
      <w:bookmarkStart w:id="246" w:name="_Toc19520"/>
      <w:bookmarkStart w:id="247" w:name="_Toc26084"/>
      <w:bookmarkStart w:id="248" w:name="_Toc139991741"/>
      <w:r>
        <w:rPr>
          <w:rFonts w:ascii="Times New Roman"/>
          <w:color w:val="auto"/>
          <w:sz w:val="30"/>
        </w:rPr>
        <w:t>第十</w:t>
      </w:r>
      <w:r>
        <w:rPr>
          <w:rFonts w:hint="eastAsia" w:ascii="Times New Roman"/>
          <w:color w:val="auto"/>
          <w:sz w:val="30"/>
        </w:rPr>
        <w:t>二</w:t>
      </w:r>
      <w:r>
        <w:rPr>
          <w:rFonts w:ascii="Times New Roman"/>
          <w:color w:val="auto"/>
          <w:sz w:val="30"/>
        </w:rPr>
        <w:t>部分  基金份额的登记</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autoSpaceDE w:val="0"/>
        <w:autoSpaceDN w:val="0"/>
        <w:spacing w:line="360" w:lineRule="auto"/>
        <w:textAlignment w:val="bottom"/>
        <w:rPr>
          <w:bCs/>
          <w:sz w:val="24"/>
        </w:rPr>
      </w:pPr>
    </w:p>
    <w:p>
      <w:pPr>
        <w:spacing w:line="360" w:lineRule="auto"/>
        <w:ind w:firstLine="480" w:firstLineChars="200"/>
        <w:rPr>
          <w:bCs/>
          <w:sz w:val="24"/>
        </w:rPr>
      </w:pPr>
      <w:bookmarkStart w:id="249" w:name="OLE_LINK64"/>
      <w:bookmarkStart w:id="250" w:name="OLE_LINK65"/>
      <w:r>
        <w:rPr>
          <w:bCs/>
          <w:sz w:val="24"/>
        </w:rPr>
        <w:t>一、基金份额</w:t>
      </w:r>
      <w:r>
        <w:rPr>
          <w:rFonts w:hint="eastAsia"/>
          <w:bCs/>
          <w:sz w:val="24"/>
        </w:rPr>
        <w:t>的</w:t>
      </w:r>
      <w:r>
        <w:rPr>
          <w:bCs/>
          <w:sz w:val="24"/>
        </w:rPr>
        <w:t>登记业务</w:t>
      </w:r>
    </w:p>
    <w:p>
      <w:pPr>
        <w:spacing w:line="360" w:lineRule="auto"/>
        <w:ind w:firstLine="480" w:firstLineChars="200"/>
        <w:rPr>
          <w:bCs/>
          <w:sz w:val="24"/>
        </w:rPr>
      </w:pPr>
      <w:r>
        <w:rPr>
          <w:bCs/>
          <w:sz w:val="24"/>
        </w:rPr>
        <w:t>本基金的登记业务指本基金登记、存管、过户、清算和结算业务，具体内容包括投资人基金账户的建立和管理、基金份额登记、基金销售业务的确认、</w:t>
      </w:r>
      <w:r>
        <w:rPr>
          <w:rFonts w:hint="eastAsia"/>
          <w:bCs/>
          <w:sz w:val="24"/>
        </w:rPr>
        <w:t>基金交易的确认、</w:t>
      </w:r>
      <w:r>
        <w:rPr>
          <w:bCs/>
          <w:sz w:val="24"/>
        </w:rPr>
        <w:t>清算和结算、代理发放红利、建立并保管基金份额持有人名册</w:t>
      </w:r>
      <w:r>
        <w:rPr>
          <w:rFonts w:hint="eastAsia"/>
          <w:bCs/>
          <w:sz w:val="24"/>
        </w:rPr>
        <w:t>和办理非交易过户</w:t>
      </w:r>
      <w:r>
        <w:rPr>
          <w:bCs/>
          <w:sz w:val="24"/>
        </w:rPr>
        <w:t>等</w:t>
      </w:r>
      <w:r>
        <w:rPr>
          <w:rFonts w:hint="eastAsia"/>
          <w:bCs/>
          <w:sz w:val="24"/>
        </w:rPr>
        <w:t>。</w:t>
      </w:r>
    </w:p>
    <w:p>
      <w:pPr>
        <w:spacing w:line="360" w:lineRule="auto"/>
        <w:ind w:firstLine="480" w:firstLineChars="200"/>
        <w:rPr>
          <w:bCs/>
          <w:sz w:val="24"/>
        </w:rPr>
      </w:pPr>
      <w:r>
        <w:rPr>
          <w:bCs/>
          <w:sz w:val="24"/>
        </w:rPr>
        <w:t>二、基金登记业务办理机构</w:t>
      </w:r>
    </w:p>
    <w:p>
      <w:pPr>
        <w:spacing w:line="360" w:lineRule="auto"/>
        <w:ind w:firstLine="480" w:firstLineChars="20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bookmarkEnd w:id="249"/>
    <w:bookmarkEnd w:id="250"/>
    <w:p>
      <w:pPr>
        <w:spacing w:line="360" w:lineRule="auto"/>
        <w:ind w:firstLine="480" w:firstLineChars="200"/>
        <w:rPr>
          <w:bCs/>
          <w:sz w:val="24"/>
        </w:rPr>
      </w:pPr>
      <w:r>
        <w:rPr>
          <w:bCs/>
          <w:sz w:val="24"/>
        </w:rPr>
        <w:t>三、基金登记机构的权利</w:t>
      </w:r>
      <w:bookmarkStart w:id="251" w:name="_Hlt88820748"/>
      <w:bookmarkEnd w:id="251"/>
    </w:p>
    <w:p>
      <w:pPr>
        <w:spacing w:line="360" w:lineRule="auto"/>
        <w:ind w:firstLine="480" w:firstLineChars="200"/>
        <w:rPr>
          <w:bCs/>
          <w:sz w:val="24"/>
        </w:rPr>
      </w:pPr>
      <w:r>
        <w:rPr>
          <w:bCs/>
          <w:sz w:val="24"/>
        </w:rPr>
        <w:t>基金登记机构享有以下权利：</w:t>
      </w:r>
    </w:p>
    <w:p>
      <w:pPr>
        <w:spacing w:line="360" w:lineRule="auto"/>
        <w:ind w:firstLine="480" w:firstLineChars="200"/>
        <w:rPr>
          <w:bCs/>
          <w:sz w:val="24"/>
        </w:rPr>
      </w:pPr>
      <w:r>
        <w:rPr>
          <w:bCs/>
          <w:sz w:val="24"/>
        </w:rPr>
        <w:t>1、取得登记费；</w:t>
      </w:r>
    </w:p>
    <w:p>
      <w:pPr>
        <w:spacing w:line="360" w:lineRule="auto"/>
        <w:ind w:firstLine="480" w:firstLineChars="200"/>
        <w:rPr>
          <w:bCs/>
          <w:sz w:val="24"/>
        </w:rPr>
      </w:pPr>
      <w:r>
        <w:rPr>
          <w:bCs/>
          <w:sz w:val="24"/>
        </w:rPr>
        <w:t>2、建立和管理投资者基金账户；</w:t>
      </w:r>
    </w:p>
    <w:p>
      <w:pPr>
        <w:spacing w:line="360" w:lineRule="auto"/>
        <w:ind w:firstLine="480" w:firstLineChars="200"/>
        <w:rPr>
          <w:bCs/>
          <w:sz w:val="24"/>
        </w:rPr>
      </w:pPr>
      <w:r>
        <w:rPr>
          <w:bCs/>
          <w:sz w:val="24"/>
        </w:rPr>
        <w:t>3、保管基金份额持有人开户资料、交易资料、基金份额持有人名册等；</w:t>
      </w:r>
    </w:p>
    <w:p>
      <w:pPr>
        <w:spacing w:line="360" w:lineRule="auto"/>
        <w:ind w:firstLine="480" w:firstLineChars="200"/>
        <w:rPr>
          <w:bCs/>
          <w:sz w:val="24"/>
        </w:rPr>
      </w:pPr>
      <w:r>
        <w:rPr>
          <w:bCs/>
          <w:sz w:val="24"/>
        </w:rPr>
        <w:t>4、在法律法规允许的范围内，对登记业务的办理时间</w:t>
      </w:r>
      <w:r>
        <w:rPr>
          <w:rFonts w:hint="eastAsia"/>
          <w:bCs/>
          <w:sz w:val="24"/>
        </w:rPr>
        <w:t>和相关业务规则</w:t>
      </w:r>
      <w:r>
        <w:rPr>
          <w:bCs/>
          <w:sz w:val="24"/>
        </w:rPr>
        <w:t>进行调整，并依照有关规定于开始实施前在指定媒介上公告；</w:t>
      </w:r>
    </w:p>
    <w:p>
      <w:pPr>
        <w:spacing w:line="360" w:lineRule="auto"/>
        <w:ind w:firstLine="480" w:firstLineChars="200"/>
        <w:rPr>
          <w:bCs/>
          <w:sz w:val="24"/>
        </w:rPr>
      </w:pPr>
      <w:r>
        <w:rPr>
          <w:bCs/>
          <w:sz w:val="24"/>
        </w:rPr>
        <w:t>5、</w:t>
      </w:r>
      <w:r>
        <w:rPr>
          <w:rFonts w:hint="eastAsia"/>
          <w:bCs/>
          <w:sz w:val="24"/>
        </w:rPr>
        <w:t>法律法规及中国证监会规定的和《基金合同》约定的其他</w:t>
      </w:r>
      <w:r>
        <w:rPr>
          <w:bCs/>
          <w:sz w:val="24"/>
        </w:rPr>
        <w:t>权利。</w:t>
      </w:r>
    </w:p>
    <w:p>
      <w:pPr>
        <w:spacing w:line="360" w:lineRule="auto"/>
        <w:ind w:firstLine="480" w:firstLineChars="200"/>
        <w:rPr>
          <w:bCs/>
          <w:sz w:val="24"/>
        </w:rPr>
      </w:pPr>
      <w:r>
        <w:rPr>
          <w:bCs/>
          <w:sz w:val="24"/>
        </w:rPr>
        <w:t>四、基金登记机构的义务</w:t>
      </w:r>
    </w:p>
    <w:p>
      <w:pPr>
        <w:spacing w:line="360" w:lineRule="auto"/>
        <w:ind w:firstLine="480" w:firstLineChars="200"/>
        <w:rPr>
          <w:bCs/>
          <w:sz w:val="24"/>
        </w:rPr>
      </w:pPr>
      <w:r>
        <w:rPr>
          <w:bCs/>
          <w:sz w:val="24"/>
        </w:rPr>
        <w:t>基金登记机构承担以下义务：</w:t>
      </w:r>
    </w:p>
    <w:p>
      <w:pPr>
        <w:spacing w:line="360" w:lineRule="auto"/>
        <w:ind w:firstLine="480" w:firstLineChars="200"/>
        <w:rPr>
          <w:bCs/>
          <w:sz w:val="24"/>
        </w:rPr>
      </w:pPr>
      <w:r>
        <w:rPr>
          <w:bCs/>
          <w:sz w:val="24"/>
        </w:rPr>
        <w:t>1、配备足够的专业人员办理本基金份额的登记业务；</w:t>
      </w:r>
    </w:p>
    <w:p>
      <w:pPr>
        <w:spacing w:line="360" w:lineRule="auto"/>
        <w:ind w:firstLine="480" w:firstLineChars="200"/>
        <w:rPr>
          <w:bCs/>
          <w:sz w:val="24"/>
        </w:rPr>
      </w:pPr>
      <w:r>
        <w:rPr>
          <w:bCs/>
          <w:sz w:val="24"/>
        </w:rPr>
        <w:t>2、严格按照法律法规和《基金合同》规定的条件办理本基金份额的登记业务；</w:t>
      </w:r>
    </w:p>
    <w:p>
      <w:pPr>
        <w:spacing w:line="360" w:lineRule="auto"/>
        <w:ind w:firstLine="480" w:firstLineChars="20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妥善保存登记数据，并将基金份额持有人名称、身份信息及基金份额明细等数据备份至中国证监会认定的机构。其保存期限自基金账户销户之日起不得少于20年</w:t>
      </w:r>
      <w:r>
        <w:rPr>
          <w:bCs/>
          <w:sz w:val="24"/>
        </w:rPr>
        <w:t>；</w:t>
      </w:r>
    </w:p>
    <w:p>
      <w:pPr>
        <w:spacing w:line="360" w:lineRule="auto"/>
        <w:ind w:firstLine="480" w:firstLineChars="200"/>
        <w:rPr>
          <w:bCs/>
          <w:sz w:val="24"/>
        </w:rPr>
      </w:pPr>
      <w:r>
        <w:rPr>
          <w:bCs/>
          <w:sz w:val="24"/>
        </w:rPr>
        <w:t>4、对基金份额持有人的基金账户信息负有保密义务，因违反该保密义务对投资者或基金带来的损失，须承担相应的赔偿责任，但司法强制检查情形及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pPr>
        <w:spacing w:line="360" w:lineRule="auto"/>
        <w:ind w:firstLine="480" w:firstLineChars="200"/>
        <w:rPr>
          <w:bCs/>
          <w:sz w:val="24"/>
        </w:rPr>
      </w:pPr>
      <w:r>
        <w:rPr>
          <w:bCs/>
          <w:sz w:val="24"/>
        </w:rPr>
        <w:t>5、按《基金合同》及招募说明书规定为投资者办理非交易过户业务、提供其他必要的服务；</w:t>
      </w:r>
    </w:p>
    <w:p>
      <w:pPr>
        <w:spacing w:line="360" w:lineRule="auto"/>
        <w:ind w:firstLine="480" w:firstLineChars="200"/>
        <w:rPr>
          <w:bCs/>
          <w:sz w:val="24"/>
        </w:rPr>
      </w:pPr>
      <w:r>
        <w:rPr>
          <w:bCs/>
          <w:sz w:val="24"/>
        </w:rPr>
        <w:t>6、接受基金管理人的监督；</w:t>
      </w:r>
    </w:p>
    <w:p>
      <w:pPr>
        <w:spacing w:line="360" w:lineRule="auto"/>
        <w:ind w:firstLine="480" w:firstLineChars="200"/>
        <w:rPr>
          <w:bCs/>
          <w:sz w:val="24"/>
        </w:rPr>
      </w:pPr>
      <w:r>
        <w:rPr>
          <w:bCs/>
          <w:sz w:val="24"/>
        </w:rPr>
        <w:t>7、</w:t>
      </w:r>
      <w:r>
        <w:rPr>
          <w:rFonts w:hint="eastAsia"/>
          <w:bCs/>
          <w:sz w:val="24"/>
        </w:rPr>
        <w:t>如因登记机构的原因而造成基金管理人或者基金份额持有人损失的，依法承担相应的赔偿责任；</w:t>
      </w:r>
    </w:p>
    <w:p>
      <w:pPr>
        <w:spacing w:line="360" w:lineRule="auto"/>
        <w:ind w:firstLine="480" w:firstLineChars="200"/>
        <w:rPr>
          <w:bCs/>
          <w:sz w:val="24"/>
        </w:rPr>
      </w:pPr>
      <w:r>
        <w:rPr>
          <w:rFonts w:hint="eastAsia"/>
          <w:bCs/>
          <w:sz w:val="24"/>
        </w:rPr>
        <w:t>8</w:t>
      </w:r>
      <w:r>
        <w:rPr>
          <w:bCs/>
          <w:sz w:val="24"/>
        </w:rPr>
        <w:t>、</w:t>
      </w:r>
      <w:r>
        <w:rPr>
          <w:rFonts w:hint="eastAsia"/>
          <w:bCs/>
          <w:sz w:val="24"/>
        </w:rPr>
        <w:t>法律法规及中国证监会规定的和《基金合同》约定的其他</w:t>
      </w:r>
      <w:r>
        <w:rPr>
          <w:bCs/>
          <w:sz w:val="24"/>
        </w:rPr>
        <w:t>义务。</w:t>
      </w:r>
    </w:p>
    <w:p>
      <w:pPr>
        <w:pStyle w:val="2"/>
        <w:spacing w:before="0" w:after="0"/>
        <w:jc w:val="center"/>
        <w:rPr>
          <w:rFonts w:ascii="Times New Roman"/>
          <w:color w:val="auto"/>
          <w:sz w:val="30"/>
        </w:rPr>
      </w:pPr>
      <w:r>
        <w:rPr>
          <w:rFonts w:ascii="Times New Roman"/>
          <w:b w:val="0"/>
          <w:bCs/>
          <w:color w:val="auto"/>
        </w:rPr>
        <w:br w:type="page"/>
      </w:r>
      <w:bookmarkStart w:id="252" w:name="_Toc442395203"/>
      <w:bookmarkStart w:id="253" w:name="_Toc3872"/>
      <w:bookmarkStart w:id="254" w:name="_Toc21917"/>
      <w:bookmarkStart w:id="255" w:name="_Toc11351"/>
      <w:bookmarkStart w:id="256" w:name="_Toc16437"/>
      <w:bookmarkStart w:id="257" w:name="_Toc5477"/>
      <w:bookmarkStart w:id="258" w:name="_Toc801"/>
      <w:bookmarkStart w:id="259" w:name="_Toc22538"/>
      <w:bookmarkStart w:id="260" w:name="_Toc11395"/>
      <w:bookmarkStart w:id="261" w:name="_Toc2981"/>
      <w:bookmarkStart w:id="262" w:name="_Toc578"/>
      <w:r>
        <w:rPr>
          <w:rFonts w:ascii="Times New Roman"/>
          <w:color w:val="auto"/>
          <w:sz w:val="30"/>
        </w:rPr>
        <w:t>第十</w:t>
      </w:r>
      <w:r>
        <w:rPr>
          <w:rFonts w:hint="eastAsia" w:ascii="Times New Roman"/>
          <w:color w:val="auto"/>
          <w:sz w:val="30"/>
        </w:rPr>
        <w:t>三</w:t>
      </w:r>
      <w:r>
        <w:rPr>
          <w:rFonts w:ascii="Times New Roman"/>
          <w:color w:val="auto"/>
          <w:sz w:val="30"/>
        </w:rPr>
        <w:t>部分  基金的投资</w:t>
      </w:r>
      <w:bookmarkEnd w:id="252"/>
      <w:bookmarkEnd w:id="253"/>
      <w:bookmarkEnd w:id="254"/>
      <w:bookmarkEnd w:id="255"/>
      <w:bookmarkEnd w:id="256"/>
      <w:bookmarkEnd w:id="257"/>
      <w:bookmarkEnd w:id="258"/>
      <w:bookmarkEnd w:id="259"/>
      <w:bookmarkEnd w:id="260"/>
      <w:bookmarkEnd w:id="261"/>
      <w:bookmarkEnd w:id="262"/>
    </w:p>
    <w:p>
      <w:pPr>
        <w:spacing w:line="360" w:lineRule="auto"/>
        <w:ind w:firstLine="480" w:firstLineChars="200"/>
        <w:rPr>
          <w:bCs/>
          <w:sz w:val="24"/>
        </w:rPr>
      </w:pPr>
    </w:p>
    <w:p>
      <w:pPr>
        <w:spacing w:line="360" w:lineRule="auto"/>
        <w:ind w:firstLine="480" w:firstLineChars="200"/>
        <w:rPr>
          <w:bCs/>
          <w:sz w:val="24"/>
        </w:rPr>
      </w:pPr>
      <w:r>
        <w:rPr>
          <w:bCs/>
          <w:sz w:val="24"/>
        </w:rPr>
        <w:t>一、投资目标</w:t>
      </w:r>
    </w:p>
    <w:p>
      <w:pPr>
        <w:spacing w:line="360" w:lineRule="auto"/>
        <w:ind w:firstLine="480" w:firstLineChars="200"/>
        <w:rPr>
          <w:bCs/>
          <w:sz w:val="24"/>
        </w:rPr>
      </w:pPr>
      <w:r>
        <w:rPr>
          <w:rFonts w:hint="eastAsia"/>
          <w:bCs/>
          <w:sz w:val="24"/>
        </w:rPr>
        <w:t>本基金采用指数化投资，紧密跟踪标的指数，追求跟踪偏离度与跟踪误差最小化。本基金力争控制本基金日均跟踪偏离度的绝对值不超过</w:t>
      </w:r>
      <w:r>
        <w:rPr>
          <w:bCs/>
          <w:sz w:val="24"/>
        </w:rPr>
        <w:t>0.35%</w:t>
      </w:r>
      <w:r>
        <w:rPr>
          <w:rFonts w:hint="eastAsia"/>
          <w:bCs/>
          <w:sz w:val="24"/>
        </w:rPr>
        <w:t>，年跟踪误差不超过</w:t>
      </w:r>
      <w:r>
        <w:rPr>
          <w:bCs/>
          <w:sz w:val="24"/>
        </w:rPr>
        <w:t>4%</w:t>
      </w:r>
      <w:r>
        <w:rPr>
          <w:rFonts w:hint="eastAsia"/>
          <w:bCs/>
          <w:sz w:val="24"/>
        </w:rPr>
        <w:t>。</w:t>
      </w:r>
    </w:p>
    <w:p>
      <w:pPr>
        <w:spacing w:line="360" w:lineRule="auto"/>
        <w:ind w:firstLine="480" w:firstLineChars="200"/>
        <w:rPr>
          <w:bCs/>
          <w:sz w:val="24"/>
        </w:rPr>
      </w:pPr>
      <w:r>
        <w:rPr>
          <w:bCs/>
          <w:sz w:val="24"/>
        </w:rPr>
        <w:t>二、投资范围</w:t>
      </w:r>
    </w:p>
    <w:p>
      <w:pPr>
        <w:spacing w:line="360" w:lineRule="auto"/>
        <w:ind w:firstLine="480"/>
        <w:rPr>
          <w:bCs/>
          <w:sz w:val="24"/>
        </w:rPr>
      </w:pPr>
      <w:r>
        <w:rPr>
          <w:rFonts w:hint="eastAsia"/>
          <w:bCs/>
          <w:sz w:val="24"/>
        </w:rPr>
        <w:t>本基金投资于具有良好流动性的金融工具，以中证环境治理指数的成份股（含存托凭证）及其备选成份股</w:t>
      </w:r>
      <w:r>
        <w:rPr>
          <w:bCs/>
          <w:sz w:val="24"/>
        </w:rPr>
        <w:t>(</w:t>
      </w:r>
      <w:r>
        <w:rPr>
          <w:rFonts w:hint="eastAsia"/>
          <w:bCs/>
          <w:sz w:val="24"/>
        </w:rPr>
        <w:t>含中小板、创业板及其他经中国证监会核准的上市股票、存托凭证</w:t>
      </w:r>
      <w:r>
        <w:rPr>
          <w:bCs/>
          <w:sz w:val="24"/>
        </w:rPr>
        <w:t>)</w:t>
      </w:r>
      <w:r>
        <w:rPr>
          <w:rFonts w:hint="eastAsia"/>
          <w:bCs/>
          <w:sz w:val="24"/>
        </w:rPr>
        <w:t>为主要投资对象。为更好地实现投资目标，本基金也可少量投资于其他股票</w:t>
      </w:r>
      <w:r>
        <w:rPr>
          <w:bCs/>
          <w:sz w:val="24"/>
        </w:rPr>
        <w:t>(</w:t>
      </w:r>
      <w:r>
        <w:rPr>
          <w:rFonts w:hint="eastAsia"/>
          <w:bCs/>
          <w:sz w:val="24"/>
        </w:rPr>
        <w:t>非标的指数成份股（含存托凭证）及其备选成份股（含存托凭证）</w:t>
      </w:r>
      <w:r>
        <w:rPr>
          <w:bCs/>
          <w:sz w:val="24"/>
        </w:rPr>
        <w:t>)</w:t>
      </w:r>
      <w:r>
        <w:rPr>
          <w:rFonts w:hint="eastAsia"/>
          <w:bCs/>
          <w:sz w:val="24"/>
        </w:rPr>
        <w:t>、</w:t>
      </w:r>
      <w:r>
        <w:rPr>
          <w:bCs/>
          <w:sz w:val="24"/>
        </w:rPr>
        <w:t>债券</w:t>
      </w:r>
      <w:r>
        <w:rPr>
          <w:rFonts w:hint="eastAsia"/>
          <w:bCs/>
          <w:sz w:val="24"/>
        </w:rPr>
        <w:t>、中期票据、</w:t>
      </w:r>
      <w:r>
        <w:rPr>
          <w:rFonts w:hint="eastAsia" w:ascii="宋体" w:hAnsi="宋体"/>
          <w:sz w:val="24"/>
        </w:rPr>
        <w:t>货币市场工具、债券回购、权证、资产支持证券、股指期货</w:t>
      </w:r>
      <w:r>
        <w:rPr>
          <w:bCs/>
          <w:sz w:val="24"/>
        </w:rPr>
        <w:t>以及法律法规或中国证监会允许基金投资的其他金融工具</w:t>
      </w:r>
      <w:r>
        <w:rPr>
          <w:rFonts w:hint="eastAsia"/>
          <w:bCs/>
          <w:sz w:val="24"/>
        </w:rPr>
        <w:t>（</w:t>
      </w:r>
      <w:r>
        <w:rPr>
          <w:bCs/>
          <w:sz w:val="24"/>
        </w:rPr>
        <w:t>但须符合中国证监会相关规定</w:t>
      </w:r>
      <w:r>
        <w:rPr>
          <w:rFonts w:hint="eastAsia"/>
          <w:bCs/>
          <w:sz w:val="24"/>
        </w:rPr>
        <w:t>）</w:t>
      </w:r>
      <w:r>
        <w:rPr>
          <w:bCs/>
          <w:sz w:val="24"/>
        </w:rPr>
        <w:t>。</w:t>
      </w:r>
    </w:p>
    <w:p>
      <w:pPr>
        <w:spacing w:line="360" w:lineRule="auto"/>
        <w:ind w:firstLine="480"/>
        <w:rPr>
          <w:bCs/>
        </w:rPr>
      </w:pPr>
      <w:r>
        <w:rPr>
          <w:bCs/>
          <w:sz w:val="24"/>
        </w:rPr>
        <w:t>如法律法规或监管机构以后允许基金投资其他品种，基金管理人在履行适当程序后，可以将其纳入投资范围。</w:t>
      </w:r>
    </w:p>
    <w:p>
      <w:pPr>
        <w:spacing w:line="360" w:lineRule="auto"/>
        <w:ind w:firstLine="480"/>
        <w:rPr>
          <w:bCs/>
          <w:sz w:val="24"/>
        </w:rPr>
      </w:pPr>
      <w:r>
        <w:rPr>
          <w:bCs/>
          <w:sz w:val="24"/>
        </w:rPr>
        <w:t>基金的投资组合比例为：</w:t>
      </w:r>
      <w:r>
        <w:rPr>
          <w:rFonts w:hint="eastAsia"/>
          <w:bCs/>
          <w:sz w:val="24"/>
        </w:rPr>
        <w:t>本基金的股票资产（含存托凭证）投资比例不低于基金资产的90%，本基金投资于中证环境治理指数的成份股（含存托凭证）及其备选成份股（含存托凭证）的比例不低于非现金基金资产的90%，投资于权证的比例不得超过基金资产净值的3%，每个交易日日终在扣除股指期货合约需缴纳的交易保证金以后，持有现金或到期日在一年以内的政府债券的比例不低于基金资产净值的</w:t>
      </w:r>
      <w:r>
        <w:rPr>
          <w:bCs/>
          <w:sz w:val="24"/>
        </w:rPr>
        <w:t>5%</w:t>
      </w:r>
      <w:r>
        <w:rPr>
          <w:rFonts w:hint="eastAsia"/>
          <w:bCs/>
          <w:sz w:val="24"/>
        </w:rPr>
        <w:t>，其中现金不包括结算备付金、存出保证金、应收申购款等。</w:t>
      </w:r>
    </w:p>
    <w:p>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bCs/>
          <w:sz w:val="24"/>
        </w:rPr>
        <w:t>三、投资策略</w:t>
      </w:r>
    </w:p>
    <w:p>
      <w:pPr>
        <w:spacing w:line="360" w:lineRule="auto"/>
        <w:ind w:firstLine="480" w:firstLineChars="200"/>
        <w:rPr>
          <w:bCs/>
          <w:sz w:val="24"/>
        </w:rPr>
      </w:pPr>
      <w:r>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Pr>
          <w:bCs/>
          <w:sz w:val="24"/>
        </w:rPr>
        <w:t>0.35%</w:t>
      </w:r>
      <w:r>
        <w:rPr>
          <w:rFonts w:hint="eastAsia"/>
          <w:bCs/>
          <w:sz w:val="24"/>
        </w:rPr>
        <w:t>，年跟踪误差不超过</w:t>
      </w:r>
      <w:r>
        <w:rPr>
          <w:bCs/>
          <w:sz w:val="24"/>
        </w:rPr>
        <w:t>4%</w:t>
      </w:r>
      <w:r>
        <w:rPr>
          <w:rFonts w:hint="eastAsia"/>
          <w:bCs/>
          <w:sz w:val="24"/>
        </w:rPr>
        <w:t>。如因指数编制规则调整或其他因素导致跟踪偏离度和跟踪误差超过上述范围，基金管理人应采取合理措施避免跟踪偏离度、跟踪误差进一步扩大。</w:t>
      </w:r>
    </w:p>
    <w:p>
      <w:pPr>
        <w:spacing w:line="360" w:lineRule="auto"/>
        <w:ind w:firstLine="480" w:firstLineChars="200"/>
        <w:rPr>
          <w:bCs/>
          <w:sz w:val="24"/>
        </w:rPr>
      </w:pPr>
      <w:r>
        <w:rPr>
          <w:rFonts w:hint="eastAsia"/>
          <w:bCs/>
          <w:sz w:val="24"/>
        </w:rPr>
        <w:t>本基金的股票资产投资比例不低于基金资产的90%，本基金投资于中证环境治理指数的成份股及其备选成份股的比例不低于非现金基金资产的</w:t>
      </w:r>
      <w:r>
        <w:rPr>
          <w:bCs/>
          <w:sz w:val="24"/>
        </w:rPr>
        <w:t>90%</w:t>
      </w:r>
      <w:r>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pPr>
        <w:spacing w:line="360" w:lineRule="auto"/>
        <w:ind w:firstLine="480" w:firstLineChars="200"/>
        <w:rPr>
          <w:bCs/>
          <w:sz w:val="24"/>
        </w:rPr>
      </w:pPr>
      <w:r>
        <w:rPr>
          <w:rFonts w:hint="eastAsia"/>
          <w:bCs/>
          <w:sz w:val="24"/>
        </w:rPr>
        <w:t>本基金投资存托凭证的策略依照境内上市交易的股票投资策略执行。</w:t>
      </w:r>
    </w:p>
    <w:p>
      <w:pPr>
        <w:spacing w:line="360" w:lineRule="auto"/>
        <w:ind w:firstLine="480" w:firstLineChars="200"/>
        <w:rPr>
          <w:bCs/>
          <w:sz w:val="24"/>
        </w:rPr>
      </w:pPr>
      <w:r>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bCs/>
          <w:sz w:val="24"/>
        </w:rPr>
      </w:pPr>
      <w:r>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pPr>
        <w:spacing w:line="360" w:lineRule="auto"/>
        <w:ind w:firstLine="480" w:firstLineChars="200"/>
        <w:rPr>
          <w:bCs/>
          <w:sz w:val="24"/>
        </w:rPr>
      </w:pPr>
      <w:r>
        <w:rPr>
          <w:rFonts w:hint="eastAsia" w:ascii="宋体"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spacing w:line="360" w:lineRule="auto"/>
        <w:ind w:firstLine="480" w:firstLineChars="200"/>
        <w:rPr>
          <w:bCs/>
          <w:sz w:val="24"/>
        </w:rPr>
      </w:pPr>
      <w:r>
        <w:rPr>
          <w:bCs/>
          <w:sz w:val="24"/>
        </w:rPr>
        <w:t>四、投资限制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i/>
          <w:sz w:val="24"/>
          <w:u w:val="single"/>
        </w:rPr>
      </w:pPr>
      <w:r>
        <w:rPr>
          <w:rFonts w:hint="eastAsia"/>
          <w:bCs/>
          <w:sz w:val="24"/>
        </w:rPr>
        <w:t>（</w:t>
      </w:r>
      <w:r>
        <w:rPr>
          <w:bCs/>
          <w:sz w:val="24"/>
        </w:rPr>
        <w:t>1</w:t>
      </w:r>
      <w:r>
        <w:rPr>
          <w:rFonts w:hint="eastAsia"/>
          <w:bCs/>
          <w:sz w:val="24"/>
        </w:rPr>
        <w:t>）本基金的股票资产（含存托凭证）投资比例不低于基金资产的</w:t>
      </w:r>
      <w:r>
        <w:rPr>
          <w:bCs/>
          <w:sz w:val="24"/>
        </w:rPr>
        <w:t>90%</w:t>
      </w:r>
      <w:r>
        <w:rPr>
          <w:rFonts w:hint="eastAsia"/>
          <w:bCs/>
          <w:sz w:val="24"/>
        </w:rPr>
        <w:t>，本基金投资于中证环境治理指数的成份股（含存托凭证）及其备选成份股（含存托凭证）的比例不低于非现金基金资产的</w:t>
      </w:r>
      <w:r>
        <w:rPr>
          <w:bCs/>
          <w:sz w:val="24"/>
        </w:rPr>
        <w:t>90%</w:t>
      </w:r>
      <w:r>
        <w:rPr>
          <w:rFonts w:hint="eastAsia"/>
          <w:bCs/>
          <w:sz w:val="24"/>
        </w:rPr>
        <w:t>；</w:t>
      </w:r>
    </w:p>
    <w:p>
      <w:pPr>
        <w:spacing w:line="360" w:lineRule="auto"/>
        <w:ind w:firstLine="480" w:firstLineChars="200"/>
        <w:rPr>
          <w:bCs/>
          <w:sz w:val="24"/>
        </w:rPr>
      </w:pPr>
      <w:r>
        <w:rPr>
          <w:rFonts w:hint="eastAsia"/>
          <w:bCs/>
          <w:sz w:val="24"/>
        </w:rPr>
        <w:t>（</w:t>
      </w:r>
      <w:r>
        <w:rPr>
          <w:bCs/>
          <w:sz w:val="24"/>
        </w:rPr>
        <w:t>2</w:t>
      </w:r>
      <w:r>
        <w:rPr>
          <w:rFonts w:hint="eastAsia"/>
          <w:bCs/>
          <w:sz w:val="24"/>
        </w:rPr>
        <w:t>）本基金每个交易日日终在扣除股指期货合约需缴纳的交易保证金后，保持不低于基金资产净值</w:t>
      </w:r>
      <w:r>
        <w:rPr>
          <w:bCs/>
          <w:sz w:val="24"/>
        </w:rPr>
        <w:t>5</w:t>
      </w:r>
      <w:r>
        <w:rPr>
          <w:rFonts w:hint="eastAsia"/>
          <w:bCs/>
          <w:sz w:val="24"/>
        </w:rPr>
        <w:t>％的现金或者到期日在一年以内的政府债券，其中现金不包括结算备付金、存出保证金、应收申购款等；</w:t>
      </w:r>
    </w:p>
    <w:p>
      <w:pPr>
        <w:spacing w:line="360" w:lineRule="auto"/>
        <w:ind w:firstLine="480" w:firstLineChars="200"/>
        <w:rPr>
          <w:bCs/>
          <w:sz w:val="24"/>
        </w:rPr>
      </w:pPr>
      <w:r>
        <w:rPr>
          <w:rFonts w:hint="eastAsia"/>
          <w:bCs/>
          <w:sz w:val="24"/>
        </w:rPr>
        <w:t>（</w:t>
      </w:r>
      <w:r>
        <w:rPr>
          <w:bCs/>
          <w:sz w:val="24"/>
        </w:rPr>
        <w:t>3</w:t>
      </w:r>
      <w:r>
        <w:rPr>
          <w:rFonts w:hint="eastAsia"/>
          <w:bCs/>
          <w:sz w:val="24"/>
        </w:rPr>
        <w:t>）本基金持有的全部权证，其市值不得超过基金资产净值的</w:t>
      </w:r>
      <w:r>
        <w:rPr>
          <w:bCs/>
          <w:sz w:val="24"/>
        </w:rPr>
        <w:t>3%</w:t>
      </w:r>
      <w:r>
        <w:rPr>
          <w:rFonts w:hint="eastAsia"/>
          <w:bCs/>
          <w:sz w:val="24"/>
        </w:rPr>
        <w:t>；</w:t>
      </w:r>
    </w:p>
    <w:p>
      <w:pPr>
        <w:spacing w:line="360" w:lineRule="auto"/>
        <w:ind w:firstLine="480" w:firstLineChars="200"/>
        <w:rPr>
          <w:bCs/>
          <w:sz w:val="24"/>
        </w:rPr>
      </w:pPr>
      <w:r>
        <w:rPr>
          <w:rFonts w:hint="eastAsia"/>
          <w:bCs/>
          <w:sz w:val="24"/>
        </w:rPr>
        <w:t>（</w:t>
      </w:r>
      <w:r>
        <w:rPr>
          <w:bCs/>
          <w:sz w:val="24"/>
        </w:rPr>
        <w:t>4</w:t>
      </w:r>
      <w:r>
        <w:rPr>
          <w:rFonts w:hint="eastAsia"/>
          <w:bCs/>
          <w:sz w:val="24"/>
        </w:rPr>
        <w:t>）本基金管理人管理的全部基金持有的同一权证，不得超过该权证的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5</w:t>
      </w:r>
      <w:r>
        <w:rPr>
          <w:rFonts w:hint="eastAsia"/>
          <w:bCs/>
          <w:sz w:val="24"/>
        </w:rPr>
        <w:t>）本基金在任何交易日买入权证的总金额，不得超过上一交易日基金资产净值的</w:t>
      </w:r>
      <w:r>
        <w:rPr>
          <w:bCs/>
          <w:sz w:val="24"/>
        </w:rPr>
        <w:t>0.5%</w:t>
      </w:r>
      <w:r>
        <w:rPr>
          <w:rFonts w:hint="eastAsia"/>
          <w:bCs/>
          <w:sz w:val="24"/>
        </w:rPr>
        <w:t>；</w:t>
      </w:r>
    </w:p>
    <w:p>
      <w:pPr>
        <w:spacing w:line="360" w:lineRule="auto"/>
        <w:ind w:firstLine="480" w:firstLineChars="200"/>
        <w:rPr>
          <w:bCs/>
          <w:sz w:val="24"/>
        </w:rPr>
      </w:pPr>
      <w:r>
        <w:rPr>
          <w:rFonts w:hint="eastAsia"/>
          <w:bCs/>
          <w:sz w:val="24"/>
        </w:rPr>
        <w:t>（</w:t>
      </w:r>
      <w:r>
        <w:rPr>
          <w:bCs/>
          <w:sz w:val="24"/>
        </w:rPr>
        <w:t>6</w:t>
      </w:r>
      <w:r>
        <w:rPr>
          <w:rFonts w:hint="eastAsia"/>
          <w:bCs/>
          <w:sz w:val="24"/>
        </w:rPr>
        <w:t>）本基金投资于同一原始权益人的各类资产支持证券的比例，不得超过基金资产净值的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7</w:t>
      </w:r>
      <w:r>
        <w:rPr>
          <w:rFonts w:hint="eastAsia"/>
          <w:bCs/>
          <w:sz w:val="24"/>
        </w:rPr>
        <w:t>）本基金持有的全部资产支持证券，其市值不得超过基金资产净值的</w:t>
      </w:r>
      <w:r>
        <w:rPr>
          <w:bCs/>
          <w:sz w:val="24"/>
        </w:rPr>
        <w:t>20%</w:t>
      </w:r>
      <w:r>
        <w:rPr>
          <w:rFonts w:hint="eastAsia"/>
          <w:bCs/>
          <w:sz w:val="24"/>
        </w:rPr>
        <w:t>；</w:t>
      </w:r>
    </w:p>
    <w:p>
      <w:pPr>
        <w:spacing w:line="360" w:lineRule="auto"/>
        <w:ind w:firstLine="480" w:firstLineChars="200"/>
        <w:rPr>
          <w:bCs/>
          <w:sz w:val="24"/>
        </w:rPr>
      </w:pPr>
      <w:r>
        <w:rPr>
          <w:rFonts w:hint="eastAsia"/>
          <w:bCs/>
          <w:sz w:val="24"/>
        </w:rPr>
        <w:t>（</w:t>
      </w:r>
      <w:r>
        <w:rPr>
          <w:bCs/>
          <w:sz w:val="24"/>
        </w:rPr>
        <w:t>8</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9</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10</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pPr>
        <w:spacing w:line="360" w:lineRule="auto"/>
        <w:ind w:firstLine="480" w:firstLineChars="200"/>
        <w:rPr>
          <w:bCs/>
          <w:sz w:val="24"/>
        </w:rPr>
      </w:pPr>
      <w:r>
        <w:rPr>
          <w:rFonts w:hint="eastAsia"/>
          <w:bCs/>
          <w:sz w:val="24"/>
        </w:rPr>
        <w:t>（</w:t>
      </w:r>
      <w:r>
        <w:rPr>
          <w:bCs/>
          <w:sz w:val="24"/>
        </w:rPr>
        <w:t>11</w:t>
      </w:r>
      <w:r>
        <w:rPr>
          <w:rFonts w:hint="eastAsia"/>
          <w:bCs/>
          <w:sz w:val="24"/>
        </w:rPr>
        <w:t>）基金财产参与股票发行申购，本基金所申报的金额不超过本基金的总资产，本基金所申报的股票数量不超过拟发行股票公司本次发行股票的总量；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bookmarkStart w:id="263" w:name="OLE_LINK66"/>
      <w:bookmarkStart w:id="264" w:name="OLE_LINK67"/>
      <w:r>
        <w:rPr>
          <w:rFonts w:hint="eastAsia"/>
          <w:bCs/>
          <w:sz w:val="24"/>
        </w:rPr>
        <w:t>（</w:t>
      </w:r>
      <w:r>
        <w:rPr>
          <w:bCs/>
          <w:sz w:val="24"/>
        </w:rPr>
        <w:t>12</w:t>
      </w:r>
      <w:r>
        <w:rPr>
          <w:rFonts w:hint="eastAsia"/>
          <w:bCs/>
          <w:sz w:val="24"/>
        </w:rPr>
        <w:t>）本基金进入全国银行间同业市场进行债券回购的资金余额</w:t>
      </w:r>
      <w:r>
        <w:rPr>
          <w:bCs/>
          <w:sz w:val="24"/>
        </w:rPr>
        <w:t>不得超过基金资产净值的40%</w:t>
      </w:r>
      <w:r>
        <w:rPr>
          <w:rFonts w:hint="eastAsia"/>
          <w:bCs/>
          <w:sz w:val="24"/>
        </w:rPr>
        <w:t>；本基金进入全国银行间同业市场进行债券回购的最长期限为1年,债券回购到期后不得展期；</w:t>
      </w:r>
    </w:p>
    <w:bookmarkEnd w:id="263"/>
    <w:bookmarkEnd w:id="264"/>
    <w:p>
      <w:pPr>
        <w:spacing w:line="360" w:lineRule="auto"/>
        <w:ind w:firstLine="480" w:firstLineChars="200"/>
        <w:rPr>
          <w:bCs/>
          <w:sz w:val="24"/>
        </w:rPr>
      </w:pPr>
      <w:r>
        <w:rPr>
          <w:bCs/>
          <w:sz w:val="24"/>
        </w:rPr>
        <w:t>（1</w:t>
      </w:r>
      <w:r>
        <w:rPr>
          <w:rFonts w:hint="eastAsia"/>
          <w:bCs/>
          <w:sz w:val="24"/>
        </w:rPr>
        <w:t>3</w:t>
      </w:r>
      <w:r>
        <w:rPr>
          <w:bCs/>
          <w:sz w:val="24"/>
        </w:rPr>
        <w:t>）</w:t>
      </w:r>
      <w:r>
        <w:rPr>
          <w:rFonts w:hint="eastAsia"/>
          <w:bCs/>
          <w:sz w:val="24"/>
        </w:rPr>
        <w:t>本基金在任何交易日日终，持有的买入股指期货合约价值，不得超过基金资产净值的</w:t>
      </w:r>
      <w:r>
        <w:rPr>
          <w:bCs/>
          <w:sz w:val="24"/>
        </w:rPr>
        <w:t>10%</w:t>
      </w:r>
      <w:r>
        <w:rPr>
          <w:rFonts w:hint="eastAsia"/>
          <w:bCs/>
          <w:sz w:val="24"/>
        </w:rPr>
        <w:t>；</w:t>
      </w:r>
    </w:p>
    <w:p>
      <w:pPr>
        <w:spacing w:line="360" w:lineRule="auto"/>
        <w:ind w:firstLine="480" w:firstLineChars="200"/>
        <w:rPr>
          <w:bCs/>
          <w:sz w:val="24"/>
        </w:rPr>
      </w:pPr>
      <w:r>
        <w:rPr>
          <w:bCs/>
          <w:sz w:val="24"/>
        </w:rPr>
        <w:t>（1</w:t>
      </w:r>
      <w:r>
        <w:rPr>
          <w:rFonts w:hint="eastAsia"/>
          <w:bCs/>
          <w:sz w:val="24"/>
        </w:rPr>
        <w:t>4</w:t>
      </w:r>
      <w:r>
        <w:rPr>
          <w:bCs/>
          <w:sz w:val="24"/>
        </w:rPr>
        <w:t>）</w:t>
      </w:r>
      <w:r>
        <w:rPr>
          <w:rFonts w:hint="eastAsia"/>
          <w:bCs/>
          <w:sz w:val="24"/>
        </w:rPr>
        <w:t>本基金在任何交易日日终，持有的买入期货合约价值与有价证券市值之和</w:t>
      </w:r>
      <w:r>
        <w:rPr>
          <w:rFonts w:ascii="宋体" w:hAnsi="宋体"/>
          <w:bCs/>
          <w:sz w:val="24"/>
        </w:rPr>
        <w:t>,</w:t>
      </w:r>
      <w:r>
        <w:rPr>
          <w:rFonts w:hint="eastAsia"/>
          <w:bCs/>
          <w:sz w:val="24"/>
        </w:rPr>
        <w:t>不得超过基金资产净值的100</w:t>
      </w:r>
      <w:r>
        <w:rPr>
          <w:bCs/>
          <w:sz w:val="24"/>
        </w:rPr>
        <w:t>%</w:t>
      </w:r>
      <w:r>
        <w:rPr>
          <w:rFonts w:hint="eastAsia"/>
          <w:bCs/>
          <w:sz w:val="24"/>
        </w:rPr>
        <w:t>。其中，有价证券指股票、债券（不含到期日在一年以内的政府债券）、权证、资产支持证券、买入返售金融资产（不含质押式回购）等；</w:t>
      </w:r>
    </w:p>
    <w:p>
      <w:pPr>
        <w:spacing w:line="360" w:lineRule="auto"/>
        <w:ind w:firstLine="480" w:firstLineChars="200"/>
        <w:rPr>
          <w:bCs/>
          <w:sz w:val="24"/>
        </w:rPr>
      </w:pPr>
      <w:r>
        <w:rPr>
          <w:bCs/>
          <w:sz w:val="24"/>
        </w:rPr>
        <w:t>（1</w:t>
      </w:r>
      <w:r>
        <w:rPr>
          <w:rFonts w:hint="eastAsia"/>
          <w:bCs/>
          <w:sz w:val="24"/>
        </w:rPr>
        <w:t>5</w:t>
      </w:r>
      <w:r>
        <w:rPr>
          <w:bCs/>
          <w:sz w:val="24"/>
        </w:rPr>
        <w:t>）</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pPr>
        <w:spacing w:line="360" w:lineRule="auto"/>
        <w:ind w:firstLine="480" w:firstLineChars="200"/>
        <w:rPr>
          <w:bCs/>
          <w:sz w:val="24"/>
        </w:rPr>
      </w:pPr>
      <w:r>
        <w:rPr>
          <w:bCs/>
          <w:sz w:val="24"/>
        </w:rPr>
        <w:t>（1</w:t>
      </w:r>
      <w:r>
        <w:rPr>
          <w:rFonts w:hint="eastAsia"/>
          <w:bCs/>
          <w:sz w:val="24"/>
        </w:rPr>
        <w:t>6</w:t>
      </w:r>
      <w:r>
        <w:rPr>
          <w:bCs/>
          <w:sz w:val="24"/>
        </w:rPr>
        <w:t>）</w:t>
      </w:r>
      <w:r>
        <w:rPr>
          <w:rFonts w:hint="eastAsia"/>
          <w:bCs/>
          <w:sz w:val="24"/>
        </w:rPr>
        <w:t>本基金所持有的股票市值和买入、卖出股指期货合约价值，合计（轧差计算）应当符合基金合同关于股票投资比例的有关约定；</w:t>
      </w:r>
    </w:p>
    <w:p>
      <w:pPr>
        <w:spacing w:line="360" w:lineRule="auto"/>
        <w:ind w:firstLine="480" w:firstLineChars="200"/>
        <w:rPr>
          <w:bCs/>
          <w:sz w:val="24"/>
        </w:rPr>
      </w:pPr>
      <w:r>
        <w:rPr>
          <w:bCs/>
          <w:sz w:val="24"/>
        </w:rPr>
        <w:t>（1</w:t>
      </w:r>
      <w:r>
        <w:rPr>
          <w:rFonts w:hint="eastAsia"/>
          <w:bCs/>
          <w:sz w:val="24"/>
        </w:rPr>
        <w:t>7）本基金在任何交易日内交易（不包括平仓）的股指期货合约的成交金额不得超过上一交易日基金资产净值的</w:t>
      </w:r>
      <w:r>
        <w:rPr>
          <w:bCs/>
          <w:sz w:val="24"/>
        </w:rPr>
        <w:t>20%</w:t>
      </w:r>
      <w:r>
        <w:rPr>
          <w:rFonts w:hint="eastAsia"/>
          <w:bCs/>
          <w:sz w:val="24"/>
        </w:rPr>
        <w:t>；</w:t>
      </w:r>
    </w:p>
    <w:p>
      <w:pPr>
        <w:spacing w:line="360" w:lineRule="auto"/>
        <w:ind w:firstLine="480" w:firstLineChars="200"/>
        <w:rPr>
          <w:bCs/>
          <w:sz w:val="24"/>
        </w:rPr>
      </w:pPr>
      <w:r>
        <w:rPr>
          <w:bCs/>
          <w:sz w:val="24"/>
        </w:rPr>
        <w:t>（</w:t>
      </w:r>
      <w:r>
        <w:rPr>
          <w:rFonts w:hint="eastAsia"/>
          <w:bCs/>
          <w:sz w:val="24"/>
        </w:rPr>
        <w:t>18</w:t>
      </w:r>
      <w:r>
        <w:rPr>
          <w:bCs/>
          <w:sz w:val="24"/>
        </w:rPr>
        <w:t>）本基金的基金资产总值不得超过基金资产净值的140%；</w:t>
      </w:r>
    </w:p>
    <w:p>
      <w:pPr>
        <w:spacing w:line="360" w:lineRule="auto"/>
        <w:ind w:firstLine="480" w:firstLineChars="200"/>
        <w:rPr>
          <w:bCs/>
          <w:sz w:val="24"/>
        </w:rPr>
      </w:pPr>
      <w:r>
        <w:rPr>
          <w:rFonts w:hint="eastAsia"/>
          <w:bCs/>
          <w:sz w:val="24"/>
        </w:rPr>
        <w:t>（</w:t>
      </w:r>
      <w:r>
        <w:rPr>
          <w:bCs/>
          <w:sz w:val="24"/>
        </w:rPr>
        <w:t>19</w:t>
      </w:r>
      <w:r>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pPr>
        <w:spacing w:line="360" w:lineRule="auto"/>
        <w:ind w:firstLine="480" w:firstLineChars="200"/>
        <w:rPr>
          <w:bCs/>
          <w:sz w:val="24"/>
        </w:rPr>
      </w:pPr>
      <w:r>
        <w:rPr>
          <w:rFonts w:hint="eastAsia"/>
          <w:bCs/>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（21）本基金与私募类证券资管产品及中国证监会认定的其他主体为交易对手开展逆回购交易的，可接受质押品的资质要求应当与基金合同约定的投资范围保持一致；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w:t>
      </w:r>
      <w:r>
        <w:rPr>
          <w:bCs/>
          <w:sz w:val="24"/>
        </w:rPr>
        <w:t>22</w:t>
      </w:r>
      <w:r>
        <w:rPr>
          <w:rFonts w:hint="eastAsia"/>
          <w:bCs/>
          <w:sz w:val="24"/>
        </w:rPr>
        <w:t>）本基金投资存托凭证的比例限制依照境内上市交易的股票执行；</w:t>
      </w:r>
    </w:p>
    <w:p>
      <w:pPr>
        <w:spacing w:line="360" w:lineRule="auto"/>
        <w:ind w:firstLine="480" w:firstLineChars="200"/>
        <w:rPr>
          <w:bCs/>
          <w:sz w:val="24"/>
        </w:rPr>
      </w:pPr>
      <w:r>
        <w:rPr>
          <w:rFonts w:hint="eastAsia"/>
          <w:bCs/>
          <w:sz w:val="24"/>
        </w:rPr>
        <w:t>（</w:t>
      </w:r>
      <w:r>
        <w:rPr>
          <w:bCs/>
          <w:sz w:val="24"/>
        </w:rPr>
        <w:t>23</w:t>
      </w:r>
      <w:r>
        <w:rPr>
          <w:rFonts w:hint="eastAsia"/>
          <w:bCs/>
          <w:sz w:val="24"/>
        </w:rPr>
        <w:t>）法律法规及中国证监会规定的和《基金合同》约定的其他投资限制。</w:t>
      </w:r>
    </w:p>
    <w:p>
      <w:pPr>
        <w:spacing w:line="360" w:lineRule="auto"/>
        <w:ind w:firstLine="480" w:firstLineChars="200"/>
        <w:rPr>
          <w:bCs/>
        </w:rPr>
      </w:pPr>
      <w:r>
        <w:rPr>
          <w:rFonts w:hint="eastAsia"/>
          <w:bCs/>
          <w:sz w:val="24"/>
        </w:rPr>
        <w:t>除上述第（2）、（1</w:t>
      </w:r>
      <w:r>
        <w:rPr>
          <w:bCs/>
          <w:sz w:val="24"/>
        </w:rPr>
        <w:t>0</w:t>
      </w:r>
      <w:r>
        <w:rPr>
          <w:rFonts w:hint="eastAsia"/>
          <w:bCs/>
          <w:sz w:val="24"/>
        </w:rPr>
        <w:t>）、（20）、（21）项另有约定外，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合并、基金规模变动、股权分置改革中支付对价等基金管理人之外的因素致使基金投资比例不符合上述规定投资比例的，基金管理人应当在10个交易日内进行调整</w:t>
      </w:r>
      <w:r>
        <w:rPr>
          <w:rFonts w:hint="eastAsia" w:ascii="宋体" w:hAnsi="宋体"/>
          <w:bCs/>
          <w:sz w:val="24"/>
        </w:rPr>
        <w:t>，但中国证监会规定的特殊情形除外</w:t>
      </w:r>
      <w:r>
        <w:rPr>
          <w:bCs/>
          <w:sz w:val="24"/>
        </w:rPr>
        <w:t>。</w:t>
      </w:r>
      <w:r>
        <w:rPr>
          <w:rFonts w:hint="eastAsia"/>
          <w:bCs/>
          <w:sz w:val="24"/>
        </w:rPr>
        <w:t>法律法规另有规定的，从其规定。</w:t>
      </w:r>
    </w:p>
    <w:p>
      <w:pPr>
        <w:spacing w:line="360" w:lineRule="auto"/>
        <w:ind w:firstLine="480" w:firstLineChars="200"/>
        <w:rPr>
          <w:bCs/>
          <w:sz w:val="24"/>
        </w:rPr>
      </w:pPr>
      <w:r>
        <w:rPr>
          <w:bCs/>
          <w:sz w:val="24"/>
        </w:rPr>
        <w:t>基金管理人应当自</w:t>
      </w:r>
      <w:r>
        <w:rPr>
          <w:rFonts w:hint="eastAsia"/>
          <w:bCs/>
          <w:sz w:val="24"/>
        </w:rPr>
        <w:t>基金转型实施</w:t>
      </w:r>
      <w:r>
        <w:rPr>
          <w:bCs/>
          <w:sz w:val="24"/>
        </w:rPr>
        <w:t>日起</w:t>
      </w:r>
      <w:r>
        <w:rPr>
          <w:rFonts w:hint="eastAsia"/>
          <w:bCs/>
          <w:sz w:val="24"/>
        </w:rPr>
        <w:t>6</w:t>
      </w:r>
      <w:r>
        <w:rPr>
          <w:bCs/>
          <w:sz w:val="24"/>
        </w:rPr>
        <w:t>个月内使基金的投资组合比例符合基金合同的有关约定。</w:t>
      </w:r>
      <w:r>
        <w:rPr>
          <w:rFonts w:hint="eastAsia"/>
          <w:bCs/>
          <w:sz w:val="24"/>
        </w:rPr>
        <w:t>在上述</w:t>
      </w:r>
      <w:r>
        <w:rPr>
          <w:rFonts w:hint="eastAsia" w:ascii="宋体" w:hAnsi="宋体"/>
          <w:bCs/>
          <w:sz w:val="24"/>
        </w:rPr>
        <w:t>期间内，本基金的投资范围、投资策略应当符合基金合同的约定。</w:t>
      </w:r>
      <w:r>
        <w:rPr>
          <w:bCs/>
          <w:sz w:val="24"/>
        </w:rPr>
        <w:t>基金托管人对基金的投资的监督与检查自基金合同生效之日起开始。</w:t>
      </w:r>
    </w:p>
    <w:p>
      <w:pPr>
        <w:spacing w:line="360" w:lineRule="auto"/>
        <w:ind w:firstLine="480" w:firstLineChars="20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r>
        <w:rPr>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如法律、行政法规或监管部门取消上述禁止性规定，如适用于本基金，基金管理人在履行适当程序后，本基金可不受上述规定的限制。</w:t>
      </w:r>
    </w:p>
    <w:p>
      <w:pPr>
        <w:spacing w:line="360" w:lineRule="auto"/>
        <w:ind w:firstLine="480" w:firstLineChars="200"/>
        <w:rPr>
          <w:bCs/>
          <w:sz w:val="24"/>
        </w:rPr>
      </w:pPr>
      <w:r>
        <w:rPr>
          <w:bCs/>
          <w:sz w:val="24"/>
        </w:rPr>
        <w:t>五、业绩比较基准</w:t>
      </w:r>
    </w:p>
    <w:p>
      <w:pPr>
        <w:spacing w:line="360" w:lineRule="auto"/>
        <w:ind w:firstLine="480" w:firstLineChars="200"/>
        <w:rPr>
          <w:bCs/>
          <w:sz w:val="24"/>
        </w:rPr>
      </w:pPr>
      <w:r>
        <w:rPr>
          <w:rFonts w:hint="eastAsia"/>
          <w:bCs/>
          <w:sz w:val="24"/>
        </w:rPr>
        <w:t>中证环境治理指数收益率×</w:t>
      </w:r>
      <w:r>
        <w:rPr>
          <w:bCs/>
          <w:sz w:val="24"/>
        </w:rPr>
        <w:t>95%</w:t>
      </w:r>
      <w:r>
        <w:rPr>
          <w:rFonts w:hint="eastAsia"/>
          <w:bCs/>
          <w:sz w:val="24"/>
        </w:rPr>
        <w:t>＋银行活期存款利率（税后）×</w:t>
      </w:r>
      <w:r>
        <w:rPr>
          <w:bCs/>
          <w:sz w:val="24"/>
        </w:rPr>
        <w:t>5%</w:t>
      </w:r>
    </w:p>
    <w:p>
      <w:pPr>
        <w:spacing w:line="360" w:lineRule="auto"/>
        <w:ind w:firstLine="480" w:firstLineChars="200"/>
        <w:rPr>
          <w:bCs/>
          <w:sz w:val="24"/>
        </w:rPr>
      </w:pPr>
      <w:r>
        <w:rPr>
          <w:rFonts w:hint="eastAsia"/>
          <w:bCs/>
          <w:sz w:val="24"/>
        </w:rPr>
        <w:t>本基金的标的指数为中证环境治理指数。中证环境治理指数是由</w:t>
      </w:r>
      <w:r>
        <w:rPr>
          <w:rFonts w:hint="eastAsia" w:ascii="宋体" w:hAnsi="宋体"/>
          <w:sz w:val="24"/>
        </w:rPr>
        <w:t>中证指数有限公司编制，</w:t>
      </w:r>
      <w:r>
        <w:rPr>
          <w:rFonts w:hint="eastAsia"/>
          <w:bCs/>
          <w:sz w:val="24"/>
        </w:rPr>
        <w:t>代表性和可投资性受到市场认可。</w:t>
      </w:r>
    </w:p>
    <w:p>
      <w:pPr>
        <w:spacing w:line="360" w:lineRule="auto"/>
        <w:ind w:firstLine="480" w:firstLineChars="200"/>
        <w:rPr>
          <w:bCs/>
          <w:sz w:val="24"/>
        </w:rPr>
      </w:pPr>
      <w:r>
        <w:rPr>
          <w:rFonts w:hint="eastAsia"/>
          <w:bCs/>
          <w:sz w:val="24"/>
        </w:rPr>
        <w:t>由于本基金每个交易日日终在扣除股指期货合约需缴纳的交易保证金后，投资于现金或者到期日在一年以内的政府债券不低于基金资产净值的</w:t>
      </w:r>
      <w:r>
        <w:rPr>
          <w:bCs/>
          <w:sz w:val="24"/>
        </w:rPr>
        <w:t>5%</w:t>
      </w:r>
      <w:r>
        <w:rPr>
          <w:rFonts w:hint="eastAsia"/>
          <w:bCs/>
          <w:sz w:val="24"/>
        </w:rPr>
        <w:t>，因此本基金业绩比较基准中同时加入了</w:t>
      </w:r>
      <w:r>
        <w:rPr>
          <w:bCs/>
          <w:sz w:val="24"/>
        </w:rPr>
        <w:t>5%</w:t>
      </w:r>
      <w:r>
        <w:rPr>
          <w:rFonts w:hint="eastAsia"/>
          <w:bCs/>
          <w:sz w:val="24"/>
        </w:rPr>
        <w:t>的银行活期存款利率</w:t>
      </w:r>
      <w:r>
        <w:rPr>
          <w:bCs/>
          <w:sz w:val="24"/>
        </w:rPr>
        <w:t>(</w:t>
      </w:r>
      <w:r>
        <w:rPr>
          <w:rFonts w:hint="eastAsia"/>
          <w:bCs/>
          <w:sz w:val="24"/>
        </w:rPr>
        <w:t>税后</w:t>
      </w:r>
      <w:r>
        <w:rPr>
          <w:bCs/>
          <w:sz w:val="24"/>
        </w:rPr>
        <w:t>)</w:t>
      </w:r>
      <w:r>
        <w:rPr>
          <w:rFonts w:hint="eastAsia"/>
          <w:bCs/>
          <w:sz w:val="24"/>
        </w:rPr>
        <w:t>。本基金管理人认为，该业绩比较基准目前能够忠实地反映本基金的风险收益特征。</w:t>
      </w:r>
    </w:p>
    <w:p>
      <w:pPr>
        <w:spacing w:line="360" w:lineRule="auto"/>
        <w:ind w:firstLine="480" w:firstLineChars="20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w:t>
      </w:r>
    </w:p>
    <w:p>
      <w:pPr>
        <w:spacing w:line="360" w:lineRule="auto"/>
        <w:ind w:firstLine="480" w:firstLineChars="20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spacing w:line="360" w:lineRule="auto"/>
        <w:ind w:firstLine="480" w:firstLineChars="20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spacing w:line="360" w:lineRule="auto"/>
        <w:ind w:firstLine="480" w:firstLineChars="200"/>
        <w:rPr>
          <w:bCs/>
          <w:sz w:val="24"/>
        </w:rPr>
      </w:pPr>
      <w:r>
        <w:rPr>
          <w:bCs/>
          <w:sz w:val="24"/>
        </w:rPr>
        <w:t>六、风险收益特征</w:t>
      </w:r>
    </w:p>
    <w:p>
      <w:pPr>
        <w:spacing w:line="360" w:lineRule="auto"/>
        <w:ind w:firstLine="480" w:firstLineChars="200"/>
        <w:rPr>
          <w:bCs/>
          <w:sz w:val="24"/>
        </w:rPr>
      </w:pPr>
      <w:r>
        <w:rPr>
          <w:rFonts w:hint="eastAsia"/>
          <w:bCs/>
          <w:sz w:val="24"/>
        </w:rPr>
        <w:t>本基金是一只股票型基金，其预期风险与预期收益高于混合型基金、债券型基金和货币市场基金，属于承担较高预期风险、预期收益较高的证券投资基金品种。</w:t>
      </w:r>
    </w:p>
    <w:p>
      <w:pPr>
        <w:spacing w:line="360" w:lineRule="auto"/>
        <w:ind w:firstLine="480" w:firstLineChars="200"/>
        <w:rPr>
          <w:bCs/>
          <w:sz w:val="24"/>
        </w:rPr>
      </w:pPr>
      <w:r>
        <w:rPr>
          <w:rFonts w:hint="eastAsia"/>
          <w:bCs/>
          <w:sz w:val="24"/>
        </w:rPr>
        <w:t>七、基金管理人代表基金行使股东及债权人权利的处理原则及方法</w:t>
      </w:r>
    </w:p>
    <w:p>
      <w:pPr>
        <w:spacing w:line="360" w:lineRule="auto"/>
        <w:ind w:firstLine="480" w:firstLineChars="200"/>
        <w:rPr>
          <w:bCs/>
          <w:sz w:val="24"/>
        </w:rPr>
      </w:pPr>
      <w:r>
        <w:rPr>
          <w:rFonts w:hint="eastAsia"/>
          <w:bCs/>
          <w:sz w:val="24"/>
        </w:rPr>
        <w:t>1、基金管理人按照国家有关规定代表基金独立行使股东及债权人权利，保护基金份额持有人的利益；</w:t>
      </w:r>
    </w:p>
    <w:p>
      <w:pPr>
        <w:spacing w:line="360" w:lineRule="auto"/>
        <w:ind w:firstLine="480" w:firstLineChars="200"/>
        <w:rPr>
          <w:bCs/>
          <w:sz w:val="24"/>
        </w:rPr>
      </w:pPr>
      <w:r>
        <w:rPr>
          <w:rFonts w:hint="eastAsia"/>
          <w:bCs/>
          <w:sz w:val="24"/>
        </w:rPr>
        <w:t>2、不谋求对上市公司的控股，不参与所投资上市公司的经营管理；</w:t>
      </w:r>
    </w:p>
    <w:p>
      <w:pPr>
        <w:spacing w:line="360" w:lineRule="auto"/>
        <w:ind w:firstLine="480" w:firstLineChars="200"/>
        <w:rPr>
          <w:bCs/>
          <w:sz w:val="24"/>
        </w:rPr>
      </w:pPr>
      <w:r>
        <w:rPr>
          <w:rFonts w:hint="eastAsia"/>
          <w:bCs/>
          <w:sz w:val="24"/>
        </w:rPr>
        <w:t>3、有利于基金财产的安全与增值；</w:t>
      </w:r>
    </w:p>
    <w:p>
      <w:pPr>
        <w:spacing w:line="360" w:lineRule="auto"/>
        <w:ind w:firstLine="480" w:firstLineChars="200"/>
        <w:rPr>
          <w:bCs/>
          <w:sz w:val="24"/>
        </w:rPr>
      </w:pPr>
      <w:r>
        <w:rPr>
          <w:rFonts w:hint="eastAsia"/>
          <w:bCs/>
          <w:sz w:val="24"/>
        </w:rPr>
        <w:t>4、不通过关联交易为自身、雇员、授权代理人或任何存在利害关系的第三人牟取任何不当利益。</w:t>
      </w:r>
    </w:p>
    <w:p>
      <w:pPr>
        <w:pStyle w:val="2"/>
        <w:spacing w:before="0" w:after="0"/>
        <w:jc w:val="center"/>
        <w:rPr>
          <w:rFonts w:ascii="Times New Roman"/>
          <w:color w:val="auto"/>
          <w:sz w:val="30"/>
        </w:rPr>
      </w:pPr>
      <w:r>
        <w:rPr>
          <w:rFonts w:ascii="Times New Roman"/>
          <w:b w:val="0"/>
          <w:bCs/>
          <w:color w:val="auto"/>
          <w:kern w:val="44"/>
          <w:sz w:val="21"/>
        </w:rPr>
        <w:br w:type="page"/>
      </w:r>
      <w:bookmarkStart w:id="265" w:name="_Toc92662704"/>
      <w:bookmarkStart w:id="266" w:name="_Toc93226145"/>
      <w:bookmarkStart w:id="267" w:name="_Toc20102"/>
      <w:bookmarkStart w:id="268" w:name="_Toc24474"/>
      <w:bookmarkStart w:id="269" w:name="_Toc29561"/>
      <w:bookmarkStart w:id="270" w:name="_Toc128310496"/>
      <w:bookmarkStart w:id="271" w:name="_Toc18000"/>
      <w:bookmarkStart w:id="272" w:name="_Toc26114"/>
      <w:bookmarkStart w:id="273" w:name="_Toc139991743"/>
      <w:bookmarkStart w:id="274" w:name="_Toc3054"/>
      <w:bookmarkStart w:id="275" w:name="_Toc32030"/>
      <w:bookmarkStart w:id="276" w:name="_Toc20782"/>
      <w:bookmarkStart w:id="277" w:name="_Toc442395204"/>
      <w:bookmarkStart w:id="278" w:name="_Toc21642"/>
      <w:bookmarkStart w:id="279" w:name="_Toc31611"/>
      <w:bookmarkStart w:id="280" w:name="_Toc141703893"/>
      <w:r>
        <w:rPr>
          <w:rFonts w:ascii="Times New Roman"/>
          <w:color w:val="auto"/>
          <w:sz w:val="30"/>
        </w:rPr>
        <w:t>第十</w:t>
      </w:r>
      <w:r>
        <w:rPr>
          <w:rFonts w:hint="eastAsia" w:ascii="Times New Roman"/>
          <w:color w:val="auto"/>
          <w:sz w:val="30"/>
        </w:rPr>
        <w:t>四</w:t>
      </w:r>
      <w:r>
        <w:rPr>
          <w:rFonts w:ascii="Times New Roman"/>
          <w:color w:val="auto"/>
          <w:sz w:val="30"/>
        </w:rPr>
        <w:t>部分  基金</w:t>
      </w:r>
      <w:bookmarkEnd w:id="265"/>
      <w:bookmarkEnd w:id="266"/>
      <w:r>
        <w:rPr>
          <w:rFonts w:ascii="Times New Roman"/>
          <w:color w:val="auto"/>
          <w:sz w:val="30"/>
        </w:rPr>
        <w:t>的财产</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spacing w:line="360" w:lineRule="auto"/>
        <w:ind w:firstLine="480" w:firstLineChars="200"/>
        <w:rPr>
          <w:bCs/>
          <w:sz w:val="24"/>
        </w:rPr>
      </w:pPr>
    </w:p>
    <w:p>
      <w:pPr>
        <w:spacing w:line="360" w:lineRule="auto"/>
        <w:ind w:firstLine="480" w:firstLineChars="200"/>
        <w:rPr>
          <w:bCs/>
          <w:sz w:val="24"/>
        </w:rPr>
      </w:pPr>
      <w:r>
        <w:rPr>
          <w:bCs/>
          <w:sz w:val="24"/>
        </w:rPr>
        <w:t>一、基金资产总值</w:t>
      </w:r>
    </w:p>
    <w:p>
      <w:pPr>
        <w:spacing w:line="360" w:lineRule="auto"/>
        <w:ind w:firstLine="480" w:firstLineChars="20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pPr>
        <w:spacing w:line="360" w:lineRule="auto"/>
        <w:ind w:firstLine="480" w:firstLineChars="200"/>
        <w:rPr>
          <w:bCs/>
          <w:sz w:val="24"/>
        </w:rPr>
      </w:pPr>
      <w:r>
        <w:rPr>
          <w:bCs/>
          <w:sz w:val="24"/>
        </w:rPr>
        <w:t>二、基金资产净值</w:t>
      </w:r>
    </w:p>
    <w:p>
      <w:pPr>
        <w:spacing w:line="360" w:lineRule="auto"/>
        <w:ind w:firstLine="480" w:firstLineChars="200"/>
        <w:rPr>
          <w:bCs/>
          <w:sz w:val="24"/>
        </w:rPr>
      </w:pPr>
      <w:r>
        <w:rPr>
          <w:bCs/>
          <w:sz w:val="24"/>
        </w:rPr>
        <w:t>基金资产净值是指基金资产总值减去基金负债后的价值。</w:t>
      </w:r>
    </w:p>
    <w:p>
      <w:pPr>
        <w:spacing w:line="360" w:lineRule="auto"/>
        <w:ind w:firstLine="480" w:firstLineChars="200"/>
        <w:rPr>
          <w:bCs/>
          <w:sz w:val="24"/>
        </w:rPr>
      </w:pPr>
      <w:r>
        <w:rPr>
          <w:bCs/>
          <w:sz w:val="24"/>
        </w:rPr>
        <w:t>三、基金财产的账户</w:t>
      </w:r>
    </w:p>
    <w:p>
      <w:pPr>
        <w:spacing w:line="360" w:lineRule="auto"/>
        <w:ind w:firstLine="480" w:firstLineChars="20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81" w:name="_Hlt88841837"/>
      <w:bookmarkEnd w:id="281"/>
    </w:p>
    <w:p>
      <w:pPr>
        <w:spacing w:line="360" w:lineRule="auto"/>
        <w:ind w:firstLine="480" w:firstLineChars="200"/>
        <w:rPr>
          <w:bCs/>
          <w:sz w:val="24"/>
        </w:rPr>
      </w:pPr>
      <w:r>
        <w:rPr>
          <w:bCs/>
          <w:sz w:val="24"/>
        </w:rPr>
        <w:t>四、基金财产的保管和处分</w:t>
      </w:r>
      <w:bookmarkStart w:id="282" w:name="_Hlt88900062"/>
      <w:bookmarkEnd w:id="282"/>
    </w:p>
    <w:p>
      <w:pPr>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pPr>
        <w:pStyle w:val="2"/>
        <w:spacing w:before="0" w:after="0"/>
        <w:jc w:val="center"/>
        <w:rPr>
          <w:rFonts w:ascii="Times New Roman"/>
          <w:color w:val="auto"/>
          <w:sz w:val="30"/>
        </w:rPr>
      </w:pPr>
      <w:r>
        <w:rPr>
          <w:rFonts w:ascii="Times New Roman"/>
          <w:b w:val="0"/>
          <w:bCs/>
          <w:color w:val="auto"/>
          <w:kern w:val="44"/>
          <w:sz w:val="21"/>
        </w:rPr>
        <w:br w:type="page"/>
      </w:r>
      <w:bookmarkStart w:id="283" w:name="_Toc7802"/>
      <w:bookmarkStart w:id="284" w:name="_Toc27832"/>
      <w:bookmarkStart w:id="285" w:name="_Toc871"/>
      <w:bookmarkStart w:id="286" w:name="_Toc17782"/>
      <w:bookmarkStart w:id="287" w:name="_Toc19714"/>
      <w:bookmarkStart w:id="288" w:name="_Toc31917"/>
      <w:bookmarkStart w:id="289" w:name="_Toc442395205"/>
      <w:bookmarkStart w:id="290" w:name="_Toc139991744"/>
      <w:bookmarkStart w:id="291" w:name="_Toc141703894"/>
      <w:r>
        <w:rPr>
          <w:rFonts w:ascii="Times New Roman"/>
          <w:color w:val="auto"/>
          <w:sz w:val="30"/>
        </w:rPr>
        <w:t>第十</w:t>
      </w:r>
      <w:r>
        <w:rPr>
          <w:rFonts w:hint="eastAsia" w:ascii="Times New Roman"/>
          <w:color w:val="auto"/>
          <w:sz w:val="30"/>
        </w:rPr>
        <w:t>五</w:t>
      </w:r>
      <w:r>
        <w:rPr>
          <w:rFonts w:ascii="Times New Roman"/>
          <w:color w:val="auto"/>
          <w:sz w:val="30"/>
        </w:rPr>
        <w:t>部分  基金资产估值</w:t>
      </w:r>
      <w:bookmarkEnd w:id="283"/>
      <w:bookmarkEnd w:id="284"/>
      <w:bookmarkEnd w:id="285"/>
      <w:bookmarkEnd w:id="286"/>
      <w:bookmarkEnd w:id="287"/>
      <w:bookmarkEnd w:id="288"/>
      <w:bookmarkEnd w:id="289"/>
    </w:p>
    <w:p>
      <w:pPr>
        <w:spacing w:line="360" w:lineRule="auto"/>
        <w:ind w:firstLine="480" w:firstLineChars="200"/>
        <w:rPr>
          <w:bCs/>
          <w:sz w:val="24"/>
        </w:rPr>
      </w:pPr>
    </w:p>
    <w:bookmarkEnd w:id="290"/>
    <w:bookmarkEnd w:id="291"/>
    <w:p>
      <w:pPr>
        <w:spacing w:line="360" w:lineRule="auto"/>
        <w:ind w:firstLine="480" w:firstLineChars="200"/>
        <w:rPr>
          <w:bCs/>
          <w:sz w:val="24"/>
        </w:rPr>
      </w:pPr>
      <w:bookmarkStart w:id="292" w:name="_Toc141703895"/>
      <w:bookmarkStart w:id="293" w:name="_Toc32046"/>
      <w:bookmarkStart w:id="294" w:name="_Toc139991745"/>
      <w:r>
        <w:rPr>
          <w:bCs/>
          <w:sz w:val="24"/>
        </w:rPr>
        <w:t>一、估值日</w:t>
      </w:r>
    </w:p>
    <w:p>
      <w:pPr>
        <w:spacing w:line="360" w:lineRule="auto"/>
        <w:ind w:firstLine="480" w:firstLineChars="200"/>
        <w:rPr>
          <w:bCs/>
          <w:sz w:val="24"/>
        </w:rPr>
      </w:pPr>
      <w:r>
        <w:rPr>
          <w:bCs/>
          <w:sz w:val="24"/>
        </w:rPr>
        <w:t>本基金的估值日为本基金相关的证券交易场所的交易日以及国家法律法规规定需要对外披露基金净值的非交易日。</w:t>
      </w:r>
    </w:p>
    <w:p>
      <w:pPr>
        <w:spacing w:line="360" w:lineRule="auto"/>
        <w:ind w:firstLine="480" w:firstLineChars="200"/>
        <w:rPr>
          <w:bCs/>
          <w:sz w:val="24"/>
        </w:rPr>
      </w:pPr>
      <w:r>
        <w:rPr>
          <w:bCs/>
          <w:sz w:val="24"/>
        </w:rPr>
        <w:t>二、估值对象</w:t>
      </w:r>
    </w:p>
    <w:p>
      <w:pPr>
        <w:spacing w:line="360" w:lineRule="auto"/>
        <w:ind w:firstLine="480" w:firstLineChars="200"/>
        <w:rPr>
          <w:bCs/>
          <w:sz w:val="24"/>
        </w:rPr>
      </w:pPr>
      <w:r>
        <w:rPr>
          <w:rFonts w:hint="eastAsia"/>
          <w:bCs/>
          <w:sz w:val="24"/>
        </w:rPr>
        <w:t>基金所拥有的股票、债券、衍生工具和其它投资等持续以公允价值计量的金融资产及负债</w:t>
      </w:r>
      <w:r>
        <w:rPr>
          <w:bCs/>
          <w:sz w:val="24"/>
        </w:rPr>
        <w:t>。</w:t>
      </w:r>
    </w:p>
    <w:p>
      <w:pPr>
        <w:spacing w:line="360" w:lineRule="auto"/>
        <w:ind w:firstLine="480" w:firstLineChars="200"/>
        <w:rPr>
          <w:bCs/>
          <w:sz w:val="24"/>
        </w:rPr>
      </w:pPr>
      <w:r>
        <w:rPr>
          <w:bCs/>
          <w:sz w:val="24"/>
        </w:rPr>
        <w:t>三、估值方法</w:t>
      </w:r>
    </w:p>
    <w:p>
      <w:pPr>
        <w:spacing w:line="360" w:lineRule="auto"/>
        <w:ind w:firstLine="480" w:firstLineChars="200"/>
        <w:rPr>
          <w:bCs/>
          <w:sz w:val="24"/>
        </w:rPr>
      </w:pPr>
      <w:r>
        <w:rPr>
          <w:rFonts w:hint="eastAsia"/>
          <w:bCs/>
          <w:sz w:val="24"/>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pPr>
        <w:spacing w:line="360" w:lineRule="auto"/>
        <w:ind w:firstLine="480" w:firstLineChars="200"/>
        <w:rPr>
          <w:bCs/>
          <w:sz w:val="24"/>
        </w:rPr>
      </w:pPr>
      <w:r>
        <w:rPr>
          <w:rFonts w:hint="eastAsia"/>
          <w:bCs/>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pPr>
        <w:spacing w:line="360" w:lineRule="auto"/>
        <w:ind w:firstLine="480" w:firstLineChars="200"/>
        <w:rPr>
          <w:bCs/>
          <w:sz w:val="24"/>
        </w:rPr>
      </w:pPr>
      <w:r>
        <w:rPr>
          <w:rFonts w:hint="eastAsia"/>
          <w:bCs/>
          <w:sz w:val="24"/>
        </w:rPr>
        <w:t>（3）当投资品种不存在活跃市场，采用市场参与者普遍认同，且被以往市场实际交易价格验证具有可靠性的估值技术，确定投资品种的公允价值。</w:t>
      </w:r>
    </w:p>
    <w:p>
      <w:pPr>
        <w:spacing w:line="360" w:lineRule="auto"/>
        <w:ind w:firstLine="480" w:firstLineChars="200"/>
        <w:rPr>
          <w:bCs/>
          <w:sz w:val="24"/>
        </w:rPr>
      </w:pPr>
      <w:r>
        <w:rPr>
          <w:rFonts w:hint="eastAsia"/>
          <w:bCs/>
          <w:sz w:val="24"/>
        </w:rPr>
        <w:t>（4）如有充足理由认为按原有方法进行估值不能客观反映上述资产或负债公允价值的，基金管理人可根据具体情况与基金托管人商定后，按最能反映公允价值的方法估值。</w:t>
      </w:r>
    </w:p>
    <w:p>
      <w:pPr>
        <w:spacing w:line="360" w:lineRule="auto"/>
        <w:ind w:firstLine="480" w:firstLineChars="200"/>
        <w:rPr>
          <w:bCs/>
          <w:sz w:val="24"/>
        </w:rPr>
      </w:pPr>
      <w:r>
        <w:rPr>
          <w:rFonts w:hint="eastAsia"/>
          <w:bCs/>
          <w:sz w:val="24"/>
        </w:rPr>
        <w:t>（5）本基金投资存托凭证的估值核算依照境内上市交易的股票执行。</w:t>
      </w:r>
    </w:p>
    <w:p>
      <w:pPr>
        <w:spacing w:line="360" w:lineRule="auto"/>
        <w:ind w:firstLine="480" w:firstLineChars="200"/>
        <w:rPr>
          <w:bCs/>
          <w:sz w:val="24"/>
        </w:rPr>
      </w:pPr>
      <w:r>
        <w:rPr>
          <w:rFonts w:hint="eastAsia"/>
          <w:bCs/>
          <w:sz w:val="24"/>
        </w:rPr>
        <w:t>（</w:t>
      </w:r>
      <w:r>
        <w:rPr>
          <w:bCs/>
          <w:sz w:val="24"/>
        </w:rPr>
        <w:t>6</w:t>
      </w:r>
      <w:r>
        <w:rPr>
          <w:rFonts w:hint="eastAsia"/>
          <w:bCs/>
          <w:sz w:val="24"/>
        </w:rPr>
        <w:t>）存在相关法律法规以及监管部门有相关规范的，从其规定。如有新增事项，按监管部门最新规定估值</w:t>
      </w:r>
      <w:r>
        <w:rPr>
          <w:bCs/>
          <w:sz w:val="24"/>
        </w:rPr>
        <w:t>。</w:t>
      </w:r>
    </w:p>
    <w:p>
      <w:pPr>
        <w:spacing w:line="360" w:lineRule="auto"/>
        <w:ind w:firstLine="480" w:firstLineChars="200"/>
        <w:rPr>
          <w:rStyle w:val="33"/>
          <w:bCs/>
          <w:sz w:val="24"/>
        </w:rPr>
      </w:pPr>
      <w:r>
        <w:rPr>
          <w:rStyle w:val="33"/>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spacing w:line="360" w:lineRule="auto"/>
        <w:ind w:firstLine="480" w:firstLineChars="200"/>
        <w:rPr>
          <w:bCs/>
          <w:sz w:val="24"/>
        </w:rPr>
      </w:pPr>
      <w:r>
        <w:rPr>
          <w:bCs/>
          <w:sz w:val="24"/>
        </w:rPr>
        <w:t>四、估值程序</w:t>
      </w:r>
    </w:p>
    <w:p>
      <w:pPr>
        <w:spacing w:line="360" w:lineRule="auto"/>
        <w:ind w:firstLine="480" w:firstLineChars="200"/>
        <w:rPr>
          <w:bCs/>
          <w:sz w:val="24"/>
        </w:rPr>
      </w:pPr>
      <w:r>
        <w:rPr>
          <w:bCs/>
          <w:sz w:val="24"/>
        </w:rPr>
        <w:t>1、</w:t>
      </w:r>
      <w:r>
        <w:rPr>
          <w:rFonts w:hint="eastAsia"/>
          <w:bCs/>
          <w:sz w:val="24"/>
        </w:rPr>
        <w:t>各类基金份额的基金份额净值是按照每个工作日闭市后，该类基金份额的基金资产净值除以当日该类基金份额的余额数量计算，</w:t>
      </w:r>
      <w:r>
        <w:rPr>
          <w:bCs/>
          <w:sz w:val="24"/>
        </w:rPr>
        <w:t>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pPr>
        <w:spacing w:line="360" w:lineRule="auto"/>
        <w:ind w:firstLine="480" w:firstLineChars="200"/>
        <w:rPr>
          <w:bCs/>
          <w:sz w:val="24"/>
        </w:rPr>
      </w:pPr>
      <w:r>
        <w:rPr>
          <w:rFonts w:hint="eastAsia"/>
          <w:bCs/>
          <w:sz w:val="24"/>
        </w:rPr>
        <w:t>基金管理人于</w:t>
      </w:r>
      <w:r>
        <w:rPr>
          <w:bCs/>
          <w:sz w:val="24"/>
        </w:rPr>
        <w:t>每个工作日计算</w:t>
      </w:r>
      <w:r>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pPr>
        <w:spacing w:line="360" w:lineRule="auto"/>
        <w:ind w:firstLine="480" w:firstLineChars="200"/>
        <w:rPr>
          <w:bCs/>
          <w:sz w:val="24"/>
        </w:rPr>
      </w:pPr>
      <w:r>
        <w:rPr>
          <w:bCs/>
          <w:sz w:val="24"/>
        </w:rPr>
        <w:t>2、基金管理人应每个工作日对基金资产估值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pPr>
        <w:spacing w:line="360" w:lineRule="auto"/>
        <w:ind w:firstLine="480" w:firstLineChars="200"/>
        <w:rPr>
          <w:bCs/>
          <w:sz w:val="24"/>
        </w:rPr>
      </w:pPr>
      <w:r>
        <w:rPr>
          <w:bCs/>
          <w:sz w:val="24"/>
        </w:rPr>
        <w:t>五、估值错误的处理</w:t>
      </w:r>
    </w:p>
    <w:p>
      <w:pPr>
        <w:spacing w:line="360" w:lineRule="auto"/>
        <w:ind w:firstLine="480" w:firstLineChars="20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4位以内</w:t>
      </w:r>
      <w:r>
        <w:rPr>
          <w:rFonts w:hint="eastAsia"/>
          <w:bCs/>
          <w:sz w:val="24"/>
        </w:rPr>
        <w:t>（</w:t>
      </w:r>
      <w:r>
        <w:rPr>
          <w:bCs/>
          <w:sz w:val="24"/>
        </w:rPr>
        <w:t>含第4位</w:t>
      </w:r>
      <w:r>
        <w:rPr>
          <w:rFonts w:hint="eastAsia"/>
          <w:bCs/>
          <w:sz w:val="24"/>
        </w:rPr>
        <w:t>)</w:t>
      </w:r>
      <w:r>
        <w:rPr>
          <w:bCs/>
          <w:sz w:val="24"/>
        </w:rPr>
        <w:t>发生估值错误时，视为基金份额净值错误。</w:t>
      </w:r>
    </w:p>
    <w:p>
      <w:pPr>
        <w:spacing w:line="360" w:lineRule="auto"/>
        <w:ind w:firstLine="480" w:firstLineChars="20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pPr>
        <w:spacing w:line="360" w:lineRule="auto"/>
        <w:ind w:firstLine="480" w:firstLineChars="200"/>
        <w:rPr>
          <w:bCs/>
          <w:sz w:val="24"/>
        </w:rPr>
      </w:pPr>
      <w:r>
        <w:rPr>
          <w:bCs/>
          <w:sz w:val="24"/>
        </w:rPr>
        <w:t>本基金合同的当事人应按照以下约定处理：</w:t>
      </w:r>
    </w:p>
    <w:p>
      <w:pPr>
        <w:spacing w:line="360" w:lineRule="auto"/>
        <w:ind w:firstLine="480" w:firstLineChars="200"/>
        <w:rPr>
          <w:bCs/>
          <w:sz w:val="24"/>
        </w:rPr>
      </w:pPr>
      <w:r>
        <w:rPr>
          <w:bCs/>
          <w:sz w:val="24"/>
        </w:rPr>
        <w:t>1、估值错误类型</w:t>
      </w:r>
    </w:p>
    <w:p>
      <w:pPr>
        <w:spacing w:line="360" w:lineRule="auto"/>
        <w:ind w:firstLine="480" w:firstLineChars="20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的直接损失按下述“估值错误处理原则”给予赔偿，承担赔偿责任。</w:t>
      </w:r>
    </w:p>
    <w:p>
      <w:pPr>
        <w:spacing w:line="360" w:lineRule="auto"/>
        <w:ind w:firstLine="480" w:firstLineChars="200"/>
        <w:rPr>
          <w:bCs/>
          <w:sz w:val="24"/>
        </w:rPr>
      </w:pPr>
      <w:r>
        <w:rPr>
          <w:bCs/>
          <w:sz w:val="24"/>
        </w:rPr>
        <w:t>上述估值错误的主要类型包括但不限于：资料申报差错、数据传输差错、数据计算差错、系统故障差错、下达指令差错等。</w:t>
      </w:r>
    </w:p>
    <w:p>
      <w:pPr>
        <w:spacing w:line="360" w:lineRule="auto"/>
        <w:ind w:firstLine="480" w:firstLineChars="200"/>
        <w:rPr>
          <w:bCs/>
          <w:sz w:val="24"/>
        </w:rPr>
      </w:pPr>
      <w:r>
        <w:rPr>
          <w:bCs/>
          <w:sz w:val="24"/>
        </w:rPr>
        <w:t>2、估值错误处理原则</w:t>
      </w:r>
    </w:p>
    <w:p>
      <w:pPr>
        <w:spacing w:line="360" w:lineRule="auto"/>
        <w:ind w:firstLine="480" w:firstLineChars="200"/>
        <w:rPr>
          <w:bCs/>
          <w:sz w:val="24"/>
        </w:rPr>
      </w:pPr>
      <w:r>
        <w:rPr>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spacing w:line="360" w:lineRule="auto"/>
        <w:ind w:firstLine="480" w:firstLineChars="20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pPr>
        <w:spacing w:line="360" w:lineRule="auto"/>
        <w:ind w:firstLine="480" w:firstLineChars="20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spacing w:line="360" w:lineRule="auto"/>
        <w:ind w:firstLine="480" w:firstLineChars="200"/>
        <w:rPr>
          <w:bCs/>
          <w:sz w:val="24"/>
        </w:rPr>
      </w:pPr>
      <w:r>
        <w:rPr>
          <w:bCs/>
          <w:sz w:val="24"/>
        </w:rPr>
        <w:t>（</w:t>
      </w:r>
      <w:r>
        <w:rPr>
          <w:rFonts w:hint="eastAsia"/>
          <w:bCs/>
          <w:sz w:val="24"/>
        </w:rPr>
        <w:t>4</w:t>
      </w:r>
      <w:r>
        <w:rPr>
          <w:bCs/>
          <w:sz w:val="24"/>
        </w:rPr>
        <w:t>）估值错误调整采用尽量恢复至假设未发生估值错误的正确情形的方式。</w:t>
      </w:r>
    </w:p>
    <w:p>
      <w:pPr>
        <w:spacing w:line="360" w:lineRule="auto"/>
        <w:ind w:firstLine="480" w:firstLineChars="200"/>
        <w:rPr>
          <w:bCs/>
          <w:sz w:val="24"/>
        </w:rPr>
      </w:pPr>
      <w:r>
        <w:rPr>
          <w:rFonts w:hint="eastAsia"/>
          <w:bCs/>
          <w:sz w:val="24"/>
        </w:rPr>
        <w:t>（5）按法律法规规定的其他原则处理</w:t>
      </w:r>
      <w:r>
        <w:rPr>
          <w:bCs/>
          <w:sz w:val="24"/>
        </w:rPr>
        <w:t>估值错误</w:t>
      </w:r>
      <w:r>
        <w:rPr>
          <w:rFonts w:hint="eastAsia"/>
          <w:bCs/>
          <w:sz w:val="24"/>
        </w:rPr>
        <w:t>。</w:t>
      </w:r>
    </w:p>
    <w:p>
      <w:pPr>
        <w:spacing w:line="360" w:lineRule="auto"/>
        <w:ind w:firstLine="480" w:firstLineChars="200"/>
        <w:rPr>
          <w:bCs/>
          <w:sz w:val="24"/>
        </w:rPr>
      </w:pPr>
      <w:r>
        <w:rPr>
          <w:bCs/>
          <w:sz w:val="24"/>
        </w:rPr>
        <w:t>3、估值错误处理程序</w:t>
      </w:r>
    </w:p>
    <w:p>
      <w:pPr>
        <w:spacing w:line="360" w:lineRule="auto"/>
        <w:ind w:firstLine="480" w:firstLineChars="200"/>
        <w:rPr>
          <w:bCs/>
          <w:sz w:val="24"/>
        </w:rPr>
      </w:pPr>
      <w:r>
        <w:rPr>
          <w:bCs/>
          <w:sz w:val="24"/>
        </w:rPr>
        <w:t>估值错误被发现后，有关的当事人应当及时进行处理，处理的程序如下：</w:t>
      </w:r>
    </w:p>
    <w:p>
      <w:pPr>
        <w:spacing w:line="360" w:lineRule="auto"/>
        <w:ind w:firstLine="480" w:firstLineChars="200"/>
        <w:rPr>
          <w:bCs/>
          <w:sz w:val="24"/>
        </w:rPr>
      </w:pPr>
      <w:r>
        <w:rPr>
          <w:bCs/>
          <w:sz w:val="24"/>
        </w:rPr>
        <w:t>（1）查明估值错误发生的原因，列明所有的当事人，并根据估值错误发生的原因确定估值错误的责任方；</w:t>
      </w:r>
    </w:p>
    <w:p>
      <w:pPr>
        <w:spacing w:line="360" w:lineRule="auto"/>
        <w:ind w:firstLine="480" w:firstLineChars="200"/>
        <w:rPr>
          <w:bCs/>
          <w:sz w:val="24"/>
        </w:rPr>
      </w:pPr>
      <w:r>
        <w:rPr>
          <w:bCs/>
          <w:sz w:val="24"/>
        </w:rPr>
        <w:t>（</w:t>
      </w:r>
      <w:r>
        <w:rPr>
          <w:rFonts w:hint="eastAsia"/>
          <w:bCs/>
          <w:sz w:val="24"/>
        </w:rPr>
        <w:t>2</w:t>
      </w:r>
      <w:r>
        <w:rPr>
          <w:bCs/>
          <w:sz w:val="24"/>
        </w:rPr>
        <w:t>）根据估值错误处理原则或当事人协商的方法对因估值错误造成的损失进行评估；</w:t>
      </w:r>
    </w:p>
    <w:p>
      <w:pPr>
        <w:spacing w:line="360" w:lineRule="auto"/>
        <w:ind w:firstLine="480" w:firstLineChars="20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pPr>
        <w:spacing w:line="360" w:lineRule="auto"/>
        <w:ind w:firstLine="480" w:firstLineChars="20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pPr>
        <w:spacing w:line="360" w:lineRule="auto"/>
        <w:ind w:firstLine="480" w:firstLineChars="200"/>
        <w:rPr>
          <w:bCs/>
          <w:sz w:val="24"/>
        </w:rPr>
      </w:pPr>
      <w:r>
        <w:rPr>
          <w:bCs/>
          <w:sz w:val="24"/>
        </w:rPr>
        <w:t>4、基金份额净值估值错误处理的方法如下：</w:t>
      </w:r>
    </w:p>
    <w:p>
      <w:pPr>
        <w:spacing w:line="360" w:lineRule="auto"/>
        <w:ind w:firstLine="480" w:firstLineChars="200"/>
        <w:rPr>
          <w:bCs/>
          <w:sz w:val="24"/>
        </w:rPr>
      </w:pPr>
      <w:r>
        <w:rPr>
          <w:bCs/>
          <w:sz w:val="24"/>
        </w:rPr>
        <w:t>（1）基金份额净值计算出现错误时，基金管理人应当立即予以纠正，通报基金托管人，并采取合理的措施防止损失进一步扩大。</w:t>
      </w:r>
    </w:p>
    <w:p>
      <w:pPr>
        <w:spacing w:line="360" w:lineRule="auto"/>
        <w:ind w:firstLine="480" w:firstLineChars="200"/>
        <w:rPr>
          <w:bCs/>
          <w:sz w:val="24"/>
        </w:rPr>
      </w:pPr>
      <w:r>
        <w:rPr>
          <w:bCs/>
          <w:sz w:val="24"/>
        </w:rPr>
        <w:t>（</w:t>
      </w:r>
      <w:r>
        <w:rPr>
          <w:rFonts w:hint="eastAsia"/>
          <w:bCs/>
          <w:sz w:val="24"/>
        </w:rPr>
        <w:t>2</w:t>
      </w:r>
      <w:r>
        <w:rPr>
          <w:bCs/>
          <w:sz w:val="24"/>
        </w:rPr>
        <w:t>）错误偏差达到基金份额净值的0.25%时，基金管理人应当通报基金托管人并报中国证监会备案；错误偏差达到基金份额净值的0.5%时，基金管理人应当公告。</w:t>
      </w:r>
    </w:p>
    <w:p>
      <w:pPr>
        <w:spacing w:line="360" w:lineRule="auto"/>
        <w:ind w:firstLine="480" w:firstLineChars="200"/>
        <w:rPr>
          <w:bCs/>
          <w:sz w:val="24"/>
        </w:rPr>
      </w:pPr>
      <w:r>
        <w:rPr>
          <w:bCs/>
          <w:sz w:val="24"/>
        </w:rPr>
        <w:t>（</w:t>
      </w:r>
      <w:r>
        <w:rPr>
          <w:rFonts w:hint="eastAsia"/>
          <w:bCs/>
          <w:sz w:val="24"/>
        </w:rPr>
        <w:t>3</w:t>
      </w:r>
      <w:r>
        <w:rPr>
          <w:bCs/>
          <w:sz w:val="24"/>
        </w:rPr>
        <w:t>）前述内容如法律法规或监管机关另有规定的，从其规定处理。</w:t>
      </w:r>
    </w:p>
    <w:p>
      <w:pPr>
        <w:spacing w:line="360" w:lineRule="auto"/>
        <w:ind w:firstLine="480" w:firstLineChars="200"/>
        <w:rPr>
          <w:bCs/>
          <w:sz w:val="24"/>
        </w:rPr>
      </w:pPr>
      <w:r>
        <w:rPr>
          <w:bCs/>
          <w:sz w:val="24"/>
        </w:rPr>
        <w:t>六、暂停估值的情形</w:t>
      </w:r>
    </w:p>
    <w:p>
      <w:pPr>
        <w:spacing w:line="360" w:lineRule="auto"/>
        <w:ind w:firstLine="480" w:firstLineChars="200"/>
        <w:rPr>
          <w:bCs/>
          <w:sz w:val="24"/>
        </w:rPr>
      </w:pPr>
      <w:r>
        <w:rPr>
          <w:bCs/>
          <w:sz w:val="24"/>
        </w:rPr>
        <w:t>1、基金投资所涉及的证券</w:t>
      </w:r>
      <w:r>
        <w:rPr>
          <w:rFonts w:hint="eastAsia"/>
          <w:bCs/>
          <w:sz w:val="24"/>
        </w:rPr>
        <w:t>、期货</w:t>
      </w:r>
      <w:r>
        <w:rPr>
          <w:bCs/>
          <w:sz w:val="24"/>
        </w:rPr>
        <w:t>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bCs/>
          <w:sz w:val="24"/>
        </w:rPr>
        <w:t>3、</w:t>
      </w:r>
      <w:r>
        <w:rPr>
          <w:rFonts w:hint="eastAsia"/>
          <w:bCs/>
          <w:sz w:val="24"/>
        </w:rPr>
        <w:t>占基金相当比例的投资品种的估值出现重大转变，而基金管理人为保障基金份额持有人的利益，决定延迟估值；</w:t>
      </w:r>
    </w:p>
    <w:p>
      <w:pPr>
        <w:spacing w:line="360" w:lineRule="auto"/>
        <w:ind w:firstLine="480" w:firstLineChars="200"/>
        <w:rPr>
          <w:bCs/>
          <w:sz w:val="24"/>
        </w:rPr>
      </w:pPr>
      <w:r>
        <w:rPr>
          <w:rFonts w:hint="eastAsia"/>
          <w:bCs/>
          <w:sz w:val="24"/>
        </w:rPr>
        <w:t>4、当前一估值日基金资产净值50%以上的资产出现无可参考的活跃市场价格且采用估值技术仍导致公允价值存在重大不确定性时，经与基金托管人协商确认后，基金管理人应当暂停估值；</w:t>
      </w:r>
    </w:p>
    <w:p>
      <w:pPr>
        <w:spacing w:line="360" w:lineRule="auto"/>
        <w:ind w:firstLine="480" w:firstLineChars="200"/>
        <w:rPr>
          <w:bCs/>
          <w:sz w:val="24"/>
        </w:rPr>
      </w:pPr>
      <w:r>
        <w:rPr>
          <w:bCs/>
          <w:sz w:val="24"/>
        </w:rPr>
        <w:t>5</w:t>
      </w:r>
      <w:r>
        <w:rPr>
          <w:rFonts w:hint="eastAsia"/>
          <w:bCs/>
          <w:sz w:val="24"/>
        </w:rPr>
        <w:t>、</w:t>
      </w:r>
      <w:r>
        <w:rPr>
          <w:bCs/>
          <w:sz w:val="24"/>
        </w:rPr>
        <w:t>中国证监会和基金合同认定的其它情形。</w:t>
      </w:r>
    </w:p>
    <w:p>
      <w:pPr>
        <w:spacing w:line="360" w:lineRule="auto"/>
        <w:ind w:firstLine="480" w:firstLineChars="200"/>
        <w:rPr>
          <w:bCs/>
          <w:sz w:val="24"/>
        </w:rPr>
      </w:pPr>
      <w:r>
        <w:rPr>
          <w:bCs/>
          <w:sz w:val="24"/>
        </w:rPr>
        <w:t>七、基金净值的确认</w:t>
      </w:r>
    </w:p>
    <w:p>
      <w:pPr>
        <w:spacing w:line="360" w:lineRule="auto"/>
        <w:ind w:firstLine="480" w:firstLineChars="200"/>
        <w:rPr>
          <w:bCs/>
        </w:rPr>
      </w:pPr>
      <w:bookmarkStart w:id="295" w:name="OLE_LINK68"/>
      <w:bookmarkStart w:id="296" w:name="OLE_LINK69"/>
      <w:r>
        <w:rPr>
          <w:bCs/>
          <w:sz w:val="24"/>
        </w:rPr>
        <w:t>用于基金信息披露的</w:t>
      </w:r>
      <w:r>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Pr>
          <w:rFonts w:hint="eastAsia"/>
          <w:bCs/>
          <w:sz w:val="24"/>
        </w:rPr>
        <w:t>各类基金份额的</w:t>
      </w:r>
      <w:r>
        <w:rPr>
          <w:bCs/>
          <w:sz w:val="24"/>
        </w:rPr>
        <w:t>基金资产净值</w:t>
      </w:r>
      <w:r>
        <w:rPr>
          <w:rFonts w:hint="eastAsia"/>
          <w:bCs/>
          <w:sz w:val="24"/>
        </w:rPr>
        <w:t>和</w:t>
      </w:r>
      <w:r>
        <w:rPr>
          <w:bCs/>
          <w:sz w:val="24"/>
        </w:rPr>
        <w:t>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295"/>
    <w:bookmarkEnd w:id="296"/>
    <w:p>
      <w:pPr>
        <w:spacing w:line="476" w:lineRule="exact"/>
        <w:ind w:firstLine="480" w:firstLineChars="200"/>
        <w:rPr>
          <w:sz w:val="24"/>
        </w:rPr>
      </w:pPr>
      <w:r>
        <w:rPr>
          <w:rFonts w:hAnsi="宋体"/>
          <w:sz w:val="24"/>
        </w:rPr>
        <w:t>八、特殊情形的处理</w:t>
      </w:r>
    </w:p>
    <w:p>
      <w:pPr>
        <w:spacing w:line="360" w:lineRule="auto"/>
        <w:ind w:firstLine="480" w:firstLineChars="200"/>
        <w:rPr>
          <w:sz w:val="24"/>
        </w:rPr>
      </w:pPr>
      <w:r>
        <w:rPr>
          <w:sz w:val="24"/>
        </w:rPr>
        <w:t>1</w:t>
      </w:r>
      <w:r>
        <w:rPr>
          <w:rFonts w:hAnsi="宋体"/>
          <w:sz w:val="24"/>
        </w:rPr>
        <w:t>、基金管理人或基金托管人按估值方法的第</w:t>
      </w:r>
      <w:r>
        <w:rPr>
          <w:rFonts w:hint="eastAsia"/>
          <w:sz w:val="24"/>
        </w:rPr>
        <w:t>（4）</w:t>
      </w:r>
      <w:r>
        <w:rPr>
          <w:rFonts w:hAnsi="宋体"/>
          <w:sz w:val="24"/>
        </w:rPr>
        <w:t>项进行估值时，所造成的误差不作为基金资产估值错误处理。</w:t>
      </w:r>
    </w:p>
    <w:p>
      <w:pPr>
        <w:spacing w:line="360" w:lineRule="auto"/>
        <w:ind w:firstLine="480" w:firstLineChars="200"/>
        <w:rPr>
          <w:sz w:val="24"/>
        </w:rPr>
      </w:pPr>
      <w:bookmarkStart w:id="297" w:name="OLE_LINK70"/>
      <w:bookmarkStart w:id="298" w:name="OLE_LINK71"/>
      <w:r>
        <w:rPr>
          <w:sz w:val="24"/>
        </w:rPr>
        <w:t>2</w:t>
      </w:r>
      <w:r>
        <w:rPr>
          <w:rFonts w:hAnsi="宋体"/>
          <w:sz w:val="24"/>
        </w:rPr>
        <w:t>、由于</w:t>
      </w:r>
      <w:r>
        <w:rPr>
          <w:rFonts w:hint="eastAsia" w:hAnsi="宋体"/>
          <w:sz w:val="24"/>
        </w:rPr>
        <w:t>不可抗力原因，或由于</w:t>
      </w:r>
      <w:r>
        <w:rPr>
          <w:rFonts w:hAnsi="宋体"/>
          <w:sz w:val="24"/>
        </w:rPr>
        <w:t>证券、期货交易所</w:t>
      </w:r>
      <w:r>
        <w:rPr>
          <w:rFonts w:hint="eastAsia" w:hAnsi="宋体"/>
          <w:sz w:val="24"/>
        </w:rPr>
        <w:t>、证券经纪机构</w:t>
      </w:r>
      <w:r>
        <w:rPr>
          <w:rFonts w:hAnsi="宋体"/>
          <w:sz w:val="24"/>
        </w:rPr>
        <w:t>、期货公司</w:t>
      </w:r>
      <w:r>
        <w:rPr>
          <w:rFonts w:hint="eastAsia" w:hAnsi="宋体"/>
          <w:sz w:val="24"/>
        </w:rPr>
        <w:t>及</w:t>
      </w:r>
      <w:r>
        <w:rPr>
          <w:rFonts w:hAnsi="宋体"/>
          <w:sz w:val="24"/>
        </w:rPr>
        <w:t>登记结算公司发送的数据错误，</w:t>
      </w:r>
      <w:r>
        <w:rPr>
          <w:rFonts w:hint="eastAsia" w:hAnsi="宋体"/>
          <w:sz w:val="24"/>
        </w:rPr>
        <w:t>或国家会计政策变更、市场规则变更等</w:t>
      </w:r>
      <w:r>
        <w:rPr>
          <w:rFonts w:hAnsi="宋体"/>
          <w:sz w:val="24"/>
        </w:rPr>
        <w:t>，基金管理人和基金托管人虽然已经采取必要、适当、合理的措施进行检查，但是未能发现该错误而造成的基金份额净值</w:t>
      </w:r>
      <w:r>
        <w:rPr>
          <w:rFonts w:hint="eastAsia" w:hAnsi="宋体"/>
          <w:sz w:val="24"/>
        </w:rPr>
        <w:t>计算</w:t>
      </w:r>
      <w:r>
        <w:rPr>
          <w:rFonts w:hAnsi="宋体"/>
          <w:sz w:val="24"/>
        </w:rPr>
        <w:t>错误，基金管理人、基金托管人免除赔偿责任。但基金管理人、基金托管人应积极采取必要的措施</w:t>
      </w:r>
      <w:r>
        <w:rPr>
          <w:rFonts w:hint="eastAsia" w:hAnsi="宋体"/>
          <w:sz w:val="24"/>
        </w:rPr>
        <w:t>减轻或</w:t>
      </w:r>
      <w:r>
        <w:rPr>
          <w:rFonts w:hAnsi="宋体"/>
          <w:sz w:val="24"/>
        </w:rPr>
        <w:t>消除由此造成的影响。</w:t>
      </w:r>
    </w:p>
    <w:bookmarkEnd w:id="297"/>
    <w:bookmarkEnd w:id="298"/>
    <w:p>
      <w:pPr>
        <w:pStyle w:val="2"/>
        <w:spacing w:before="0" w:after="0"/>
        <w:jc w:val="center"/>
        <w:rPr>
          <w:sz w:val="30"/>
        </w:rPr>
      </w:pPr>
      <w:r>
        <w:rPr>
          <w:b w:val="0"/>
          <w:bCs/>
          <w:sz w:val="30"/>
        </w:rPr>
        <w:br w:type="page"/>
      </w:r>
      <w:bookmarkStart w:id="299" w:name="_Toc19706"/>
      <w:bookmarkStart w:id="300" w:name="_Toc32227"/>
      <w:bookmarkStart w:id="301" w:name="_Toc24601"/>
      <w:bookmarkStart w:id="302" w:name="_Toc442395206"/>
      <w:bookmarkStart w:id="303" w:name="_Toc32041"/>
      <w:bookmarkStart w:id="304" w:name="_Toc15779"/>
      <w:bookmarkStart w:id="305" w:name="_Toc13987"/>
      <w:bookmarkStart w:id="306" w:name="_Toc3365"/>
      <w:bookmarkStart w:id="307" w:name="_Toc12105"/>
      <w:bookmarkStart w:id="308" w:name="_Toc19752"/>
      <w:r>
        <w:rPr>
          <w:rFonts w:hint="eastAsia" w:ascii="Times New Roman"/>
          <w:color w:val="auto"/>
          <w:sz w:val="30"/>
        </w:rPr>
        <w:t>第十六部分</w:t>
      </w:r>
      <w:r>
        <w:rPr>
          <w:rFonts w:ascii="Times New Roman"/>
          <w:color w:val="auto"/>
          <w:sz w:val="30"/>
        </w:rPr>
        <w:t xml:space="preserve">  </w:t>
      </w:r>
      <w:r>
        <w:rPr>
          <w:rFonts w:hint="eastAsia" w:ascii="Times New Roman"/>
          <w:color w:val="auto"/>
          <w:sz w:val="30"/>
        </w:rPr>
        <w:t>基金费用与税收</w:t>
      </w:r>
      <w:bookmarkEnd w:id="292"/>
      <w:bookmarkEnd w:id="293"/>
      <w:bookmarkEnd w:id="294"/>
      <w:bookmarkEnd w:id="299"/>
      <w:bookmarkEnd w:id="300"/>
      <w:bookmarkEnd w:id="301"/>
      <w:bookmarkEnd w:id="302"/>
      <w:bookmarkEnd w:id="303"/>
      <w:bookmarkEnd w:id="304"/>
      <w:bookmarkEnd w:id="305"/>
      <w:bookmarkEnd w:id="306"/>
      <w:bookmarkEnd w:id="307"/>
      <w:bookmarkEnd w:id="308"/>
    </w:p>
    <w:p>
      <w:pPr>
        <w:spacing w:line="360" w:lineRule="auto"/>
        <w:ind w:firstLine="480" w:firstLineChars="200"/>
        <w:rPr>
          <w:bCs/>
          <w:sz w:val="24"/>
        </w:rPr>
      </w:pPr>
    </w:p>
    <w:p>
      <w:pPr>
        <w:spacing w:line="360" w:lineRule="auto"/>
        <w:ind w:firstLine="480" w:firstLineChars="200"/>
        <w:rPr>
          <w:bCs/>
          <w:sz w:val="24"/>
        </w:rPr>
      </w:pPr>
      <w:r>
        <w:rPr>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w:t>
      </w:r>
      <w:r>
        <w:rPr>
          <w:rFonts w:hint="eastAsia"/>
          <w:bCs/>
          <w:sz w:val="24"/>
        </w:rPr>
        <w:t>、基金上市初费及上市年费；</w:t>
      </w:r>
    </w:p>
    <w:p>
      <w:pPr>
        <w:spacing w:line="360" w:lineRule="auto"/>
        <w:ind w:firstLine="480" w:firstLineChars="200"/>
        <w:rPr>
          <w:bCs/>
          <w:sz w:val="24"/>
        </w:rPr>
      </w:pPr>
      <w:r>
        <w:rPr>
          <w:bCs/>
          <w:sz w:val="24"/>
        </w:rPr>
        <w:t>4、《基金合同》生效后与基金相关的信息披露费用；</w:t>
      </w:r>
    </w:p>
    <w:p>
      <w:pPr>
        <w:spacing w:line="360" w:lineRule="auto"/>
        <w:ind w:firstLine="480" w:firstLineChars="200"/>
        <w:rPr>
          <w:bCs/>
          <w:sz w:val="24"/>
        </w:rPr>
      </w:pPr>
      <w:r>
        <w:rPr>
          <w:bCs/>
          <w:sz w:val="24"/>
        </w:rPr>
        <w:t>5、《基金合同》生效后与基金相关的会计师费、律师费</w:t>
      </w:r>
      <w:r>
        <w:rPr>
          <w:rFonts w:hint="eastAsia"/>
          <w:bCs/>
          <w:sz w:val="24"/>
        </w:rPr>
        <w:t>、仲裁费</w:t>
      </w:r>
      <w:r>
        <w:rPr>
          <w:bCs/>
          <w:sz w:val="24"/>
        </w:rPr>
        <w:t>和诉讼费；</w:t>
      </w:r>
    </w:p>
    <w:p>
      <w:pPr>
        <w:spacing w:line="360" w:lineRule="auto"/>
        <w:ind w:firstLine="480" w:firstLineChars="200"/>
        <w:rPr>
          <w:bCs/>
          <w:sz w:val="24"/>
        </w:rPr>
      </w:pPr>
      <w:r>
        <w:rPr>
          <w:bCs/>
          <w:sz w:val="24"/>
        </w:rPr>
        <w:t>6、基金份额持有人大会费用；</w:t>
      </w:r>
    </w:p>
    <w:p>
      <w:pPr>
        <w:spacing w:line="360" w:lineRule="auto"/>
        <w:ind w:firstLine="480" w:firstLineChars="200"/>
        <w:rPr>
          <w:bCs/>
          <w:sz w:val="24"/>
        </w:rPr>
      </w:pPr>
      <w:r>
        <w:rPr>
          <w:bCs/>
          <w:sz w:val="24"/>
        </w:rPr>
        <w:t>7、基金的证券</w:t>
      </w:r>
      <w:r>
        <w:rPr>
          <w:rFonts w:hint="eastAsia"/>
          <w:bCs/>
          <w:sz w:val="24"/>
        </w:rPr>
        <w:t>、期货</w:t>
      </w:r>
      <w:r>
        <w:rPr>
          <w:bCs/>
          <w:sz w:val="24"/>
        </w:rPr>
        <w:t>交易费用；</w:t>
      </w:r>
    </w:p>
    <w:p>
      <w:pPr>
        <w:spacing w:line="360" w:lineRule="auto"/>
        <w:ind w:firstLine="480" w:firstLineChars="200"/>
        <w:rPr>
          <w:bCs/>
          <w:sz w:val="24"/>
        </w:rPr>
      </w:pPr>
      <w:r>
        <w:rPr>
          <w:bCs/>
          <w:sz w:val="24"/>
        </w:rPr>
        <w:t>8、基金的银行汇划费用；</w:t>
      </w:r>
    </w:p>
    <w:p>
      <w:pPr>
        <w:spacing w:line="360" w:lineRule="auto"/>
        <w:ind w:firstLine="480" w:firstLineChars="200"/>
        <w:rPr>
          <w:rFonts w:ascii="宋体" w:hAnsi="宋体"/>
          <w:sz w:val="24"/>
        </w:rPr>
      </w:pPr>
      <w:r>
        <w:rPr>
          <w:bCs/>
          <w:sz w:val="24"/>
        </w:rPr>
        <w:t>9、</w:t>
      </w:r>
      <w:r>
        <w:rPr>
          <w:rFonts w:hint="eastAsia" w:ascii="宋体" w:hAnsi="宋体"/>
          <w:sz w:val="24"/>
        </w:rPr>
        <w:t>基金的开户费用、账户维护费用；</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、本基</w:t>
      </w:r>
      <w:r>
        <w:rPr>
          <w:rFonts w:hint="eastAsia"/>
          <w:bCs/>
          <w:sz w:val="24"/>
        </w:rPr>
        <w:t>金从</w:t>
      </w:r>
      <w:r>
        <w:rPr>
          <w:bCs/>
          <w:sz w:val="24"/>
        </w:rPr>
        <w:t>C</w:t>
      </w:r>
      <w:r>
        <w:rPr>
          <w:rFonts w:hint="eastAsia"/>
          <w:bCs/>
          <w:sz w:val="24"/>
        </w:rPr>
        <w:t>类基金份额的</w:t>
      </w:r>
      <w:r>
        <w:rPr>
          <w:rFonts w:hint="eastAsia" w:ascii="宋体" w:hAnsi="宋体"/>
          <w:sz w:val="24"/>
        </w:rPr>
        <w:t>基金财产中计提的销售服务费；</w:t>
      </w:r>
    </w:p>
    <w:p>
      <w:pPr>
        <w:spacing w:line="360" w:lineRule="auto"/>
        <w:ind w:firstLine="480" w:firstLineChars="200"/>
        <w:rPr>
          <w:bCs/>
          <w:sz w:val="24"/>
        </w:rPr>
      </w:pPr>
      <w:r>
        <w:rPr>
          <w:rFonts w:hint="eastAsia"/>
          <w:bCs/>
          <w:sz w:val="24"/>
        </w:rPr>
        <w:t>1</w:t>
      </w:r>
      <w:r>
        <w:rPr>
          <w:bCs/>
          <w:sz w:val="24"/>
        </w:rPr>
        <w:t>1、按照国家有关规定和《基金合同》约定，可以在基金财产中列支的其他费用。</w:t>
      </w:r>
    </w:p>
    <w:p>
      <w:pPr>
        <w:spacing w:line="360" w:lineRule="auto"/>
        <w:ind w:firstLine="480" w:firstLineChars="200"/>
        <w:rPr>
          <w:bCs/>
          <w:sz w:val="24"/>
        </w:rPr>
      </w:pPr>
      <w:r>
        <w:rPr>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本基金的管理费按前一日基金资产净值的1.0%年费率计提。管理费的计算方法如下：</w:t>
      </w:r>
    </w:p>
    <w:p>
      <w:pPr>
        <w:spacing w:line="360" w:lineRule="auto"/>
        <w:ind w:firstLine="480" w:firstLineChars="200"/>
        <w:rPr>
          <w:bCs/>
          <w:sz w:val="24"/>
        </w:rPr>
      </w:pPr>
      <w:r>
        <w:rPr>
          <w:bCs/>
          <w:sz w:val="24"/>
        </w:rPr>
        <w:t>H</w:t>
      </w:r>
      <w:r>
        <w:rPr>
          <w:rFonts w:hint="eastAsia"/>
          <w:bCs/>
          <w:sz w:val="24"/>
        </w:rPr>
        <w:t>＝</w:t>
      </w:r>
      <w:r>
        <w:rPr>
          <w:bCs/>
          <w:sz w:val="24"/>
        </w:rPr>
        <w:t>E×1.0%÷</w:t>
      </w:r>
      <w:r>
        <w:rPr>
          <w:rFonts w:hint="eastAsia"/>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自基金转型实施日起，</w:t>
      </w:r>
      <w:r>
        <w:rPr>
          <w:bCs/>
          <w:sz w:val="24"/>
        </w:rPr>
        <w:t>基金管理费</w:t>
      </w:r>
      <w:r>
        <w:rPr>
          <w:rFonts w:hint="eastAsia"/>
          <w:bCs/>
          <w:sz w:val="24"/>
        </w:rPr>
        <w:t>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本基金的托管费按前一日基金资产净值的0.2%</w:t>
      </w:r>
      <w:r>
        <w:rPr>
          <w:rFonts w:hint="eastAsia"/>
          <w:bCs/>
          <w:sz w:val="24"/>
        </w:rPr>
        <w:t>的年费率计提。托管费</w:t>
      </w:r>
      <w:r>
        <w:rPr>
          <w:bCs/>
          <w:sz w:val="24"/>
        </w:rPr>
        <w:t>的计算方法如下：</w:t>
      </w:r>
    </w:p>
    <w:p>
      <w:pPr>
        <w:spacing w:line="360" w:lineRule="auto"/>
        <w:ind w:firstLine="480" w:firstLineChars="200"/>
        <w:rPr>
          <w:bCs/>
          <w:sz w:val="24"/>
        </w:rPr>
      </w:pPr>
      <w:r>
        <w:rPr>
          <w:bCs/>
          <w:sz w:val="24"/>
        </w:rPr>
        <w:t>H＝E×0.2%÷当年天数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自基金转型实施日起，</w:t>
      </w:r>
      <w:r>
        <w:rPr>
          <w:bCs/>
          <w:sz w:val="24"/>
        </w:rPr>
        <w:t>基金托管费</w:t>
      </w:r>
      <w:r>
        <w:rPr>
          <w:rFonts w:hint="eastAsia"/>
          <w:bCs/>
          <w:sz w:val="24"/>
        </w:rPr>
        <w:t>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本基金A类基金份额不收取销售服务费，C类基金份额的销售服务费按前一日C类基金资产净值的</w:t>
      </w:r>
      <w:r>
        <w:rPr>
          <w:bCs/>
          <w:sz w:val="24"/>
        </w:rPr>
        <w:t>0.1%</w:t>
      </w:r>
      <w:r>
        <w:rPr>
          <w:rFonts w:hint="eastAsia"/>
          <w:bCs/>
          <w:sz w:val="24"/>
        </w:rPr>
        <w:t>年费率计提。计算方法如下：</w:t>
      </w:r>
    </w:p>
    <w:p>
      <w:pPr>
        <w:spacing w:line="360" w:lineRule="auto"/>
        <w:ind w:firstLine="480" w:firstLineChars="200"/>
        <w:rPr>
          <w:bCs/>
          <w:sz w:val="24"/>
        </w:rPr>
      </w:pPr>
      <w:r>
        <w:rPr>
          <w:rFonts w:hint="eastAsia"/>
          <w:bCs/>
          <w:sz w:val="24"/>
        </w:rPr>
        <w:t>H＝E×</w:t>
      </w:r>
      <w:r>
        <w:rPr>
          <w:bCs/>
          <w:sz w:val="24"/>
        </w:rPr>
        <w:t>0.1%</w:t>
      </w:r>
      <w:r>
        <w:rPr>
          <w:rFonts w:hint="eastAsia"/>
          <w:bCs/>
          <w:sz w:val="24"/>
        </w:rPr>
        <w:t>÷当年天数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E为C类基金份额前一日基金资产净值</w:t>
      </w:r>
    </w:p>
    <w:p>
      <w:pPr>
        <w:adjustRightInd w:val="0"/>
        <w:snapToGrid w:val="0"/>
        <w:spacing w:line="360" w:lineRule="auto"/>
        <w:ind w:firstLine="480" w:firstLineChars="200"/>
        <w:rPr>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C类基金份额的销售服务费将专门用于本基金的市场推广、销售与基金份额持有人服务。</w:t>
      </w:r>
    </w:p>
    <w:p>
      <w:pPr>
        <w:spacing w:line="360" w:lineRule="auto"/>
        <w:ind w:firstLine="480" w:firstLineChars="200"/>
        <w:rPr>
          <w:bCs/>
          <w:sz w:val="24"/>
        </w:rPr>
      </w:pPr>
      <w:r>
        <w:rPr>
          <w:bCs/>
          <w:sz w:val="24"/>
        </w:rPr>
        <w:t>4</w:t>
      </w:r>
      <w:r>
        <w:rPr>
          <w:rFonts w:hint="eastAsia"/>
          <w:bCs/>
          <w:color w:val="000000" w:themeColor="text1"/>
          <w:sz w:val="24"/>
          <w14:textFill>
            <w14:solidFill>
              <w14:schemeClr w14:val="tx1"/>
            </w14:solidFill>
          </w14:textFill>
        </w:rPr>
        <w:t>、</w:t>
      </w:r>
      <w:r>
        <w:rPr>
          <w:bCs/>
          <w:sz w:val="24"/>
        </w:rPr>
        <w:t>上述</w:t>
      </w:r>
      <w:r>
        <w:rPr>
          <w:rFonts w:hint="eastAsia"/>
          <w:bCs/>
          <w:sz w:val="24"/>
        </w:rPr>
        <w:t>“</w:t>
      </w:r>
      <w:r>
        <w:rPr>
          <w:bCs/>
          <w:sz w:val="24"/>
        </w:rPr>
        <w:t>一、基金费用的种类</w:t>
      </w:r>
      <w:r>
        <w:rPr>
          <w:rFonts w:hint="eastAsia"/>
          <w:bCs/>
          <w:sz w:val="24"/>
        </w:rPr>
        <w:t>”</w:t>
      </w:r>
      <w:r>
        <w:rPr>
          <w:bCs/>
          <w:sz w:val="24"/>
        </w:rPr>
        <w:t>中第3－9项</w:t>
      </w:r>
      <w:r>
        <w:rPr>
          <w:rFonts w:hint="eastAsia"/>
          <w:bCs/>
          <w:sz w:val="24"/>
        </w:rPr>
        <w:t>、第1</w:t>
      </w:r>
      <w:r>
        <w:rPr>
          <w:bCs/>
          <w:sz w:val="24"/>
        </w:rPr>
        <w:t>1</w:t>
      </w:r>
      <w:r>
        <w:rPr>
          <w:rFonts w:hint="eastAsia"/>
          <w:bCs/>
          <w:sz w:val="24"/>
        </w:rPr>
        <w:t>项</w:t>
      </w:r>
      <w:r>
        <w:rPr>
          <w:bCs/>
          <w:sz w:val="24"/>
        </w:rPr>
        <w:t>费用，根据有关法规及相应协议规定，按费用实际支出金额列入当期费用，由基金托管人从基金财产中支付。</w:t>
      </w:r>
    </w:p>
    <w:p>
      <w:pPr>
        <w:spacing w:line="360" w:lineRule="auto"/>
        <w:ind w:firstLine="480" w:firstLineChars="200"/>
        <w:rPr>
          <w:bCs/>
          <w:sz w:val="24"/>
        </w:rPr>
      </w:pPr>
      <w:r>
        <w:rPr>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w:t>
      </w:r>
      <w:r>
        <w:rPr>
          <w:rFonts w:hint="eastAsia"/>
          <w:bCs/>
          <w:sz w:val="24"/>
        </w:rPr>
        <w:t>《交银施罗德中证环境治理指数分级证券投资基金基金合同》生效前的相关费用；</w:t>
      </w:r>
    </w:p>
    <w:p>
      <w:pPr>
        <w:spacing w:line="360" w:lineRule="auto"/>
        <w:ind w:firstLine="480" w:firstLineChars="200"/>
        <w:rPr>
          <w:bCs/>
          <w:sz w:val="24"/>
        </w:rPr>
      </w:pPr>
      <w:r>
        <w:rPr>
          <w:bCs/>
          <w:sz w:val="24"/>
        </w:rPr>
        <w:t>4、</w:t>
      </w:r>
      <w:r>
        <w:rPr>
          <w:rFonts w:hint="eastAsia"/>
          <w:bCs/>
          <w:sz w:val="24"/>
        </w:rPr>
        <w:t>标的指数许可使用费。标的指数许可使用费由基金管理人承担，不得从基金财产中列支；</w:t>
      </w:r>
    </w:p>
    <w:p>
      <w:pPr>
        <w:spacing w:line="360" w:lineRule="auto"/>
        <w:ind w:firstLine="480" w:firstLineChars="200"/>
        <w:rPr>
          <w:bCs/>
          <w:sz w:val="24"/>
        </w:rPr>
      </w:pPr>
      <w:r>
        <w:rPr>
          <w:rFonts w:hint="eastAsia"/>
          <w:bCs/>
          <w:sz w:val="24"/>
        </w:rPr>
        <w:t>5、</w:t>
      </w:r>
      <w:r>
        <w:rPr>
          <w:bCs/>
          <w:sz w:val="24"/>
        </w:rPr>
        <w:t>其他根据相关法律法规及中国证监会的有关规定不得列入基金费用的项目。</w:t>
      </w:r>
      <w:bookmarkStart w:id="309" w:name="_Hlt88827255"/>
      <w:bookmarkEnd w:id="309"/>
    </w:p>
    <w:p>
      <w:pPr>
        <w:spacing w:line="360" w:lineRule="auto"/>
        <w:ind w:firstLine="480" w:firstLineChars="200"/>
        <w:rPr>
          <w:bCs/>
          <w:sz w:val="24"/>
        </w:rPr>
      </w:pPr>
      <w:r>
        <w:rPr>
          <w:rFonts w:hint="eastAsia"/>
          <w:bCs/>
          <w:sz w:val="24"/>
        </w:rPr>
        <w:t>四、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pPr>
        <w:spacing w:line="360" w:lineRule="auto"/>
        <w:ind w:firstLine="480" w:firstLineChars="200"/>
        <w:rPr>
          <w:rFonts w:ascii="宋体" w:hAnsi="宋体"/>
          <w:sz w:val="24"/>
        </w:rPr>
      </w:pPr>
      <w:r>
        <w:rPr>
          <w:rFonts w:hint="eastAsia"/>
          <w:bCs/>
          <w:sz w:val="24"/>
        </w:rPr>
        <w:t>五</w:t>
      </w:r>
      <w:r>
        <w:rPr>
          <w:bCs/>
          <w:sz w:val="24"/>
        </w:rPr>
        <w:t>、</w:t>
      </w:r>
      <w:r>
        <w:rPr>
          <w:rFonts w:hint="eastAsia" w:ascii="宋体" w:hAnsi="宋体"/>
          <w:sz w:val="24"/>
        </w:rPr>
        <w:t>基金管理人和基金托管人可根据基金发展情况调整基金管理费率、基金托管费率、销售服务费率等相关费率。基金管理人必须依照有关规定于新的费率实施日前在指定媒介上刊登公告。</w:t>
      </w:r>
    </w:p>
    <w:p>
      <w:pPr>
        <w:spacing w:line="360" w:lineRule="auto"/>
        <w:ind w:firstLine="480" w:firstLineChars="200"/>
        <w:rPr>
          <w:bCs/>
          <w:sz w:val="24"/>
        </w:rPr>
      </w:pPr>
      <w:r>
        <w:rPr>
          <w:rFonts w:hint="eastAsia"/>
          <w:bCs/>
          <w:sz w:val="24"/>
        </w:rPr>
        <w:t>六</w:t>
      </w:r>
      <w:r>
        <w:rPr>
          <w:bCs/>
          <w:sz w:val="24"/>
        </w:rPr>
        <w:t>、基金税收</w:t>
      </w:r>
    </w:p>
    <w:p>
      <w:pPr>
        <w:spacing w:line="360" w:lineRule="auto"/>
        <w:ind w:firstLine="480" w:firstLineChars="200"/>
        <w:rPr>
          <w:bCs/>
          <w:sz w:val="24"/>
        </w:rPr>
      </w:pPr>
      <w:r>
        <w:rPr>
          <w:bCs/>
          <w:sz w:val="24"/>
        </w:rPr>
        <w:t>本基金运作过程中涉及的各纳税主体，其纳税义务按国家税收法律、法规执行。</w:t>
      </w:r>
    </w:p>
    <w:p>
      <w:pPr>
        <w:pStyle w:val="2"/>
        <w:spacing w:before="0" w:after="0"/>
        <w:jc w:val="center"/>
        <w:rPr>
          <w:rFonts w:ascii="Times New Roman"/>
          <w:color w:val="auto"/>
          <w:sz w:val="30"/>
        </w:rPr>
      </w:pPr>
      <w:bookmarkStart w:id="310" w:name="_Toc92662707"/>
      <w:bookmarkStart w:id="311" w:name="_Toc93226149"/>
      <w:bookmarkStart w:id="312" w:name="_Toc22552"/>
      <w:bookmarkStart w:id="313" w:name="_Toc128310499"/>
      <w:bookmarkStart w:id="314" w:name="_Toc139991746"/>
      <w:bookmarkStart w:id="315" w:name="_Toc141703896"/>
      <w:r>
        <w:rPr>
          <w:rFonts w:ascii="Times New Roman"/>
          <w:b w:val="0"/>
          <w:bCs/>
          <w:color w:val="auto"/>
          <w:sz w:val="30"/>
        </w:rPr>
        <w:br w:type="page"/>
      </w:r>
      <w:bookmarkStart w:id="316" w:name="_Toc3656"/>
      <w:bookmarkStart w:id="317" w:name="_Toc178"/>
      <w:bookmarkStart w:id="318" w:name="_Toc20052"/>
      <w:bookmarkStart w:id="319" w:name="_Toc15525"/>
      <w:bookmarkStart w:id="320" w:name="_Toc25883"/>
      <w:bookmarkStart w:id="321" w:name="_Toc1617"/>
      <w:bookmarkStart w:id="322" w:name="_Toc12761"/>
      <w:bookmarkStart w:id="323" w:name="_Toc442395207"/>
      <w:bookmarkStart w:id="324" w:name="_Toc21829"/>
      <w:bookmarkStart w:id="325" w:name="_Toc19558"/>
      <w:r>
        <w:rPr>
          <w:rFonts w:ascii="Times New Roman"/>
          <w:color w:val="auto"/>
          <w:sz w:val="30"/>
        </w:rPr>
        <w:t>第</w:t>
      </w:r>
      <w:r>
        <w:rPr>
          <w:rFonts w:hint="eastAsia" w:ascii="Times New Roman"/>
          <w:color w:val="auto"/>
          <w:sz w:val="30"/>
        </w:rPr>
        <w:t>十七</w:t>
      </w:r>
      <w:r>
        <w:rPr>
          <w:rFonts w:ascii="Times New Roman"/>
          <w:color w:val="auto"/>
          <w:sz w:val="30"/>
        </w:rPr>
        <w:t>部分  基金</w:t>
      </w:r>
      <w:bookmarkEnd w:id="310"/>
      <w:bookmarkEnd w:id="311"/>
      <w:r>
        <w:rPr>
          <w:rFonts w:ascii="Times New Roman"/>
          <w:color w:val="auto"/>
          <w:sz w:val="30"/>
        </w:rPr>
        <w:t>的收益与分配</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rPr>
          <w:bCs/>
        </w:rPr>
      </w:pPr>
    </w:p>
    <w:p>
      <w:pPr>
        <w:spacing w:line="360" w:lineRule="auto"/>
        <w:ind w:firstLine="540" w:firstLineChars="225"/>
        <w:rPr>
          <w:bCs/>
          <w:sz w:val="24"/>
        </w:rPr>
      </w:pPr>
      <w:r>
        <w:rPr>
          <w:rFonts w:hint="eastAsia"/>
          <w:bCs/>
          <w:sz w:val="24"/>
        </w:rPr>
        <w:t>一、基金利润的构成</w:t>
      </w:r>
    </w:p>
    <w:p>
      <w:pPr>
        <w:spacing w:line="360" w:lineRule="auto"/>
        <w:ind w:firstLine="540" w:firstLineChars="225"/>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pPr>
        <w:spacing w:line="360" w:lineRule="auto"/>
        <w:ind w:firstLine="540" w:firstLineChars="225"/>
        <w:rPr>
          <w:bCs/>
          <w:sz w:val="24"/>
        </w:rPr>
      </w:pPr>
      <w:r>
        <w:rPr>
          <w:rFonts w:hint="eastAsia"/>
          <w:bCs/>
          <w:sz w:val="24"/>
        </w:rPr>
        <w:t>二、基金可供分配利润</w:t>
      </w:r>
    </w:p>
    <w:p>
      <w:pPr>
        <w:spacing w:line="360" w:lineRule="auto"/>
        <w:ind w:firstLine="540" w:firstLineChars="225"/>
        <w:rPr>
          <w:bCs/>
          <w:sz w:val="24"/>
        </w:rPr>
      </w:pPr>
      <w:r>
        <w:rPr>
          <w:rFonts w:hint="eastAsia"/>
          <w:bCs/>
          <w:sz w:val="24"/>
        </w:rPr>
        <w:t>基金可供分配利润指截至收益分配基准日基金未分配利润与未分配利润中已实现收益的孰低数。</w:t>
      </w:r>
    </w:p>
    <w:p>
      <w:pPr>
        <w:spacing w:line="360" w:lineRule="auto"/>
        <w:ind w:firstLine="540" w:firstLineChars="225"/>
        <w:rPr>
          <w:bCs/>
          <w:sz w:val="24"/>
        </w:rPr>
      </w:pPr>
      <w:r>
        <w:rPr>
          <w:rFonts w:hint="eastAsia"/>
          <w:bCs/>
          <w:sz w:val="24"/>
        </w:rPr>
        <w:t>三、基金收益分配原则</w:t>
      </w:r>
    </w:p>
    <w:p>
      <w:pPr>
        <w:spacing w:line="360" w:lineRule="auto"/>
        <w:ind w:firstLine="540" w:firstLineChars="225"/>
        <w:rPr>
          <w:bCs/>
          <w:sz w:val="24"/>
        </w:rPr>
      </w:pPr>
      <w:r>
        <w:rPr>
          <w:rFonts w:hint="eastAsia"/>
          <w:bCs/>
          <w:sz w:val="24"/>
        </w:rPr>
        <w:t>1、若《基金合同》生效不满3个月可不进行收益分配；</w:t>
      </w:r>
    </w:p>
    <w:p>
      <w:pPr>
        <w:spacing w:line="360" w:lineRule="auto"/>
        <w:ind w:firstLine="540" w:firstLineChars="225"/>
        <w:rPr>
          <w:bCs/>
          <w:sz w:val="24"/>
        </w:rPr>
      </w:pPr>
      <w:r>
        <w:rPr>
          <w:rFonts w:hint="eastAsia"/>
          <w:bCs/>
          <w:sz w:val="24"/>
        </w:rPr>
        <w:t>2、本基金收益分配方式分两种：现金分红与红利再投资，投资者可选择现金红利或将现金红利自动转为</w:t>
      </w:r>
      <w:r>
        <w:rPr>
          <w:rFonts w:hint="eastAsia" w:ascii="宋体" w:hAnsi="宋体"/>
          <w:sz w:val="24"/>
        </w:rPr>
        <w:t>相应类别的</w:t>
      </w:r>
      <w:r>
        <w:rPr>
          <w:rFonts w:hint="eastAsia"/>
          <w:bCs/>
          <w:sz w:val="24"/>
        </w:rPr>
        <w:t>基金份额进行再投资；若投资者不选择，本基金默认的收益分配方式是现金分红；基金份额持有人可对其持有的A类基金份额和C类基金份额分别选择不同的收益分配方式；</w:t>
      </w:r>
    </w:p>
    <w:p>
      <w:pPr>
        <w:spacing w:line="360" w:lineRule="auto"/>
        <w:ind w:firstLine="540" w:firstLineChars="225"/>
        <w:rPr>
          <w:bCs/>
          <w:sz w:val="24"/>
        </w:rPr>
      </w:pPr>
      <w:r>
        <w:rPr>
          <w:rFonts w:hint="eastAsia"/>
          <w:bCs/>
          <w:sz w:val="24"/>
        </w:rPr>
        <w:t>3、基金收益分配后任一类基金份额净值不能低于面值，即基金收益分配基准日的</w:t>
      </w:r>
      <w:r>
        <w:rPr>
          <w:rFonts w:hint="eastAsia" w:ascii="宋体" w:hAnsi="宋体"/>
          <w:sz w:val="24"/>
        </w:rPr>
        <w:t>任一类</w:t>
      </w:r>
      <w:r>
        <w:rPr>
          <w:rFonts w:hint="eastAsia"/>
          <w:bCs/>
          <w:sz w:val="24"/>
        </w:rPr>
        <w:t>基金份额净值减去每单位该类基金份额收益分配金额后不能低于面值；</w:t>
      </w:r>
    </w:p>
    <w:p>
      <w:pPr>
        <w:spacing w:line="360" w:lineRule="auto"/>
        <w:ind w:firstLine="540" w:firstLineChars="225"/>
        <w:rPr>
          <w:bCs/>
          <w:sz w:val="24"/>
        </w:rPr>
      </w:pPr>
      <w:r>
        <w:rPr>
          <w:rFonts w:hint="eastAsia"/>
          <w:bCs/>
          <w:sz w:val="24"/>
        </w:rPr>
        <w:t>4、</w:t>
      </w:r>
      <w:r>
        <w:rPr>
          <w:rFonts w:hint="eastAsia" w:ascii="宋体" w:hAnsi="宋体"/>
          <w:sz w:val="24"/>
        </w:rPr>
        <w:t>由</w:t>
      </w:r>
      <w:r>
        <w:rPr>
          <w:rFonts w:hint="eastAsia"/>
          <w:bCs/>
          <w:sz w:val="24"/>
        </w:rPr>
        <w:t>于本基金</w:t>
      </w:r>
      <w:r>
        <w:rPr>
          <w:bCs/>
          <w:sz w:val="24"/>
        </w:rPr>
        <w:t>A</w:t>
      </w:r>
      <w:r>
        <w:rPr>
          <w:rFonts w:hint="eastAsia"/>
          <w:bCs/>
          <w:sz w:val="24"/>
        </w:rPr>
        <w:t>类基金份额不收取销售服务费，</w:t>
      </w:r>
      <w:r>
        <w:rPr>
          <w:bCs/>
          <w:sz w:val="24"/>
        </w:rPr>
        <w:t>C</w:t>
      </w:r>
      <w:r>
        <w:rPr>
          <w:rFonts w:hint="eastAsia"/>
          <w:bCs/>
          <w:sz w:val="24"/>
        </w:rPr>
        <w:t>类基金份</w:t>
      </w:r>
      <w:r>
        <w:rPr>
          <w:rFonts w:hint="eastAsia" w:ascii="宋体" w:hAnsi="宋体"/>
          <w:sz w:val="24"/>
        </w:rPr>
        <w:t>额收取销售服务费，各基金份额类别对应的可供分配利润将有所不同；</w:t>
      </w:r>
      <w:r>
        <w:rPr>
          <w:rFonts w:hint="eastAsia" w:ascii="宋体" w:hAnsi="宋体"/>
          <w:bCs/>
          <w:sz w:val="24"/>
        </w:rPr>
        <w:t>本基金同一基金份额类别的</w:t>
      </w:r>
      <w:r>
        <w:rPr>
          <w:rFonts w:hint="eastAsia"/>
          <w:bCs/>
          <w:sz w:val="24"/>
        </w:rPr>
        <w:t>每一基金份额享有同等分配权；</w:t>
      </w:r>
    </w:p>
    <w:p>
      <w:pPr>
        <w:spacing w:line="360" w:lineRule="auto"/>
        <w:ind w:firstLine="540" w:firstLineChars="225"/>
        <w:rPr>
          <w:bCs/>
          <w:sz w:val="24"/>
        </w:rPr>
      </w:pPr>
      <w:r>
        <w:rPr>
          <w:rFonts w:hint="eastAsia"/>
          <w:bCs/>
          <w:sz w:val="24"/>
        </w:rPr>
        <w:t>5、法律法规或监管机关另有规定的，从其规定。</w:t>
      </w:r>
    </w:p>
    <w:p>
      <w:pPr>
        <w:spacing w:line="360" w:lineRule="auto"/>
        <w:ind w:firstLine="540" w:firstLineChars="225"/>
        <w:rPr>
          <w:bCs/>
          <w:sz w:val="24"/>
        </w:rPr>
      </w:pPr>
      <w:r>
        <w:rPr>
          <w:rFonts w:hint="eastAsia"/>
          <w:bCs/>
          <w:sz w:val="24"/>
        </w:rPr>
        <w:t>四、收益分配方案</w:t>
      </w:r>
    </w:p>
    <w:p>
      <w:pPr>
        <w:spacing w:line="360" w:lineRule="auto"/>
        <w:ind w:firstLine="540" w:firstLineChars="225"/>
        <w:rPr>
          <w:bCs/>
          <w:sz w:val="24"/>
        </w:rPr>
      </w:pPr>
      <w:r>
        <w:rPr>
          <w:rFonts w:hint="eastAsia"/>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rFonts w:hint="eastAsia"/>
          <w:bCs/>
          <w:sz w:val="24"/>
        </w:rPr>
        <w:t>五、收益分配方案的确定、公告与实施</w:t>
      </w:r>
    </w:p>
    <w:p>
      <w:pPr>
        <w:spacing w:line="360" w:lineRule="auto"/>
        <w:ind w:firstLine="540" w:firstLineChars="225"/>
        <w:rPr>
          <w:bCs/>
          <w:sz w:val="24"/>
        </w:rPr>
      </w:pPr>
      <w:r>
        <w:rPr>
          <w:rFonts w:hint="eastAsia"/>
          <w:bCs/>
          <w:sz w:val="24"/>
        </w:rPr>
        <w:t>本基金收益分配方案由基金管理人拟定，并由基金托管人复核，依照《信息</w:t>
      </w:r>
      <w:r>
        <w:rPr>
          <w:bCs/>
          <w:sz w:val="24"/>
        </w:rPr>
        <w:t>披露办法</w:t>
      </w:r>
      <w:r>
        <w:rPr>
          <w:rFonts w:hint="eastAsia"/>
          <w:bCs/>
          <w:sz w:val="24"/>
        </w:rPr>
        <w:t>》的</w:t>
      </w:r>
      <w:r>
        <w:rPr>
          <w:bCs/>
          <w:sz w:val="24"/>
        </w:rPr>
        <w:t>有关规定</w:t>
      </w:r>
      <w:r>
        <w:rPr>
          <w:rFonts w:hint="eastAsia"/>
          <w:bCs/>
          <w:sz w:val="24"/>
        </w:rPr>
        <w:t>在指定媒介公告。</w:t>
      </w:r>
    </w:p>
    <w:p>
      <w:pPr>
        <w:spacing w:line="360" w:lineRule="auto"/>
        <w:ind w:firstLine="540" w:firstLineChars="225"/>
        <w:rPr>
          <w:bCs/>
          <w:sz w:val="24"/>
        </w:rPr>
      </w:pPr>
      <w:r>
        <w:rPr>
          <w:rFonts w:hint="eastAsia"/>
          <w:bCs/>
          <w:sz w:val="24"/>
        </w:rPr>
        <w:t>基金红利发放日距离收益分配基准日（即可供分配利润计算截止日）的时间不得超过15个工作日。</w:t>
      </w:r>
    </w:p>
    <w:p>
      <w:pPr>
        <w:spacing w:line="360" w:lineRule="auto"/>
        <w:ind w:firstLine="540" w:firstLineChars="225"/>
        <w:rPr>
          <w:bCs/>
          <w:sz w:val="24"/>
        </w:rPr>
      </w:pPr>
      <w:r>
        <w:rPr>
          <w:rFonts w:hint="eastAsia"/>
          <w:bCs/>
          <w:sz w:val="24"/>
        </w:rPr>
        <w:t>法律法规或监管机关另有规定的，从其规定。</w:t>
      </w:r>
    </w:p>
    <w:p>
      <w:pPr>
        <w:spacing w:line="360" w:lineRule="auto"/>
        <w:ind w:firstLine="540" w:firstLineChars="225"/>
        <w:rPr>
          <w:bCs/>
          <w:sz w:val="24"/>
        </w:rPr>
      </w:pPr>
      <w:r>
        <w:rPr>
          <w:rFonts w:hint="eastAsia"/>
          <w:bCs/>
          <w:sz w:val="24"/>
        </w:rPr>
        <w:t>六、基金收益分配中发生的费用</w:t>
      </w:r>
    </w:p>
    <w:p>
      <w:pPr>
        <w:spacing w:line="360" w:lineRule="auto"/>
        <w:ind w:firstLine="540" w:firstLineChars="225"/>
        <w:rPr>
          <w:bCs/>
          <w:sz w:val="24"/>
        </w:rPr>
      </w:pPr>
      <w:r>
        <w:rPr>
          <w:rFonts w:hint="eastAsia"/>
          <w:bCs/>
          <w:sz w:val="24"/>
        </w:rPr>
        <w:t>基金收益分配时所发生的银行转账或其他手续费用由投资者自行承担。当投资者的现金红利小于一定金额，不足以支付银行转账或其他手续费用时，登记机构可将基金份额持有人的现金红利自动转为</w:t>
      </w:r>
      <w:r>
        <w:rPr>
          <w:rFonts w:hint="eastAsia" w:ascii="宋体" w:hAnsi="宋体"/>
          <w:sz w:val="24"/>
        </w:rPr>
        <w:t>相应类别的</w:t>
      </w:r>
      <w:r>
        <w:rPr>
          <w:rFonts w:hint="eastAsia"/>
          <w:bCs/>
          <w:sz w:val="24"/>
        </w:rPr>
        <w:t>基金份额。红利再投资的计算方法，依照《业务规则》执行。</w:t>
      </w:r>
    </w:p>
    <w:p>
      <w:pPr>
        <w:pStyle w:val="2"/>
        <w:spacing w:before="0" w:after="0"/>
        <w:jc w:val="center"/>
        <w:rPr>
          <w:rFonts w:ascii="Times New Roman"/>
          <w:color w:val="auto"/>
          <w:sz w:val="30"/>
        </w:rPr>
      </w:pPr>
      <w:r>
        <w:rPr>
          <w:rFonts w:ascii="Times New Roman"/>
          <w:b w:val="0"/>
          <w:bCs/>
          <w:color w:val="auto"/>
          <w:kern w:val="44"/>
          <w:sz w:val="21"/>
        </w:rPr>
        <w:br w:type="page"/>
      </w:r>
      <w:bookmarkStart w:id="326" w:name="_Toc442395208"/>
      <w:r>
        <w:rPr>
          <w:rFonts w:hint="eastAsia" w:ascii="Times New Roman"/>
          <w:color w:val="auto"/>
          <w:sz w:val="30"/>
        </w:rPr>
        <w:t>第十八部分</w:t>
      </w:r>
      <w:r>
        <w:rPr>
          <w:rFonts w:ascii="Times New Roman"/>
          <w:color w:val="auto"/>
          <w:sz w:val="30"/>
        </w:rPr>
        <w:t xml:space="preserve">  </w:t>
      </w:r>
      <w:r>
        <w:rPr>
          <w:rFonts w:hint="eastAsia" w:ascii="Times New Roman"/>
          <w:color w:val="auto"/>
          <w:sz w:val="30"/>
        </w:rPr>
        <w:t>基金的会计与审计</w:t>
      </w:r>
      <w:bookmarkEnd w:id="326"/>
    </w:p>
    <w:p>
      <w:pPr>
        <w:spacing w:line="360" w:lineRule="auto"/>
        <w:ind w:firstLine="482"/>
        <w:rPr>
          <w:bCs/>
          <w:sz w:val="24"/>
        </w:rPr>
      </w:pPr>
    </w:p>
    <w:p>
      <w:pPr>
        <w:spacing w:line="360" w:lineRule="auto"/>
        <w:ind w:firstLine="540" w:firstLineChars="225"/>
        <w:jc w:val="left"/>
        <w:rPr>
          <w:bCs/>
          <w:sz w:val="24"/>
        </w:rPr>
      </w:pPr>
      <w:r>
        <w:rPr>
          <w:bCs/>
          <w:sz w:val="24"/>
        </w:rPr>
        <w:t>一、基金会计政策</w:t>
      </w:r>
    </w:p>
    <w:p>
      <w:pPr>
        <w:spacing w:line="360" w:lineRule="auto"/>
        <w:ind w:firstLine="480" w:firstLineChars="200"/>
        <w:rPr>
          <w:bCs/>
          <w:sz w:val="24"/>
        </w:rPr>
      </w:pPr>
      <w:r>
        <w:rPr>
          <w:bCs/>
          <w:sz w:val="24"/>
        </w:rPr>
        <w:t>1、基金管理人为本基金的基金会计责任方；</w:t>
      </w:r>
    </w:p>
    <w:p>
      <w:pPr>
        <w:spacing w:line="360" w:lineRule="auto"/>
        <w:ind w:firstLine="480" w:firstLineChars="200"/>
        <w:rPr>
          <w:bCs/>
          <w:sz w:val="24"/>
        </w:rPr>
      </w:pPr>
      <w:r>
        <w:rPr>
          <w:bCs/>
          <w:sz w:val="24"/>
        </w:rPr>
        <w:t>2、基金的会计年度为公历年度的1月1日至12月31日；</w:t>
      </w:r>
    </w:p>
    <w:p>
      <w:pPr>
        <w:spacing w:line="360" w:lineRule="auto"/>
        <w:ind w:firstLine="480" w:firstLineChars="200"/>
        <w:rPr>
          <w:bCs/>
          <w:sz w:val="24"/>
        </w:rPr>
      </w:pPr>
      <w:r>
        <w:rPr>
          <w:bCs/>
          <w:sz w:val="24"/>
        </w:rPr>
        <w:t>3、基金核算以人民币为记账本位币，以人民币元为记账单位；</w:t>
      </w:r>
    </w:p>
    <w:p>
      <w:pPr>
        <w:spacing w:line="360" w:lineRule="auto"/>
        <w:ind w:firstLine="480" w:firstLineChars="200"/>
        <w:rPr>
          <w:bCs/>
          <w:sz w:val="24"/>
        </w:rPr>
      </w:pPr>
      <w:r>
        <w:rPr>
          <w:bCs/>
          <w:sz w:val="24"/>
        </w:rPr>
        <w:t>4、会计制度执行国家有关会计制度；</w:t>
      </w:r>
    </w:p>
    <w:p>
      <w:pPr>
        <w:spacing w:line="360" w:lineRule="auto"/>
        <w:ind w:firstLine="480" w:firstLineChars="200"/>
        <w:rPr>
          <w:bCs/>
          <w:sz w:val="24"/>
        </w:rPr>
      </w:pPr>
      <w:r>
        <w:rPr>
          <w:bCs/>
          <w:sz w:val="24"/>
        </w:rPr>
        <w:t>5、本基金独立建账、独立核算；</w:t>
      </w:r>
    </w:p>
    <w:p>
      <w:pPr>
        <w:spacing w:line="360" w:lineRule="auto"/>
        <w:ind w:firstLine="480" w:firstLineChars="200"/>
        <w:rPr>
          <w:bCs/>
          <w:sz w:val="24"/>
        </w:rPr>
      </w:pPr>
      <w:r>
        <w:rPr>
          <w:bCs/>
          <w:sz w:val="24"/>
        </w:rPr>
        <w:t>6、基金管理人及基金托管人各自保留完整的会计账目、凭证并进行日常的会计核算，按照有关规定编制基金会计报表；</w:t>
      </w:r>
    </w:p>
    <w:p>
      <w:pPr>
        <w:spacing w:line="360" w:lineRule="auto"/>
        <w:ind w:firstLine="480" w:firstLineChars="200"/>
        <w:rPr>
          <w:bCs/>
          <w:sz w:val="24"/>
        </w:rPr>
      </w:pPr>
      <w:r>
        <w:rPr>
          <w:bCs/>
          <w:sz w:val="24"/>
        </w:rPr>
        <w:t>7、基金托管人每月与基金管理人就基金的会计核算、报表编制等进行核对并以书面方式确认。</w:t>
      </w:r>
    </w:p>
    <w:p>
      <w:pPr>
        <w:spacing w:line="360" w:lineRule="auto"/>
        <w:ind w:firstLine="480" w:firstLineChars="200"/>
        <w:rPr>
          <w:bCs/>
          <w:sz w:val="24"/>
        </w:rPr>
      </w:pPr>
      <w:r>
        <w:rPr>
          <w:bCs/>
          <w:sz w:val="24"/>
        </w:rPr>
        <w:t>二、基金的年度审计</w:t>
      </w:r>
    </w:p>
    <w:p>
      <w:pPr>
        <w:spacing w:line="360" w:lineRule="auto"/>
        <w:ind w:firstLine="480" w:firstLineChars="200"/>
        <w:rPr>
          <w:bCs/>
          <w:sz w:val="24"/>
        </w:rPr>
      </w:pPr>
      <w:r>
        <w:rPr>
          <w:bCs/>
          <w:sz w:val="24"/>
        </w:rPr>
        <w:t>1、基金管理人聘请与基金管理人、基金托管人相互独立的具有证券</w:t>
      </w:r>
      <w:r>
        <w:rPr>
          <w:rFonts w:hint="eastAsia"/>
          <w:bCs/>
          <w:sz w:val="24"/>
        </w:rPr>
        <w:t>、</w:t>
      </w:r>
      <w:r>
        <w:rPr>
          <w:bCs/>
          <w:sz w:val="24"/>
        </w:rPr>
        <w:t>期货相关业</w:t>
      </w:r>
      <w:r>
        <w:rPr>
          <w:rFonts w:hint="eastAsia"/>
          <w:bCs/>
          <w:sz w:val="24"/>
        </w:rPr>
        <w:t>务</w:t>
      </w:r>
      <w:r>
        <w:rPr>
          <w:bCs/>
          <w:sz w:val="24"/>
        </w:rPr>
        <w:t>资格的会计师事务所及其注册会计师对本基金的年度财务报表进行审计。</w:t>
      </w:r>
    </w:p>
    <w:p>
      <w:pPr>
        <w:spacing w:line="360" w:lineRule="auto"/>
        <w:ind w:firstLine="480" w:firstLineChars="200"/>
        <w:rPr>
          <w:bCs/>
          <w:sz w:val="24"/>
        </w:rPr>
      </w:pPr>
      <w:r>
        <w:rPr>
          <w:bCs/>
          <w:sz w:val="24"/>
        </w:rPr>
        <w:t>2、会计师事务所更换经办注册会计师，应事先征得基金管理人同意。</w:t>
      </w:r>
    </w:p>
    <w:p>
      <w:pPr>
        <w:spacing w:line="360" w:lineRule="auto"/>
        <w:ind w:firstLine="480" w:firstLineChars="200"/>
        <w:rPr>
          <w:bCs/>
          <w:sz w:val="24"/>
        </w:rPr>
      </w:pPr>
      <w:bookmarkStart w:id="327" w:name="OLE_LINK76"/>
      <w:bookmarkStart w:id="328" w:name="OLE_LINK77"/>
      <w:r>
        <w:rPr>
          <w:bCs/>
          <w:sz w:val="24"/>
        </w:rPr>
        <w:t>3、</w:t>
      </w:r>
      <w:bookmarkStart w:id="329" w:name="_Hlt4221115"/>
      <w:bookmarkEnd w:id="329"/>
      <w:r>
        <w:rPr>
          <w:bCs/>
          <w:sz w:val="24"/>
        </w:rPr>
        <w:t>基金管理人认为有充足理由更换会计师事务所，须通报基金托管人。更换会计师事务所需</w:t>
      </w:r>
      <w:r>
        <w:rPr>
          <w:rFonts w:hint="eastAsia"/>
          <w:bCs/>
          <w:sz w:val="24"/>
        </w:rPr>
        <w:t>按照《信息</w:t>
      </w:r>
      <w:r>
        <w:rPr>
          <w:bCs/>
          <w:sz w:val="24"/>
        </w:rPr>
        <w:t>披露办法</w:t>
      </w:r>
      <w:r>
        <w:rPr>
          <w:rFonts w:hint="eastAsia"/>
          <w:bCs/>
          <w:sz w:val="24"/>
        </w:rPr>
        <w:t>》的</w:t>
      </w:r>
      <w:r>
        <w:rPr>
          <w:bCs/>
          <w:sz w:val="24"/>
        </w:rPr>
        <w:t>有关规定在</w:t>
      </w:r>
      <w:r>
        <w:rPr>
          <w:rFonts w:hint="eastAsia"/>
          <w:bCs/>
          <w:sz w:val="24"/>
        </w:rPr>
        <w:t>指定媒介</w:t>
      </w:r>
      <w:r>
        <w:rPr>
          <w:bCs/>
          <w:sz w:val="24"/>
        </w:rPr>
        <w:t>公告。</w:t>
      </w:r>
    </w:p>
    <w:bookmarkEnd w:id="327"/>
    <w:bookmarkEnd w:id="328"/>
    <w:p>
      <w:pPr>
        <w:pStyle w:val="2"/>
        <w:spacing w:before="0" w:after="0"/>
        <w:ind w:firstLine="420"/>
        <w:jc w:val="center"/>
        <w:rPr>
          <w:rFonts w:ascii="Times New Roman"/>
          <w:color w:val="auto"/>
          <w:sz w:val="30"/>
        </w:rPr>
      </w:pPr>
      <w:r>
        <w:rPr>
          <w:rFonts w:ascii="Times New Roman"/>
          <w:b w:val="0"/>
          <w:bCs/>
          <w:color w:val="auto"/>
        </w:rPr>
        <w:br w:type="page"/>
      </w:r>
      <w:bookmarkStart w:id="330" w:name="_Toc93226151"/>
      <w:bookmarkStart w:id="331" w:name="_Toc92662709"/>
      <w:bookmarkStart w:id="332" w:name="_Toc11802"/>
      <w:bookmarkStart w:id="333" w:name="_Toc128310501"/>
      <w:bookmarkStart w:id="334" w:name="_Toc8512"/>
      <w:bookmarkStart w:id="335" w:name="_Toc1173"/>
      <w:bookmarkStart w:id="336" w:name="_Toc442395209"/>
      <w:bookmarkStart w:id="337" w:name="_Toc29289"/>
      <w:bookmarkStart w:id="338" w:name="_Toc193"/>
      <w:bookmarkStart w:id="339" w:name="_Toc141703898"/>
      <w:bookmarkStart w:id="340" w:name="_Toc12028"/>
      <w:bookmarkStart w:id="341" w:name="_Toc1421"/>
      <w:bookmarkStart w:id="342" w:name="_Toc3056"/>
      <w:bookmarkStart w:id="343" w:name="_Toc11049"/>
      <w:bookmarkStart w:id="344" w:name="_Toc31866"/>
      <w:bookmarkStart w:id="345" w:name="_Toc139991748"/>
      <w:r>
        <w:rPr>
          <w:rFonts w:ascii="Times New Roman"/>
          <w:color w:val="auto"/>
          <w:sz w:val="30"/>
        </w:rPr>
        <w:t>第</w:t>
      </w:r>
      <w:r>
        <w:rPr>
          <w:rFonts w:hint="eastAsia" w:ascii="Times New Roman"/>
          <w:color w:val="auto"/>
          <w:sz w:val="30"/>
        </w:rPr>
        <w:t>十九</w:t>
      </w:r>
      <w:r>
        <w:rPr>
          <w:rFonts w:ascii="Times New Roman"/>
          <w:color w:val="auto"/>
          <w:sz w:val="30"/>
        </w:rPr>
        <w:t>部分  基金</w:t>
      </w:r>
      <w:bookmarkEnd w:id="330"/>
      <w:bookmarkEnd w:id="331"/>
      <w:r>
        <w:rPr>
          <w:rFonts w:ascii="Times New Roman"/>
          <w:color w:val="auto"/>
          <w:sz w:val="30"/>
        </w:rPr>
        <w:t>的信息披露</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pacing w:line="360" w:lineRule="auto"/>
        <w:ind w:firstLine="480" w:firstLineChars="200"/>
        <w:rPr>
          <w:bCs/>
          <w:sz w:val="24"/>
        </w:rPr>
      </w:pPr>
    </w:p>
    <w:p>
      <w:pPr>
        <w:spacing w:line="360" w:lineRule="auto"/>
        <w:ind w:firstLine="480" w:firstLineChars="200"/>
        <w:rPr>
          <w:bCs/>
          <w:sz w:val="24"/>
        </w:rPr>
      </w:pPr>
      <w:r>
        <w:rPr>
          <w:bCs/>
          <w:sz w:val="24"/>
        </w:rPr>
        <w:t>一、本基金的信息披露应符合《基金法》、《运作办法》、《信息披露办法》、</w:t>
      </w:r>
      <w:r>
        <w:rPr>
          <w:rFonts w:hint="eastAsia"/>
          <w:bCs/>
          <w:sz w:val="24"/>
        </w:rPr>
        <w:t>《流动性规定》、</w:t>
      </w:r>
      <w:r>
        <w:rPr>
          <w:bCs/>
          <w:sz w:val="24"/>
        </w:rPr>
        <w:t>《基金合同》及其他有关规定。</w:t>
      </w:r>
    </w:p>
    <w:p>
      <w:pPr>
        <w:spacing w:line="360" w:lineRule="auto"/>
        <w:ind w:firstLine="480" w:firstLineChars="200"/>
        <w:rPr>
          <w:bCs/>
          <w:sz w:val="24"/>
        </w:rPr>
      </w:pPr>
      <w:r>
        <w:rPr>
          <w:bCs/>
          <w:sz w:val="24"/>
        </w:rPr>
        <w:t>二、信息披露义务人</w:t>
      </w:r>
    </w:p>
    <w:p>
      <w:pPr>
        <w:spacing w:line="360" w:lineRule="auto"/>
        <w:ind w:firstLine="480" w:firstLineChars="20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pPr>
        <w:spacing w:line="360" w:lineRule="auto"/>
        <w:ind w:firstLine="480" w:firstLineChars="20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pPr>
        <w:spacing w:line="360" w:lineRule="auto"/>
        <w:ind w:firstLine="480" w:firstLineChars="200"/>
        <w:rPr>
          <w:bCs/>
          <w:sz w:val="24"/>
        </w:rPr>
      </w:pPr>
      <w:r>
        <w:rPr>
          <w:bCs/>
          <w:sz w:val="24"/>
        </w:rPr>
        <w:t>本基金信息披露义务人应当在中国证监会规定时间内，将应予披露的基金信息通过中国证监会指定</w:t>
      </w:r>
      <w:r>
        <w:rPr>
          <w:rFonts w:hint="eastAsia"/>
          <w:bCs/>
          <w:sz w:val="24"/>
        </w:rPr>
        <w:t>的全国性报刊（以下简称“指定报刊”）及指定互联网网站（以下简称“指定网站”）等</w:t>
      </w:r>
      <w:r>
        <w:rPr>
          <w:bCs/>
          <w:sz w:val="24"/>
        </w:rPr>
        <w:t>媒介披露，并保证基金投资者能够按照《基金合同》约定的时间和方式查阅或者复制公开披露的信息资料。</w:t>
      </w:r>
    </w:p>
    <w:p>
      <w:pPr>
        <w:spacing w:line="360" w:lineRule="auto"/>
        <w:ind w:firstLine="480" w:firstLineChars="200"/>
        <w:rPr>
          <w:bCs/>
          <w:sz w:val="24"/>
        </w:rPr>
      </w:pPr>
      <w:r>
        <w:rPr>
          <w:bCs/>
          <w:sz w:val="24"/>
        </w:rPr>
        <w:t>三、本基金信息披露义务人承诺公开披露的基金信息，不得有下列行为：</w:t>
      </w:r>
    </w:p>
    <w:p>
      <w:pPr>
        <w:spacing w:line="360" w:lineRule="auto"/>
        <w:ind w:firstLine="480" w:firstLineChars="200"/>
        <w:rPr>
          <w:bCs/>
          <w:sz w:val="24"/>
        </w:rPr>
      </w:pPr>
      <w:r>
        <w:rPr>
          <w:bCs/>
          <w:sz w:val="24"/>
        </w:rPr>
        <w:t>1、虚假记载、误导性陈述或者重大遗漏；</w:t>
      </w:r>
    </w:p>
    <w:p>
      <w:pPr>
        <w:spacing w:line="360" w:lineRule="auto"/>
        <w:ind w:firstLine="480" w:firstLineChars="200"/>
        <w:rPr>
          <w:bCs/>
          <w:sz w:val="24"/>
        </w:rPr>
      </w:pPr>
      <w:r>
        <w:rPr>
          <w:bCs/>
          <w:sz w:val="24"/>
        </w:rPr>
        <w:t>2、对证券投资业绩进行预测；</w:t>
      </w:r>
    </w:p>
    <w:p>
      <w:pPr>
        <w:spacing w:line="360" w:lineRule="auto"/>
        <w:ind w:firstLine="480" w:firstLineChars="200"/>
        <w:rPr>
          <w:bCs/>
          <w:sz w:val="24"/>
        </w:rPr>
      </w:pPr>
      <w:r>
        <w:rPr>
          <w:bCs/>
          <w:sz w:val="24"/>
        </w:rPr>
        <w:t>3、违规承诺收益或者承担损失；</w:t>
      </w:r>
    </w:p>
    <w:p>
      <w:pPr>
        <w:spacing w:line="360" w:lineRule="auto"/>
        <w:ind w:firstLine="480" w:firstLineChars="200"/>
        <w:rPr>
          <w:bCs/>
          <w:sz w:val="24"/>
        </w:rPr>
      </w:pPr>
      <w:r>
        <w:rPr>
          <w:bCs/>
          <w:sz w:val="24"/>
        </w:rPr>
        <w:t>4、诋毁其他基金管理人、基金托管人或者基金销售机构；</w:t>
      </w:r>
    </w:p>
    <w:p>
      <w:pPr>
        <w:spacing w:line="360" w:lineRule="auto"/>
        <w:ind w:firstLine="480" w:firstLineChars="200"/>
        <w:rPr>
          <w:bCs/>
          <w:sz w:val="24"/>
        </w:rPr>
      </w:pPr>
      <w:r>
        <w:rPr>
          <w:bCs/>
          <w:sz w:val="24"/>
        </w:rPr>
        <w:t>5、登载任何自然人、法人</w:t>
      </w:r>
      <w:r>
        <w:rPr>
          <w:rFonts w:hint="eastAsia"/>
          <w:bCs/>
          <w:sz w:val="24"/>
        </w:rPr>
        <w:t>和</w:t>
      </w:r>
      <w:r>
        <w:rPr>
          <w:bCs/>
          <w:sz w:val="24"/>
        </w:rPr>
        <w:t>非法人组织的祝贺性、恭维性或推荐性的文字；</w:t>
      </w:r>
    </w:p>
    <w:p>
      <w:pPr>
        <w:spacing w:line="360" w:lineRule="auto"/>
        <w:ind w:firstLine="480" w:firstLineChars="200"/>
        <w:rPr>
          <w:bCs/>
          <w:sz w:val="24"/>
        </w:rPr>
      </w:pPr>
      <w:r>
        <w:rPr>
          <w:bCs/>
          <w:sz w:val="24"/>
        </w:rPr>
        <w:t>6、中国证监会禁止的其他行为。</w:t>
      </w:r>
    </w:p>
    <w:p>
      <w:pPr>
        <w:spacing w:line="360" w:lineRule="auto"/>
        <w:ind w:firstLine="480" w:firstLineChars="20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pPr>
        <w:spacing w:line="360" w:lineRule="auto"/>
        <w:ind w:firstLine="480" w:firstLineChars="200"/>
        <w:rPr>
          <w:bCs/>
          <w:sz w:val="24"/>
        </w:rPr>
      </w:pPr>
      <w:r>
        <w:rPr>
          <w:bCs/>
          <w:sz w:val="24"/>
        </w:rPr>
        <w:t>本基金公开披露的信息采用阿拉伯数字；除特别说明外，货币单位为人民币元。</w:t>
      </w:r>
    </w:p>
    <w:p>
      <w:pPr>
        <w:spacing w:line="360" w:lineRule="auto"/>
        <w:ind w:firstLine="480" w:firstLineChars="200"/>
        <w:rPr>
          <w:bCs/>
          <w:sz w:val="24"/>
        </w:rPr>
      </w:pPr>
      <w:r>
        <w:rPr>
          <w:bCs/>
          <w:sz w:val="24"/>
        </w:rPr>
        <w:t>五、公开披露的基金信息</w:t>
      </w:r>
    </w:p>
    <w:p>
      <w:pPr>
        <w:spacing w:line="360" w:lineRule="auto"/>
        <w:ind w:firstLine="480" w:firstLineChars="200"/>
        <w:rPr>
          <w:bCs/>
          <w:sz w:val="24"/>
        </w:rPr>
      </w:pPr>
      <w:r>
        <w:rPr>
          <w:bCs/>
          <w:sz w:val="24"/>
        </w:rPr>
        <w:t>公开披露的基金信息包括：</w:t>
      </w:r>
    </w:p>
    <w:p>
      <w:pPr>
        <w:spacing w:line="360" w:lineRule="auto"/>
        <w:ind w:firstLine="480" w:firstLineChars="200"/>
        <w:rPr>
          <w:bCs/>
          <w:sz w:val="24"/>
        </w:rPr>
      </w:pPr>
      <w:r>
        <w:rPr>
          <w:bCs/>
          <w:sz w:val="24"/>
        </w:rPr>
        <w:t>（一）基金招募说明书、《基金合同》、基金托管协议</w:t>
      </w:r>
      <w:r>
        <w:rPr>
          <w:rFonts w:hint="eastAsia"/>
          <w:bCs/>
          <w:sz w:val="24"/>
        </w:rPr>
        <w:t>、</w:t>
      </w:r>
      <w:r>
        <w:rPr>
          <w:bCs/>
          <w:sz w:val="24"/>
        </w:rPr>
        <w:t>基金产品资料概要</w:t>
      </w:r>
    </w:p>
    <w:p>
      <w:pPr>
        <w:spacing w:line="360" w:lineRule="auto"/>
        <w:ind w:firstLine="480" w:firstLineChars="200"/>
        <w:rPr>
          <w:bCs/>
          <w:sz w:val="24"/>
        </w:rPr>
      </w:pPr>
      <w:r>
        <w:rPr>
          <w:bCs/>
          <w:sz w:val="24"/>
        </w:rPr>
        <w:t>1、《基金合同》是界定《基金合同》当事人的各项权利、义务关系，明确基金份额持有人大会召开的规则及具体程序，说明基金产品的特性等涉及基金投资者重大利益的事项的法律文件。</w:t>
      </w:r>
    </w:p>
    <w:p>
      <w:pPr>
        <w:spacing w:line="360" w:lineRule="auto"/>
        <w:ind w:firstLine="480" w:firstLineChars="200"/>
        <w:rPr>
          <w:bCs/>
          <w:sz w:val="24"/>
        </w:rPr>
      </w:pPr>
      <w:r>
        <w:rPr>
          <w:bCs/>
          <w:sz w:val="24"/>
        </w:rPr>
        <w:t>2、基金招募说明书应当最大限度地披露影响基金投资者决策的全部事项，说明基金认购、申购和赎回安排、基金投资、基金产品特性、风险揭示、信息披露及基金份额持有人服务等内容。</w:t>
      </w:r>
      <w:r>
        <w:rPr>
          <w:rFonts w:hint="eastAsia"/>
          <w:bCs/>
          <w:sz w:val="24"/>
        </w:rPr>
        <w:t>自基金</w:t>
      </w:r>
      <w:r>
        <w:rPr>
          <w:bCs/>
          <w:sz w:val="24"/>
        </w:rPr>
        <w:t>合同生效日起，</w:t>
      </w:r>
      <w:r>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spacing w:line="360" w:lineRule="auto"/>
        <w:ind w:firstLine="480" w:firstLineChars="200"/>
        <w:rPr>
          <w:bCs/>
          <w:sz w:val="24"/>
        </w:rPr>
      </w:pPr>
      <w:r>
        <w:rPr>
          <w:rFonts w:hint="eastAsia"/>
          <w:bCs/>
          <w:sz w:val="24"/>
        </w:rPr>
        <w:t>本基金由交银施罗德中证环境治理指数分级证券投资基金转型而来，</w:t>
      </w:r>
      <w:r>
        <w:rPr>
          <w:bCs/>
          <w:sz w:val="24"/>
        </w:rPr>
        <w:t>经中国证监会</w:t>
      </w:r>
      <w:r>
        <w:rPr>
          <w:rFonts w:hint="eastAsia"/>
          <w:bCs/>
          <w:sz w:val="24"/>
        </w:rPr>
        <w:t>注册</w:t>
      </w:r>
      <w:r>
        <w:rPr>
          <w:bCs/>
          <w:sz w:val="24"/>
        </w:rPr>
        <w:t>后，基金管理人</w:t>
      </w:r>
      <w:r>
        <w:rPr>
          <w:rFonts w:hint="eastAsia"/>
          <w:bCs/>
          <w:sz w:val="24"/>
        </w:rPr>
        <w:t>按照《基金法》、《信息披露办法》、基金合同编制并在本基金正式实施转型</w:t>
      </w:r>
      <w:r>
        <w:rPr>
          <w:bCs/>
          <w:sz w:val="24"/>
        </w:rPr>
        <w:t>前，将基金招募说明书、《基金合同》摘要登载在指定</w:t>
      </w:r>
      <w:r>
        <w:rPr>
          <w:rFonts w:hint="eastAsia"/>
          <w:bCs/>
          <w:sz w:val="24"/>
        </w:rPr>
        <w:t>媒介</w:t>
      </w:r>
      <w:r>
        <w:rPr>
          <w:bCs/>
          <w:sz w:val="24"/>
        </w:rPr>
        <w:t>上；基金管理人、基金托管人应当将《基金合同》、基金托管协议登载在网站上。</w:t>
      </w:r>
    </w:p>
    <w:p>
      <w:pPr>
        <w:spacing w:line="360" w:lineRule="auto"/>
        <w:ind w:firstLine="480" w:firstLineChars="200"/>
        <w:rPr>
          <w:bCs/>
          <w:sz w:val="24"/>
        </w:rPr>
      </w:pPr>
      <w:r>
        <w:rPr>
          <w:rFonts w:hint="eastAsia"/>
          <w:bCs/>
          <w:sz w:val="24"/>
        </w:rPr>
        <w:t>（二）上市交易公告书</w:t>
      </w:r>
    </w:p>
    <w:p>
      <w:pPr>
        <w:spacing w:line="360" w:lineRule="auto"/>
        <w:ind w:firstLine="480" w:firstLineChars="200"/>
        <w:rPr>
          <w:bCs/>
          <w:sz w:val="24"/>
        </w:rPr>
      </w:pPr>
      <w:r>
        <w:rPr>
          <w:rFonts w:hint="eastAsia"/>
          <w:bCs/>
          <w:sz w:val="24"/>
        </w:rPr>
        <w:t>本基金获准在深圳证券交易所上市交易的，基金管理人应当在基金份额上市交易</w:t>
      </w:r>
      <w:r>
        <w:rPr>
          <w:bCs/>
          <w:sz w:val="24"/>
        </w:rPr>
        <w:t>3</w:t>
      </w:r>
      <w:r>
        <w:rPr>
          <w:rFonts w:hint="eastAsia"/>
          <w:bCs/>
          <w:sz w:val="24"/>
        </w:rPr>
        <w:t>个工作日前，将上市交易公告书登载在指定网站上，并将上市公告交易书提示性公告登载在指定报刊上。</w:t>
      </w:r>
    </w:p>
    <w:p>
      <w:pPr>
        <w:spacing w:line="360" w:lineRule="auto"/>
        <w:ind w:firstLine="480" w:firstLineChars="200"/>
        <w:rPr>
          <w:bCs/>
          <w:sz w:val="24"/>
        </w:rPr>
      </w:pPr>
      <w:r>
        <w:rPr>
          <w:bCs/>
          <w:sz w:val="24"/>
        </w:rPr>
        <w:t>（</w:t>
      </w:r>
      <w:r>
        <w:rPr>
          <w:rFonts w:hint="eastAsia"/>
          <w:bCs/>
          <w:sz w:val="24"/>
        </w:rPr>
        <w:t>三</w:t>
      </w:r>
      <w:r>
        <w:rPr>
          <w:bCs/>
          <w:sz w:val="24"/>
        </w:rPr>
        <w:t>）基金净值信息</w:t>
      </w:r>
    </w:p>
    <w:p>
      <w:pPr>
        <w:spacing w:line="360" w:lineRule="auto"/>
        <w:ind w:firstLine="480" w:firstLineChars="200"/>
        <w:rPr>
          <w:bCs/>
          <w:sz w:val="24"/>
        </w:rPr>
      </w:pPr>
      <w:r>
        <w:rPr>
          <w:bCs/>
          <w:sz w:val="24"/>
        </w:rPr>
        <w:t>《基金合同》生效后，在开始办理</w:t>
      </w:r>
      <w:r>
        <w:rPr>
          <w:rFonts w:hint="eastAsia"/>
          <w:bCs/>
          <w:sz w:val="24"/>
        </w:rPr>
        <w:t>基金份额</w:t>
      </w:r>
      <w:r>
        <w:rPr>
          <w:bCs/>
          <w:sz w:val="24"/>
        </w:rPr>
        <w:t>申购或者赎回前，基金管理人应当至少每周</w:t>
      </w:r>
      <w:r>
        <w:rPr>
          <w:rFonts w:hint="eastAsia"/>
          <w:bCs/>
          <w:sz w:val="24"/>
        </w:rPr>
        <w:t>在指定网站</w:t>
      </w:r>
      <w:r>
        <w:rPr>
          <w:rFonts w:hint="eastAsia" w:ascii="宋体" w:hAnsi="宋体"/>
          <w:bCs/>
          <w:sz w:val="24"/>
        </w:rPr>
        <w:t>分别</w:t>
      </w:r>
      <w:r>
        <w:rPr>
          <w:rFonts w:hint="eastAsia"/>
          <w:bCs/>
          <w:sz w:val="24"/>
        </w:rPr>
        <w:t>披露</w:t>
      </w:r>
      <w:r>
        <w:rPr>
          <w:bCs/>
          <w:sz w:val="24"/>
        </w:rPr>
        <w:t>一次</w:t>
      </w:r>
      <w:r>
        <w:rPr>
          <w:rFonts w:hint="eastAsia"/>
          <w:bCs/>
          <w:sz w:val="24"/>
        </w:rPr>
        <w:t>A类基金份额和C类基金份额所对应的</w:t>
      </w:r>
      <w:r>
        <w:rPr>
          <w:bCs/>
          <w:sz w:val="24"/>
        </w:rPr>
        <w:t>基金份额净值和基金份额</w:t>
      </w:r>
      <w:r>
        <w:rPr>
          <w:rFonts w:hint="eastAsia"/>
          <w:bCs/>
          <w:sz w:val="24"/>
        </w:rPr>
        <w:t>累计</w:t>
      </w:r>
      <w:r>
        <w:rPr>
          <w:bCs/>
          <w:sz w:val="24"/>
        </w:rPr>
        <w:t>净值。</w:t>
      </w:r>
    </w:p>
    <w:p>
      <w:pPr>
        <w:spacing w:line="360" w:lineRule="auto"/>
        <w:ind w:firstLine="480" w:firstLineChars="200"/>
        <w:rPr>
          <w:bCs/>
          <w:sz w:val="24"/>
        </w:rPr>
      </w:pPr>
      <w:r>
        <w:rPr>
          <w:bCs/>
          <w:sz w:val="24"/>
        </w:rPr>
        <w:t>在开始办理</w:t>
      </w:r>
      <w:r>
        <w:rPr>
          <w:rFonts w:hint="eastAsia"/>
          <w:bCs/>
          <w:sz w:val="24"/>
        </w:rPr>
        <w:t>基金份额</w:t>
      </w:r>
      <w:r>
        <w:rPr>
          <w:bCs/>
          <w:sz w:val="24"/>
        </w:rPr>
        <w:t>申购或者赎回后，基金管理人应当在不晚于每个开放日的次日，通过指定网站、基金</w:t>
      </w:r>
      <w:r>
        <w:rPr>
          <w:rFonts w:hint="eastAsia"/>
          <w:bCs/>
          <w:sz w:val="24"/>
        </w:rPr>
        <w:t>销售机构网站或者营业</w:t>
      </w:r>
      <w:r>
        <w:rPr>
          <w:bCs/>
          <w:sz w:val="24"/>
        </w:rPr>
        <w:t>网点</w:t>
      </w:r>
      <w:r>
        <w:rPr>
          <w:rFonts w:hint="eastAsia" w:ascii="宋体" w:hAnsi="宋体"/>
          <w:sz w:val="24"/>
        </w:rPr>
        <w:t>分别</w:t>
      </w:r>
      <w:r>
        <w:rPr>
          <w:bCs/>
          <w:sz w:val="24"/>
        </w:rPr>
        <w:t>披露开放日的A</w:t>
      </w:r>
      <w:r>
        <w:rPr>
          <w:rFonts w:hint="eastAsia"/>
          <w:bCs/>
          <w:sz w:val="24"/>
        </w:rPr>
        <w:t>类基金份额和</w:t>
      </w:r>
      <w:r>
        <w:rPr>
          <w:bCs/>
          <w:sz w:val="24"/>
        </w:rPr>
        <w:t>C</w:t>
      </w:r>
      <w:r>
        <w:rPr>
          <w:rFonts w:hint="eastAsia"/>
          <w:bCs/>
          <w:sz w:val="24"/>
        </w:rPr>
        <w:t>类基金份额所对应的</w:t>
      </w:r>
      <w:r>
        <w:rPr>
          <w:bCs/>
          <w:sz w:val="24"/>
        </w:rPr>
        <w:t>基金份额净值和基金份额累计净值。</w:t>
      </w:r>
    </w:p>
    <w:p>
      <w:pPr>
        <w:spacing w:line="360" w:lineRule="auto"/>
        <w:ind w:firstLine="480" w:firstLineChars="200"/>
        <w:rPr>
          <w:bCs/>
          <w:sz w:val="24"/>
        </w:rPr>
      </w:pPr>
      <w:r>
        <w:rPr>
          <w:bCs/>
          <w:sz w:val="24"/>
        </w:rPr>
        <w:t>基金管理人应当</w:t>
      </w:r>
      <w:r>
        <w:rPr>
          <w:rFonts w:hint="eastAsia"/>
          <w:bCs/>
          <w:sz w:val="24"/>
        </w:rPr>
        <w:t>在不晚于半年度和年度最后一日的次日，在指定网站披露半年度和年度最后一日</w:t>
      </w:r>
      <w:r>
        <w:rPr>
          <w:bCs/>
          <w:sz w:val="24"/>
        </w:rPr>
        <w:t>A</w:t>
      </w:r>
      <w:r>
        <w:rPr>
          <w:rFonts w:hint="eastAsia"/>
          <w:bCs/>
          <w:sz w:val="24"/>
        </w:rPr>
        <w:t>类基金份额和</w:t>
      </w:r>
      <w:r>
        <w:rPr>
          <w:bCs/>
          <w:sz w:val="24"/>
        </w:rPr>
        <w:t>C</w:t>
      </w:r>
      <w:r>
        <w:rPr>
          <w:rFonts w:hint="eastAsia"/>
          <w:bCs/>
          <w:sz w:val="24"/>
        </w:rPr>
        <w:t>类基金份额所对应的基金份额净值和基金份额累计净值</w:t>
      </w:r>
      <w:r>
        <w:rPr>
          <w:bCs/>
          <w:sz w:val="24"/>
        </w:rPr>
        <w:t>。</w:t>
      </w:r>
    </w:p>
    <w:p>
      <w:pPr>
        <w:spacing w:line="360" w:lineRule="auto"/>
        <w:ind w:firstLine="480" w:firstLineChars="200"/>
        <w:rPr>
          <w:bCs/>
          <w:sz w:val="24"/>
        </w:rPr>
      </w:pPr>
      <w:r>
        <w:rPr>
          <w:bCs/>
          <w:sz w:val="24"/>
        </w:rPr>
        <w:t>（</w:t>
      </w:r>
      <w:r>
        <w:rPr>
          <w:rFonts w:hint="eastAsia"/>
          <w:bCs/>
          <w:sz w:val="24"/>
        </w:rPr>
        <w:t>四</w:t>
      </w:r>
      <w:r>
        <w:rPr>
          <w:bCs/>
          <w:sz w:val="24"/>
        </w:rPr>
        <w:t>）</w:t>
      </w:r>
      <w:r>
        <w:rPr>
          <w:rFonts w:hint="eastAsia"/>
          <w:bCs/>
          <w:sz w:val="24"/>
        </w:rPr>
        <w:t>基金份额</w:t>
      </w:r>
      <w:r>
        <w:rPr>
          <w:bCs/>
          <w:sz w:val="24"/>
        </w:rPr>
        <w:t>申购、赎回价格</w:t>
      </w:r>
    </w:p>
    <w:p>
      <w:pPr>
        <w:spacing w:line="360" w:lineRule="auto"/>
        <w:ind w:firstLine="480" w:firstLineChars="200"/>
        <w:rPr>
          <w:bCs/>
          <w:sz w:val="24"/>
        </w:rPr>
      </w:pPr>
      <w:r>
        <w:rPr>
          <w:bCs/>
          <w:sz w:val="24"/>
        </w:rPr>
        <w:t>基金管理人应当在《基金合同》、招募说明书等信息披露文件上载明</w:t>
      </w:r>
      <w:r>
        <w:rPr>
          <w:rFonts w:hint="eastAsia"/>
          <w:bCs/>
          <w:sz w:val="24"/>
        </w:rPr>
        <w:t>基金份额</w:t>
      </w:r>
      <w:r>
        <w:rPr>
          <w:bCs/>
          <w:sz w:val="24"/>
        </w:rPr>
        <w:t>申购、赎回价格的计算方式及有关申购、赎回费率，并保证投资者能够在基金</w:t>
      </w:r>
      <w:r>
        <w:rPr>
          <w:rFonts w:hint="eastAsia"/>
          <w:bCs/>
          <w:sz w:val="24"/>
        </w:rPr>
        <w:t>销售机构网站或者营业</w:t>
      </w:r>
      <w:r>
        <w:rPr>
          <w:bCs/>
          <w:sz w:val="24"/>
        </w:rPr>
        <w:t>网点查阅或者复制前述信息资料。</w:t>
      </w:r>
    </w:p>
    <w:p>
      <w:pPr>
        <w:spacing w:line="360" w:lineRule="auto"/>
        <w:ind w:firstLine="480" w:firstLineChars="200"/>
        <w:rPr>
          <w:bCs/>
          <w:sz w:val="24"/>
        </w:rPr>
      </w:pPr>
      <w:r>
        <w:rPr>
          <w:bCs/>
          <w:sz w:val="24"/>
        </w:rPr>
        <w:t>（</w:t>
      </w:r>
      <w:r>
        <w:rPr>
          <w:rFonts w:hint="eastAsia"/>
          <w:bCs/>
          <w:sz w:val="24"/>
        </w:rPr>
        <w:t>五</w:t>
      </w:r>
      <w:r>
        <w:rPr>
          <w:bCs/>
          <w:sz w:val="24"/>
        </w:rPr>
        <w:t>）基金定期报告，包括基金年度报告、基金</w:t>
      </w:r>
      <w:r>
        <w:rPr>
          <w:rFonts w:hint="eastAsia"/>
          <w:bCs/>
          <w:sz w:val="24"/>
        </w:rPr>
        <w:t>中期</w:t>
      </w:r>
      <w:r>
        <w:rPr>
          <w:bCs/>
          <w:sz w:val="24"/>
        </w:rPr>
        <w:t>报告和基金季度报告</w:t>
      </w:r>
    </w:p>
    <w:p>
      <w:pPr>
        <w:spacing w:line="360" w:lineRule="auto"/>
        <w:ind w:firstLine="480" w:firstLineChars="20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将年度报告登载在指定网站上，并将年度报告提示性公告登载在指定报刊上</w:t>
      </w:r>
      <w:r>
        <w:rPr>
          <w:bCs/>
          <w:sz w:val="24"/>
        </w:rPr>
        <w:t>。基金年度报告中的财务会计报告应当经过</w:t>
      </w:r>
      <w:r>
        <w:rPr>
          <w:rFonts w:hint="eastAsia"/>
          <w:bCs/>
          <w:sz w:val="24"/>
        </w:rPr>
        <w:t>具有证券、期货相关业务资格的会计师事务所</w:t>
      </w:r>
      <w:r>
        <w:rPr>
          <w:bCs/>
          <w:sz w:val="24"/>
        </w:rPr>
        <w:t>审计。</w:t>
      </w:r>
    </w:p>
    <w:p>
      <w:pPr>
        <w:spacing w:line="360" w:lineRule="auto"/>
        <w:ind w:firstLine="480" w:firstLineChars="20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将中期报告登载在指定网站上，并将中期报告提示性公告登载在指定报刊上</w:t>
      </w:r>
      <w:r>
        <w:rPr>
          <w:bCs/>
          <w:sz w:val="24"/>
        </w:rPr>
        <w:t>。</w:t>
      </w:r>
    </w:p>
    <w:p>
      <w:pPr>
        <w:spacing w:line="360" w:lineRule="auto"/>
        <w:ind w:firstLine="480" w:firstLineChars="200"/>
        <w:rPr>
          <w:bCs/>
          <w:sz w:val="24"/>
        </w:rPr>
      </w:pPr>
      <w:r>
        <w:rPr>
          <w:bCs/>
          <w:sz w:val="24"/>
        </w:rPr>
        <w:t>基金管理人应当在季度结束之日起15个工作日内，编制完成基金季度报告，</w:t>
      </w:r>
      <w:r>
        <w:rPr>
          <w:rFonts w:hint="eastAsia"/>
          <w:bCs/>
          <w:sz w:val="24"/>
        </w:rPr>
        <w:t>将季度报告登载在指定网站上，</w:t>
      </w:r>
      <w:r>
        <w:rPr>
          <w:bCs/>
          <w:sz w:val="24"/>
        </w:rPr>
        <w:t>并将季度报告提示性公</w:t>
      </w:r>
      <w:r>
        <w:rPr>
          <w:rFonts w:hint="eastAsia"/>
          <w:bCs/>
          <w:sz w:val="24"/>
        </w:rPr>
        <w:t>告</w:t>
      </w:r>
      <w:r>
        <w:rPr>
          <w:bCs/>
          <w:sz w:val="24"/>
        </w:rPr>
        <w:t>登载在指定</w:t>
      </w:r>
      <w:r>
        <w:rPr>
          <w:rFonts w:hint="eastAsia"/>
          <w:bCs/>
          <w:sz w:val="24"/>
        </w:rPr>
        <w:t>报刊</w:t>
      </w:r>
      <w:r>
        <w:rPr>
          <w:bCs/>
          <w:sz w:val="24"/>
        </w:rPr>
        <w:t>上。</w:t>
      </w:r>
    </w:p>
    <w:p>
      <w:pPr>
        <w:spacing w:line="360" w:lineRule="auto"/>
        <w:ind w:firstLine="480" w:firstLineChars="200"/>
        <w:rPr>
          <w:bCs/>
          <w:sz w:val="24"/>
        </w:rPr>
      </w:pPr>
      <w:r>
        <w:rPr>
          <w:rFonts w:hint="eastAsia"/>
          <w:bCs/>
          <w:sz w:val="24"/>
        </w:rPr>
        <w:t>自基金</w:t>
      </w:r>
      <w:r>
        <w:rPr>
          <w:bCs/>
          <w:sz w:val="24"/>
        </w:rPr>
        <w:t>合同生效日起不足2个月的，基金管理人可以不编制当期季度报告、</w:t>
      </w:r>
      <w:r>
        <w:rPr>
          <w:rFonts w:hint="eastAsia"/>
          <w:bCs/>
          <w:sz w:val="24"/>
        </w:rPr>
        <w:t>中期</w:t>
      </w:r>
      <w:r>
        <w:rPr>
          <w:bCs/>
          <w:sz w:val="24"/>
        </w:rPr>
        <w:t>报告或者年度报告。</w:t>
      </w:r>
    </w:p>
    <w:p>
      <w:pPr>
        <w:spacing w:line="360" w:lineRule="auto"/>
        <w:ind w:firstLine="480" w:firstLineChars="200"/>
        <w:rPr>
          <w:bCs/>
          <w:sz w:val="24"/>
        </w:rPr>
      </w:pPr>
      <w:r>
        <w:rPr>
          <w:rFonts w:hint="eastAsia"/>
          <w:bCs/>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spacing w:line="360" w:lineRule="auto"/>
        <w:ind w:firstLine="480" w:firstLineChars="200"/>
        <w:rPr>
          <w:bCs/>
          <w:sz w:val="24"/>
        </w:rPr>
      </w:pPr>
      <w:r>
        <w:rPr>
          <w:rFonts w:hint="eastAsia"/>
          <w:bCs/>
          <w:sz w:val="24"/>
        </w:rPr>
        <w:t>基金管理人应当在基金年度报告和中期报告中披露基金组合资产情况及其流动性风险分析等。</w:t>
      </w:r>
    </w:p>
    <w:p>
      <w:pPr>
        <w:spacing w:line="360" w:lineRule="auto"/>
        <w:ind w:firstLine="480" w:firstLineChars="200"/>
        <w:rPr>
          <w:bCs/>
          <w:sz w:val="24"/>
        </w:rPr>
      </w:pPr>
      <w:r>
        <w:rPr>
          <w:bCs/>
          <w:sz w:val="24"/>
        </w:rPr>
        <w:t>（</w:t>
      </w:r>
      <w:r>
        <w:rPr>
          <w:rFonts w:hint="eastAsia"/>
          <w:bCs/>
          <w:sz w:val="24"/>
        </w:rPr>
        <w:t>六</w:t>
      </w:r>
      <w:r>
        <w:rPr>
          <w:bCs/>
          <w:sz w:val="24"/>
        </w:rPr>
        <w:t>）临时报告</w:t>
      </w:r>
    </w:p>
    <w:p>
      <w:pPr>
        <w:spacing w:line="360" w:lineRule="auto"/>
        <w:ind w:firstLine="480" w:firstLineChars="200"/>
        <w:rPr>
          <w:bCs/>
          <w:sz w:val="24"/>
        </w:rPr>
      </w:pPr>
      <w:bookmarkStart w:id="346" w:name="OLE_LINK78"/>
      <w:bookmarkStart w:id="347" w:name="OLE_LINK79"/>
      <w:r>
        <w:rPr>
          <w:bCs/>
          <w:sz w:val="24"/>
        </w:rPr>
        <w:t>本基金发生重大事件，有关信息披露义务人应当在2日内编制临时报告书，</w:t>
      </w:r>
      <w:r>
        <w:rPr>
          <w:rFonts w:hint="eastAsia"/>
          <w:bCs/>
          <w:sz w:val="24"/>
        </w:rPr>
        <w:t>并登载在指定报刊和指定网站上</w:t>
      </w:r>
      <w:r>
        <w:rPr>
          <w:bCs/>
          <w:sz w:val="24"/>
        </w:rPr>
        <w:t>。</w:t>
      </w:r>
    </w:p>
    <w:bookmarkEnd w:id="346"/>
    <w:bookmarkEnd w:id="347"/>
    <w:p>
      <w:pPr>
        <w:spacing w:line="360" w:lineRule="auto"/>
        <w:ind w:firstLine="480" w:firstLineChars="200"/>
        <w:rPr>
          <w:bCs/>
          <w:sz w:val="24"/>
        </w:rPr>
      </w:pPr>
      <w:r>
        <w:rPr>
          <w:bCs/>
          <w:sz w:val="24"/>
        </w:rPr>
        <w:t>前款所称重大事件，是指可能对基金份额持有人权益或者基金份额的价格产生重大影响的下列事件：</w:t>
      </w:r>
    </w:p>
    <w:p>
      <w:pPr>
        <w:spacing w:line="360" w:lineRule="auto"/>
        <w:ind w:firstLine="480" w:firstLineChars="200"/>
        <w:rPr>
          <w:bCs/>
          <w:sz w:val="24"/>
        </w:rPr>
      </w:pPr>
      <w:r>
        <w:rPr>
          <w:bCs/>
          <w:sz w:val="24"/>
        </w:rPr>
        <w:t>1、基金份额持有人大会的召开</w:t>
      </w:r>
      <w:r>
        <w:rPr>
          <w:rFonts w:hint="eastAsia"/>
          <w:bCs/>
          <w:sz w:val="24"/>
        </w:rPr>
        <w:t>及决定的事项</w:t>
      </w:r>
      <w:r>
        <w:rPr>
          <w:bCs/>
          <w:sz w:val="24"/>
        </w:rPr>
        <w:t>；</w:t>
      </w:r>
    </w:p>
    <w:p>
      <w:pPr>
        <w:spacing w:line="360" w:lineRule="auto"/>
        <w:ind w:firstLine="480" w:firstLineChars="200"/>
        <w:rPr>
          <w:bCs/>
          <w:sz w:val="24"/>
        </w:rPr>
      </w:pPr>
      <w:r>
        <w:rPr>
          <w:bCs/>
          <w:sz w:val="24"/>
        </w:rPr>
        <w:t>2、《基金合同》</w:t>
      </w:r>
      <w:r>
        <w:rPr>
          <w:rFonts w:hint="eastAsia"/>
          <w:bCs/>
          <w:sz w:val="24"/>
        </w:rPr>
        <w:t>终止、基金清算</w:t>
      </w:r>
      <w:r>
        <w:rPr>
          <w:bCs/>
          <w:sz w:val="24"/>
        </w:rPr>
        <w:t>；</w:t>
      </w:r>
    </w:p>
    <w:p>
      <w:pPr>
        <w:spacing w:line="360" w:lineRule="auto"/>
        <w:ind w:firstLine="480" w:firstLineChars="200"/>
        <w:rPr>
          <w:bCs/>
          <w:sz w:val="24"/>
        </w:rPr>
      </w:pPr>
      <w:r>
        <w:rPr>
          <w:bCs/>
          <w:sz w:val="24"/>
        </w:rPr>
        <w:t>3、转换基金运作方式</w:t>
      </w:r>
      <w:r>
        <w:rPr>
          <w:rFonts w:hint="eastAsia"/>
          <w:bCs/>
          <w:sz w:val="24"/>
        </w:rPr>
        <w:t>、</w:t>
      </w:r>
      <w:r>
        <w:rPr>
          <w:bCs/>
          <w:sz w:val="24"/>
        </w:rPr>
        <w:t>基金合并；</w:t>
      </w:r>
    </w:p>
    <w:p>
      <w:pPr>
        <w:spacing w:line="360" w:lineRule="auto"/>
        <w:ind w:firstLine="480" w:firstLineChars="200"/>
        <w:rPr>
          <w:bCs/>
          <w:sz w:val="24"/>
        </w:rPr>
      </w:pPr>
      <w:r>
        <w:rPr>
          <w:bCs/>
          <w:sz w:val="24"/>
        </w:rPr>
        <w:t>4、更换基金管理人、基金托管人</w:t>
      </w:r>
      <w:r>
        <w:rPr>
          <w:rFonts w:hint="eastAsia"/>
          <w:bCs/>
          <w:sz w:val="24"/>
        </w:rPr>
        <w:t>、基金份额登记机构，基金改聘会计师事务所</w:t>
      </w:r>
      <w:r>
        <w:rPr>
          <w:bCs/>
          <w:sz w:val="24"/>
        </w:rPr>
        <w:t>；</w:t>
      </w:r>
    </w:p>
    <w:p>
      <w:pPr>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spacing w:line="360" w:lineRule="auto"/>
        <w:ind w:firstLine="480" w:firstLineChars="200"/>
        <w:rPr>
          <w:bCs/>
          <w:sz w:val="24"/>
        </w:rPr>
      </w:pPr>
      <w:r>
        <w:rPr>
          <w:bCs/>
          <w:sz w:val="24"/>
        </w:rPr>
        <w:t>6、基金管理人、基金托管人的法定名称、住所发生变更；</w:t>
      </w:r>
    </w:p>
    <w:p>
      <w:pPr>
        <w:spacing w:line="360" w:lineRule="auto"/>
        <w:ind w:firstLine="480" w:firstLineChars="200"/>
        <w:rPr>
          <w:bCs/>
          <w:sz w:val="24"/>
        </w:rPr>
      </w:pPr>
      <w:r>
        <w:rPr>
          <w:bCs/>
          <w:sz w:val="24"/>
        </w:rPr>
        <w:t>7、基金管理人</w:t>
      </w:r>
      <w:r>
        <w:rPr>
          <w:rFonts w:hint="eastAsia"/>
          <w:bCs/>
          <w:sz w:val="24"/>
        </w:rPr>
        <w:t>变更持有百分之五以上股权的股东、基金管理人的实际控制人变更</w:t>
      </w:r>
      <w:r>
        <w:rPr>
          <w:bCs/>
          <w:sz w:val="24"/>
        </w:rPr>
        <w:t>；</w:t>
      </w:r>
    </w:p>
    <w:p>
      <w:pPr>
        <w:spacing w:line="360" w:lineRule="auto"/>
        <w:ind w:firstLine="480" w:firstLineChars="200"/>
        <w:rPr>
          <w:bCs/>
          <w:sz w:val="24"/>
        </w:rPr>
      </w:pPr>
      <w:r>
        <w:rPr>
          <w:bCs/>
          <w:sz w:val="24"/>
        </w:rPr>
        <w:t>8、基金管理人的高级管理人员、基金经理和基金托管人专门基金托管部门负责人发生变动；</w:t>
      </w:r>
    </w:p>
    <w:p>
      <w:pPr>
        <w:spacing w:line="360" w:lineRule="auto"/>
        <w:ind w:firstLine="480" w:firstLineChars="200"/>
        <w:rPr>
          <w:bCs/>
          <w:sz w:val="24"/>
        </w:rPr>
      </w:pPr>
      <w:r>
        <w:rPr>
          <w:bCs/>
          <w:sz w:val="24"/>
        </w:rPr>
        <w:t>9、基金管理人的董事在</w:t>
      </w:r>
      <w:r>
        <w:rPr>
          <w:rFonts w:hint="eastAsia"/>
          <w:bCs/>
          <w:sz w:val="24"/>
        </w:rPr>
        <w:t>最近1</w:t>
      </w:r>
      <w:r>
        <w:rPr>
          <w:bCs/>
          <w:sz w:val="24"/>
        </w:rPr>
        <w:t>2个月内变更超过百分之五十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bCs/>
          <w:sz w:val="24"/>
        </w:rPr>
        <w:t>12个月内变动超过百分之三十；</w:t>
      </w:r>
    </w:p>
    <w:p>
      <w:pPr>
        <w:spacing w:line="360" w:lineRule="auto"/>
        <w:ind w:firstLine="480" w:firstLineChars="200"/>
        <w:rPr>
          <w:bCs/>
          <w:sz w:val="24"/>
        </w:rPr>
      </w:pPr>
      <w:r>
        <w:rPr>
          <w:rFonts w:hint="eastAsia"/>
          <w:bCs/>
          <w:sz w:val="24"/>
        </w:rPr>
        <w:t>10</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pPr>
        <w:spacing w:line="360" w:lineRule="auto"/>
        <w:ind w:firstLine="480" w:firstLineChars="200"/>
        <w:rPr>
          <w:bCs/>
          <w:sz w:val="24"/>
        </w:rPr>
      </w:pPr>
      <w:r>
        <w:rPr>
          <w:bCs/>
          <w:sz w:val="24"/>
        </w:rPr>
        <w:t>1</w:t>
      </w:r>
      <w:r>
        <w:rPr>
          <w:rFonts w:hint="eastAsia"/>
          <w:bCs/>
          <w:sz w:val="24"/>
        </w:rPr>
        <w:t>1</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pPr>
        <w:spacing w:line="360" w:lineRule="auto"/>
        <w:ind w:firstLine="480" w:firstLineChars="200"/>
        <w:rPr>
          <w:bCs/>
          <w:sz w:val="24"/>
        </w:rPr>
      </w:pPr>
      <w:r>
        <w:rPr>
          <w:bCs/>
          <w:sz w:val="24"/>
        </w:rPr>
        <w:t>12、</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pPr>
        <w:spacing w:line="360" w:lineRule="auto"/>
        <w:ind w:firstLine="480" w:firstLineChars="200"/>
        <w:rPr>
          <w:bCs/>
          <w:sz w:val="24"/>
        </w:rPr>
      </w:pPr>
      <w:r>
        <w:rPr>
          <w:bCs/>
          <w:sz w:val="24"/>
        </w:rPr>
        <w:t>13、基金收益分配事项；</w:t>
      </w:r>
    </w:p>
    <w:p>
      <w:pPr>
        <w:spacing w:line="360" w:lineRule="auto"/>
        <w:ind w:firstLine="480" w:firstLineChars="200"/>
        <w:rPr>
          <w:bCs/>
          <w:sz w:val="24"/>
        </w:rPr>
      </w:pPr>
      <w:r>
        <w:rPr>
          <w:bCs/>
          <w:sz w:val="24"/>
        </w:rPr>
        <w:t>14、管理费、托管费</w:t>
      </w:r>
      <w:r>
        <w:rPr>
          <w:rFonts w:hint="eastAsia"/>
          <w:bCs/>
          <w:sz w:val="24"/>
        </w:rPr>
        <w:t>、</w:t>
      </w:r>
      <w:r>
        <w:rPr>
          <w:rFonts w:hint="eastAsia" w:ascii="宋体" w:hAnsi="宋体"/>
          <w:sz w:val="24"/>
        </w:rPr>
        <w:t>销售服务费</w:t>
      </w:r>
      <w:r>
        <w:rPr>
          <w:rFonts w:hint="eastAsia"/>
          <w:bCs/>
          <w:sz w:val="24"/>
        </w:rPr>
        <w:t>、申购费、赎回费</w:t>
      </w:r>
      <w:r>
        <w:rPr>
          <w:bCs/>
          <w:sz w:val="24"/>
        </w:rPr>
        <w:t>等费用计提标准、计提方式和费率发生变更；</w:t>
      </w:r>
    </w:p>
    <w:p>
      <w:pPr>
        <w:spacing w:line="360" w:lineRule="auto"/>
        <w:ind w:firstLine="480" w:firstLineChars="200"/>
        <w:rPr>
          <w:bCs/>
          <w:sz w:val="24"/>
        </w:rPr>
      </w:pPr>
      <w:r>
        <w:rPr>
          <w:bCs/>
          <w:sz w:val="24"/>
        </w:rPr>
        <w:t>15、任一类基金份额净值计价错误达</w:t>
      </w:r>
      <w:r>
        <w:rPr>
          <w:rFonts w:hint="eastAsia"/>
          <w:bCs/>
          <w:sz w:val="24"/>
        </w:rPr>
        <w:t>该类</w:t>
      </w:r>
      <w:r>
        <w:rPr>
          <w:bCs/>
          <w:sz w:val="24"/>
        </w:rPr>
        <w:t>基金份额净值百分之零点五；</w:t>
      </w:r>
    </w:p>
    <w:p>
      <w:pPr>
        <w:spacing w:line="360" w:lineRule="auto"/>
        <w:ind w:firstLine="480" w:firstLineChars="200"/>
        <w:rPr>
          <w:bCs/>
          <w:sz w:val="24"/>
        </w:rPr>
      </w:pPr>
      <w:r>
        <w:rPr>
          <w:bCs/>
          <w:sz w:val="24"/>
        </w:rPr>
        <w:t>16、</w:t>
      </w:r>
      <w:r>
        <w:rPr>
          <w:rFonts w:hint="eastAsia"/>
          <w:bCs/>
          <w:sz w:val="24"/>
        </w:rPr>
        <w:t>本基金</w:t>
      </w:r>
      <w:r>
        <w:rPr>
          <w:bCs/>
          <w:sz w:val="24"/>
        </w:rPr>
        <w:t>开始办理申购、赎回；</w:t>
      </w:r>
    </w:p>
    <w:p>
      <w:pPr>
        <w:spacing w:line="360" w:lineRule="auto"/>
        <w:ind w:firstLine="480" w:firstLineChars="200"/>
        <w:rPr>
          <w:bCs/>
          <w:sz w:val="24"/>
        </w:rPr>
      </w:pPr>
      <w:r>
        <w:rPr>
          <w:bCs/>
          <w:sz w:val="24"/>
        </w:rPr>
        <w:t>17、</w:t>
      </w:r>
      <w:r>
        <w:rPr>
          <w:rFonts w:hint="eastAsia"/>
          <w:bCs/>
          <w:sz w:val="24"/>
        </w:rPr>
        <w:t>本基金</w:t>
      </w:r>
      <w:r>
        <w:rPr>
          <w:bCs/>
          <w:sz w:val="24"/>
        </w:rPr>
        <w:t>发生巨额赎回并延期</w:t>
      </w:r>
      <w:r>
        <w:rPr>
          <w:rFonts w:hint="eastAsia"/>
          <w:bCs/>
          <w:sz w:val="24"/>
        </w:rPr>
        <w:t>办理</w:t>
      </w:r>
      <w:r>
        <w:rPr>
          <w:bCs/>
          <w:sz w:val="24"/>
        </w:rPr>
        <w:t>；</w:t>
      </w:r>
    </w:p>
    <w:p>
      <w:pPr>
        <w:spacing w:line="360" w:lineRule="auto"/>
        <w:ind w:firstLine="480" w:firstLineChars="200"/>
        <w:rPr>
          <w:bCs/>
          <w:sz w:val="24"/>
        </w:rPr>
      </w:pPr>
      <w:r>
        <w:rPr>
          <w:bCs/>
          <w:sz w:val="24"/>
        </w:rPr>
        <w:t>18、</w:t>
      </w:r>
      <w:r>
        <w:rPr>
          <w:rFonts w:hint="eastAsia"/>
          <w:bCs/>
          <w:sz w:val="24"/>
        </w:rPr>
        <w:t>本基金</w:t>
      </w:r>
      <w:r>
        <w:rPr>
          <w:bCs/>
          <w:sz w:val="24"/>
        </w:rPr>
        <w:t>连续发生巨额赎回并暂停接受赎回申请或延缓支付赎回款项；</w:t>
      </w:r>
    </w:p>
    <w:p>
      <w:pPr>
        <w:spacing w:line="360" w:lineRule="auto"/>
        <w:ind w:firstLine="480" w:firstLineChars="200"/>
        <w:rPr>
          <w:bCs/>
          <w:sz w:val="24"/>
        </w:rPr>
      </w:pPr>
      <w:r>
        <w:rPr>
          <w:bCs/>
          <w:sz w:val="24"/>
        </w:rPr>
        <w:t>19</w:t>
      </w:r>
      <w:r>
        <w:rPr>
          <w:rFonts w:hint="eastAsia"/>
          <w:bCs/>
          <w:sz w:val="24"/>
        </w:rPr>
        <w:t>、本基金</w:t>
      </w:r>
      <w:r>
        <w:rPr>
          <w:bCs/>
          <w:sz w:val="24"/>
        </w:rPr>
        <w:t>暂停接受申购、赎回申请</w:t>
      </w:r>
      <w:r>
        <w:rPr>
          <w:rFonts w:hint="eastAsia"/>
          <w:bCs/>
          <w:sz w:val="24"/>
        </w:rPr>
        <w:t>或</w:t>
      </w:r>
      <w:r>
        <w:rPr>
          <w:bCs/>
          <w:sz w:val="24"/>
        </w:rPr>
        <w:t>重新接受申购、赎回申请；</w:t>
      </w:r>
    </w:p>
    <w:p>
      <w:pPr>
        <w:spacing w:line="360" w:lineRule="auto"/>
        <w:ind w:firstLine="480" w:firstLineChars="200"/>
        <w:rPr>
          <w:bCs/>
          <w:sz w:val="24"/>
        </w:rPr>
      </w:pPr>
      <w:r>
        <w:rPr>
          <w:rFonts w:hint="eastAsia"/>
          <w:bCs/>
          <w:sz w:val="24"/>
        </w:rPr>
        <w:t>2</w:t>
      </w:r>
      <w:r>
        <w:rPr>
          <w:bCs/>
          <w:sz w:val="24"/>
        </w:rPr>
        <w:t>0</w:t>
      </w:r>
      <w:r>
        <w:rPr>
          <w:rFonts w:hint="eastAsia"/>
          <w:bCs/>
          <w:sz w:val="24"/>
        </w:rPr>
        <w:t>、发生涉及基金申购、赎回事项调整或潜在影响投资者赎回等重大事项时；</w:t>
      </w:r>
    </w:p>
    <w:p>
      <w:pPr>
        <w:spacing w:line="360" w:lineRule="auto"/>
        <w:ind w:firstLine="480" w:firstLineChars="200"/>
        <w:rPr>
          <w:bCs/>
          <w:sz w:val="24"/>
        </w:rPr>
      </w:pPr>
      <w:r>
        <w:rPr>
          <w:rFonts w:hint="eastAsia"/>
          <w:bCs/>
          <w:sz w:val="24"/>
        </w:rPr>
        <w:t>2</w:t>
      </w:r>
      <w:r>
        <w:rPr>
          <w:bCs/>
          <w:sz w:val="24"/>
        </w:rPr>
        <w:t>1</w:t>
      </w:r>
      <w:r>
        <w:rPr>
          <w:rFonts w:hint="eastAsia"/>
          <w:bCs/>
          <w:sz w:val="24"/>
        </w:rPr>
        <w:t>、本基金增加或调整基金份额类别；</w:t>
      </w:r>
    </w:p>
    <w:p>
      <w:pPr>
        <w:spacing w:line="360" w:lineRule="auto"/>
        <w:ind w:firstLine="480" w:firstLineChars="200"/>
        <w:rPr>
          <w:bCs/>
          <w:sz w:val="24"/>
        </w:rPr>
      </w:pPr>
      <w:r>
        <w:rPr>
          <w:rFonts w:hint="eastAsia"/>
          <w:bCs/>
          <w:sz w:val="24"/>
        </w:rPr>
        <w:t>2</w:t>
      </w:r>
      <w:r>
        <w:rPr>
          <w:bCs/>
          <w:sz w:val="24"/>
        </w:rPr>
        <w:t>2</w:t>
      </w:r>
      <w:r>
        <w:rPr>
          <w:rFonts w:hint="eastAsia"/>
          <w:bCs/>
          <w:sz w:val="24"/>
        </w:rPr>
        <w:t>、本基金停复牌、暂停上市、恢复上市或终止上市；</w:t>
      </w:r>
    </w:p>
    <w:p>
      <w:pPr>
        <w:spacing w:line="360" w:lineRule="auto"/>
        <w:ind w:firstLine="480" w:firstLineChars="200"/>
        <w:rPr>
          <w:bCs/>
          <w:sz w:val="24"/>
        </w:rPr>
      </w:pPr>
      <w:r>
        <w:rPr>
          <w:rFonts w:hint="eastAsia"/>
          <w:bCs/>
          <w:sz w:val="24"/>
        </w:rPr>
        <w:t>2</w:t>
      </w:r>
      <w:r>
        <w:rPr>
          <w:bCs/>
          <w:sz w:val="24"/>
        </w:rPr>
        <w:t>3、</w:t>
      </w:r>
      <w:r>
        <w:rPr>
          <w:rFonts w:hint="eastAsia"/>
          <w:bCs/>
          <w:sz w:val="24"/>
        </w:rPr>
        <w:t>基金信息披露义务人认为可能对基金份额持有人权益或者基金份额的价格产生重大影响的其他事项或</w:t>
      </w:r>
      <w:r>
        <w:rPr>
          <w:bCs/>
          <w:sz w:val="24"/>
        </w:rPr>
        <w:t>中国证监会</w:t>
      </w:r>
      <w:r>
        <w:rPr>
          <w:rFonts w:hint="eastAsia"/>
          <w:bCs/>
          <w:sz w:val="24"/>
        </w:rPr>
        <w:t>规定和基金合同约定</w:t>
      </w:r>
      <w:r>
        <w:rPr>
          <w:bCs/>
          <w:sz w:val="24"/>
        </w:rPr>
        <w:t>的其他事项。</w:t>
      </w:r>
    </w:p>
    <w:p>
      <w:pPr>
        <w:spacing w:line="360" w:lineRule="auto"/>
        <w:ind w:firstLine="480" w:firstLineChars="200"/>
        <w:rPr>
          <w:bCs/>
          <w:sz w:val="24"/>
        </w:rPr>
      </w:pPr>
      <w:r>
        <w:rPr>
          <w:bCs/>
          <w:sz w:val="24"/>
        </w:rPr>
        <w:t>（</w:t>
      </w:r>
      <w:r>
        <w:rPr>
          <w:rFonts w:hint="eastAsia"/>
          <w:bCs/>
          <w:sz w:val="24"/>
        </w:rPr>
        <w:t>七</w:t>
      </w:r>
      <w:r>
        <w:rPr>
          <w:bCs/>
          <w:sz w:val="24"/>
        </w:rPr>
        <w:t>）澄清公告</w:t>
      </w:r>
    </w:p>
    <w:p>
      <w:pPr>
        <w:spacing w:line="360" w:lineRule="auto"/>
        <w:ind w:firstLine="480" w:firstLineChars="20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r>
        <w:rPr>
          <w:rFonts w:hint="eastAsia"/>
          <w:bCs/>
          <w:sz w:val="24"/>
        </w:rPr>
        <w:t>、基金上市交易的证券交易所</w:t>
      </w:r>
      <w:r>
        <w:rPr>
          <w:bCs/>
          <w:sz w:val="24"/>
        </w:rPr>
        <w:t>。</w:t>
      </w:r>
    </w:p>
    <w:p>
      <w:pPr>
        <w:spacing w:line="360" w:lineRule="auto"/>
        <w:ind w:firstLine="480" w:firstLineChars="200"/>
        <w:rPr>
          <w:bCs/>
          <w:sz w:val="24"/>
        </w:rPr>
      </w:pPr>
      <w:r>
        <w:rPr>
          <w:bCs/>
          <w:sz w:val="24"/>
        </w:rPr>
        <w:t>（</w:t>
      </w:r>
      <w:r>
        <w:rPr>
          <w:rFonts w:hint="eastAsia"/>
          <w:bCs/>
          <w:sz w:val="24"/>
        </w:rPr>
        <w:t>八</w:t>
      </w:r>
      <w:r>
        <w:rPr>
          <w:bCs/>
          <w:sz w:val="24"/>
        </w:rPr>
        <w:t>）基金份额持有人大会决议</w:t>
      </w:r>
    </w:p>
    <w:p>
      <w:pPr>
        <w:spacing w:line="360" w:lineRule="auto"/>
        <w:ind w:firstLine="480" w:firstLineChars="200"/>
        <w:rPr>
          <w:bCs/>
          <w:sz w:val="24"/>
        </w:rPr>
      </w:pPr>
      <w:r>
        <w:rPr>
          <w:bCs/>
          <w:sz w:val="24"/>
        </w:rPr>
        <w:t>基金份额持有人大会决定的事项，应当依法报</w:t>
      </w:r>
      <w:r>
        <w:rPr>
          <w:rFonts w:hint="eastAsia"/>
          <w:bCs/>
          <w:sz w:val="24"/>
        </w:rPr>
        <w:t>中国证监会</w:t>
      </w:r>
      <w:r>
        <w:rPr>
          <w:bCs/>
          <w:sz w:val="24"/>
        </w:rPr>
        <w:t>备案，并予以公告。</w:t>
      </w:r>
    </w:p>
    <w:p>
      <w:pPr>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spacing w:line="360" w:lineRule="auto"/>
        <w:ind w:firstLine="480" w:firstLineChars="200"/>
        <w:rPr>
          <w:bCs/>
          <w:sz w:val="24"/>
        </w:rPr>
      </w:pPr>
      <w:r>
        <w:rPr>
          <w:rFonts w:hint="eastAsia"/>
          <w:bCs/>
          <w:sz w:val="24"/>
        </w:rPr>
        <w:t>（九）清算报告</w:t>
      </w:r>
    </w:p>
    <w:p>
      <w:pPr>
        <w:spacing w:line="360" w:lineRule="auto"/>
        <w:ind w:firstLine="480" w:firstLineChars="200"/>
        <w:rPr>
          <w:bCs/>
          <w:sz w:val="24"/>
        </w:rPr>
      </w:pPr>
      <w:r>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pPr>
        <w:spacing w:line="360" w:lineRule="auto"/>
        <w:ind w:firstLine="480" w:firstLineChars="200"/>
        <w:rPr>
          <w:bCs/>
          <w:sz w:val="24"/>
        </w:rPr>
      </w:pPr>
      <w:r>
        <w:rPr>
          <w:rFonts w:hint="eastAsia"/>
          <w:bCs/>
          <w:sz w:val="24"/>
        </w:rPr>
        <w:t>（十）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spacing w:line="360" w:lineRule="auto"/>
        <w:ind w:firstLine="480" w:firstLineChars="200"/>
        <w:rPr>
          <w:bCs/>
          <w:sz w:val="24"/>
        </w:rPr>
      </w:pPr>
      <w:r>
        <w:rPr>
          <w:rFonts w:hint="eastAsia"/>
          <w:bCs/>
          <w:sz w:val="24"/>
        </w:rPr>
        <w:t>（十一）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spacing w:line="360" w:lineRule="auto"/>
        <w:ind w:firstLine="480" w:firstLineChars="200"/>
        <w:rPr>
          <w:bCs/>
          <w:sz w:val="24"/>
        </w:rPr>
      </w:pPr>
      <w:r>
        <w:rPr>
          <w:rFonts w:hint="eastAsia"/>
          <w:bCs/>
          <w:sz w:val="24"/>
        </w:rPr>
        <w:t>（十二）基金管理人应在本基金投资非公开发行股票后两个交易日内，在中国证监会指定媒介披露所投资非公开发行股票的名称、数量、总成本、账面价值，以及总成本和账面价值占基金资产净值的比例、锁定期等信息。</w:t>
      </w:r>
    </w:p>
    <w:p>
      <w:pPr>
        <w:spacing w:line="360" w:lineRule="auto"/>
        <w:ind w:firstLine="480" w:firstLineChars="200"/>
        <w:rPr>
          <w:bCs/>
          <w:sz w:val="24"/>
        </w:rPr>
      </w:pPr>
      <w:r>
        <w:rPr>
          <w:bCs/>
          <w:sz w:val="24"/>
        </w:rPr>
        <w:t>（</w:t>
      </w:r>
      <w:r>
        <w:rPr>
          <w:rFonts w:hint="eastAsia"/>
          <w:bCs/>
          <w:sz w:val="24"/>
        </w:rPr>
        <w:t>十三</w:t>
      </w:r>
      <w:r>
        <w:rPr>
          <w:bCs/>
          <w:sz w:val="24"/>
        </w:rPr>
        <w:t>）中国证监会规定的其他信息。</w:t>
      </w:r>
    </w:p>
    <w:p>
      <w:pPr>
        <w:spacing w:line="360" w:lineRule="auto"/>
        <w:ind w:firstLine="480" w:firstLineChars="200"/>
        <w:rPr>
          <w:bCs/>
          <w:sz w:val="24"/>
        </w:rPr>
      </w:pPr>
      <w:r>
        <w:rPr>
          <w:bCs/>
          <w:sz w:val="24"/>
        </w:rPr>
        <w:t>六、信息披露事务管理</w:t>
      </w:r>
    </w:p>
    <w:p>
      <w:pPr>
        <w:spacing w:line="360" w:lineRule="auto"/>
        <w:ind w:firstLine="480" w:firstLineChars="20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pPr>
        <w:spacing w:line="360" w:lineRule="auto"/>
        <w:ind w:firstLine="480" w:firstLineChars="200"/>
        <w:rPr>
          <w:bCs/>
          <w:sz w:val="24"/>
        </w:rPr>
      </w:pPr>
      <w:r>
        <w:rPr>
          <w:bCs/>
          <w:sz w:val="24"/>
        </w:rPr>
        <w:t>基金信息披露义务人公开披露基金信息，应当符合中国证监会相关基金信息披露内容与格式准则等法规的规定。</w:t>
      </w:r>
    </w:p>
    <w:p>
      <w:pPr>
        <w:spacing w:line="360" w:lineRule="auto"/>
        <w:ind w:firstLine="480" w:firstLineChars="20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w:t>
      </w:r>
      <w:r>
        <w:rPr>
          <w:rFonts w:hint="eastAsia"/>
          <w:bCs/>
          <w:sz w:val="24"/>
        </w:rPr>
        <w:t>、</w:t>
      </w:r>
      <w:r>
        <w:rPr>
          <w:bCs/>
          <w:sz w:val="24"/>
        </w:rPr>
        <w:t>基金份额累计净值、</w:t>
      </w:r>
      <w:r>
        <w:rPr>
          <w:rFonts w:hint="eastAsia"/>
          <w:bCs/>
          <w:sz w:val="24"/>
        </w:rPr>
        <w:t>基金</w:t>
      </w:r>
      <w:r>
        <w:rPr>
          <w:bCs/>
          <w:sz w:val="24"/>
        </w:rPr>
        <w:t>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等公开披露的相关基金信息进行复核、审查，并向基金管理人进行书面或电子确认。</w:t>
      </w:r>
    </w:p>
    <w:p>
      <w:pPr>
        <w:spacing w:line="360" w:lineRule="auto"/>
        <w:ind w:firstLine="480" w:firstLineChars="200"/>
        <w:rPr>
          <w:bCs/>
          <w:sz w:val="24"/>
        </w:rPr>
      </w:pPr>
      <w:r>
        <w:rPr>
          <w:bCs/>
          <w:sz w:val="24"/>
        </w:rPr>
        <w:t>基金管理人、基金托管人应当在指定报刊中选择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基金管理人、基金托管人应当向中国证监会基金电子披露网站报送拟披露的基金信息，并保证相关报送信息的真实、准确、完整、及时。</w:t>
      </w:r>
    </w:p>
    <w:p>
      <w:pPr>
        <w:spacing w:line="360" w:lineRule="auto"/>
        <w:ind w:firstLine="480" w:firstLineChars="20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媒介和基金上市交易的证券交易所网站</w:t>
      </w:r>
      <w:r>
        <w:rPr>
          <w:bCs/>
          <w:sz w:val="24"/>
        </w:rPr>
        <w:t>披露信息，并且在不同媒介上披露同一信息的内容应当一致。</w:t>
      </w:r>
    </w:p>
    <w:p>
      <w:pPr>
        <w:spacing w:line="360" w:lineRule="auto"/>
        <w:ind w:firstLine="480" w:firstLineChars="20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pPr>
        <w:spacing w:line="360" w:lineRule="auto"/>
        <w:ind w:firstLine="480" w:firstLineChars="20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pPr>
        <w:spacing w:line="360" w:lineRule="auto"/>
        <w:ind w:firstLine="480" w:firstLineChars="200"/>
        <w:rPr>
          <w:bCs/>
          <w:sz w:val="24"/>
        </w:rPr>
      </w:pPr>
      <w:r>
        <w:rPr>
          <w:bCs/>
          <w:sz w:val="24"/>
        </w:rPr>
        <w:t>七、信息披露文件的存放与查阅</w:t>
      </w:r>
    </w:p>
    <w:p>
      <w:pPr>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依法必须披露的信息发布后，基金管理人、基金托管人应当按照相关法律法规规定将信息置备于各自住所和基金上市交易的证券交易所网站，供社会公众查阅、复制。</w:t>
      </w:r>
    </w:p>
    <w:p>
      <w:pPr>
        <w:spacing w:line="360" w:lineRule="auto"/>
        <w:ind w:firstLine="480" w:firstLineChars="200"/>
        <w:rPr>
          <w:bCs/>
          <w:sz w:val="24"/>
        </w:rPr>
      </w:pPr>
      <w:r>
        <w:rPr>
          <w:rFonts w:hint="eastAsia"/>
          <w:bCs/>
          <w:sz w:val="24"/>
        </w:rPr>
        <w:t>八、本基金信息披露事项以法律法规规定及本章节约定的内容为准</w:t>
      </w:r>
      <w:r>
        <w:rPr>
          <w:bCs/>
          <w:sz w:val="24"/>
        </w:rPr>
        <w:t>。</w:t>
      </w:r>
    </w:p>
    <w:p>
      <w:pPr>
        <w:pStyle w:val="2"/>
        <w:spacing w:before="0" w:after="0"/>
        <w:jc w:val="center"/>
        <w:rPr>
          <w:rFonts w:ascii="Times New Roman"/>
          <w:color w:val="auto"/>
          <w:sz w:val="30"/>
        </w:rPr>
      </w:pPr>
      <w:r>
        <w:rPr>
          <w:rFonts w:ascii="Times New Roman"/>
          <w:b w:val="0"/>
          <w:bCs/>
          <w:color w:val="auto"/>
          <w:kern w:val="44"/>
          <w:sz w:val="21"/>
        </w:rPr>
        <w:br w:type="page"/>
      </w:r>
      <w:bookmarkStart w:id="348" w:name="_Toc98560364"/>
      <w:bookmarkStart w:id="349" w:name="_Toc7170"/>
      <w:bookmarkStart w:id="350" w:name="_Toc139991749"/>
      <w:bookmarkStart w:id="351" w:name="_Toc8059"/>
      <w:bookmarkStart w:id="352" w:name="_Toc29891"/>
      <w:bookmarkStart w:id="353" w:name="_Toc123102466"/>
      <w:bookmarkStart w:id="354" w:name="_Toc123051465"/>
      <w:bookmarkStart w:id="355" w:name="_Toc25647"/>
      <w:bookmarkStart w:id="356" w:name="_Toc9005"/>
      <w:bookmarkStart w:id="357" w:name="_Toc22978"/>
      <w:bookmarkStart w:id="358" w:name="_Toc442395210"/>
      <w:bookmarkStart w:id="359" w:name="_Toc8049"/>
      <w:bookmarkStart w:id="360" w:name="_Toc27464"/>
      <w:bookmarkStart w:id="361" w:name="_Toc6237"/>
      <w:bookmarkStart w:id="362" w:name="_Toc10006"/>
      <w:bookmarkStart w:id="363" w:name="_Toc123112247"/>
      <w:bookmarkStart w:id="364" w:name="_Toc141703899"/>
      <w:r>
        <w:rPr>
          <w:rFonts w:ascii="Times New Roman"/>
          <w:color w:val="auto"/>
          <w:sz w:val="30"/>
        </w:rPr>
        <w:t>第</w:t>
      </w:r>
      <w:r>
        <w:rPr>
          <w:rFonts w:hint="eastAsia" w:ascii="Times New Roman"/>
          <w:color w:val="auto"/>
          <w:sz w:val="30"/>
        </w:rPr>
        <w:t>二十</w:t>
      </w:r>
      <w:r>
        <w:rPr>
          <w:rFonts w:ascii="Times New Roman"/>
          <w:color w:val="auto"/>
          <w:sz w:val="30"/>
        </w:rPr>
        <w:t xml:space="preserve">部分  </w:t>
      </w:r>
      <w:bookmarkStart w:id="365" w:name="_Hlt88828593"/>
      <w:r>
        <w:rPr>
          <w:rFonts w:ascii="Times New Roman"/>
          <w:color w:val="auto"/>
          <w:sz w:val="30"/>
        </w:rPr>
        <w:t>基金合同</w:t>
      </w:r>
      <w:bookmarkEnd w:id="365"/>
      <w:r>
        <w:rPr>
          <w:rFonts w:ascii="Times New Roman"/>
          <w:color w:val="auto"/>
          <w:sz w:val="30"/>
        </w:rPr>
        <w:t>的变更、终止与基金财产的清算</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360" w:lineRule="auto"/>
        <w:ind w:firstLine="480" w:firstLineChars="200"/>
        <w:rPr>
          <w:bCs/>
          <w:sz w:val="24"/>
        </w:rPr>
      </w:pPr>
    </w:p>
    <w:p>
      <w:pPr>
        <w:spacing w:line="360" w:lineRule="auto"/>
        <w:ind w:firstLine="480" w:firstLineChars="200"/>
        <w:rPr>
          <w:bCs/>
          <w:sz w:val="24"/>
        </w:rPr>
      </w:pPr>
      <w:bookmarkStart w:id="366" w:name="_Toc79392639"/>
      <w:r>
        <w:rPr>
          <w:bCs/>
          <w:sz w:val="24"/>
        </w:rPr>
        <w:t>一、《基金合同》的变更</w:t>
      </w:r>
      <w:bookmarkEnd w:id="366"/>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pPr>
        <w:spacing w:line="360" w:lineRule="auto"/>
        <w:ind w:firstLine="480" w:firstLineChars="200"/>
        <w:rPr>
          <w:bCs/>
          <w:sz w:val="24"/>
        </w:rPr>
      </w:pPr>
      <w:r>
        <w:rPr>
          <w:rFonts w:hint="eastAsia"/>
          <w:bCs/>
          <w:sz w:val="24"/>
        </w:rPr>
        <w:t>二、《基金合同》的终止事由</w:t>
      </w:r>
    </w:p>
    <w:p>
      <w:pPr>
        <w:spacing w:line="360" w:lineRule="auto"/>
        <w:ind w:firstLine="480" w:firstLineChars="200"/>
        <w:rPr>
          <w:bCs/>
          <w:sz w:val="24"/>
        </w:rPr>
      </w:pPr>
      <w:r>
        <w:rPr>
          <w:bCs/>
          <w:sz w:val="24"/>
        </w:rPr>
        <w:t>有下列情形之一的，《基金合同》应当终止：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spacing w:line="360" w:lineRule="auto"/>
        <w:ind w:firstLine="480" w:firstLineChars="200"/>
        <w:rPr>
          <w:bCs/>
          <w:sz w:val="24"/>
        </w:rPr>
      </w:pPr>
      <w:r>
        <w:rPr>
          <w:bCs/>
          <w:sz w:val="24"/>
        </w:rPr>
        <w:t>4、《基金合同》约定的其他情形；</w:t>
      </w:r>
    </w:p>
    <w:p>
      <w:pPr>
        <w:spacing w:line="360" w:lineRule="auto"/>
        <w:ind w:firstLine="480" w:firstLineChars="200"/>
        <w:rPr>
          <w:bCs/>
          <w:sz w:val="24"/>
        </w:rPr>
      </w:pPr>
      <w:r>
        <w:rPr>
          <w:bCs/>
          <w:sz w:val="24"/>
        </w:rPr>
        <w:t>5、相关法律法规和中国证监会规定的其他情况。</w:t>
      </w:r>
    </w:p>
    <w:p>
      <w:pPr>
        <w:spacing w:line="360" w:lineRule="auto"/>
        <w:ind w:firstLine="480" w:firstLineChars="200"/>
        <w:rPr>
          <w:bCs/>
          <w:sz w:val="24"/>
        </w:rPr>
      </w:pPr>
      <w:r>
        <w:rPr>
          <w:bCs/>
          <w:sz w:val="24"/>
        </w:rPr>
        <w:t>三、基金财产的清算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r>
        <w:rPr>
          <w:rFonts w:hint="eastAsia"/>
          <w:bCs/>
          <w:sz w:val="24"/>
        </w:rPr>
        <w:t>财产</w:t>
      </w:r>
      <w:r>
        <w:rPr>
          <w:bCs/>
          <w:sz w:val="24"/>
        </w:rPr>
        <w:t>；</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，若遇基金持有的有价证券出现长期休市、停牌或其他流通受限的情形除外</w:t>
      </w:r>
      <w:r>
        <w:rPr>
          <w:bCs/>
          <w:sz w:val="24"/>
        </w:rPr>
        <w:t>。</w:t>
      </w:r>
    </w:p>
    <w:p>
      <w:pPr>
        <w:spacing w:line="360" w:lineRule="auto"/>
        <w:ind w:firstLine="480" w:firstLineChars="200"/>
        <w:rPr>
          <w:bCs/>
          <w:sz w:val="24"/>
        </w:rPr>
      </w:pPr>
      <w:r>
        <w:rPr>
          <w:bCs/>
          <w:sz w:val="24"/>
        </w:rPr>
        <w:t>四、清算费用</w:t>
      </w:r>
    </w:p>
    <w:p>
      <w:pPr>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spacing w:line="360" w:lineRule="auto"/>
        <w:ind w:firstLine="480" w:firstLineChars="200"/>
        <w:rPr>
          <w:bCs/>
          <w:sz w:val="24"/>
        </w:rPr>
      </w:pPr>
      <w:r>
        <w:rPr>
          <w:bCs/>
          <w:sz w:val="24"/>
        </w:rPr>
        <w:t>五、基金财产清算剩余资产的分配</w:t>
      </w:r>
    </w:p>
    <w:p>
      <w:pPr>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基金</w:t>
      </w:r>
      <w:r>
        <w:rPr>
          <w:bCs/>
          <w:sz w:val="24"/>
        </w:rPr>
        <w:t>合同终止日</w:t>
      </w:r>
      <w:r>
        <w:rPr>
          <w:rFonts w:hint="eastAsia"/>
          <w:bCs/>
          <w:sz w:val="24"/>
        </w:rPr>
        <w:t>基金份额持有人</w:t>
      </w:r>
      <w:r>
        <w:rPr>
          <w:bCs/>
          <w:sz w:val="24"/>
        </w:rPr>
        <w:t>持有的基金份额比例进行分配。</w:t>
      </w:r>
    </w:p>
    <w:p>
      <w:pPr>
        <w:spacing w:line="360" w:lineRule="auto"/>
        <w:ind w:firstLine="480" w:firstLineChars="200"/>
        <w:rPr>
          <w:bCs/>
          <w:sz w:val="24"/>
        </w:rPr>
      </w:pPr>
      <w:r>
        <w:rPr>
          <w:bCs/>
          <w:sz w:val="24"/>
        </w:rPr>
        <w:t>六、基金财产清算的公告</w:t>
      </w:r>
    </w:p>
    <w:p>
      <w:pPr>
        <w:spacing w:line="360" w:lineRule="auto"/>
        <w:ind w:firstLine="480" w:firstLineChars="20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pPr>
        <w:spacing w:line="360" w:lineRule="auto"/>
        <w:ind w:firstLine="480" w:firstLineChars="200"/>
        <w:rPr>
          <w:bCs/>
          <w:sz w:val="24"/>
        </w:rPr>
      </w:pPr>
      <w:r>
        <w:rPr>
          <w:bCs/>
          <w:sz w:val="24"/>
        </w:rPr>
        <w:t>七、基金财产清算账册及文件的保存</w:t>
      </w:r>
    </w:p>
    <w:p>
      <w:pPr>
        <w:spacing w:line="360" w:lineRule="auto"/>
        <w:ind w:firstLine="480" w:firstLineChars="200"/>
        <w:rPr>
          <w:bCs/>
          <w:sz w:val="24"/>
        </w:rPr>
      </w:pPr>
      <w:r>
        <w:rPr>
          <w:bCs/>
          <w:sz w:val="24"/>
        </w:rPr>
        <w:t>基金财产清算账册及有关文件由基金托管人保存</w:t>
      </w:r>
      <w:r>
        <w:rPr>
          <w:rFonts w:hint="eastAsia"/>
          <w:bCs/>
          <w:sz w:val="24"/>
        </w:rPr>
        <w:t>15</w:t>
      </w:r>
      <w:r>
        <w:rPr>
          <w:bCs/>
          <w:sz w:val="24"/>
        </w:rPr>
        <w:t>年以上。</w:t>
      </w:r>
    </w:p>
    <w:p>
      <w:pPr>
        <w:spacing w:line="360" w:lineRule="auto"/>
        <w:ind w:firstLine="480" w:firstLineChars="200"/>
        <w:rPr>
          <w:bCs/>
          <w:sz w:val="24"/>
        </w:rPr>
      </w:pPr>
    </w:p>
    <w:p>
      <w:pPr>
        <w:pStyle w:val="2"/>
        <w:spacing w:before="0" w:after="0"/>
        <w:jc w:val="center"/>
        <w:rPr>
          <w:rFonts w:ascii="Times New Roman"/>
          <w:color w:val="auto"/>
          <w:sz w:val="30"/>
        </w:rPr>
      </w:pPr>
      <w:bookmarkStart w:id="367" w:name="_Toc123112248"/>
      <w:bookmarkStart w:id="368" w:name="_Toc123051466"/>
      <w:bookmarkStart w:id="369" w:name="_Toc79392641"/>
      <w:bookmarkStart w:id="370" w:name="_Toc123102467"/>
      <w:bookmarkStart w:id="371" w:name="_Toc98560365"/>
      <w:bookmarkStart w:id="372" w:name="_Toc48649720"/>
      <w:r>
        <w:rPr>
          <w:rFonts w:ascii="Times New Roman"/>
          <w:b w:val="0"/>
          <w:bCs/>
          <w:color w:val="auto"/>
        </w:rPr>
        <w:br w:type="page"/>
      </w:r>
      <w:bookmarkStart w:id="373" w:name="_Toc12191"/>
      <w:bookmarkStart w:id="374" w:name="_Toc141703901"/>
      <w:bookmarkStart w:id="375" w:name="_Toc28549"/>
      <w:bookmarkStart w:id="376" w:name="_Toc27058"/>
      <w:bookmarkStart w:id="377" w:name="_Toc9708"/>
      <w:bookmarkStart w:id="378" w:name="_Toc21240"/>
      <w:bookmarkStart w:id="379" w:name="_Toc13398"/>
      <w:bookmarkStart w:id="380" w:name="_Toc139991750"/>
      <w:bookmarkStart w:id="381" w:name="_Toc7367"/>
      <w:bookmarkStart w:id="382" w:name="_Toc8710"/>
      <w:bookmarkStart w:id="383" w:name="_Toc23022"/>
      <w:bookmarkStart w:id="384" w:name="_Toc30645"/>
      <w:bookmarkStart w:id="385" w:name="_Toc442395211"/>
      <w:r>
        <w:rPr>
          <w:rFonts w:ascii="Times New Roman"/>
          <w:color w:val="auto"/>
          <w:sz w:val="30"/>
        </w:rPr>
        <w:t>第二十</w:t>
      </w:r>
      <w:r>
        <w:rPr>
          <w:rFonts w:hint="eastAsia" w:ascii="Times New Roman"/>
          <w:color w:val="auto"/>
          <w:sz w:val="30"/>
        </w:rPr>
        <w:t>一</w:t>
      </w:r>
      <w:r>
        <w:rPr>
          <w:rFonts w:ascii="Times New Roman"/>
          <w:color w:val="auto"/>
          <w:sz w:val="30"/>
        </w:rPr>
        <w:t>部分  违约责任</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pPr>
        <w:spacing w:line="360" w:lineRule="auto"/>
        <w:ind w:firstLine="480" w:firstLineChars="200"/>
        <w:rPr>
          <w:bCs/>
          <w:sz w:val="24"/>
        </w:rPr>
      </w:pPr>
    </w:p>
    <w:p>
      <w:pPr>
        <w:spacing w:line="360" w:lineRule="auto"/>
        <w:ind w:firstLine="480" w:firstLineChars="20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sz w:val="24"/>
        </w:rPr>
        <w:t>但是发生下列情况的，当事人免责：</w:t>
      </w:r>
    </w:p>
    <w:p>
      <w:pPr>
        <w:adjustRightInd w:val="0"/>
        <w:snapToGrid w:val="0"/>
        <w:spacing w:line="360" w:lineRule="auto"/>
        <w:ind w:firstLine="480" w:firstLineChars="200"/>
        <w:rPr>
          <w:sz w:val="24"/>
        </w:rPr>
      </w:pPr>
      <w:r>
        <w:rPr>
          <w:sz w:val="24"/>
        </w:rPr>
        <w:t>1</w:t>
      </w:r>
      <w:r>
        <w:rPr>
          <w:rFonts w:hAnsi="宋体"/>
          <w:sz w:val="24"/>
        </w:rPr>
        <w:t>、不可抗力；</w:t>
      </w:r>
    </w:p>
    <w:p>
      <w:pPr>
        <w:adjustRightInd w:val="0"/>
        <w:snapToGrid w:val="0"/>
        <w:spacing w:line="360" w:lineRule="auto"/>
        <w:ind w:firstLine="480" w:firstLineChars="20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pPr>
        <w:adjustRightInd w:val="0"/>
        <w:snapToGrid w:val="0"/>
        <w:spacing w:line="360" w:lineRule="auto"/>
        <w:ind w:firstLine="480" w:firstLineChars="200"/>
        <w:rPr>
          <w:bCs/>
          <w:sz w:val="24"/>
        </w:rPr>
      </w:pPr>
      <w:r>
        <w:rPr>
          <w:sz w:val="24"/>
        </w:rPr>
        <w:t>3</w:t>
      </w:r>
      <w:r>
        <w:rPr>
          <w:rFonts w:hAnsi="宋体"/>
          <w:sz w:val="24"/>
        </w:rPr>
        <w:t>、基金</w:t>
      </w:r>
      <w:r>
        <w:rPr>
          <w:rFonts w:hint="eastAsia" w:ascii="宋体" w:hAnsi="宋体"/>
          <w:sz w:val="24"/>
        </w:rPr>
        <w:t>管理人由于按照基金合同规定的投资原则行使或不行使其投资权而造成的损失等。</w:t>
      </w:r>
    </w:p>
    <w:p>
      <w:pPr>
        <w:spacing w:line="360" w:lineRule="auto"/>
        <w:ind w:firstLine="480" w:firstLineChars="20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80" w:firstLineChars="20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pPr>
        <w:pStyle w:val="2"/>
        <w:spacing w:before="0" w:after="0"/>
        <w:jc w:val="center"/>
        <w:rPr>
          <w:rFonts w:ascii="Times New Roman"/>
          <w:color w:val="auto"/>
          <w:sz w:val="30"/>
        </w:rPr>
      </w:pPr>
      <w:r>
        <w:rPr>
          <w:rFonts w:ascii="Times New Roman"/>
          <w:b w:val="0"/>
          <w:bCs/>
          <w:color w:val="auto"/>
        </w:rPr>
        <w:br w:type="page"/>
      </w:r>
      <w:bookmarkStart w:id="386" w:name="_Toc24923"/>
      <w:bookmarkStart w:id="387" w:name="_Toc7288"/>
      <w:bookmarkStart w:id="388" w:name="_Toc141703902"/>
      <w:bookmarkStart w:id="389" w:name="_Toc23999"/>
      <w:bookmarkStart w:id="390" w:name="_Toc21983"/>
      <w:bookmarkStart w:id="391" w:name="_Toc30350"/>
      <w:bookmarkStart w:id="392" w:name="_Toc139991751"/>
      <w:bookmarkStart w:id="393" w:name="_Toc1790"/>
      <w:bookmarkStart w:id="394" w:name="_Toc3319"/>
      <w:bookmarkStart w:id="395" w:name="_Toc123051467"/>
      <w:bookmarkStart w:id="396" w:name="_Toc442395212"/>
      <w:bookmarkStart w:id="397" w:name="_Toc8636"/>
      <w:bookmarkStart w:id="398" w:name="_Toc98560366"/>
      <w:bookmarkStart w:id="399" w:name="_Toc6202"/>
      <w:bookmarkStart w:id="400" w:name="_Toc25651"/>
      <w:bookmarkStart w:id="401" w:name="_Toc123112249"/>
      <w:bookmarkStart w:id="402" w:name="_Toc123102468"/>
      <w:r>
        <w:rPr>
          <w:rFonts w:ascii="Times New Roman"/>
          <w:color w:val="auto"/>
          <w:sz w:val="30"/>
        </w:rPr>
        <w:t>第二十</w:t>
      </w:r>
      <w:r>
        <w:rPr>
          <w:rFonts w:hint="eastAsia" w:ascii="Times New Roman"/>
          <w:color w:val="auto"/>
          <w:sz w:val="30"/>
        </w:rPr>
        <w:t>二</w:t>
      </w:r>
      <w:r>
        <w:rPr>
          <w:rFonts w:ascii="Times New Roman"/>
          <w:color w:val="auto"/>
          <w:sz w:val="30"/>
        </w:rPr>
        <w:t>部分  争议的处理和适用的法律</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spacing w:line="360" w:lineRule="auto"/>
        <w:ind w:firstLine="480" w:firstLineChars="200"/>
        <w:rPr>
          <w:bCs/>
          <w:sz w:val="24"/>
        </w:rPr>
      </w:pPr>
    </w:p>
    <w:p>
      <w:pPr>
        <w:spacing w:line="360" w:lineRule="auto"/>
        <w:ind w:firstLine="480" w:firstLineChars="200"/>
        <w:rPr>
          <w:rFonts w:ascii="宋体" w:hAnsi="宋体"/>
          <w:sz w:val="24"/>
        </w:rPr>
      </w:pPr>
      <w:r>
        <w:rPr>
          <w:bCs/>
          <w:sz w:val="24"/>
        </w:rPr>
        <w:t>各方当事人同意，因《基金合同》而产生的或与《基金合同》有关的一切争议，如经友好协商未能解决的，</w:t>
      </w:r>
      <w:r>
        <w:rPr>
          <w:rFonts w:hint="eastAsia" w:ascii="宋体"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pPr>
        <w:spacing w:line="360" w:lineRule="auto"/>
        <w:ind w:firstLine="480" w:firstLineChars="200"/>
        <w:rPr>
          <w:bCs/>
          <w:sz w:val="24"/>
        </w:rPr>
      </w:pPr>
      <w:r>
        <w:rPr>
          <w:bCs/>
          <w:sz w:val="24"/>
        </w:rPr>
        <w:t>《基金合同》受中国法律管辖。</w:t>
      </w:r>
    </w:p>
    <w:p>
      <w:pPr>
        <w:pStyle w:val="2"/>
        <w:spacing w:before="0" w:after="0"/>
        <w:jc w:val="center"/>
        <w:rPr>
          <w:rFonts w:ascii="Times New Roman"/>
          <w:color w:val="auto"/>
          <w:sz w:val="30"/>
        </w:rPr>
      </w:pPr>
      <w:r>
        <w:rPr>
          <w:rFonts w:ascii="Times New Roman"/>
          <w:b w:val="0"/>
          <w:bCs/>
          <w:color w:val="auto"/>
        </w:rPr>
        <w:br w:type="page"/>
      </w:r>
      <w:bookmarkStart w:id="403" w:name="_Toc393284153"/>
      <w:bookmarkStart w:id="404" w:name="_Toc442395213"/>
      <w:r>
        <w:rPr>
          <w:rFonts w:ascii="Times New Roman"/>
          <w:color w:val="auto"/>
          <w:sz w:val="30"/>
        </w:rPr>
        <w:t>第二十</w:t>
      </w:r>
      <w:r>
        <w:rPr>
          <w:rFonts w:hint="eastAsia" w:ascii="Times New Roman"/>
          <w:color w:val="auto"/>
          <w:sz w:val="30"/>
        </w:rPr>
        <w:t>三</w:t>
      </w:r>
      <w:r>
        <w:rPr>
          <w:rFonts w:ascii="Times New Roman"/>
          <w:color w:val="auto"/>
          <w:sz w:val="30"/>
        </w:rPr>
        <w:t xml:space="preserve">部分  </w:t>
      </w:r>
      <w:r>
        <w:rPr>
          <w:rFonts w:hint="eastAsia" w:ascii="Times New Roman"/>
          <w:color w:val="auto"/>
          <w:sz w:val="30"/>
        </w:rPr>
        <w:t>基金合同的效力</w:t>
      </w:r>
      <w:bookmarkEnd w:id="403"/>
      <w:bookmarkEnd w:id="404"/>
    </w:p>
    <w:p>
      <w:pPr>
        <w:spacing w:line="360" w:lineRule="auto"/>
        <w:ind w:firstLine="360" w:firstLineChars="150"/>
        <w:rPr>
          <w:bCs/>
          <w:sz w:val="24"/>
        </w:rPr>
      </w:pPr>
    </w:p>
    <w:p>
      <w:pPr>
        <w:spacing w:line="360" w:lineRule="auto"/>
        <w:ind w:firstLine="360" w:firstLineChars="150"/>
        <w:rPr>
          <w:bCs/>
          <w:sz w:val="24"/>
        </w:rPr>
      </w:pPr>
      <w:r>
        <w:rPr>
          <w:bCs/>
          <w:sz w:val="24"/>
        </w:rPr>
        <w:t>《基金合同》是约定基金</w:t>
      </w:r>
      <w:r>
        <w:rPr>
          <w:rFonts w:hint="eastAsia"/>
          <w:bCs/>
          <w:sz w:val="24"/>
        </w:rPr>
        <w:t>合同</w:t>
      </w:r>
      <w:r>
        <w:rPr>
          <w:bCs/>
          <w:sz w:val="24"/>
        </w:rPr>
        <w:t>当事人之间权利义务关系的法律文件。</w:t>
      </w:r>
    </w:p>
    <w:p>
      <w:pPr>
        <w:spacing w:line="360" w:lineRule="auto"/>
        <w:ind w:firstLine="480" w:firstLineChars="200"/>
        <w:rPr>
          <w:bCs/>
          <w:sz w:val="24"/>
        </w:rPr>
      </w:pPr>
      <w:r>
        <w:rPr>
          <w:bCs/>
          <w:sz w:val="24"/>
        </w:rPr>
        <w:t>1、《基金合同》</w:t>
      </w:r>
      <w:r>
        <w:rPr>
          <w:rFonts w:hint="eastAsia"/>
          <w:bCs/>
          <w:sz w:val="24"/>
        </w:rPr>
        <w:t>由《交银施罗德中证环境治理指数分级证券投资基金基金合同》修订而来，</w:t>
      </w:r>
      <w:r>
        <w:rPr>
          <w:bCs/>
          <w:sz w:val="24"/>
        </w:rPr>
        <w:t>经基金管理人、基金托管人双方盖章以及双方法定代表人或授权代表签</w:t>
      </w:r>
      <w:r>
        <w:rPr>
          <w:rFonts w:hint="eastAsia"/>
          <w:bCs/>
          <w:sz w:val="24"/>
        </w:rPr>
        <w:t>章，自基金转型实施日起生效。经2016年6月30日交银施罗德中证环境治理指数分级证券投资基金基金份额持有人大会决议通过，自基金转型实施日起，《交银施罗德中证环境治理指数型证券投资基金（LOF）基金合同》生效，《交银施罗德中证环境治理指数分级证券投资基金基金合同》同一日起失效</w:t>
      </w:r>
      <w:r>
        <w:rPr>
          <w:bCs/>
          <w:sz w:val="24"/>
        </w:rPr>
        <w:t>。</w:t>
      </w:r>
    </w:p>
    <w:p>
      <w:pPr>
        <w:spacing w:line="360" w:lineRule="auto"/>
        <w:ind w:firstLine="480" w:firstLineChars="200"/>
        <w:rPr>
          <w:bCs/>
          <w:sz w:val="24"/>
        </w:rPr>
      </w:pPr>
      <w:r>
        <w:rPr>
          <w:bCs/>
          <w:sz w:val="24"/>
        </w:rPr>
        <w:t>2、《基金合同》的有效期自其生效之日起至基金财产清算结果报中国证监会</w:t>
      </w:r>
      <w:r>
        <w:rPr>
          <w:rFonts w:hint="eastAsia"/>
          <w:bCs/>
          <w:sz w:val="24"/>
        </w:rPr>
        <w:t>备案</w:t>
      </w:r>
      <w:r>
        <w:rPr>
          <w:bCs/>
          <w:sz w:val="24"/>
        </w:rPr>
        <w:t>并公告之日止。</w:t>
      </w:r>
    </w:p>
    <w:p>
      <w:pPr>
        <w:spacing w:line="360" w:lineRule="auto"/>
        <w:ind w:firstLine="480" w:firstLineChars="200"/>
        <w:rPr>
          <w:bCs/>
          <w:sz w:val="24"/>
        </w:rPr>
      </w:pPr>
      <w:r>
        <w:rPr>
          <w:bCs/>
          <w:sz w:val="24"/>
        </w:rPr>
        <w:t>3、《基金合同》自生效之日起对包括基金管理人、基金托管人和基金份额持有人在内的《基金合同》各方当事人具有同等的法律约束力。</w:t>
      </w:r>
    </w:p>
    <w:p>
      <w:pPr>
        <w:spacing w:line="360" w:lineRule="auto"/>
        <w:ind w:firstLine="480" w:firstLineChars="200"/>
        <w:rPr>
          <w:bCs/>
          <w:sz w:val="24"/>
        </w:rPr>
      </w:pPr>
      <w:r>
        <w:rPr>
          <w:bCs/>
          <w:sz w:val="24"/>
        </w:rPr>
        <w:t>4、《基金合同》正本一式六份，除上报有关监管机构一式二份外，基金管理人、基金托管人各持有二份，每份具有同等的法律效力。</w:t>
      </w:r>
    </w:p>
    <w:p>
      <w:pPr>
        <w:spacing w:line="360" w:lineRule="auto"/>
        <w:ind w:firstLine="480" w:firstLineChars="200"/>
        <w:rPr>
          <w:bCs/>
          <w:sz w:val="24"/>
        </w:rPr>
      </w:pPr>
      <w:r>
        <w:rPr>
          <w:bCs/>
          <w:sz w:val="24"/>
        </w:rPr>
        <w:t>5、《基金合同》可印制成册，供投资者在基金管理人、基金托管人、销售机构的办公场所和营业场所查阅</w:t>
      </w:r>
      <w:r>
        <w:rPr>
          <w:rFonts w:hint="eastAsia"/>
          <w:bCs/>
          <w:sz w:val="24"/>
        </w:rPr>
        <w:t>，但应以《基金合同》正本为准</w:t>
      </w:r>
      <w:r>
        <w:rPr>
          <w:bCs/>
          <w:sz w:val="24"/>
        </w:rPr>
        <w:t>。</w:t>
      </w:r>
    </w:p>
    <w:p>
      <w:pPr>
        <w:pStyle w:val="2"/>
        <w:spacing w:before="0" w:after="0"/>
        <w:jc w:val="center"/>
        <w:rPr>
          <w:rFonts w:ascii="Times New Roman"/>
          <w:color w:val="auto"/>
          <w:sz w:val="30"/>
        </w:rPr>
      </w:pPr>
      <w:r>
        <w:rPr>
          <w:rFonts w:ascii="Times New Roman"/>
          <w:b w:val="0"/>
          <w:bCs/>
          <w:color w:val="auto"/>
        </w:rPr>
        <w:br w:type="page"/>
      </w:r>
      <w:bookmarkStart w:id="405" w:name="_Toc21726"/>
      <w:bookmarkStart w:id="406" w:name="_Toc442395214"/>
      <w:r>
        <w:rPr>
          <w:rFonts w:hint="eastAsia" w:ascii="Times New Roman"/>
          <w:color w:val="auto"/>
          <w:sz w:val="30"/>
        </w:rPr>
        <w:t>第二十四部分  其他事项</w:t>
      </w:r>
      <w:bookmarkEnd w:id="405"/>
      <w:bookmarkEnd w:id="406"/>
    </w:p>
    <w:p>
      <w:pPr>
        <w:spacing w:line="360" w:lineRule="auto"/>
        <w:ind w:firstLine="480" w:firstLineChars="200"/>
        <w:rPr>
          <w:rFonts w:ascii="宋体" w:hAnsi="宋体"/>
          <w:sz w:val="24"/>
        </w:rPr>
      </w:pPr>
    </w:p>
    <w:p>
      <w:pPr>
        <w:spacing w:line="360" w:lineRule="auto"/>
        <w:ind w:firstLine="480" w:firstLineChars="200"/>
        <w:rPr>
          <w:bCs/>
          <w:sz w:val="24"/>
        </w:rPr>
      </w:pPr>
      <w:r>
        <w:rPr>
          <w:rFonts w:hint="eastAsia" w:ascii="宋体" w:hAnsi="宋体"/>
          <w:sz w:val="24"/>
        </w:rPr>
        <w:t>《基金合同》如有未尽事宜，由《基金合同》当事人各方按有关法律法规协商解决。</w:t>
      </w:r>
    </w:p>
    <w:p>
      <w:pPr>
        <w:pStyle w:val="2"/>
        <w:spacing w:before="0" w:after="0"/>
        <w:jc w:val="center"/>
        <w:rPr>
          <w:rFonts w:ascii="Times New Roman"/>
          <w:color w:val="auto"/>
          <w:sz w:val="30"/>
        </w:rPr>
      </w:pPr>
      <w:r>
        <w:rPr>
          <w:rFonts w:ascii="Times New Roman"/>
          <w:b w:val="0"/>
          <w:bCs/>
          <w:color w:val="auto"/>
        </w:rPr>
        <w:br w:type="page"/>
      </w:r>
      <w:bookmarkStart w:id="407" w:name="_Toc442395215"/>
      <w:bookmarkStart w:id="408" w:name="_Toc393284155"/>
      <w:r>
        <w:rPr>
          <w:rFonts w:ascii="Times New Roman"/>
          <w:color w:val="auto"/>
          <w:sz w:val="30"/>
        </w:rPr>
        <w:t>第二十</w:t>
      </w:r>
      <w:r>
        <w:rPr>
          <w:rFonts w:hint="eastAsia" w:ascii="Times New Roman"/>
          <w:color w:val="auto"/>
          <w:sz w:val="30"/>
        </w:rPr>
        <w:t>五</w:t>
      </w:r>
      <w:r>
        <w:rPr>
          <w:rFonts w:ascii="Times New Roman"/>
          <w:color w:val="auto"/>
          <w:sz w:val="30"/>
        </w:rPr>
        <w:t xml:space="preserve">部分  </w:t>
      </w:r>
      <w:r>
        <w:rPr>
          <w:rFonts w:hint="eastAsia" w:ascii="Times New Roman"/>
          <w:color w:val="auto"/>
          <w:sz w:val="30"/>
        </w:rPr>
        <w:t>基金合同内容摘要</w:t>
      </w:r>
      <w:bookmarkEnd w:id="407"/>
      <w:bookmarkEnd w:id="408"/>
    </w:p>
    <w:p>
      <w:pPr>
        <w:spacing w:line="360" w:lineRule="auto"/>
        <w:ind w:firstLine="420" w:firstLineChars="200"/>
      </w:pPr>
    </w:p>
    <w:bookmarkEnd w:id="67"/>
    <w:bookmarkEnd w:id="68"/>
    <w:p>
      <w:pPr>
        <w:adjustRightInd w:val="0"/>
        <w:snapToGrid w:val="0"/>
        <w:spacing w:line="360" w:lineRule="auto"/>
        <w:ind w:firstLine="482" w:firstLineChars="200"/>
        <w:jc w:val="left"/>
        <w:rPr>
          <w:b/>
          <w:sz w:val="24"/>
          <w:szCs w:val="24"/>
        </w:rPr>
      </w:pPr>
      <w:r>
        <w:rPr>
          <w:b/>
          <w:sz w:val="24"/>
          <w:szCs w:val="24"/>
        </w:rPr>
        <w:t>一、基金管理人、基金托管人和基金份额持有人的权利、义务</w:t>
      </w:r>
    </w:p>
    <w:p>
      <w:pPr>
        <w:adjustRightInd w:val="0"/>
        <w:snapToGrid w:val="0"/>
        <w:spacing w:line="360" w:lineRule="auto"/>
        <w:ind w:firstLine="480" w:firstLineChars="200"/>
        <w:jc w:val="left"/>
        <w:rPr>
          <w:bCs/>
          <w:sz w:val="24"/>
          <w:szCs w:val="24"/>
        </w:rPr>
      </w:pPr>
      <w:r>
        <w:rPr>
          <w:bCs/>
          <w:sz w:val="24"/>
          <w:szCs w:val="24"/>
        </w:rPr>
        <w:t>（一）</w:t>
      </w:r>
      <w:r>
        <w:rPr>
          <w:bCs/>
          <w:sz w:val="24"/>
          <w:szCs w:val="24"/>
        </w:rPr>
        <w:tab/>
      </w:r>
      <w:r>
        <w:rPr>
          <w:bCs/>
          <w:sz w:val="24"/>
          <w:szCs w:val="24"/>
        </w:rPr>
        <w:t>基金管理人的权利</w:t>
      </w:r>
    </w:p>
    <w:p>
      <w:pPr>
        <w:adjustRightInd w:val="0"/>
        <w:snapToGrid w:val="0"/>
        <w:spacing w:line="360" w:lineRule="auto"/>
        <w:ind w:firstLine="480" w:firstLineChars="200"/>
        <w:jc w:val="left"/>
        <w:rPr>
          <w:bCs/>
          <w:sz w:val="24"/>
          <w:szCs w:val="24"/>
        </w:rPr>
      </w:pPr>
      <w:r>
        <w:rPr>
          <w:rFonts w:hint="eastAsia"/>
          <w:bCs/>
          <w:sz w:val="24"/>
          <w:szCs w:val="24"/>
        </w:rPr>
        <w:t>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资金</w:t>
      </w:r>
      <w:r>
        <w:rPr>
          <w:bCs/>
          <w:sz w:val="24"/>
        </w:rPr>
        <w:t>；</w:t>
      </w:r>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r>
        <w:rPr>
          <w:bCs/>
          <w:sz w:val="24"/>
        </w:rPr>
        <w:tab/>
      </w:r>
    </w:p>
    <w:p>
      <w:pPr>
        <w:spacing w:line="440" w:lineRule="atLeast"/>
        <w:ind w:firstLine="480" w:firstLineChars="200"/>
        <w:rPr>
          <w:bCs/>
          <w:sz w:val="24"/>
        </w:rPr>
      </w:pPr>
      <w:r>
        <w:rPr>
          <w:bCs/>
          <w:sz w:val="24"/>
        </w:rPr>
        <w:t>（11）在《基金合同》约定的范围内，拒绝或暂停受理申购与赎回申请；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spacing w:line="440" w:lineRule="atLeast"/>
        <w:ind w:firstLine="480" w:firstLineChars="200"/>
        <w:rPr>
          <w:bCs/>
          <w:sz w:val="24"/>
        </w:rPr>
      </w:pPr>
      <w:r>
        <w:rPr>
          <w:bCs/>
          <w:sz w:val="24"/>
        </w:rPr>
        <w:t>（16）在符合有关法律、法规的前提下，制</w:t>
      </w:r>
      <w:r>
        <w:rPr>
          <w:rFonts w:hint="eastAsia"/>
          <w:bCs/>
          <w:sz w:val="24"/>
        </w:rPr>
        <w:t>定</w:t>
      </w:r>
      <w:r>
        <w:rPr>
          <w:bCs/>
          <w:sz w:val="24"/>
        </w:rPr>
        <w:t>和调整有关基金申购、赎回、转换</w:t>
      </w:r>
      <w:r>
        <w:rPr>
          <w:rFonts w:hint="eastAsia"/>
          <w:bCs/>
          <w:sz w:val="24"/>
        </w:rPr>
        <w:t>、上市交易等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adjustRightInd w:val="0"/>
        <w:snapToGrid w:val="0"/>
        <w:spacing w:line="360" w:lineRule="auto"/>
        <w:ind w:firstLine="480" w:firstLineChars="200"/>
        <w:jc w:val="left"/>
        <w:rPr>
          <w:bCs/>
          <w:sz w:val="24"/>
          <w:szCs w:val="24"/>
        </w:rPr>
      </w:pPr>
      <w:r>
        <w:rPr>
          <w:bCs/>
          <w:sz w:val="24"/>
          <w:szCs w:val="24"/>
        </w:rPr>
        <w:t>（二）基金管理人的义务</w:t>
      </w:r>
    </w:p>
    <w:p>
      <w:pPr>
        <w:autoSpaceDE w:val="0"/>
        <w:autoSpaceDN w:val="0"/>
        <w:adjustRightInd w:val="0"/>
        <w:snapToGrid w:val="0"/>
        <w:spacing w:line="360" w:lineRule="auto"/>
        <w:ind w:firstLine="480" w:firstLineChars="200"/>
        <w:jc w:val="left"/>
        <w:rPr>
          <w:bCs/>
          <w:sz w:val="24"/>
          <w:szCs w:val="24"/>
        </w:rPr>
      </w:pPr>
      <w:r>
        <w:rPr>
          <w:bCs/>
          <w:sz w:val="24"/>
          <w:szCs w:val="24"/>
        </w:rPr>
        <w:t>根据《基金法》、《运作办法》及其他有关规定，基金管理人的义务包括但不限于：</w:t>
      </w:r>
    </w:p>
    <w:p>
      <w:pPr>
        <w:spacing w:line="440" w:lineRule="atLeast"/>
        <w:ind w:firstLine="480" w:firstLineChars="200"/>
        <w:rPr>
          <w:bCs/>
          <w:sz w:val="24"/>
        </w:rPr>
      </w:pPr>
      <w:r>
        <w:rPr>
          <w:bCs/>
          <w:sz w:val="24"/>
        </w:rPr>
        <w:t>（1）依法募集</w:t>
      </w:r>
      <w:r>
        <w:rPr>
          <w:rFonts w:hint="eastAsia"/>
          <w:bCs/>
          <w:sz w:val="24"/>
        </w:rPr>
        <w:t>资金</w:t>
      </w:r>
      <w:r>
        <w:rPr>
          <w:bCs/>
          <w:sz w:val="24"/>
        </w:rPr>
        <w:t>，办理或者委托经中国证监会认定的其他机构办理基金份额的申购、赎回和登记事宜；</w:t>
      </w:r>
    </w:p>
    <w:p>
      <w:pPr>
        <w:spacing w:line="440" w:lineRule="atLeast"/>
        <w:ind w:firstLine="480" w:firstLineChars="200"/>
        <w:rPr>
          <w:bCs/>
          <w:sz w:val="24"/>
        </w:rPr>
      </w:pPr>
      <w:r>
        <w:rPr>
          <w:bCs/>
          <w:sz w:val="24"/>
        </w:rPr>
        <w:t>（2）办理基金备案手续；</w:t>
      </w:r>
    </w:p>
    <w:p>
      <w:pPr>
        <w:spacing w:line="440" w:lineRule="atLeast"/>
        <w:ind w:firstLine="480" w:firstLineChars="200"/>
        <w:rPr>
          <w:bCs/>
          <w:sz w:val="24"/>
        </w:rPr>
      </w:pPr>
      <w:r>
        <w:rPr>
          <w:bCs/>
          <w:sz w:val="24"/>
        </w:rPr>
        <w:t>（3）自《基金合同》生效之日起</w:t>
      </w:r>
      <w:r>
        <w:rPr>
          <w:rFonts w:hint="eastAsia"/>
          <w:bCs/>
          <w:sz w:val="24"/>
        </w:rPr>
        <w:t>，</w:t>
      </w:r>
      <w:r>
        <w:rPr>
          <w:bCs/>
          <w:sz w:val="24"/>
        </w:rPr>
        <w:t>以诚实信用、谨慎勤勉的原则管理和运用基金财产；</w:t>
      </w:r>
    </w:p>
    <w:p>
      <w:pPr>
        <w:spacing w:line="440" w:lineRule="atLeast"/>
        <w:ind w:firstLine="480" w:firstLineChars="200"/>
        <w:rPr>
          <w:bCs/>
          <w:sz w:val="24"/>
        </w:rPr>
      </w:pPr>
      <w:r>
        <w:rPr>
          <w:bCs/>
          <w:sz w:val="24"/>
        </w:rPr>
        <w:t>（4）配备足够的具有专业资格的人员进行基金投资分析、决策，以专业化的经营方式管理和运作基金财产；</w:t>
      </w:r>
    </w:p>
    <w:p>
      <w:pPr>
        <w:spacing w:line="440" w:lineRule="atLeast"/>
        <w:ind w:firstLine="480" w:firstLineChars="200"/>
        <w:rPr>
          <w:bCs/>
          <w:sz w:val="24"/>
        </w:rPr>
      </w:pPr>
      <w:r>
        <w:rPr>
          <w:bCs/>
          <w:sz w:val="24"/>
        </w:rPr>
        <w:t>（5）建立健全内部风险控制、监察与稽核、财务管理及人事管理等制度，保证所管理的基金财产和基金管理人的财产相互独立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pPr>
        <w:spacing w:line="360" w:lineRule="auto"/>
        <w:ind w:firstLine="480" w:firstLineChars="200"/>
        <w:rPr>
          <w:bCs/>
          <w:sz w:val="24"/>
        </w:rPr>
      </w:pPr>
      <w:r>
        <w:rPr>
          <w:bCs/>
          <w:sz w:val="24"/>
        </w:rPr>
        <w:t>（6）除依据《基金法》、《基金合同》及其他有关规定外</w:t>
      </w:r>
      <w:r>
        <w:rPr>
          <w:rFonts w:hint="eastAsia"/>
          <w:bCs/>
          <w:sz w:val="24"/>
        </w:rPr>
        <w:t>，</w:t>
      </w:r>
      <w:r>
        <w:rPr>
          <w:bCs/>
          <w:sz w:val="24"/>
        </w:rPr>
        <w:t>不得利用基金财产为自己及任何第三人谋取利益，不得委托第三人运作基金财产；</w:t>
      </w:r>
    </w:p>
    <w:p>
      <w:pPr>
        <w:spacing w:line="360" w:lineRule="auto"/>
        <w:ind w:firstLine="480" w:firstLineChars="200"/>
        <w:rPr>
          <w:bCs/>
          <w:sz w:val="24"/>
        </w:rPr>
      </w:pPr>
      <w:r>
        <w:rPr>
          <w:bCs/>
          <w:sz w:val="24"/>
        </w:rPr>
        <w:t>（7）依法接受基金托管人的监督；</w:t>
      </w:r>
    </w:p>
    <w:p>
      <w:pPr>
        <w:spacing w:line="360" w:lineRule="auto"/>
        <w:ind w:firstLine="480" w:firstLineChars="200"/>
        <w:rPr>
          <w:bCs/>
          <w:sz w:val="24"/>
        </w:rPr>
      </w:pPr>
      <w:r>
        <w:rPr>
          <w:bCs/>
          <w:sz w:val="24"/>
        </w:rPr>
        <w:t>（8）采取适当合理的措施使计算</w:t>
      </w:r>
      <w:r>
        <w:rPr>
          <w:rFonts w:hint="eastAsia"/>
          <w:bCs/>
          <w:sz w:val="24"/>
        </w:rPr>
        <w:t>基金份额</w:t>
      </w:r>
      <w:r>
        <w:rPr>
          <w:bCs/>
          <w:sz w:val="24"/>
        </w:rPr>
        <w:t>申购、赎回和注销价格的方法符合《基金合同》等法律文件的规定，按有关规定计算并公告</w:t>
      </w:r>
      <w:r>
        <w:rPr>
          <w:rFonts w:hint="eastAsia"/>
          <w:bCs/>
          <w:sz w:val="24"/>
        </w:rPr>
        <w:t>基金净值信息</w:t>
      </w:r>
      <w:r>
        <w:rPr>
          <w:bCs/>
          <w:sz w:val="24"/>
        </w:rPr>
        <w:t>，确定基金份额申购、赎回的价格；</w:t>
      </w:r>
    </w:p>
    <w:p>
      <w:pPr>
        <w:spacing w:line="360" w:lineRule="auto"/>
        <w:ind w:firstLine="480" w:firstLineChars="200"/>
        <w:rPr>
          <w:bCs/>
          <w:sz w:val="24"/>
        </w:rPr>
      </w:pPr>
      <w:r>
        <w:rPr>
          <w:bCs/>
          <w:sz w:val="24"/>
        </w:rPr>
        <w:t>（9）进行基金会计核算并编制基金财务会计报告；</w:t>
      </w:r>
    </w:p>
    <w:p>
      <w:pPr>
        <w:spacing w:line="360" w:lineRule="auto"/>
        <w:ind w:firstLine="480" w:firstLineChars="200"/>
        <w:rPr>
          <w:bCs/>
          <w:sz w:val="24"/>
        </w:rPr>
      </w:pPr>
      <w:r>
        <w:rPr>
          <w:bCs/>
          <w:sz w:val="24"/>
        </w:rPr>
        <w:t>（10）编制季度报告、</w:t>
      </w:r>
      <w:r>
        <w:rPr>
          <w:rFonts w:hint="eastAsia"/>
          <w:bCs/>
          <w:sz w:val="24"/>
        </w:rPr>
        <w:t>中期</w:t>
      </w:r>
      <w:r>
        <w:rPr>
          <w:bCs/>
          <w:sz w:val="24"/>
        </w:rPr>
        <w:t>报告和年度报告；</w:t>
      </w:r>
    </w:p>
    <w:p>
      <w:pPr>
        <w:spacing w:line="360" w:lineRule="auto"/>
        <w:ind w:firstLine="480" w:firstLineChars="200"/>
        <w:rPr>
          <w:bCs/>
          <w:sz w:val="24"/>
        </w:rPr>
      </w:pPr>
      <w:r>
        <w:rPr>
          <w:bCs/>
          <w:sz w:val="24"/>
        </w:rPr>
        <w:t>（11）严格按照《基金法》、《基金合同》及其他有关规定，履行信息披露及报告义务；</w:t>
      </w:r>
    </w:p>
    <w:p>
      <w:pPr>
        <w:spacing w:line="360" w:lineRule="auto"/>
        <w:ind w:firstLine="480" w:firstLineChars="200"/>
        <w:rPr>
          <w:bCs/>
          <w:sz w:val="24"/>
        </w:rPr>
      </w:pPr>
      <w:r>
        <w:rPr>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bCs/>
          <w:sz w:val="24"/>
        </w:rPr>
      </w:pPr>
      <w:r>
        <w:rPr>
          <w:bCs/>
          <w:sz w:val="24"/>
        </w:rPr>
        <w:t>（13）按《基金合同》的约定确定基金收益分配方案，及时向基金份额持有人分配基金收益；</w:t>
      </w:r>
    </w:p>
    <w:p>
      <w:pPr>
        <w:spacing w:line="360" w:lineRule="auto"/>
        <w:ind w:firstLine="480" w:firstLineChars="200"/>
        <w:rPr>
          <w:bCs/>
          <w:sz w:val="24"/>
        </w:rPr>
      </w:pPr>
      <w:r>
        <w:rPr>
          <w:bCs/>
          <w:sz w:val="24"/>
        </w:rPr>
        <w:t>（14）按规定受理申购与赎回申请，及时、足额支付赎回款项；</w:t>
      </w:r>
    </w:p>
    <w:p>
      <w:pPr>
        <w:spacing w:line="360" w:lineRule="auto"/>
        <w:ind w:firstLine="480" w:firstLineChars="200"/>
        <w:rPr>
          <w:bCs/>
          <w:sz w:val="24"/>
        </w:rPr>
      </w:pPr>
      <w:r>
        <w:rPr>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bCs/>
          <w:sz w:val="24"/>
        </w:rPr>
      </w:pPr>
      <w:r>
        <w:rPr>
          <w:bCs/>
          <w:sz w:val="24"/>
        </w:rPr>
        <w:t>（16）按规定保存基金财产管理业务活动的会计账册、报表、记录和其他相关资料</w:t>
      </w:r>
      <w:r>
        <w:rPr>
          <w:rFonts w:hint="eastAsia"/>
          <w:bCs/>
          <w:sz w:val="24"/>
        </w:rPr>
        <w:t>15</w:t>
      </w:r>
      <w:r>
        <w:rPr>
          <w:bCs/>
          <w:sz w:val="24"/>
        </w:rPr>
        <w:t>年以上；</w:t>
      </w:r>
    </w:p>
    <w:p>
      <w:pPr>
        <w:spacing w:line="360" w:lineRule="auto"/>
        <w:ind w:firstLine="480" w:firstLineChars="200"/>
        <w:rPr>
          <w:bCs/>
          <w:sz w:val="24"/>
        </w:rPr>
      </w:pPr>
      <w:r>
        <w:rPr>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bCs/>
          <w:sz w:val="24"/>
        </w:rPr>
      </w:pPr>
      <w:r>
        <w:rPr>
          <w:bCs/>
          <w:sz w:val="24"/>
        </w:rPr>
        <w:t>（18）组织并参加基金财产清算小组</w:t>
      </w:r>
      <w:r>
        <w:rPr>
          <w:rFonts w:hint="eastAsia"/>
          <w:bCs/>
          <w:sz w:val="24"/>
        </w:rPr>
        <w:t>，</w:t>
      </w:r>
      <w:r>
        <w:rPr>
          <w:bCs/>
          <w:sz w:val="24"/>
        </w:rPr>
        <w:t>参与基金财产的保管、清理、估价、变现和分配；</w:t>
      </w:r>
    </w:p>
    <w:p>
      <w:pPr>
        <w:spacing w:line="360" w:lineRule="auto"/>
        <w:ind w:firstLine="480" w:firstLineChars="200"/>
        <w:rPr>
          <w:bCs/>
          <w:sz w:val="24"/>
        </w:rPr>
      </w:pPr>
      <w:r>
        <w:rPr>
          <w:bCs/>
          <w:sz w:val="24"/>
        </w:rPr>
        <w:t>（19）面临解散、依法被撤销或者被依法宣告破产时，及时报告中国证监会并通知基金托管人；</w:t>
      </w:r>
    </w:p>
    <w:p>
      <w:pPr>
        <w:spacing w:line="360" w:lineRule="auto"/>
        <w:ind w:firstLine="480" w:firstLineChars="200"/>
        <w:rPr>
          <w:bCs/>
          <w:sz w:val="24"/>
        </w:rPr>
      </w:pPr>
      <w:r>
        <w:rPr>
          <w:bCs/>
          <w:sz w:val="24"/>
        </w:rPr>
        <w:t>（20）因违反《基金合同》导致基金财产的损失或损害基金份额持有人合法权益时，应当承担赔偿责任，其赔偿责任不因其退任而免除；</w:t>
      </w:r>
    </w:p>
    <w:p>
      <w:pPr>
        <w:spacing w:line="360" w:lineRule="auto"/>
        <w:ind w:firstLine="480" w:firstLineChars="200"/>
        <w:rPr>
          <w:bCs/>
          <w:sz w:val="24"/>
        </w:rPr>
      </w:pPr>
      <w:r>
        <w:rPr>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bCs/>
          <w:sz w:val="24"/>
        </w:rPr>
      </w:pPr>
      <w:r>
        <w:rPr>
          <w:bCs/>
          <w:sz w:val="24"/>
        </w:rPr>
        <w:t>（22）当基金管理人将其义务委托第三方处理时，应当对第三方处理有关基金事务的行为承担责任；</w:t>
      </w:r>
    </w:p>
    <w:p>
      <w:pPr>
        <w:spacing w:line="360" w:lineRule="auto"/>
        <w:ind w:firstLine="480" w:firstLineChars="200"/>
        <w:rPr>
          <w:bCs/>
          <w:sz w:val="24"/>
        </w:rPr>
      </w:pPr>
      <w:r>
        <w:rPr>
          <w:bCs/>
          <w:sz w:val="24"/>
        </w:rPr>
        <w:t>（23）以基金管理人名义，代表基金份额持有人利益行使诉讼权利或实施其他法律行为；</w:t>
      </w:r>
      <w:r>
        <w:rPr>
          <w:bCs/>
          <w:sz w:val="24"/>
        </w:rPr>
        <w:tab/>
      </w:r>
    </w:p>
    <w:p>
      <w:pPr>
        <w:spacing w:line="360" w:lineRule="auto"/>
        <w:ind w:firstLine="480" w:firstLineChars="200"/>
        <w:rPr>
          <w:bCs/>
          <w:sz w:val="24"/>
        </w:rPr>
      </w:pPr>
      <w:r>
        <w:rPr>
          <w:bCs/>
          <w:sz w:val="24"/>
        </w:rPr>
        <w:t>（2</w:t>
      </w:r>
      <w:r>
        <w:rPr>
          <w:rFonts w:hint="eastAsia"/>
          <w:bCs/>
          <w:sz w:val="24"/>
        </w:rPr>
        <w:t>4</w:t>
      </w:r>
      <w:r>
        <w:rPr>
          <w:bCs/>
          <w:sz w:val="24"/>
        </w:rPr>
        <w:t>）执行生效的基金份额持有人大会的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（2</w:t>
      </w:r>
      <w:r>
        <w:rPr>
          <w:rFonts w:hint="eastAsia"/>
          <w:bCs/>
          <w:sz w:val="24"/>
        </w:rPr>
        <w:t>5</w:t>
      </w:r>
      <w:r>
        <w:rPr>
          <w:bCs/>
          <w:sz w:val="24"/>
        </w:rPr>
        <w:t>）建立并保存基金份额持有人名册；</w:t>
      </w:r>
    </w:p>
    <w:p>
      <w:pPr>
        <w:spacing w:line="360" w:lineRule="auto"/>
        <w:ind w:firstLine="480" w:firstLineChars="200"/>
        <w:rPr>
          <w:bCs/>
          <w:sz w:val="24"/>
        </w:rPr>
      </w:pPr>
      <w:r>
        <w:rPr>
          <w:bCs/>
          <w:sz w:val="24"/>
        </w:rPr>
        <w:t>（2</w:t>
      </w:r>
      <w:r>
        <w:rPr>
          <w:rFonts w:hint="eastAsia"/>
          <w:bCs/>
          <w:sz w:val="24"/>
        </w:rPr>
        <w:t>6</w:t>
      </w:r>
      <w:r>
        <w:rPr>
          <w:bCs/>
          <w:sz w:val="24"/>
        </w:rPr>
        <w:t>）法律法规及中国证监会规定的和《基金合同》约定的其他义务。</w:t>
      </w:r>
    </w:p>
    <w:p>
      <w:pPr>
        <w:adjustRightInd w:val="0"/>
        <w:snapToGrid w:val="0"/>
        <w:spacing w:line="360" w:lineRule="auto"/>
        <w:ind w:firstLine="480" w:firstLineChars="200"/>
        <w:jc w:val="left"/>
        <w:rPr>
          <w:bCs/>
          <w:sz w:val="24"/>
          <w:szCs w:val="24"/>
        </w:rPr>
      </w:pPr>
      <w:r>
        <w:rPr>
          <w:bCs/>
          <w:sz w:val="24"/>
          <w:szCs w:val="24"/>
        </w:rPr>
        <w:t>（三）基金托管人的权利</w:t>
      </w:r>
    </w:p>
    <w:p>
      <w:pPr>
        <w:adjustRightInd w:val="0"/>
        <w:snapToGrid w:val="0"/>
        <w:spacing w:line="360" w:lineRule="auto"/>
        <w:ind w:firstLine="480" w:firstLineChars="200"/>
        <w:jc w:val="left"/>
        <w:rPr>
          <w:bCs/>
          <w:sz w:val="24"/>
          <w:szCs w:val="24"/>
        </w:rPr>
      </w:pPr>
      <w:r>
        <w:rPr>
          <w:bCs/>
          <w:sz w:val="24"/>
          <w:szCs w:val="24"/>
        </w:rPr>
        <w:t>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账户等投资所需账户</w:t>
      </w:r>
      <w:r>
        <w:rPr>
          <w:bCs/>
          <w:sz w:val="24"/>
        </w:rPr>
        <w:t>、</w:t>
      </w:r>
      <w:r>
        <w:rPr>
          <w:rFonts w:hint="eastAsia"/>
          <w:bCs/>
          <w:sz w:val="24"/>
        </w:rPr>
        <w:t>协助开立股指期货业务相关账户及交易编码、</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szCs w:val="24"/>
        </w:rPr>
      </w:pPr>
      <w:r>
        <w:rPr>
          <w:bCs/>
          <w:sz w:val="24"/>
        </w:rPr>
        <w:t>（7）</w:t>
      </w:r>
      <w:r>
        <w:rPr>
          <w:rFonts w:hint="eastAsia"/>
          <w:bCs/>
          <w:sz w:val="24"/>
        </w:rPr>
        <w:t>法律法规及中国证监会规定的和《基金合同》约定的其他</w:t>
      </w:r>
      <w:r>
        <w:rPr>
          <w:bCs/>
          <w:sz w:val="24"/>
        </w:rPr>
        <w:t>权利。</w:t>
      </w:r>
    </w:p>
    <w:p>
      <w:pPr>
        <w:adjustRightInd w:val="0"/>
        <w:snapToGrid w:val="0"/>
        <w:spacing w:line="360" w:lineRule="auto"/>
        <w:ind w:firstLine="480" w:firstLineChars="200"/>
        <w:jc w:val="left"/>
        <w:rPr>
          <w:sz w:val="24"/>
          <w:szCs w:val="24"/>
        </w:rPr>
      </w:pPr>
      <w:r>
        <w:rPr>
          <w:bCs/>
          <w:sz w:val="24"/>
          <w:szCs w:val="24"/>
        </w:rPr>
        <w:t>（四）</w:t>
      </w:r>
      <w:r>
        <w:rPr>
          <w:sz w:val="24"/>
          <w:szCs w:val="24"/>
        </w:rPr>
        <w:t>基金托管人的义务</w:t>
      </w:r>
    </w:p>
    <w:p>
      <w:pPr>
        <w:autoSpaceDE w:val="0"/>
        <w:autoSpaceDN w:val="0"/>
        <w:adjustRightInd w:val="0"/>
        <w:snapToGrid w:val="0"/>
        <w:spacing w:line="360" w:lineRule="auto"/>
        <w:ind w:firstLine="480" w:firstLineChars="200"/>
        <w:jc w:val="left"/>
        <w:rPr>
          <w:bCs/>
          <w:sz w:val="24"/>
          <w:szCs w:val="24"/>
        </w:rPr>
      </w:pPr>
      <w:r>
        <w:rPr>
          <w:bCs/>
          <w:sz w:val="24"/>
          <w:szCs w:val="24"/>
        </w:rPr>
        <w:t>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（6）按规定开设基金财产的资金账户和证券账户</w:t>
      </w:r>
      <w:r>
        <w:rPr>
          <w:rFonts w:hint="eastAsia"/>
          <w:bCs/>
          <w:sz w:val="24"/>
        </w:rPr>
        <w:t>等投资所需账户，协助开立股指期货业务相关账户及交易编码，</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w:t>
      </w:r>
      <w:r>
        <w:rPr>
          <w:rFonts w:hint="eastAsia"/>
          <w:bCs/>
          <w:sz w:val="24"/>
        </w:rPr>
        <w:t>各类</w:t>
      </w:r>
      <w:r>
        <w:rPr>
          <w:bCs/>
          <w:sz w:val="24"/>
        </w:rPr>
        <w:t>基金份额净值</w:t>
      </w:r>
      <w:r>
        <w:rPr>
          <w:rFonts w:hint="eastAsia"/>
          <w:bCs/>
          <w:sz w:val="24"/>
        </w:rPr>
        <w:t>、基金份额</w:t>
      </w:r>
      <w:r>
        <w:rPr>
          <w:bCs/>
          <w:sz w:val="24"/>
        </w:rPr>
        <w:t>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w:t>
      </w:r>
      <w:r>
        <w:rPr>
          <w:bCs/>
          <w:sz w:val="24"/>
        </w:rPr>
        <w:t>报告和年度报告出具意见，说明基金管理人在各重要方面的运作是否严格按照《基金合同》的规定进行；如果基金管理人有未执行《基金合同》规定的行为，还应当说明基金托管人是否采取了适当的措施；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rPr>
        <w:t>15</w:t>
      </w:r>
      <w:r>
        <w:rPr>
          <w:bCs/>
          <w:sz w:val="24"/>
        </w:rPr>
        <w:t>年以上；</w:t>
      </w:r>
    </w:p>
    <w:p>
      <w:pPr>
        <w:spacing w:line="360" w:lineRule="auto"/>
        <w:ind w:firstLine="480" w:firstLineChars="200"/>
        <w:rPr>
          <w:bCs/>
          <w:sz w:val="24"/>
        </w:rPr>
      </w:pPr>
      <w:r>
        <w:rPr>
          <w:bCs/>
          <w:sz w:val="24"/>
        </w:rPr>
        <w:t>（12）建立并保存基金份额持有人名册；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基金管理人、</w:t>
      </w:r>
      <w:r>
        <w:rPr>
          <w:bCs/>
          <w:sz w:val="24"/>
        </w:rPr>
        <w:t>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（18）面临解散、依法被撤销或者被依法宣告破产时，及时报告中国证监会和银行业监督管理机构，并通知基金管理人；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（22）法律法规及中国证监会规定的和《基金合同》约定的其他义务。</w:t>
      </w:r>
    </w:p>
    <w:p>
      <w:pPr>
        <w:pStyle w:val="39"/>
        <w:adjustRightInd w:val="0"/>
        <w:snapToGrid w:val="0"/>
        <w:spacing w:afterLines="0"/>
        <w:ind w:firstLine="480"/>
        <w:jc w:val="left"/>
        <w:rPr>
          <w:szCs w:val="24"/>
        </w:rPr>
      </w:pPr>
      <w:r>
        <w:rPr>
          <w:bCs/>
          <w:szCs w:val="24"/>
        </w:rPr>
        <w:t>（五）</w:t>
      </w:r>
      <w:r>
        <w:rPr>
          <w:szCs w:val="24"/>
        </w:rPr>
        <w:t>基金份额持有人的权利</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的基金份额，即成为本基金份额持有人和《基金合同》的当事人，直至其不再持有本基金的基金份额。基金份额持有人作为《基金合同》当事人并不以在《基金合同》上书面签章或签字为必要条件。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jc w:val="left"/>
        <w:rPr>
          <w:bCs/>
          <w:sz w:val="24"/>
          <w:szCs w:val="24"/>
        </w:rPr>
      </w:pPr>
      <w:r>
        <w:rPr>
          <w:rFonts w:hint="eastAsia" w:ascii="宋体" w:hAnsi="宋体"/>
          <w:sz w:val="24"/>
        </w:rPr>
        <w:t>同一类别的</w:t>
      </w:r>
      <w:r>
        <w:rPr>
          <w:bCs/>
          <w:sz w:val="24"/>
        </w:rPr>
        <w:t>每份</w:t>
      </w:r>
      <w:r>
        <w:rPr>
          <w:rFonts w:hint="eastAsia"/>
          <w:bCs/>
          <w:sz w:val="24"/>
        </w:rPr>
        <w:t>基金份额</w:t>
      </w:r>
      <w:r>
        <w:rPr>
          <w:bCs/>
          <w:sz w:val="24"/>
        </w:rPr>
        <w:t>具有同等的合法权益。</w:t>
      </w:r>
    </w:p>
    <w:p>
      <w:pPr>
        <w:autoSpaceDE w:val="0"/>
        <w:autoSpaceDN w:val="0"/>
        <w:adjustRightInd w:val="0"/>
        <w:snapToGrid w:val="0"/>
        <w:spacing w:line="360" w:lineRule="auto"/>
        <w:ind w:firstLine="480" w:firstLineChars="200"/>
        <w:jc w:val="left"/>
        <w:rPr>
          <w:bCs/>
          <w:sz w:val="24"/>
          <w:szCs w:val="24"/>
        </w:rPr>
      </w:pPr>
      <w:r>
        <w:rPr>
          <w:bCs/>
          <w:sz w:val="24"/>
          <w:szCs w:val="24"/>
        </w:rPr>
        <w:t>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并按照基金合同和招募说明书的规定</w:t>
      </w:r>
      <w:r>
        <w:rPr>
          <w:bCs/>
          <w:sz w:val="24"/>
        </w:rPr>
        <w:t>申请赎回</w:t>
      </w:r>
      <w:r>
        <w:rPr>
          <w:rFonts w:hint="eastAsia"/>
          <w:bCs/>
          <w:sz w:val="24"/>
        </w:rPr>
        <w:t>或转让</w:t>
      </w:r>
      <w:r>
        <w:rPr>
          <w:bCs/>
          <w:sz w:val="24"/>
        </w:rPr>
        <w:t>其持有的</w:t>
      </w:r>
      <w:r>
        <w:rPr>
          <w:rFonts w:hint="eastAsia"/>
          <w:bCs/>
          <w:sz w:val="24"/>
        </w:rPr>
        <w:t>基金份额</w:t>
      </w:r>
      <w:r>
        <w:rPr>
          <w:bCs/>
          <w:sz w:val="24"/>
        </w:rPr>
        <w:t>；</w:t>
      </w:r>
    </w:p>
    <w:p>
      <w:pPr>
        <w:spacing w:line="360" w:lineRule="auto"/>
        <w:ind w:firstLine="480" w:firstLineChars="200"/>
        <w:rPr>
          <w:bCs/>
          <w:sz w:val="24"/>
        </w:rPr>
      </w:pPr>
      <w:r>
        <w:rPr>
          <w:bCs/>
          <w:sz w:val="24"/>
        </w:rPr>
        <w:t>（4）按照规定要求召开基金份额持有人大会</w:t>
      </w:r>
      <w:r>
        <w:rPr>
          <w:rFonts w:hint="eastAsia"/>
          <w:bCs/>
          <w:sz w:val="24"/>
        </w:rPr>
        <w:t>或者召集基金份额持有人大会</w:t>
      </w:r>
      <w:r>
        <w:rPr>
          <w:bCs/>
          <w:sz w:val="24"/>
        </w:rPr>
        <w:t>；</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adjustRightInd w:val="0"/>
        <w:snapToGrid w:val="0"/>
        <w:spacing w:line="360" w:lineRule="auto"/>
        <w:ind w:firstLine="480" w:firstLineChars="200"/>
        <w:jc w:val="left"/>
        <w:rPr>
          <w:sz w:val="24"/>
          <w:szCs w:val="24"/>
        </w:rPr>
      </w:pPr>
      <w:r>
        <w:rPr>
          <w:bCs/>
          <w:sz w:val="24"/>
          <w:szCs w:val="24"/>
        </w:rPr>
        <w:t>（六）</w:t>
      </w:r>
      <w:r>
        <w:rPr>
          <w:sz w:val="24"/>
          <w:szCs w:val="24"/>
        </w:rPr>
        <w:t>基金份额持有人的义务</w:t>
      </w:r>
    </w:p>
    <w:p>
      <w:pPr>
        <w:autoSpaceDE w:val="0"/>
        <w:autoSpaceDN w:val="0"/>
        <w:adjustRightInd w:val="0"/>
        <w:snapToGrid w:val="0"/>
        <w:spacing w:line="360" w:lineRule="auto"/>
        <w:ind w:firstLine="480" w:firstLineChars="200"/>
        <w:jc w:val="left"/>
        <w:rPr>
          <w:bCs/>
          <w:sz w:val="24"/>
          <w:szCs w:val="24"/>
        </w:rPr>
      </w:pPr>
      <w:r>
        <w:rPr>
          <w:bCs/>
          <w:sz w:val="24"/>
          <w:szCs w:val="24"/>
        </w:rPr>
        <w:t>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w:t>
      </w:r>
      <w:r>
        <w:rPr>
          <w:rFonts w:hint="eastAsia"/>
          <w:bCs/>
          <w:sz w:val="24"/>
        </w:rPr>
        <w:t>自主判断基金的投资价值，自主做出投资决策，</w:t>
      </w:r>
      <w:r>
        <w:rPr>
          <w:bCs/>
          <w:sz w:val="24"/>
        </w:rPr>
        <w:t>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（4）缴纳基金申购款项及法律法规和《基金合同》所规定的费用；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（7）执行生效的基金份额持有人大会的决</w:t>
      </w:r>
      <w:r>
        <w:rPr>
          <w:rFonts w:hint="eastAsia"/>
          <w:bCs/>
          <w:sz w:val="24"/>
        </w:rPr>
        <w:t>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bCs/>
          <w:sz w:val="24"/>
        </w:rPr>
      </w:pPr>
      <w:r>
        <w:rPr>
          <w:rFonts w:hint="eastAsia"/>
          <w:bCs/>
          <w:sz w:val="24"/>
        </w:rPr>
        <w:t>（9）遵守基金管理人、基金托管人、深圳证券交易所、销售机构和登记机构的相关交易及业务规则；</w:t>
      </w:r>
    </w:p>
    <w:p>
      <w:pPr>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bCs/>
          <w:sz w:val="24"/>
        </w:rPr>
        <w:t>（</w:t>
      </w:r>
      <w:r>
        <w:rPr>
          <w:rFonts w:hint="eastAsia"/>
          <w:bCs/>
          <w:sz w:val="24"/>
        </w:rPr>
        <w:t>11</w:t>
      </w:r>
      <w:r>
        <w:rPr>
          <w:bCs/>
          <w:sz w:val="24"/>
        </w:rPr>
        <w:t>）法律法规及中国证监会规定的和《基金合同》约定的其他义务。</w:t>
      </w:r>
    </w:p>
    <w:p>
      <w:pPr>
        <w:adjustRightInd w:val="0"/>
        <w:snapToGrid w:val="0"/>
        <w:spacing w:line="360" w:lineRule="auto"/>
        <w:ind w:firstLine="482" w:firstLineChars="200"/>
        <w:jc w:val="left"/>
        <w:rPr>
          <w:b/>
          <w:bCs/>
          <w:sz w:val="24"/>
          <w:szCs w:val="24"/>
        </w:rPr>
      </w:pPr>
      <w:r>
        <w:rPr>
          <w:b/>
          <w:bCs/>
          <w:sz w:val="24"/>
          <w:szCs w:val="24"/>
        </w:rPr>
        <w:t>二、基金份额持有人大会召集、议事及表决的程序和规则</w:t>
      </w:r>
    </w:p>
    <w:p>
      <w:pPr>
        <w:spacing w:line="360" w:lineRule="auto"/>
        <w:ind w:firstLine="480" w:firstLineChars="200"/>
        <w:rPr>
          <w:bCs/>
          <w:sz w:val="24"/>
        </w:rPr>
      </w:pPr>
      <w:r>
        <w:rPr>
          <w:bCs/>
          <w:sz w:val="24"/>
        </w:rPr>
        <w:t>基金份额持有人大会由基金份额持有人组成，基金份额持有人的合法授权代表有权代表基金份额持有人出席会议并表决。</w:t>
      </w:r>
      <w:r>
        <w:rPr>
          <w:rFonts w:hint="eastAsia"/>
          <w:bCs/>
          <w:sz w:val="24"/>
        </w:rPr>
        <w:t>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adjustRightInd w:val="0"/>
        <w:snapToGrid w:val="0"/>
        <w:spacing w:line="360" w:lineRule="auto"/>
        <w:ind w:firstLine="480" w:firstLineChars="200"/>
        <w:jc w:val="left"/>
        <w:rPr>
          <w:bCs/>
          <w:sz w:val="24"/>
          <w:szCs w:val="24"/>
        </w:rPr>
      </w:pPr>
      <w:r>
        <w:rPr>
          <w:bCs/>
          <w:sz w:val="24"/>
          <w:szCs w:val="24"/>
        </w:rPr>
        <w:t>（一）召开事由</w:t>
      </w:r>
    </w:p>
    <w:p>
      <w:pPr>
        <w:adjustRightInd w:val="0"/>
        <w:snapToGrid w:val="0"/>
        <w:spacing w:line="360" w:lineRule="auto"/>
        <w:ind w:firstLine="480" w:firstLineChars="200"/>
        <w:jc w:val="left"/>
        <w:rPr>
          <w:bCs/>
          <w:sz w:val="24"/>
          <w:szCs w:val="24"/>
        </w:rPr>
      </w:pPr>
      <w:r>
        <w:rPr>
          <w:bCs/>
          <w:sz w:val="24"/>
          <w:szCs w:val="24"/>
        </w:rPr>
        <w:t>1、当出现或需要决定下列事由之一的，应当召开基金份额持有人大会</w:t>
      </w:r>
      <w:r>
        <w:rPr>
          <w:rFonts w:hint="eastAsia"/>
          <w:bCs/>
          <w:sz w:val="24"/>
          <w:szCs w:val="24"/>
        </w:rPr>
        <w:t>，法律法规、基金合同和中国证监会另有规定的除外</w:t>
      </w:r>
      <w:r>
        <w:rPr>
          <w:bCs/>
          <w:sz w:val="24"/>
          <w:szCs w:val="24"/>
        </w:rPr>
        <w:t>：</w:t>
      </w:r>
    </w:p>
    <w:p>
      <w:pPr>
        <w:spacing w:line="360" w:lineRule="auto"/>
        <w:ind w:firstLine="480" w:firstLineChars="200"/>
        <w:rPr>
          <w:bCs/>
          <w:sz w:val="24"/>
        </w:rPr>
      </w:pPr>
      <w:r>
        <w:rPr>
          <w:bCs/>
          <w:sz w:val="24"/>
        </w:rPr>
        <w:t>（1）终止《基金合同》；</w:t>
      </w:r>
    </w:p>
    <w:p>
      <w:pPr>
        <w:spacing w:line="360" w:lineRule="auto"/>
        <w:ind w:firstLine="480" w:firstLineChars="200"/>
        <w:rPr>
          <w:bCs/>
          <w:sz w:val="24"/>
        </w:rPr>
      </w:pPr>
      <w:r>
        <w:rPr>
          <w:bCs/>
          <w:sz w:val="24"/>
        </w:rPr>
        <w:t>（2）更换基金管理人；</w:t>
      </w:r>
    </w:p>
    <w:p>
      <w:pPr>
        <w:spacing w:line="360" w:lineRule="auto"/>
        <w:ind w:firstLine="480" w:firstLineChars="200"/>
        <w:rPr>
          <w:bCs/>
          <w:sz w:val="24"/>
        </w:rPr>
      </w:pPr>
      <w:r>
        <w:rPr>
          <w:bCs/>
          <w:sz w:val="24"/>
        </w:rPr>
        <w:t>（3）更换基金托管人；</w:t>
      </w:r>
    </w:p>
    <w:p>
      <w:pPr>
        <w:spacing w:line="360" w:lineRule="auto"/>
        <w:ind w:firstLine="480" w:firstLineChars="200"/>
        <w:rPr>
          <w:bCs/>
          <w:sz w:val="24"/>
        </w:rPr>
      </w:pPr>
      <w:r>
        <w:rPr>
          <w:bCs/>
          <w:sz w:val="24"/>
        </w:rPr>
        <w:t>（4）转换基金运作方式；</w:t>
      </w:r>
    </w:p>
    <w:p>
      <w:pPr>
        <w:spacing w:line="360" w:lineRule="auto"/>
        <w:ind w:firstLine="480" w:firstLineChars="200"/>
        <w:rPr>
          <w:bCs/>
          <w:sz w:val="24"/>
        </w:rPr>
      </w:pPr>
      <w:r>
        <w:rPr>
          <w:bCs/>
          <w:sz w:val="24"/>
        </w:rPr>
        <w:t>（5）提高基金管理人、基金托管人的报酬标准</w:t>
      </w:r>
      <w:r>
        <w:rPr>
          <w:rFonts w:hint="eastAsia"/>
          <w:bCs/>
          <w:sz w:val="24"/>
        </w:rPr>
        <w:t>或提高销售服务费率</w:t>
      </w:r>
      <w:r>
        <w:rPr>
          <w:bCs/>
          <w:sz w:val="24"/>
        </w:rPr>
        <w:t>；</w:t>
      </w:r>
    </w:p>
    <w:p>
      <w:pPr>
        <w:spacing w:line="360" w:lineRule="auto"/>
        <w:ind w:firstLine="480" w:firstLineChars="200"/>
        <w:rPr>
          <w:bCs/>
          <w:sz w:val="24"/>
        </w:rPr>
      </w:pPr>
      <w:r>
        <w:rPr>
          <w:bCs/>
          <w:sz w:val="24"/>
        </w:rPr>
        <w:t>（6）变更基金类别；</w:t>
      </w:r>
    </w:p>
    <w:p>
      <w:pPr>
        <w:spacing w:line="360" w:lineRule="auto"/>
        <w:ind w:firstLine="480" w:firstLineChars="200"/>
        <w:rPr>
          <w:bCs/>
          <w:sz w:val="24"/>
        </w:rPr>
      </w:pPr>
      <w:r>
        <w:rPr>
          <w:bCs/>
          <w:sz w:val="24"/>
        </w:rPr>
        <w:t>（7）本基金与其他基金的合并；</w:t>
      </w:r>
    </w:p>
    <w:p>
      <w:pPr>
        <w:spacing w:line="360" w:lineRule="auto"/>
        <w:ind w:firstLine="480" w:firstLineChars="200"/>
        <w:rPr>
          <w:bCs/>
          <w:sz w:val="24"/>
        </w:rPr>
      </w:pPr>
      <w:r>
        <w:rPr>
          <w:bCs/>
          <w:sz w:val="24"/>
        </w:rPr>
        <w:t>（8）变更基金投资目标、范围或策略；</w:t>
      </w:r>
    </w:p>
    <w:p>
      <w:pPr>
        <w:spacing w:line="360" w:lineRule="auto"/>
        <w:ind w:firstLine="480" w:firstLineChars="200"/>
        <w:rPr>
          <w:bCs/>
          <w:sz w:val="24"/>
        </w:rPr>
      </w:pPr>
      <w:r>
        <w:rPr>
          <w:bCs/>
          <w:sz w:val="24"/>
        </w:rPr>
        <w:t>（9）变更基金份额持有人大会程序；</w:t>
      </w:r>
    </w:p>
    <w:p>
      <w:pPr>
        <w:spacing w:line="360" w:lineRule="auto"/>
        <w:ind w:firstLine="480" w:firstLineChars="200"/>
        <w:rPr>
          <w:bCs/>
          <w:sz w:val="24"/>
        </w:rPr>
      </w:pPr>
      <w:r>
        <w:rPr>
          <w:bCs/>
          <w:sz w:val="24"/>
        </w:rPr>
        <w:t>（10）基金管理人或基金托管人要求召开基金份额持有人大会；</w:t>
      </w:r>
    </w:p>
    <w:p>
      <w:pPr>
        <w:spacing w:line="360" w:lineRule="auto"/>
        <w:ind w:firstLine="480" w:firstLineChars="200"/>
        <w:rPr>
          <w:bCs/>
          <w:sz w:val="24"/>
        </w:rPr>
      </w:pPr>
      <w:r>
        <w:rPr>
          <w:rFonts w:hint="eastAsia"/>
          <w:bCs/>
          <w:sz w:val="24"/>
        </w:rPr>
        <w:t>（11）终止基金上市，但因基金不再具备上市条件而被深圳证券交易所终止上市的除外；</w:t>
      </w:r>
    </w:p>
    <w:p>
      <w:pPr>
        <w:spacing w:line="360" w:lineRule="auto"/>
        <w:ind w:firstLine="480" w:firstLineChars="200"/>
        <w:rPr>
          <w:bCs/>
          <w:sz w:val="24"/>
        </w:rPr>
      </w:pPr>
      <w:r>
        <w:rPr>
          <w:bCs/>
          <w:sz w:val="24"/>
        </w:rPr>
        <w:t>（1</w:t>
      </w:r>
      <w:r>
        <w:rPr>
          <w:rFonts w:hint="eastAsia"/>
          <w:bCs/>
          <w:sz w:val="24"/>
        </w:rPr>
        <w:t>2</w:t>
      </w:r>
      <w:r>
        <w:rPr>
          <w:bCs/>
          <w:sz w:val="24"/>
        </w:rPr>
        <w:t>）单独或合计持有本基金总份额10%以上（含10%）基金份额的基金份额持有人（</w:t>
      </w:r>
      <w:r>
        <w:rPr>
          <w:rFonts w:hint="eastAsia"/>
          <w:bCs/>
          <w:sz w:val="24"/>
        </w:rPr>
        <w:t>以基金管理人收到提议当日的基金份额计算，下同</w:t>
      </w:r>
      <w:r>
        <w:rPr>
          <w:bCs/>
          <w:sz w:val="24"/>
        </w:rPr>
        <w:t>）就同一事项书面要求召开基金份额持有人大会；</w:t>
      </w:r>
    </w:p>
    <w:p>
      <w:pPr>
        <w:spacing w:line="360" w:lineRule="auto"/>
        <w:ind w:firstLine="480" w:firstLineChars="200"/>
        <w:rPr>
          <w:bCs/>
          <w:sz w:val="24"/>
        </w:rPr>
      </w:pP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pPr>
        <w:spacing w:line="360" w:lineRule="auto"/>
        <w:ind w:firstLine="480" w:firstLineChars="200"/>
        <w:rPr>
          <w:bCs/>
          <w:sz w:val="24"/>
        </w:rPr>
      </w:pPr>
      <w:r>
        <w:rPr>
          <w:bCs/>
          <w:sz w:val="24"/>
        </w:rPr>
        <w:t>（1</w:t>
      </w:r>
      <w:r>
        <w:rPr>
          <w:rFonts w:hint="eastAsia"/>
          <w:bCs/>
          <w:sz w:val="24"/>
        </w:rPr>
        <w:t>4</w:t>
      </w:r>
      <w:r>
        <w:rPr>
          <w:bCs/>
          <w:sz w:val="24"/>
        </w:rPr>
        <w:t>）法律法规、《基金合同》或中国证监会规定的其他应当召开基金份额持有人大会的事项。</w:t>
      </w:r>
    </w:p>
    <w:p>
      <w:pPr>
        <w:adjustRightInd w:val="0"/>
        <w:snapToGrid w:val="0"/>
        <w:spacing w:line="360" w:lineRule="auto"/>
        <w:ind w:firstLine="480" w:firstLineChars="200"/>
        <w:jc w:val="left"/>
        <w:rPr>
          <w:bCs/>
          <w:sz w:val="24"/>
          <w:szCs w:val="24"/>
        </w:rPr>
      </w:pPr>
      <w:r>
        <w:rPr>
          <w:bCs/>
          <w:sz w:val="24"/>
          <w:szCs w:val="24"/>
        </w:rPr>
        <w:t>2、</w:t>
      </w:r>
      <w:r>
        <w:rPr>
          <w:rFonts w:hint="eastAsia"/>
          <w:bCs/>
          <w:sz w:val="24"/>
        </w:rPr>
        <w:t>在符合法律法规及本基金合同规定、并且对基金份额持有人利益无实质不利影响的前提下，</w:t>
      </w:r>
      <w:r>
        <w:rPr>
          <w:bCs/>
          <w:sz w:val="24"/>
          <w:szCs w:val="24"/>
        </w:rPr>
        <w:t>以下情况可由基金管理人和基金托管人协商后修改，不需召开基金份额持有人大会：</w:t>
      </w:r>
    </w:p>
    <w:p>
      <w:pPr>
        <w:spacing w:line="360" w:lineRule="auto"/>
        <w:ind w:firstLine="480" w:firstLineChars="200"/>
        <w:rPr>
          <w:bCs/>
          <w:sz w:val="24"/>
        </w:rPr>
      </w:pPr>
      <w:r>
        <w:rPr>
          <w:bCs/>
          <w:sz w:val="24"/>
        </w:rPr>
        <w:t>（1）法律法规要求增加的基金费用的收取；</w:t>
      </w:r>
    </w:p>
    <w:p>
      <w:pPr>
        <w:spacing w:line="360" w:lineRule="auto"/>
        <w:ind w:firstLine="480" w:firstLineChars="200"/>
        <w:rPr>
          <w:bCs/>
          <w:sz w:val="24"/>
        </w:rPr>
      </w:pPr>
      <w:r>
        <w:rPr>
          <w:bCs/>
          <w:sz w:val="24"/>
        </w:rPr>
        <w:t>（</w:t>
      </w:r>
      <w:r>
        <w:rPr>
          <w:rFonts w:hint="eastAsia"/>
          <w:bCs/>
          <w:sz w:val="24"/>
        </w:rPr>
        <w:t>2</w:t>
      </w:r>
      <w:r>
        <w:rPr>
          <w:bCs/>
          <w:sz w:val="24"/>
        </w:rPr>
        <w:t>）在法律法规和《基金合同》规定的范围内调整</w:t>
      </w:r>
      <w:r>
        <w:rPr>
          <w:rFonts w:hint="eastAsia"/>
          <w:bCs/>
          <w:sz w:val="24"/>
        </w:rPr>
        <w:t>本基金</w:t>
      </w:r>
      <w:r>
        <w:rPr>
          <w:bCs/>
          <w:sz w:val="24"/>
        </w:rPr>
        <w:t>的申购费率、调低赎回费率</w:t>
      </w:r>
      <w:r>
        <w:rPr>
          <w:rFonts w:hint="eastAsia"/>
          <w:bCs/>
          <w:sz w:val="24"/>
        </w:rPr>
        <w:t>及销售服务费率、在对现有基金份额持有人利益无实质性不利影响的前提下变更或增加收费方式</w:t>
      </w:r>
      <w:r>
        <w:rPr>
          <w:bCs/>
          <w:sz w:val="24"/>
        </w:rPr>
        <w:t>；</w:t>
      </w:r>
    </w:p>
    <w:p>
      <w:pPr>
        <w:spacing w:line="360" w:lineRule="auto"/>
        <w:ind w:firstLine="480" w:firstLineChars="200"/>
        <w:rPr>
          <w:bCs/>
          <w:sz w:val="24"/>
        </w:rPr>
      </w:pPr>
      <w:r>
        <w:rPr>
          <w:rFonts w:hint="eastAsia"/>
          <w:bCs/>
          <w:sz w:val="24"/>
        </w:rPr>
        <w:t>（3）调整基金份额类别设置、对基金份额分类办法及规则进行调整；</w:t>
      </w:r>
    </w:p>
    <w:p>
      <w:pPr>
        <w:spacing w:line="360" w:lineRule="auto"/>
        <w:ind w:firstLine="480" w:firstLineChars="200"/>
        <w:rPr>
          <w:bCs/>
          <w:sz w:val="24"/>
        </w:rPr>
      </w:pPr>
      <w:r>
        <w:rPr>
          <w:rFonts w:hint="eastAsia"/>
          <w:bCs/>
          <w:sz w:val="24"/>
        </w:rPr>
        <w:t>（</w:t>
      </w:r>
      <w:r>
        <w:rPr>
          <w:bCs/>
          <w:sz w:val="24"/>
        </w:rPr>
        <w:t>4</w:t>
      </w:r>
      <w:r>
        <w:rPr>
          <w:rFonts w:hint="eastAsia"/>
          <w:bCs/>
          <w:sz w:val="24"/>
        </w:rPr>
        <w:t>）标的指数供应商根据相应指数使用许可协议变更标的指数许可使用费费率和计费方式；</w:t>
      </w:r>
    </w:p>
    <w:p>
      <w:pPr>
        <w:spacing w:line="360" w:lineRule="auto"/>
        <w:ind w:firstLine="480" w:firstLineChars="200"/>
        <w:rPr>
          <w:bCs/>
          <w:sz w:val="24"/>
        </w:rPr>
      </w:pPr>
      <w:r>
        <w:rPr>
          <w:bCs/>
          <w:sz w:val="24"/>
        </w:rPr>
        <w:t>（5）因相应的法律法规、深圳证券交易所或登记机构的相关业务规则发生变动而应当对《基金合同》进行修改；</w:t>
      </w:r>
    </w:p>
    <w:p>
      <w:pPr>
        <w:spacing w:line="360" w:lineRule="auto"/>
        <w:ind w:firstLine="480" w:firstLineChars="200"/>
        <w:rPr>
          <w:bCs/>
          <w:sz w:val="24"/>
        </w:rPr>
      </w:pPr>
      <w:r>
        <w:rPr>
          <w:bCs/>
          <w:sz w:val="24"/>
        </w:rPr>
        <w:t>（6）对《基金合同》的修改对基金份额持有人利益无实质性不利影响或修改不涉及《基金合同》当事人权利义务关系发生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bCs/>
          <w:sz w:val="24"/>
        </w:rPr>
      </w:pPr>
      <w:r>
        <w:rPr>
          <w:rFonts w:hint="eastAsia"/>
          <w:bCs/>
          <w:sz w:val="24"/>
        </w:rPr>
        <w:t>（</w:t>
      </w:r>
      <w:r>
        <w:rPr>
          <w:bCs/>
          <w:sz w:val="24"/>
        </w:rPr>
        <w:t>7</w:t>
      </w:r>
      <w:r>
        <w:rPr>
          <w:rFonts w:hint="eastAsia"/>
          <w:bCs/>
          <w:sz w:val="24"/>
        </w:rPr>
        <w:t>）在法律法规允许的情况下基金推出新业务或服务，且对基金份额持有人利益无实质性不利影响；</w:t>
      </w:r>
    </w:p>
    <w:p>
      <w:pPr>
        <w:spacing w:line="360" w:lineRule="auto"/>
        <w:ind w:firstLine="480" w:firstLineChars="200"/>
        <w:rPr>
          <w:bCs/>
          <w:sz w:val="24"/>
        </w:rPr>
      </w:pPr>
      <w:r>
        <w:rPr>
          <w:rFonts w:hint="eastAsia"/>
          <w:bCs/>
          <w:sz w:val="24"/>
        </w:rPr>
        <w:t>（</w:t>
      </w:r>
      <w:r>
        <w:rPr>
          <w:bCs/>
          <w:sz w:val="24"/>
        </w:rPr>
        <w:t>8</w:t>
      </w:r>
      <w:r>
        <w:rPr>
          <w:rFonts w:hint="eastAsia"/>
          <w:bCs/>
          <w:sz w:val="24"/>
        </w:rPr>
        <w:t>）变更标的指数对基金投资范围和投资策略无实质性影响（包括但不限于指数编制单位变更、指数更名等事项），且对基金份额持有人利益无实质性不利影响；</w:t>
      </w:r>
    </w:p>
    <w:p>
      <w:pPr>
        <w:spacing w:line="360" w:lineRule="auto"/>
        <w:ind w:firstLine="480" w:firstLineChars="200"/>
        <w:rPr>
          <w:bCs/>
          <w:sz w:val="24"/>
        </w:rPr>
      </w:pPr>
      <w:r>
        <w:rPr>
          <w:rFonts w:hint="eastAsia"/>
          <w:bCs/>
          <w:sz w:val="24"/>
        </w:rPr>
        <w:t>（</w:t>
      </w:r>
      <w:r>
        <w:rPr>
          <w:bCs/>
          <w:sz w:val="24"/>
        </w:rPr>
        <w:t>9</w:t>
      </w:r>
      <w:r>
        <w:rPr>
          <w:rFonts w:hint="eastAsia"/>
          <w:bCs/>
          <w:sz w:val="24"/>
        </w:rPr>
        <w:t>）基金管理人、登记机构、深圳证券交易所、销售机构在法律法规规定的范围内调整有关基金申购、赎回、转换、非交易过户、转托管、上市交易等业务的规则；</w:t>
      </w:r>
    </w:p>
    <w:p>
      <w:pPr>
        <w:spacing w:line="360" w:lineRule="auto"/>
        <w:ind w:firstLine="480" w:firstLineChars="200"/>
        <w:rPr>
          <w:bCs/>
          <w:sz w:val="24"/>
        </w:rPr>
      </w:pPr>
      <w:r>
        <w:rPr>
          <w:rFonts w:hint="eastAsia"/>
          <w:bCs/>
          <w:sz w:val="24"/>
        </w:rPr>
        <w:t>（</w:t>
      </w:r>
      <w:r>
        <w:rPr>
          <w:bCs/>
          <w:sz w:val="24"/>
        </w:rPr>
        <w:t>10</w:t>
      </w:r>
      <w:r>
        <w:rPr>
          <w:rFonts w:hint="eastAsia"/>
          <w:bCs/>
          <w:sz w:val="24"/>
        </w:rPr>
        <w:t>）</w:t>
      </w:r>
      <w:r>
        <w:rPr>
          <w:bCs/>
          <w:sz w:val="24"/>
        </w:rPr>
        <w:t>按照法律法规和《基金合同》规定不需召开基金份额持有人大会的以外的其他情形。</w:t>
      </w:r>
    </w:p>
    <w:p>
      <w:pPr>
        <w:adjustRightInd w:val="0"/>
        <w:snapToGrid w:val="0"/>
        <w:spacing w:before="156" w:beforeLines="50" w:line="360" w:lineRule="auto"/>
        <w:ind w:firstLine="480" w:firstLineChars="200"/>
        <w:jc w:val="left"/>
        <w:rPr>
          <w:bCs/>
          <w:sz w:val="24"/>
          <w:szCs w:val="24"/>
        </w:rPr>
      </w:pPr>
      <w:r>
        <w:rPr>
          <w:bCs/>
          <w:sz w:val="24"/>
          <w:szCs w:val="24"/>
        </w:rPr>
        <w:t>（二）</w:t>
      </w:r>
      <w:r>
        <w:rPr>
          <w:rFonts w:hint="eastAsia"/>
          <w:bCs/>
          <w:sz w:val="24"/>
          <w:szCs w:val="24"/>
        </w:rPr>
        <w:t>会议</w:t>
      </w:r>
      <w:r>
        <w:rPr>
          <w:bCs/>
          <w:sz w:val="24"/>
          <w:szCs w:val="24"/>
        </w:rPr>
        <w:t>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2、基金管理人未按规定召集或不能召集时，由基金托管人召集；</w:t>
      </w:r>
    </w:p>
    <w:p>
      <w:pPr>
        <w:adjustRightInd w:val="0"/>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bCs/>
          <w:sz w:val="24"/>
        </w:rPr>
        <w:t>60</w:t>
      </w:r>
      <w:r>
        <w:rPr>
          <w:rFonts w:hint="eastAsia"/>
          <w:bCs/>
          <w:sz w:val="24"/>
        </w:rPr>
        <w:t>日内召开并告知基金管理人，基金管理人应当配合；</w:t>
      </w:r>
    </w:p>
    <w:p>
      <w:pPr>
        <w:adjustRightInd w:val="0"/>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w:t>
      </w:r>
      <w:r>
        <w:rPr>
          <w:rFonts w:hint="eastAsia"/>
          <w:bCs/>
          <w:sz w:val="24"/>
        </w:rPr>
        <w:t>并告知基金管理人，基金管理人应当配合；</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spacing w:line="360" w:lineRule="auto"/>
        <w:ind w:firstLine="480" w:firstLineChars="200"/>
        <w:rPr>
          <w:bCs/>
          <w:sz w:val="24"/>
        </w:rPr>
      </w:pPr>
      <w:r>
        <w:rPr>
          <w:bCs/>
          <w:sz w:val="24"/>
        </w:rPr>
        <w:t>6、基金份额持有人会议的召集人负责选择确定开会时间、地点、方式和权益登记日。</w:t>
      </w:r>
    </w:p>
    <w:p>
      <w:pPr>
        <w:adjustRightInd w:val="0"/>
        <w:snapToGrid w:val="0"/>
        <w:spacing w:line="360" w:lineRule="auto"/>
        <w:ind w:firstLine="480" w:firstLineChars="200"/>
        <w:jc w:val="left"/>
        <w:rPr>
          <w:bCs/>
          <w:sz w:val="24"/>
          <w:szCs w:val="24"/>
        </w:rPr>
      </w:pPr>
      <w:r>
        <w:rPr>
          <w:bCs/>
          <w:sz w:val="24"/>
          <w:szCs w:val="24"/>
        </w:rPr>
        <w:t>（三）召开基金份额持有人大会的通知时间、通知内容、通知方式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日，在指定媒介公告。基金份额持有人大会通知应至少载明以下内容：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jc w:val="left"/>
        <w:rPr>
          <w:bCs/>
          <w:sz w:val="24"/>
          <w:szCs w:val="24"/>
        </w:rPr>
      </w:pPr>
      <w:r>
        <w:rPr>
          <w:bCs/>
          <w:sz w:val="24"/>
          <w:szCs w:val="24"/>
        </w:rPr>
        <w:t>（四）基金份额持有人出席会议的方式</w:t>
      </w:r>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w:t>
      </w:r>
      <w:r>
        <w:rPr>
          <w:rFonts w:hint="eastAsia" w:ascii="宋体" w:hAnsi="宋体"/>
          <w:sz w:val="24"/>
        </w:rPr>
        <w:t>或法律法规和监管机关允许的其他方式</w:t>
      </w:r>
      <w:r>
        <w:rPr>
          <w:bCs/>
          <w:sz w:val="24"/>
        </w:rPr>
        <w:t>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2、通讯开会。通讯开会系指基金份额持有人将其对表决事项的投票以书面形式在表决截至日以前送达至召集人指定的地址。通讯开会应以书面方式进行表决。</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spacing w:line="360" w:lineRule="auto"/>
        <w:ind w:firstLine="540" w:firstLineChars="225"/>
        <w:rPr>
          <w:bCs/>
          <w:sz w:val="24"/>
        </w:rPr>
      </w:pPr>
      <w:r>
        <w:rPr>
          <w:bCs/>
          <w:sz w:val="24"/>
        </w:rPr>
        <w:t>（3）本人直接出具书面意见或授权他人代表出具书面意见的，基金份额持有人所持有的</w:t>
      </w:r>
      <w:r>
        <w:rPr>
          <w:rFonts w:hint="eastAsia"/>
          <w:bCs/>
          <w:sz w:val="24"/>
        </w:rPr>
        <w:t>基金份额</w:t>
      </w:r>
      <w:r>
        <w:rPr>
          <w:bCs/>
          <w:sz w:val="24"/>
        </w:rPr>
        <w:t>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w:t>
      </w:r>
      <w:r>
        <w:rPr>
          <w:rFonts w:hint="eastAsia"/>
          <w:bCs/>
          <w:sz w:val="24"/>
        </w:rPr>
        <w:t>的</w:t>
      </w:r>
      <w:r>
        <w:rPr>
          <w:bCs/>
          <w:sz w:val="24"/>
        </w:rPr>
        <w:t>基金份额持有人所持有的</w:t>
      </w:r>
      <w:r>
        <w:rPr>
          <w:rFonts w:hint="eastAsia"/>
          <w:bCs/>
          <w:sz w:val="24"/>
        </w:rPr>
        <w:t>基金份额</w:t>
      </w:r>
      <w:r>
        <w:rPr>
          <w:bCs/>
          <w:sz w:val="24"/>
        </w:rPr>
        <w:t>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基金总份额三分之一以上（含三分之一）基金份额的持有人直接出具书面意见或授权他人代表出具书面意见；</w:t>
      </w:r>
    </w:p>
    <w:p>
      <w:pPr>
        <w:spacing w:line="360" w:lineRule="auto"/>
        <w:ind w:firstLine="480" w:firstLineChars="200"/>
        <w:rPr>
          <w:bCs/>
          <w:sz w:val="24"/>
        </w:rPr>
      </w:pPr>
      <w:r>
        <w:rPr>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pPr>
        <w:spacing w:line="360" w:lineRule="auto"/>
        <w:ind w:firstLine="480"/>
        <w:rPr>
          <w:bCs/>
          <w:sz w:val="24"/>
        </w:rPr>
      </w:pPr>
      <w:r>
        <w:rPr>
          <w:rFonts w:hint="eastAsia"/>
          <w:bCs/>
          <w:sz w:val="24"/>
          <w:szCs w:val="24"/>
        </w:rPr>
        <w:t>3、在法律法规和监管机关允许的情况下，经会议通知载明，</w:t>
      </w:r>
      <w:r>
        <w:rPr>
          <w:rFonts w:hAnsi="宋体"/>
          <w:bCs/>
          <w:sz w:val="24"/>
        </w:rPr>
        <w:t>本基金可采用网络、电话</w:t>
      </w:r>
      <w:r>
        <w:rPr>
          <w:rFonts w:hint="eastAsia" w:hAnsi="宋体"/>
          <w:bCs/>
          <w:sz w:val="24"/>
        </w:rPr>
        <w:t>、短信</w:t>
      </w:r>
      <w:r>
        <w:rPr>
          <w:rFonts w:hAnsi="宋体"/>
          <w:bCs/>
          <w:sz w:val="24"/>
        </w:rPr>
        <w:t>等其他非书面方式由基金份额持有人向其授权代表进行授权</w:t>
      </w:r>
      <w:r>
        <w:rPr>
          <w:rFonts w:hint="eastAsia" w:hAnsi="宋体"/>
          <w:bCs/>
          <w:sz w:val="24"/>
        </w:rPr>
        <w:t>；</w:t>
      </w:r>
      <w:r>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jc w:val="left"/>
        <w:rPr>
          <w:bCs/>
          <w:sz w:val="24"/>
          <w:szCs w:val="24"/>
        </w:rPr>
      </w:pPr>
      <w:r>
        <w:rPr>
          <w:rFonts w:hint="eastAsia"/>
          <w:bCs/>
          <w:sz w:val="24"/>
          <w:szCs w:val="24"/>
        </w:rPr>
        <w:t>（五）议事内容与程序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szCs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adjustRightInd w:val="0"/>
        <w:snapToGrid w:val="0"/>
        <w:spacing w:line="360" w:lineRule="auto"/>
        <w:ind w:firstLine="480" w:firstLineChars="200"/>
        <w:jc w:val="left"/>
        <w:rPr>
          <w:bCs/>
          <w:sz w:val="24"/>
          <w:szCs w:val="24"/>
        </w:rPr>
      </w:pPr>
      <w:r>
        <w:rPr>
          <w:bCs/>
          <w:sz w:val="24"/>
          <w:szCs w:val="24"/>
        </w:rPr>
        <w:t>（六）表决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adjustRightInd w:val="0"/>
        <w:snapToGrid w:val="0"/>
        <w:spacing w:line="360" w:lineRule="auto"/>
        <w:ind w:firstLine="480" w:firstLineChars="200"/>
        <w:jc w:val="left"/>
        <w:rPr>
          <w:bCs/>
          <w:sz w:val="24"/>
          <w:szCs w:val="24"/>
        </w:rPr>
      </w:pPr>
      <w:r>
        <w:rPr>
          <w:rFonts w:hint="eastAsia"/>
          <w:bCs/>
          <w:sz w:val="24"/>
          <w:szCs w:val="24"/>
        </w:rPr>
        <w:t>（七）计票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jc w:val="left"/>
        <w:rPr>
          <w:bCs/>
          <w:sz w:val="24"/>
          <w:szCs w:val="24"/>
        </w:rPr>
      </w:pPr>
      <w:r>
        <w:rPr>
          <w:rFonts w:hint="eastAsia"/>
          <w:bCs/>
          <w:sz w:val="24"/>
          <w:szCs w:val="24"/>
        </w:rPr>
        <w:t>（</w:t>
      </w:r>
      <w:r>
        <w:rPr>
          <w:bCs/>
          <w:sz w:val="24"/>
          <w:szCs w:val="24"/>
        </w:rPr>
        <w:t>八</w:t>
      </w:r>
      <w:r>
        <w:rPr>
          <w:rFonts w:hint="eastAsia"/>
          <w:bCs/>
          <w:sz w:val="24"/>
          <w:szCs w:val="24"/>
        </w:rPr>
        <w:t>）</w:t>
      </w:r>
      <w:r>
        <w:rPr>
          <w:bCs/>
          <w:sz w:val="24"/>
          <w:szCs w:val="24"/>
        </w:rPr>
        <w:t>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w:t>
      </w:r>
      <w:r>
        <w:rPr>
          <w:rFonts w:hint="eastAsia"/>
          <w:bCs/>
          <w:sz w:val="24"/>
        </w:rPr>
        <w:t>表决通过</w:t>
      </w:r>
      <w:r>
        <w:rPr>
          <w:bCs/>
          <w:sz w:val="24"/>
        </w:rPr>
        <w:t>之日起生效。</w:t>
      </w:r>
    </w:p>
    <w:p>
      <w:pPr>
        <w:spacing w:line="360" w:lineRule="auto"/>
        <w:ind w:firstLine="480" w:firstLineChars="20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jc w:val="left"/>
        <w:rPr>
          <w:bCs/>
          <w:sz w:val="24"/>
          <w:szCs w:val="24"/>
        </w:rPr>
      </w:pPr>
      <w:r>
        <w:rPr>
          <w:rFonts w:hint="eastAsia"/>
          <w:bCs/>
          <w:sz w:val="24"/>
          <w:szCs w:val="24"/>
        </w:rPr>
        <w:t>（九）</w:t>
      </w:r>
      <w:r>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pPr>
        <w:pStyle w:val="39"/>
        <w:adjustRightInd w:val="0"/>
        <w:snapToGrid w:val="0"/>
        <w:spacing w:afterLines="0"/>
        <w:ind w:firstLine="482"/>
        <w:jc w:val="left"/>
        <w:rPr>
          <w:b/>
          <w:szCs w:val="24"/>
        </w:rPr>
      </w:pPr>
      <w:r>
        <w:rPr>
          <w:b/>
          <w:szCs w:val="24"/>
        </w:rPr>
        <w:t>三、基金收益分配原则、执行方式</w:t>
      </w:r>
    </w:p>
    <w:p>
      <w:pPr>
        <w:spacing w:line="360" w:lineRule="auto"/>
        <w:ind w:firstLine="480" w:firstLineChars="200"/>
        <w:rPr>
          <w:sz w:val="24"/>
        </w:rPr>
      </w:pPr>
      <w:r>
        <w:rPr>
          <w:rFonts w:hAnsi="宋体"/>
          <w:sz w:val="24"/>
        </w:rPr>
        <w:t>（一）基金收益分配原则</w:t>
      </w:r>
    </w:p>
    <w:p>
      <w:pPr>
        <w:spacing w:line="360" w:lineRule="auto"/>
        <w:ind w:firstLine="540" w:firstLineChars="225"/>
        <w:rPr>
          <w:bCs/>
          <w:sz w:val="24"/>
        </w:rPr>
      </w:pPr>
      <w:r>
        <w:rPr>
          <w:rFonts w:hint="eastAsia"/>
          <w:bCs/>
          <w:sz w:val="24"/>
        </w:rPr>
        <w:t>1、若《基金合同》生效不满3个月可不进行收益分配；</w:t>
      </w:r>
    </w:p>
    <w:p>
      <w:pPr>
        <w:spacing w:line="360" w:lineRule="auto"/>
        <w:ind w:firstLine="540" w:firstLineChars="225"/>
        <w:rPr>
          <w:bCs/>
          <w:sz w:val="24"/>
        </w:rPr>
      </w:pPr>
      <w:r>
        <w:rPr>
          <w:rFonts w:hint="eastAsia"/>
          <w:bCs/>
          <w:sz w:val="24"/>
        </w:rPr>
        <w:t>2、本基金收益分配方式分两种：现金分红与红利再投资，投资者可选择现金红利或将现金红利自动转为</w:t>
      </w:r>
      <w:r>
        <w:rPr>
          <w:rFonts w:hint="eastAsia" w:ascii="宋体" w:hAnsi="宋体"/>
          <w:sz w:val="24"/>
        </w:rPr>
        <w:t>相应类别的</w:t>
      </w:r>
      <w:r>
        <w:rPr>
          <w:rFonts w:hint="eastAsia"/>
          <w:bCs/>
          <w:sz w:val="24"/>
        </w:rPr>
        <w:t>基金份额进行再投资；若投资者不选择，本基金默认的收益分配方式是现金分红；基金份额持有人可对其持有的</w:t>
      </w:r>
      <w:r>
        <w:rPr>
          <w:bCs/>
          <w:sz w:val="24"/>
        </w:rPr>
        <w:t>A</w:t>
      </w:r>
      <w:r>
        <w:rPr>
          <w:rFonts w:hint="eastAsia"/>
          <w:bCs/>
          <w:sz w:val="24"/>
        </w:rPr>
        <w:t>类基金份额和</w:t>
      </w:r>
      <w:r>
        <w:rPr>
          <w:bCs/>
          <w:sz w:val="24"/>
        </w:rPr>
        <w:t>C</w:t>
      </w:r>
      <w:r>
        <w:rPr>
          <w:rFonts w:hint="eastAsia"/>
          <w:bCs/>
          <w:sz w:val="24"/>
        </w:rPr>
        <w:t>类基金份额分别选择不同的收益分配方式；</w:t>
      </w:r>
    </w:p>
    <w:p>
      <w:pPr>
        <w:spacing w:line="360" w:lineRule="auto"/>
        <w:ind w:firstLine="540" w:firstLineChars="225"/>
        <w:rPr>
          <w:bCs/>
          <w:sz w:val="24"/>
        </w:rPr>
      </w:pPr>
      <w:r>
        <w:rPr>
          <w:rFonts w:hint="eastAsia"/>
          <w:bCs/>
          <w:sz w:val="24"/>
        </w:rPr>
        <w:t>3、基金收益分配后任一类基金份额净值不能低于面值，即基金收益分配基准日的任一类基金份额净值减去每单位该类基金份额收益分配金额后不能低于面值；</w:t>
      </w:r>
    </w:p>
    <w:p>
      <w:pPr>
        <w:spacing w:line="360" w:lineRule="auto"/>
        <w:ind w:firstLine="540" w:firstLineChars="225"/>
        <w:rPr>
          <w:bCs/>
          <w:sz w:val="24"/>
        </w:rPr>
      </w:pPr>
      <w:r>
        <w:rPr>
          <w:rFonts w:hint="eastAsia"/>
          <w:bCs/>
          <w:sz w:val="24"/>
        </w:rPr>
        <w:t>4、</w:t>
      </w:r>
      <w:r>
        <w:rPr>
          <w:rFonts w:hint="eastAsia" w:ascii="宋体" w:hAnsi="宋体"/>
          <w:sz w:val="24"/>
        </w:rPr>
        <w:t>由于本基金A类基金份额不收取销售服务费，C类基金份额收取销售服务费，各基金份额类别对应的可供分配利润将有所不同；</w:t>
      </w:r>
      <w:r>
        <w:rPr>
          <w:rFonts w:hint="eastAsia" w:ascii="宋体" w:hAnsi="宋体"/>
          <w:bCs/>
          <w:sz w:val="24"/>
        </w:rPr>
        <w:t>本基金同一基金份额类别的</w:t>
      </w:r>
      <w:r>
        <w:rPr>
          <w:rFonts w:hint="eastAsia"/>
          <w:bCs/>
          <w:sz w:val="24"/>
        </w:rPr>
        <w:t>每一基金份额享有同等分配权；</w:t>
      </w:r>
    </w:p>
    <w:p>
      <w:pPr>
        <w:spacing w:line="360" w:lineRule="auto"/>
        <w:ind w:firstLine="540" w:firstLineChars="225"/>
        <w:rPr>
          <w:bCs/>
          <w:sz w:val="24"/>
        </w:rPr>
      </w:pPr>
      <w:r>
        <w:rPr>
          <w:rFonts w:hint="eastAsia"/>
          <w:bCs/>
          <w:sz w:val="24"/>
        </w:rPr>
        <w:t>5、法律法规或监管机关另有规定的，从其规定。</w:t>
      </w:r>
    </w:p>
    <w:p>
      <w:pPr>
        <w:pStyle w:val="39"/>
        <w:spacing w:afterLines="0"/>
        <w:ind w:firstLine="480"/>
      </w:pPr>
      <w:r>
        <w:rPr>
          <w:rFonts w:hAnsi="宋体"/>
        </w:rPr>
        <w:t>（二）收益分配方案</w:t>
      </w:r>
    </w:p>
    <w:p>
      <w:pPr>
        <w:spacing w:line="360" w:lineRule="auto"/>
        <w:ind w:firstLine="540" w:firstLineChars="225"/>
        <w:rPr>
          <w:bCs/>
          <w:sz w:val="24"/>
        </w:rPr>
      </w:pPr>
      <w:r>
        <w:rPr>
          <w:rFonts w:hint="eastAsia"/>
          <w:bCs/>
          <w:sz w:val="24"/>
        </w:rPr>
        <w:t>基金收益分配方案中应载明截止收益分配基准日的可供分配利润、基金收益分配对象、分配时间、分配数额及比例、分配方式等内容。</w:t>
      </w:r>
    </w:p>
    <w:p>
      <w:pPr>
        <w:pStyle w:val="39"/>
        <w:spacing w:afterLines="0"/>
        <w:ind w:firstLine="480"/>
      </w:pPr>
      <w:r>
        <w:rPr>
          <w:rFonts w:hAnsi="宋体"/>
        </w:rPr>
        <w:t>（三）收益分配方案的确定、公告与实施</w:t>
      </w:r>
    </w:p>
    <w:p>
      <w:pPr>
        <w:spacing w:line="360" w:lineRule="auto"/>
        <w:ind w:firstLine="540" w:firstLineChars="225"/>
        <w:rPr>
          <w:bCs/>
          <w:sz w:val="24"/>
        </w:rPr>
      </w:pPr>
      <w:r>
        <w:rPr>
          <w:rFonts w:hint="eastAsia"/>
          <w:bCs/>
          <w:sz w:val="24"/>
        </w:rPr>
        <w:t>本基金收益分配方案由基金管理人拟定，并由基金托管人复核，依照《信息</w:t>
      </w:r>
      <w:r>
        <w:rPr>
          <w:bCs/>
          <w:sz w:val="24"/>
        </w:rPr>
        <w:t>披露办法</w:t>
      </w:r>
      <w:r>
        <w:rPr>
          <w:rFonts w:hint="eastAsia"/>
          <w:bCs/>
          <w:sz w:val="24"/>
        </w:rPr>
        <w:t>》的</w:t>
      </w:r>
      <w:r>
        <w:rPr>
          <w:bCs/>
          <w:sz w:val="24"/>
        </w:rPr>
        <w:t>有关规定</w:t>
      </w:r>
      <w:r>
        <w:rPr>
          <w:rFonts w:hint="eastAsia"/>
          <w:bCs/>
          <w:sz w:val="24"/>
        </w:rPr>
        <w:t>在指定媒介公告。</w:t>
      </w:r>
    </w:p>
    <w:p>
      <w:pPr>
        <w:spacing w:line="360" w:lineRule="auto"/>
        <w:ind w:firstLine="540" w:firstLineChars="225"/>
        <w:rPr>
          <w:bCs/>
          <w:sz w:val="24"/>
        </w:rPr>
      </w:pPr>
      <w:r>
        <w:rPr>
          <w:rFonts w:hint="eastAsia"/>
          <w:bCs/>
          <w:sz w:val="24"/>
        </w:rPr>
        <w:t>基金红利发放日距离收益分配基准日（即可供分配利润计算截止日）的时间不得超过15个工作日。</w:t>
      </w:r>
    </w:p>
    <w:p>
      <w:pPr>
        <w:spacing w:line="360" w:lineRule="auto"/>
        <w:ind w:firstLine="540" w:firstLineChars="225"/>
        <w:rPr>
          <w:bCs/>
          <w:sz w:val="24"/>
        </w:rPr>
      </w:pPr>
      <w:r>
        <w:rPr>
          <w:rFonts w:hint="eastAsia"/>
          <w:bCs/>
          <w:sz w:val="24"/>
        </w:rPr>
        <w:t>法律法规或监管机关另有规定的，从其规定。</w:t>
      </w:r>
    </w:p>
    <w:p>
      <w:pPr>
        <w:pStyle w:val="39"/>
        <w:adjustRightInd w:val="0"/>
        <w:snapToGrid w:val="0"/>
        <w:spacing w:afterLines="0"/>
        <w:ind w:firstLine="482"/>
        <w:jc w:val="left"/>
        <w:rPr>
          <w:b/>
          <w:szCs w:val="24"/>
        </w:rPr>
      </w:pPr>
      <w:r>
        <w:rPr>
          <w:b/>
          <w:szCs w:val="24"/>
        </w:rPr>
        <w:t>四、与基金财产管理、运用有关费用的提取、支付方式与比例</w:t>
      </w:r>
    </w:p>
    <w:p>
      <w:pPr>
        <w:pStyle w:val="39"/>
        <w:adjustRightInd w:val="0"/>
        <w:snapToGrid w:val="0"/>
        <w:spacing w:afterLines="0"/>
        <w:ind w:firstLine="480"/>
        <w:jc w:val="left"/>
        <w:rPr>
          <w:bCs/>
          <w:szCs w:val="24"/>
        </w:rPr>
      </w:pPr>
      <w:r>
        <w:rPr>
          <w:rFonts w:hint="eastAsia"/>
          <w:bCs/>
          <w:szCs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w:t>
      </w:r>
      <w:r>
        <w:rPr>
          <w:rFonts w:hint="eastAsia"/>
          <w:bCs/>
          <w:sz w:val="24"/>
        </w:rPr>
        <w:t>、基金上市初费及上市年费；</w:t>
      </w:r>
    </w:p>
    <w:p>
      <w:pPr>
        <w:spacing w:line="360" w:lineRule="auto"/>
        <w:ind w:firstLine="480" w:firstLineChars="200"/>
        <w:rPr>
          <w:bCs/>
          <w:sz w:val="24"/>
        </w:rPr>
      </w:pPr>
      <w:r>
        <w:rPr>
          <w:bCs/>
          <w:sz w:val="24"/>
        </w:rPr>
        <w:t>4、《基金合同》生效后与基金相关的信息披露费用；</w:t>
      </w:r>
    </w:p>
    <w:p>
      <w:pPr>
        <w:spacing w:line="360" w:lineRule="auto"/>
        <w:ind w:firstLine="480" w:firstLineChars="200"/>
        <w:rPr>
          <w:bCs/>
          <w:sz w:val="24"/>
        </w:rPr>
      </w:pPr>
      <w:r>
        <w:rPr>
          <w:bCs/>
          <w:sz w:val="24"/>
        </w:rPr>
        <w:t>5、《基金合同》生效后与基金相关的会计师费、律师费</w:t>
      </w:r>
      <w:r>
        <w:rPr>
          <w:rFonts w:hint="eastAsia"/>
          <w:bCs/>
          <w:sz w:val="24"/>
        </w:rPr>
        <w:t>、仲裁费</w:t>
      </w:r>
      <w:r>
        <w:rPr>
          <w:bCs/>
          <w:sz w:val="24"/>
        </w:rPr>
        <w:t>和诉讼费；</w:t>
      </w:r>
    </w:p>
    <w:p>
      <w:pPr>
        <w:spacing w:line="360" w:lineRule="auto"/>
        <w:ind w:firstLine="480" w:firstLineChars="200"/>
        <w:rPr>
          <w:bCs/>
          <w:sz w:val="24"/>
        </w:rPr>
      </w:pPr>
      <w:r>
        <w:rPr>
          <w:bCs/>
          <w:sz w:val="24"/>
        </w:rPr>
        <w:t>6、基金份额持有人大会费用；</w:t>
      </w:r>
    </w:p>
    <w:p>
      <w:pPr>
        <w:spacing w:line="360" w:lineRule="auto"/>
        <w:ind w:firstLine="480" w:firstLineChars="200"/>
        <w:rPr>
          <w:bCs/>
          <w:sz w:val="24"/>
        </w:rPr>
      </w:pPr>
      <w:r>
        <w:rPr>
          <w:bCs/>
          <w:sz w:val="24"/>
        </w:rPr>
        <w:t>7、基金的证券</w:t>
      </w:r>
      <w:r>
        <w:rPr>
          <w:rFonts w:hint="eastAsia"/>
          <w:bCs/>
          <w:sz w:val="24"/>
        </w:rPr>
        <w:t>、期货</w:t>
      </w:r>
      <w:r>
        <w:rPr>
          <w:bCs/>
          <w:sz w:val="24"/>
        </w:rPr>
        <w:t>交易费用；</w:t>
      </w:r>
    </w:p>
    <w:p>
      <w:pPr>
        <w:spacing w:line="360" w:lineRule="auto"/>
        <w:ind w:firstLine="480" w:firstLineChars="200"/>
        <w:rPr>
          <w:bCs/>
          <w:sz w:val="24"/>
        </w:rPr>
      </w:pPr>
      <w:r>
        <w:rPr>
          <w:bCs/>
          <w:sz w:val="24"/>
        </w:rPr>
        <w:t>8、基金的银行汇划费用；</w:t>
      </w:r>
    </w:p>
    <w:p>
      <w:pPr>
        <w:spacing w:line="360" w:lineRule="auto"/>
        <w:ind w:firstLine="480" w:firstLineChars="200"/>
        <w:rPr>
          <w:rFonts w:ascii="宋体" w:hAnsi="宋体"/>
          <w:sz w:val="24"/>
        </w:rPr>
      </w:pPr>
      <w:r>
        <w:rPr>
          <w:bCs/>
          <w:sz w:val="24"/>
        </w:rPr>
        <w:t>9、</w:t>
      </w:r>
      <w:r>
        <w:rPr>
          <w:rFonts w:hint="eastAsia" w:ascii="宋体" w:hAnsi="宋体"/>
          <w:sz w:val="24"/>
        </w:rPr>
        <w:t>基金的开户费用、账户维护费用；</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、本基金从C类基金份额的基金财产中计提的销售服务费；</w:t>
      </w:r>
    </w:p>
    <w:p>
      <w:pPr>
        <w:spacing w:line="360" w:lineRule="auto"/>
        <w:ind w:firstLine="480" w:firstLineChars="200"/>
        <w:rPr>
          <w:bCs/>
          <w:sz w:val="24"/>
        </w:rPr>
      </w:pPr>
      <w:r>
        <w:rPr>
          <w:rFonts w:hint="eastAsia"/>
          <w:bCs/>
          <w:sz w:val="24"/>
        </w:rPr>
        <w:t>1</w:t>
      </w:r>
      <w:r>
        <w:rPr>
          <w:bCs/>
          <w:sz w:val="24"/>
        </w:rPr>
        <w:t>1、按照国家有关规定和《基金合同》约定，可以在基金财产中列支的其他费用。</w:t>
      </w:r>
    </w:p>
    <w:p>
      <w:pPr>
        <w:pStyle w:val="39"/>
        <w:adjustRightInd w:val="0"/>
        <w:snapToGrid w:val="0"/>
        <w:spacing w:afterLines="0"/>
        <w:ind w:firstLine="480"/>
        <w:jc w:val="left"/>
        <w:rPr>
          <w:bCs/>
          <w:szCs w:val="24"/>
        </w:rPr>
      </w:pPr>
      <w:r>
        <w:rPr>
          <w:rFonts w:hint="eastAsia"/>
          <w:bCs/>
          <w:szCs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本基金的管理费按前一日基金资产净值的1.0%年费率计提。管理费的计算方法如下：</w:t>
      </w:r>
    </w:p>
    <w:p>
      <w:pPr>
        <w:spacing w:line="360" w:lineRule="auto"/>
        <w:ind w:firstLine="480" w:firstLineChars="200"/>
        <w:rPr>
          <w:bCs/>
          <w:sz w:val="24"/>
        </w:rPr>
      </w:pPr>
      <w:r>
        <w:rPr>
          <w:bCs/>
          <w:sz w:val="24"/>
        </w:rPr>
        <w:t>H</w:t>
      </w:r>
      <w:r>
        <w:rPr>
          <w:rFonts w:hint="eastAsia"/>
          <w:bCs/>
          <w:sz w:val="24"/>
        </w:rPr>
        <w:t>＝</w:t>
      </w:r>
      <w:r>
        <w:rPr>
          <w:bCs/>
          <w:sz w:val="24"/>
        </w:rPr>
        <w:t>E×1.0%÷</w:t>
      </w:r>
      <w:r>
        <w:rPr>
          <w:rFonts w:hint="eastAsia"/>
          <w:bCs/>
          <w:sz w:val="24"/>
        </w:rPr>
        <w:t>当年天数</w:t>
      </w:r>
    </w:p>
    <w:p>
      <w:pPr>
        <w:spacing w:line="360" w:lineRule="auto"/>
        <w:ind w:firstLine="480" w:firstLineChars="200"/>
        <w:rPr>
          <w:bCs/>
          <w:sz w:val="24"/>
        </w:rPr>
      </w:pPr>
      <w:r>
        <w:rPr>
          <w:bCs/>
          <w:sz w:val="24"/>
        </w:rPr>
        <w:t>H为每日应计提的基金管理费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自基金转型实施日起，</w:t>
      </w:r>
      <w:r>
        <w:rPr>
          <w:bCs/>
          <w:sz w:val="24"/>
        </w:rPr>
        <w:t>基金管理费</w:t>
      </w:r>
      <w:r>
        <w:rPr>
          <w:rFonts w:hint="eastAsia"/>
          <w:bCs/>
          <w:sz w:val="24"/>
        </w:rPr>
        <w:t>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本基金的托管费按前一日基金资产净值的0.2%</w:t>
      </w:r>
      <w:r>
        <w:rPr>
          <w:rFonts w:hint="eastAsia"/>
          <w:bCs/>
          <w:sz w:val="24"/>
        </w:rPr>
        <w:t>的年费率计提。托管费</w:t>
      </w:r>
      <w:r>
        <w:rPr>
          <w:bCs/>
          <w:sz w:val="24"/>
        </w:rPr>
        <w:t>的计算方法如下：</w:t>
      </w:r>
    </w:p>
    <w:p>
      <w:pPr>
        <w:spacing w:line="360" w:lineRule="auto"/>
        <w:ind w:firstLine="480" w:firstLineChars="200"/>
        <w:rPr>
          <w:bCs/>
          <w:sz w:val="24"/>
        </w:rPr>
      </w:pPr>
      <w:r>
        <w:rPr>
          <w:bCs/>
          <w:sz w:val="24"/>
        </w:rPr>
        <w:t>H＝E×0.2%÷当年天数</w:t>
      </w:r>
    </w:p>
    <w:p>
      <w:pPr>
        <w:spacing w:line="360" w:lineRule="auto"/>
        <w:ind w:firstLine="480" w:firstLineChars="200"/>
        <w:rPr>
          <w:bCs/>
          <w:sz w:val="24"/>
        </w:rPr>
      </w:pPr>
      <w:r>
        <w:rPr>
          <w:bCs/>
          <w:sz w:val="24"/>
        </w:rPr>
        <w:t>H为每日应计提的基金托管费</w:t>
      </w:r>
    </w:p>
    <w:p>
      <w:pPr>
        <w:spacing w:line="360" w:lineRule="auto"/>
        <w:ind w:firstLine="480" w:firstLineChars="200"/>
        <w:rPr>
          <w:bCs/>
          <w:sz w:val="24"/>
        </w:rPr>
      </w:pPr>
      <w:r>
        <w:rPr>
          <w:bCs/>
          <w:sz w:val="24"/>
        </w:rPr>
        <w:t>E为前一日的基金资产净值</w:t>
      </w:r>
    </w:p>
    <w:p>
      <w:pPr>
        <w:spacing w:line="360" w:lineRule="auto"/>
        <w:ind w:firstLine="480" w:firstLineChars="200"/>
        <w:rPr>
          <w:bCs/>
          <w:sz w:val="24"/>
        </w:rPr>
      </w:pPr>
      <w:r>
        <w:rPr>
          <w:rFonts w:hint="eastAsia"/>
          <w:bCs/>
          <w:sz w:val="24"/>
        </w:rPr>
        <w:t>自基金转型实施日起，</w:t>
      </w:r>
      <w:r>
        <w:rPr>
          <w:bCs/>
          <w:sz w:val="24"/>
        </w:rPr>
        <w:t>基金托管费</w:t>
      </w:r>
      <w:r>
        <w:rPr>
          <w:rFonts w:hint="eastAsia"/>
          <w:bCs/>
          <w:sz w:val="24"/>
        </w:rPr>
        <w:t>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pPr>
        <w:spacing w:line="360" w:lineRule="auto"/>
        <w:ind w:firstLine="480" w:firstLineChars="200"/>
        <w:rPr>
          <w:bCs/>
          <w:sz w:val="24"/>
        </w:rPr>
      </w:pPr>
      <w:r>
        <w:rPr>
          <w:rFonts w:hint="eastAsia"/>
          <w:bCs/>
          <w:sz w:val="24"/>
        </w:rPr>
        <w:t>3、C类基金份额的销售服务费</w:t>
      </w:r>
    </w:p>
    <w:p>
      <w:pPr>
        <w:spacing w:line="360" w:lineRule="auto"/>
        <w:ind w:firstLine="480" w:firstLineChars="200"/>
        <w:rPr>
          <w:bCs/>
          <w:sz w:val="24"/>
        </w:rPr>
      </w:pPr>
      <w:r>
        <w:rPr>
          <w:rFonts w:hint="eastAsia"/>
          <w:bCs/>
          <w:sz w:val="24"/>
        </w:rPr>
        <w:t>本基金A类基金份额不收取销售服务费，C类基金份额的销售服务费按前一日C类基金资产净值的</w:t>
      </w:r>
      <w:r>
        <w:rPr>
          <w:bCs/>
          <w:sz w:val="24"/>
        </w:rPr>
        <w:t>0.1%</w:t>
      </w:r>
      <w:r>
        <w:rPr>
          <w:rFonts w:hint="eastAsia"/>
          <w:bCs/>
          <w:sz w:val="24"/>
        </w:rPr>
        <w:t>年费率计提。计算方法如下：</w:t>
      </w:r>
    </w:p>
    <w:p>
      <w:pPr>
        <w:spacing w:line="360" w:lineRule="auto"/>
        <w:ind w:firstLine="480" w:firstLineChars="200"/>
        <w:rPr>
          <w:bCs/>
          <w:sz w:val="24"/>
        </w:rPr>
      </w:pPr>
      <w:r>
        <w:rPr>
          <w:rFonts w:hint="eastAsia"/>
          <w:bCs/>
          <w:sz w:val="24"/>
        </w:rPr>
        <w:t>H＝E×</w:t>
      </w:r>
      <w:r>
        <w:rPr>
          <w:bCs/>
          <w:sz w:val="24"/>
        </w:rPr>
        <w:t>0.1%</w:t>
      </w:r>
      <w:r>
        <w:rPr>
          <w:rFonts w:hint="eastAsia"/>
          <w:bCs/>
          <w:sz w:val="24"/>
        </w:rPr>
        <w:t>÷当年天数</w:t>
      </w:r>
    </w:p>
    <w:p>
      <w:pPr>
        <w:spacing w:line="360" w:lineRule="auto"/>
        <w:ind w:firstLine="480" w:firstLineChars="200"/>
        <w:rPr>
          <w:bCs/>
          <w:sz w:val="24"/>
        </w:rPr>
      </w:pPr>
      <w:r>
        <w:rPr>
          <w:rFonts w:hint="eastAsia"/>
          <w:bCs/>
          <w:sz w:val="24"/>
        </w:rPr>
        <w:t>H为C类基金份额每日应计提的销售服务费</w:t>
      </w:r>
    </w:p>
    <w:p>
      <w:pPr>
        <w:spacing w:line="360" w:lineRule="auto"/>
        <w:ind w:firstLine="480" w:firstLineChars="200"/>
        <w:rPr>
          <w:bCs/>
          <w:sz w:val="24"/>
        </w:rPr>
      </w:pPr>
      <w:r>
        <w:rPr>
          <w:rFonts w:hint="eastAsia"/>
          <w:bCs/>
          <w:sz w:val="24"/>
        </w:rPr>
        <w:t>E为C类基金份额前一日基金资产净值</w:t>
      </w:r>
    </w:p>
    <w:p>
      <w:pPr>
        <w:spacing w:line="360" w:lineRule="auto"/>
        <w:ind w:firstLine="480" w:firstLineChars="200"/>
        <w:rPr>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spacing w:line="360" w:lineRule="auto"/>
        <w:ind w:firstLine="480" w:firstLineChars="200"/>
        <w:rPr>
          <w:bCs/>
          <w:sz w:val="24"/>
        </w:rPr>
      </w:pPr>
      <w:r>
        <w:rPr>
          <w:rFonts w:hint="eastAsia"/>
          <w:bCs/>
          <w:sz w:val="24"/>
        </w:rPr>
        <w:t>C类基金份额的销售服务费将专门用于本基金的市场推广、销售与基金份额持有人服务。</w:t>
      </w:r>
    </w:p>
    <w:p>
      <w:pPr>
        <w:spacing w:line="360" w:lineRule="auto"/>
        <w:ind w:firstLine="480" w:firstLineChars="200"/>
        <w:rPr>
          <w:bCs/>
          <w:sz w:val="24"/>
        </w:rPr>
      </w:pPr>
      <w:r>
        <w:rPr>
          <w:bCs/>
          <w:sz w:val="24"/>
        </w:rPr>
        <w:t>4</w:t>
      </w:r>
      <w:r>
        <w:rPr>
          <w:rFonts w:hint="eastAsia"/>
          <w:bCs/>
          <w:sz w:val="24"/>
        </w:rPr>
        <w:t>、</w:t>
      </w:r>
      <w:r>
        <w:rPr>
          <w:bCs/>
          <w:color w:val="000000" w:themeColor="text1"/>
          <w:sz w:val="24"/>
          <w14:textFill>
            <w14:solidFill>
              <w14:schemeClr w14:val="tx1"/>
            </w14:solidFill>
          </w14:textFill>
        </w:rPr>
        <w:t>上</w:t>
      </w:r>
      <w:r>
        <w:rPr>
          <w:bCs/>
          <w:sz w:val="24"/>
        </w:rPr>
        <w:t>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rFonts w:hint="eastAsia"/>
          <w:bCs/>
          <w:sz w:val="24"/>
        </w:rPr>
        <w:t>3</w:t>
      </w:r>
      <w:r>
        <w:rPr>
          <w:bCs/>
          <w:sz w:val="24"/>
        </w:rPr>
        <w:t>－9项</w:t>
      </w:r>
      <w:r>
        <w:rPr>
          <w:rFonts w:hint="eastAsia"/>
          <w:bCs/>
          <w:sz w:val="24"/>
        </w:rPr>
        <w:t>、第1</w:t>
      </w:r>
      <w:r>
        <w:rPr>
          <w:bCs/>
          <w:sz w:val="24"/>
        </w:rPr>
        <w:t>1</w:t>
      </w:r>
      <w:r>
        <w:rPr>
          <w:rFonts w:hint="eastAsia"/>
          <w:bCs/>
          <w:sz w:val="24"/>
        </w:rPr>
        <w:t>项</w:t>
      </w:r>
      <w:r>
        <w:rPr>
          <w:bCs/>
          <w:sz w:val="24"/>
        </w:rPr>
        <w:t>费用，根据有关法规及相应协议规定，按费用实际支出金额列入当期费用，由基金托管人从基金财产中支付。</w:t>
      </w:r>
    </w:p>
    <w:p>
      <w:pPr>
        <w:pStyle w:val="39"/>
        <w:adjustRightInd w:val="0"/>
        <w:snapToGrid w:val="0"/>
        <w:spacing w:afterLines="0"/>
        <w:ind w:firstLine="480"/>
        <w:jc w:val="left"/>
        <w:rPr>
          <w:bCs/>
          <w:szCs w:val="24"/>
        </w:rPr>
      </w:pPr>
      <w:r>
        <w:rPr>
          <w:rFonts w:hint="eastAsia"/>
          <w:bCs/>
          <w:szCs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w:t>
      </w:r>
      <w:r>
        <w:rPr>
          <w:rFonts w:hint="eastAsia"/>
          <w:bCs/>
          <w:sz w:val="24"/>
        </w:rPr>
        <w:t>《交银施罗德中证环境治理指数分级证券投资基金基金合同》生效前的相关费用；</w:t>
      </w:r>
    </w:p>
    <w:p>
      <w:pPr>
        <w:spacing w:line="360" w:lineRule="auto"/>
        <w:ind w:firstLine="480" w:firstLineChars="200"/>
        <w:rPr>
          <w:bCs/>
          <w:sz w:val="24"/>
        </w:rPr>
      </w:pPr>
      <w:r>
        <w:rPr>
          <w:bCs/>
          <w:sz w:val="24"/>
        </w:rPr>
        <w:t>4、</w:t>
      </w:r>
      <w:r>
        <w:rPr>
          <w:rFonts w:hint="eastAsia"/>
          <w:bCs/>
          <w:sz w:val="24"/>
        </w:rPr>
        <w:t>标的指数许可使用费。标的指数许可使用费由基金管理人承担，不得从基金财产中列支；</w:t>
      </w:r>
    </w:p>
    <w:p>
      <w:pPr>
        <w:spacing w:line="360" w:lineRule="auto"/>
        <w:ind w:firstLine="480" w:firstLineChars="200"/>
        <w:rPr>
          <w:bCs/>
          <w:sz w:val="24"/>
        </w:rPr>
      </w:pPr>
      <w:r>
        <w:rPr>
          <w:rFonts w:hint="eastAsia"/>
          <w:bCs/>
          <w:sz w:val="24"/>
        </w:rPr>
        <w:t>5、</w:t>
      </w:r>
      <w:r>
        <w:rPr>
          <w:bCs/>
          <w:sz w:val="24"/>
        </w:rPr>
        <w:t>其他根据相关法律法规及中国证监会的有关规定不得列入基金费用的项目。</w:t>
      </w:r>
    </w:p>
    <w:p>
      <w:pPr>
        <w:spacing w:line="360" w:lineRule="auto"/>
        <w:ind w:firstLine="480" w:firstLineChars="200"/>
        <w:rPr>
          <w:bCs/>
          <w:sz w:val="24"/>
        </w:rPr>
      </w:pPr>
      <w:r>
        <w:rPr>
          <w:rFonts w:hint="eastAsia"/>
          <w:bCs/>
          <w:sz w:val="24"/>
        </w:rPr>
        <w:t>（四）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pPr>
        <w:spacing w:line="360" w:lineRule="auto"/>
        <w:ind w:firstLine="480" w:firstLineChars="200"/>
        <w:rPr>
          <w:rFonts w:ascii="宋体" w:hAnsi="宋体"/>
          <w:sz w:val="24"/>
        </w:rPr>
      </w:pPr>
      <w:r>
        <w:rPr>
          <w:rFonts w:hint="eastAsia"/>
          <w:bCs/>
          <w:sz w:val="24"/>
        </w:rPr>
        <w:t>（五）</w:t>
      </w:r>
      <w:r>
        <w:rPr>
          <w:rFonts w:hint="eastAsia" w:ascii="宋体" w:hAnsi="宋体"/>
          <w:sz w:val="24"/>
        </w:rPr>
        <w:t>基金管理人和基金托管人可根据基金发展情况调整基金管理费率、基金托管费率、销售服务费率等相关费率。基金管理人必须依照有关规定于新的费率实施日前在指定媒介上刊登公告。</w:t>
      </w:r>
    </w:p>
    <w:p>
      <w:pPr>
        <w:spacing w:line="360" w:lineRule="auto"/>
        <w:ind w:firstLine="480" w:firstLineChars="200"/>
        <w:rPr>
          <w:bCs/>
          <w:sz w:val="24"/>
        </w:rPr>
      </w:pPr>
      <w:r>
        <w:rPr>
          <w:rFonts w:hint="eastAsia"/>
          <w:bCs/>
          <w:sz w:val="24"/>
        </w:rPr>
        <w:t>（六）</w:t>
      </w:r>
      <w:r>
        <w:rPr>
          <w:bCs/>
          <w:sz w:val="24"/>
        </w:rPr>
        <w:t>基金税收</w:t>
      </w:r>
    </w:p>
    <w:p>
      <w:pPr>
        <w:pStyle w:val="39"/>
        <w:adjustRightInd w:val="0"/>
        <w:snapToGrid w:val="0"/>
        <w:spacing w:afterLines="0"/>
        <w:ind w:firstLine="480"/>
        <w:jc w:val="left"/>
        <w:rPr>
          <w:b/>
          <w:szCs w:val="24"/>
        </w:rPr>
      </w:pPr>
      <w:r>
        <w:rPr>
          <w:bCs/>
        </w:rPr>
        <w:t>本基金运作过程中涉及的各纳税主体，其纳税义务按国家税收法律、法规执行。</w:t>
      </w:r>
    </w:p>
    <w:p>
      <w:pPr>
        <w:pStyle w:val="39"/>
        <w:adjustRightInd w:val="0"/>
        <w:snapToGrid w:val="0"/>
        <w:spacing w:afterLines="0"/>
        <w:ind w:firstLine="482"/>
        <w:jc w:val="left"/>
        <w:rPr>
          <w:b/>
          <w:szCs w:val="24"/>
        </w:rPr>
      </w:pPr>
      <w:r>
        <w:rPr>
          <w:b/>
          <w:szCs w:val="24"/>
        </w:rPr>
        <w:t>五、基金财产的投资方向和投资限制</w:t>
      </w:r>
    </w:p>
    <w:p>
      <w:pPr>
        <w:adjustRightInd w:val="0"/>
        <w:snapToGrid w:val="0"/>
        <w:spacing w:line="360" w:lineRule="auto"/>
        <w:ind w:firstLine="480" w:firstLineChars="200"/>
        <w:jc w:val="left"/>
        <w:rPr>
          <w:sz w:val="24"/>
          <w:szCs w:val="24"/>
        </w:rPr>
      </w:pPr>
      <w:r>
        <w:rPr>
          <w:sz w:val="24"/>
          <w:szCs w:val="24"/>
        </w:rPr>
        <w:t>（一）投资目标</w:t>
      </w:r>
    </w:p>
    <w:p>
      <w:pPr>
        <w:pStyle w:val="11"/>
        <w:rPr>
          <w:rFonts w:ascii="Times New Roman" w:eastAsia="宋体"/>
          <w:bCs/>
          <w:sz w:val="24"/>
        </w:rPr>
      </w:pPr>
      <w:r>
        <w:rPr>
          <w:rFonts w:hint="eastAsia" w:ascii="Times New Roman" w:eastAsia="宋体"/>
          <w:bCs/>
          <w:sz w:val="24"/>
        </w:rPr>
        <w:t>本基金采用指数化投资，紧密跟踪标的指数，追求跟踪偏离度与跟踪误差最小化。本基金力争控制本基金日均跟踪偏离度的绝对值不超过</w:t>
      </w:r>
      <w:r>
        <w:rPr>
          <w:rFonts w:ascii="Times New Roman" w:eastAsia="宋体"/>
          <w:bCs/>
          <w:sz w:val="24"/>
        </w:rPr>
        <w:t>0.35%</w:t>
      </w:r>
      <w:r>
        <w:rPr>
          <w:rFonts w:hint="eastAsia" w:ascii="Times New Roman" w:eastAsia="宋体"/>
          <w:bCs/>
          <w:sz w:val="24"/>
        </w:rPr>
        <w:t>，年跟踪误差不超过</w:t>
      </w:r>
      <w:r>
        <w:rPr>
          <w:rFonts w:ascii="Times New Roman" w:eastAsia="宋体"/>
          <w:bCs/>
          <w:sz w:val="24"/>
        </w:rPr>
        <w:t>4%</w:t>
      </w:r>
      <w:r>
        <w:rPr>
          <w:rFonts w:hint="eastAsia" w:ascii="Times New Roman" w:eastAsia="宋体"/>
          <w:bCs/>
          <w:sz w:val="24"/>
        </w:rPr>
        <w:t>。</w:t>
      </w:r>
    </w:p>
    <w:p>
      <w:pPr>
        <w:adjustRightInd w:val="0"/>
        <w:snapToGrid w:val="0"/>
        <w:spacing w:line="360" w:lineRule="auto"/>
        <w:ind w:firstLine="480" w:firstLineChars="200"/>
        <w:jc w:val="left"/>
        <w:rPr>
          <w:sz w:val="24"/>
          <w:szCs w:val="24"/>
        </w:rPr>
      </w:pPr>
      <w:r>
        <w:rPr>
          <w:rFonts w:hint="eastAsia"/>
          <w:sz w:val="24"/>
          <w:szCs w:val="24"/>
        </w:rPr>
        <w:t>（二）投资范围</w:t>
      </w:r>
    </w:p>
    <w:p>
      <w:pPr>
        <w:spacing w:line="360" w:lineRule="auto"/>
        <w:ind w:firstLine="480"/>
        <w:rPr>
          <w:bCs/>
          <w:sz w:val="24"/>
        </w:rPr>
      </w:pPr>
      <w:r>
        <w:rPr>
          <w:rFonts w:hint="eastAsia"/>
          <w:bCs/>
          <w:sz w:val="24"/>
        </w:rPr>
        <w:t>本基金投资于具有良好流动性的金融工具，以中证环境治理指数的成份股</w:t>
      </w:r>
      <w:r>
        <w:rPr>
          <w:rFonts w:hint="eastAsia" w:ascii="宋体" w:hAnsi="宋体"/>
          <w:bCs/>
          <w:sz w:val="24"/>
        </w:rPr>
        <w:t>（含存托凭证）</w:t>
      </w:r>
      <w:r>
        <w:rPr>
          <w:rFonts w:hint="eastAsia"/>
          <w:bCs/>
          <w:sz w:val="24"/>
        </w:rPr>
        <w:t>及其备选成份股</w:t>
      </w:r>
      <w:r>
        <w:rPr>
          <w:bCs/>
          <w:sz w:val="24"/>
        </w:rPr>
        <w:t>(</w:t>
      </w:r>
      <w:r>
        <w:rPr>
          <w:rFonts w:hint="eastAsia"/>
          <w:bCs/>
          <w:sz w:val="24"/>
        </w:rPr>
        <w:t>含中小板、创业板及其他经中国证监会核准的上市股票、存托凭证</w:t>
      </w:r>
      <w:r>
        <w:rPr>
          <w:bCs/>
          <w:sz w:val="24"/>
        </w:rPr>
        <w:t>)</w:t>
      </w:r>
      <w:r>
        <w:rPr>
          <w:rFonts w:hint="eastAsia"/>
          <w:bCs/>
          <w:sz w:val="24"/>
        </w:rPr>
        <w:t>为主要投资对象。为更好地实现投资目标，本基金也可少量投资于其他股票</w:t>
      </w:r>
      <w:r>
        <w:rPr>
          <w:bCs/>
          <w:sz w:val="24"/>
        </w:rPr>
        <w:t>(</w:t>
      </w:r>
      <w:r>
        <w:rPr>
          <w:rFonts w:hint="eastAsia"/>
          <w:bCs/>
          <w:sz w:val="24"/>
        </w:rPr>
        <w:t>非标的指数成份股</w:t>
      </w:r>
      <w:r>
        <w:rPr>
          <w:rFonts w:hint="eastAsia" w:ascii="宋体" w:hAnsi="宋体"/>
          <w:bCs/>
          <w:sz w:val="24"/>
        </w:rPr>
        <w:t>（含存托凭证）</w:t>
      </w:r>
      <w:r>
        <w:rPr>
          <w:rFonts w:hint="eastAsia"/>
          <w:bCs/>
          <w:sz w:val="24"/>
        </w:rPr>
        <w:t>及其备选成份股</w:t>
      </w:r>
      <w:r>
        <w:rPr>
          <w:rFonts w:hint="eastAsia" w:ascii="宋体" w:hAnsi="宋体"/>
          <w:bCs/>
          <w:sz w:val="24"/>
        </w:rPr>
        <w:t>（含存托凭证）</w:t>
      </w:r>
      <w:r>
        <w:rPr>
          <w:bCs/>
          <w:sz w:val="24"/>
        </w:rPr>
        <w:t>)</w:t>
      </w:r>
      <w:r>
        <w:rPr>
          <w:rFonts w:hint="eastAsia"/>
          <w:bCs/>
          <w:sz w:val="24"/>
        </w:rPr>
        <w:t>、</w:t>
      </w:r>
      <w:r>
        <w:rPr>
          <w:bCs/>
          <w:sz w:val="24"/>
        </w:rPr>
        <w:t>债券</w:t>
      </w:r>
      <w:r>
        <w:rPr>
          <w:rFonts w:hint="eastAsia"/>
          <w:bCs/>
          <w:sz w:val="24"/>
        </w:rPr>
        <w:t>、中期票据、</w:t>
      </w:r>
      <w:r>
        <w:rPr>
          <w:rFonts w:hint="eastAsia" w:ascii="宋体" w:hAnsi="宋体"/>
          <w:sz w:val="24"/>
        </w:rPr>
        <w:t>货币市场工具、债券回购、权证、资产支持证券、股指期货</w:t>
      </w:r>
      <w:r>
        <w:rPr>
          <w:bCs/>
          <w:sz w:val="24"/>
        </w:rPr>
        <w:t>以及法律法规或中国证监会允许基金投资的其他金融工具</w:t>
      </w:r>
      <w:r>
        <w:rPr>
          <w:rFonts w:hint="eastAsia"/>
          <w:bCs/>
          <w:sz w:val="24"/>
        </w:rPr>
        <w:t>（</w:t>
      </w:r>
      <w:r>
        <w:rPr>
          <w:bCs/>
          <w:sz w:val="24"/>
        </w:rPr>
        <w:t>但须符合中国证监会相关规定</w:t>
      </w:r>
      <w:r>
        <w:rPr>
          <w:rFonts w:hint="eastAsia"/>
          <w:bCs/>
          <w:sz w:val="24"/>
        </w:rPr>
        <w:t>）</w:t>
      </w:r>
      <w:r>
        <w:rPr>
          <w:bCs/>
          <w:sz w:val="24"/>
        </w:rPr>
        <w:t>。</w:t>
      </w:r>
    </w:p>
    <w:p>
      <w:pPr>
        <w:spacing w:line="360" w:lineRule="auto"/>
        <w:ind w:firstLine="480"/>
        <w:rPr>
          <w:bCs/>
        </w:rPr>
      </w:pPr>
      <w:r>
        <w:rPr>
          <w:bCs/>
          <w:sz w:val="24"/>
        </w:rPr>
        <w:t>如法律法规或监管机构以后允许基金投资其他品种，基金管理人在履行适当程序后，可以将其纳入投资范围。</w:t>
      </w:r>
    </w:p>
    <w:p>
      <w:pPr>
        <w:spacing w:line="360" w:lineRule="auto"/>
        <w:ind w:firstLine="480"/>
        <w:rPr>
          <w:bCs/>
          <w:sz w:val="24"/>
        </w:rPr>
      </w:pPr>
      <w:r>
        <w:rPr>
          <w:bCs/>
          <w:sz w:val="24"/>
        </w:rPr>
        <w:t>基金的投资组合比例为：</w:t>
      </w:r>
      <w:r>
        <w:rPr>
          <w:rFonts w:hint="eastAsia"/>
          <w:bCs/>
          <w:sz w:val="24"/>
        </w:rPr>
        <w:t>本基金的股票资产</w:t>
      </w:r>
      <w:r>
        <w:rPr>
          <w:rFonts w:hint="eastAsia" w:ascii="宋体" w:hAnsi="宋体"/>
          <w:bCs/>
          <w:sz w:val="24"/>
        </w:rPr>
        <w:t>（含存托凭证）</w:t>
      </w:r>
      <w:r>
        <w:rPr>
          <w:rFonts w:hint="eastAsia"/>
          <w:bCs/>
          <w:sz w:val="24"/>
        </w:rPr>
        <w:t>投资比例不低于基金资产的90%，本基金投资于中证环境治理指数的成份股</w:t>
      </w:r>
      <w:r>
        <w:rPr>
          <w:rFonts w:hint="eastAsia" w:ascii="宋体" w:hAnsi="宋体"/>
          <w:bCs/>
          <w:sz w:val="24"/>
        </w:rPr>
        <w:t>（含存托凭证）</w:t>
      </w:r>
      <w:r>
        <w:rPr>
          <w:rFonts w:hint="eastAsia"/>
          <w:bCs/>
          <w:sz w:val="24"/>
        </w:rPr>
        <w:t>及其备选成份股</w:t>
      </w:r>
      <w:r>
        <w:rPr>
          <w:rFonts w:hint="eastAsia" w:ascii="宋体" w:hAnsi="宋体"/>
          <w:bCs/>
          <w:sz w:val="24"/>
        </w:rPr>
        <w:t>（含存托凭证）</w:t>
      </w:r>
      <w:r>
        <w:rPr>
          <w:rFonts w:hint="eastAsia"/>
          <w:bCs/>
          <w:sz w:val="24"/>
        </w:rPr>
        <w:t>的比例不低于非现金基金资产的90%，投资于权证的比例不得超过基金资产净值的3%，每个交易日日终在扣除股指期货合约需缴纳的交易保证金以后，持有现金或到期日在一年以内的政府债券的比例不低于基金资产净值的</w:t>
      </w:r>
      <w:r>
        <w:rPr>
          <w:bCs/>
          <w:sz w:val="24"/>
        </w:rPr>
        <w:t>5%</w:t>
      </w:r>
      <w:r>
        <w:rPr>
          <w:rFonts w:hint="eastAsia"/>
          <w:bCs/>
          <w:sz w:val="24"/>
        </w:rPr>
        <w:t>，其中现金不包括结算备付金、存出保证金、应收申购款等。</w:t>
      </w:r>
    </w:p>
    <w:p>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0" w:firstLineChars="200"/>
        <w:jc w:val="left"/>
        <w:rPr>
          <w:sz w:val="24"/>
          <w:szCs w:val="24"/>
        </w:rPr>
      </w:pPr>
      <w:r>
        <w:rPr>
          <w:sz w:val="24"/>
          <w:szCs w:val="24"/>
        </w:rPr>
        <w:t>（三）投资策略</w:t>
      </w:r>
    </w:p>
    <w:p>
      <w:pPr>
        <w:spacing w:line="360" w:lineRule="auto"/>
        <w:ind w:firstLine="480" w:firstLineChars="200"/>
        <w:rPr>
          <w:bCs/>
          <w:sz w:val="24"/>
        </w:rPr>
      </w:pPr>
      <w:r>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Pr>
          <w:bCs/>
          <w:sz w:val="24"/>
        </w:rPr>
        <w:t>0.35%</w:t>
      </w:r>
      <w:r>
        <w:rPr>
          <w:rFonts w:hint="eastAsia"/>
          <w:bCs/>
          <w:sz w:val="24"/>
        </w:rPr>
        <w:t>，年跟踪误差不超过</w:t>
      </w:r>
      <w:r>
        <w:rPr>
          <w:bCs/>
          <w:sz w:val="24"/>
        </w:rPr>
        <w:t>4%</w:t>
      </w:r>
      <w:r>
        <w:rPr>
          <w:rFonts w:hint="eastAsia"/>
          <w:bCs/>
          <w:sz w:val="24"/>
        </w:rPr>
        <w:t>。如因指数编制规则调整或其他因素导致跟踪偏离度和跟踪误差超过上述范围，基金管理人应采取合理措施避免跟踪偏离度、跟踪误差进一步扩大。</w:t>
      </w:r>
    </w:p>
    <w:p>
      <w:pPr>
        <w:spacing w:line="360" w:lineRule="auto"/>
        <w:ind w:firstLine="480" w:firstLineChars="200"/>
        <w:rPr>
          <w:bCs/>
          <w:sz w:val="24"/>
        </w:rPr>
      </w:pPr>
      <w:r>
        <w:rPr>
          <w:rFonts w:hint="eastAsia"/>
          <w:bCs/>
          <w:sz w:val="24"/>
        </w:rPr>
        <w:t>本基金的股票资产投资比例不低于基金资产的90%，本基金投资于中证环境治理指数的成份股及其备选成份股的比例不低于非现金基金资产的</w:t>
      </w:r>
      <w:r>
        <w:rPr>
          <w:bCs/>
          <w:sz w:val="24"/>
        </w:rPr>
        <w:t>90%</w:t>
      </w:r>
      <w:r>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pPr>
        <w:spacing w:line="360" w:lineRule="auto"/>
        <w:ind w:firstLine="480" w:firstLineChars="200"/>
        <w:rPr>
          <w:bCs/>
          <w:sz w:val="24"/>
        </w:rPr>
      </w:pPr>
      <w:r>
        <w:rPr>
          <w:rFonts w:hint="eastAsia"/>
          <w:bCs/>
          <w:sz w:val="24"/>
        </w:rPr>
        <w:t>本基金投资存托凭证的策略依照境内上市交易的股票投资策略执行。</w:t>
      </w:r>
    </w:p>
    <w:p>
      <w:pPr>
        <w:spacing w:line="360" w:lineRule="auto"/>
        <w:ind w:firstLine="480" w:firstLineChars="200"/>
        <w:rPr>
          <w:bCs/>
          <w:sz w:val="24"/>
        </w:rPr>
      </w:pPr>
      <w:r>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bCs/>
          <w:sz w:val="24"/>
        </w:rPr>
      </w:pPr>
      <w:r>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pPr>
        <w:spacing w:line="360" w:lineRule="auto"/>
        <w:ind w:firstLine="480" w:firstLineChars="200"/>
        <w:rPr>
          <w:bCs/>
          <w:sz w:val="24"/>
        </w:rPr>
      </w:pPr>
      <w:r>
        <w:rPr>
          <w:rFonts w:hint="eastAsia" w:ascii="宋体"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0" w:firstLineChars="200"/>
        <w:jc w:val="left"/>
        <w:rPr>
          <w:bCs/>
          <w:sz w:val="24"/>
          <w:szCs w:val="24"/>
        </w:rPr>
      </w:pPr>
      <w:r>
        <w:rPr>
          <w:bCs/>
          <w:sz w:val="24"/>
          <w:szCs w:val="24"/>
        </w:rPr>
        <w:t>（四）投资限制</w:t>
      </w:r>
    </w:p>
    <w:p>
      <w:pPr>
        <w:adjustRightInd w:val="0"/>
        <w:snapToGrid w:val="0"/>
        <w:spacing w:line="360" w:lineRule="auto"/>
        <w:ind w:firstLine="480" w:firstLineChars="200"/>
        <w:jc w:val="left"/>
        <w:rPr>
          <w:bCs/>
          <w:sz w:val="24"/>
          <w:szCs w:val="24"/>
        </w:rPr>
      </w:pPr>
      <w:r>
        <w:rPr>
          <w:bCs/>
          <w:sz w:val="24"/>
          <w:szCs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i/>
          <w:sz w:val="24"/>
          <w:u w:val="single"/>
        </w:rPr>
      </w:pPr>
      <w:r>
        <w:rPr>
          <w:rFonts w:hint="eastAsia"/>
          <w:bCs/>
          <w:sz w:val="24"/>
        </w:rPr>
        <w:t>（</w:t>
      </w:r>
      <w:r>
        <w:rPr>
          <w:bCs/>
          <w:sz w:val="24"/>
        </w:rPr>
        <w:t>1</w:t>
      </w:r>
      <w:r>
        <w:rPr>
          <w:rFonts w:hint="eastAsia"/>
          <w:bCs/>
          <w:sz w:val="24"/>
        </w:rPr>
        <w:t>）本基金的股票资产（</w:t>
      </w:r>
      <w:r>
        <w:rPr>
          <w:bCs/>
          <w:sz w:val="24"/>
        </w:rPr>
        <w:t>含存托凭证</w:t>
      </w:r>
      <w:r>
        <w:rPr>
          <w:rFonts w:hint="eastAsia"/>
          <w:bCs/>
          <w:sz w:val="24"/>
        </w:rPr>
        <w:t>）投资比例不低于基金资产的</w:t>
      </w:r>
      <w:r>
        <w:rPr>
          <w:bCs/>
          <w:sz w:val="24"/>
        </w:rPr>
        <w:t>90%</w:t>
      </w:r>
      <w:r>
        <w:rPr>
          <w:rFonts w:hint="eastAsia"/>
          <w:bCs/>
          <w:sz w:val="24"/>
        </w:rPr>
        <w:t>，本基金投资于中证环境治理指数的成份股（</w:t>
      </w:r>
      <w:r>
        <w:rPr>
          <w:bCs/>
          <w:sz w:val="24"/>
        </w:rPr>
        <w:t>含存托凭证</w:t>
      </w:r>
      <w:r>
        <w:rPr>
          <w:rFonts w:hint="eastAsia"/>
          <w:bCs/>
          <w:sz w:val="24"/>
        </w:rPr>
        <w:t>）及其备选成份股（</w:t>
      </w:r>
      <w:r>
        <w:rPr>
          <w:bCs/>
          <w:sz w:val="24"/>
        </w:rPr>
        <w:t>含存托凭证</w:t>
      </w:r>
      <w:r>
        <w:rPr>
          <w:rFonts w:hint="eastAsia"/>
          <w:bCs/>
          <w:sz w:val="24"/>
        </w:rPr>
        <w:t>）的比例不低于非现金基金资产的</w:t>
      </w:r>
      <w:r>
        <w:rPr>
          <w:bCs/>
          <w:sz w:val="24"/>
        </w:rPr>
        <w:t>90%</w:t>
      </w:r>
      <w:r>
        <w:rPr>
          <w:rFonts w:hint="eastAsia"/>
          <w:bCs/>
          <w:sz w:val="24"/>
        </w:rPr>
        <w:t>；</w:t>
      </w:r>
    </w:p>
    <w:p>
      <w:pPr>
        <w:spacing w:line="360" w:lineRule="auto"/>
        <w:ind w:firstLine="480" w:firstLineChars="200"/>
        <w:rPr>
          <w:bCs/>
          <w:sz w:val="24"/>
        </w:rPr>
      </w:pPr>
      <w:r>
        <w:rPr>
          <w:rFonts w:hint="eastAsia"/>
          <w:bCs/>
          <w:sz w:val="24"/>
        </w:rPr>
        <w:t>（</w:t>
      </w:r>
      <w:r>
        <w:rPr>
          <w:bCs/>
          <w:sz w:val="24"/>
        </w:rPr>
        <w:t>2</w:t>
      </w:r>
      <w:r>
        <w:rPr>
          <w:rFonts w:hint="eastAsia"/>
          <w:bCs/>
          <w:sz w:val="24"/>
        </w:rPr>
        <w:t>）本基金每个交易日日终在扣除股指期货合约需缴纳的交易保证金后，保持不低于基金资产净值</w:t>
      </w:r>
      <w:r>
        <w:rPr>
          <w:bCs/>
          <w:sz w:val="24"/>
        </w:rPr>
        <w:t>5</w:t>
      </w:r>
      <w:r>
        <w:rPr>
          <w:rFonts w:hint="eastAsia"/>
          <w:bCs/>
          <w:sz w:val="24"/>
        </w:rPr>
        <w:t>％的现金或者到期日在一年以内的政府债券，其中现金不包括结算备付金、存出保证金、应收申购款等；</w:t>
      </w:r>
    </w:p>
    <w:p>
      <w:pPr>
        <w:spacing w:line="360" w:lineRule="auto"/>
        <w:ind w:firstLine="480" w:firstLineChars="200"/>
        <w:rPr>
          <w:bCs/>
          <w:sz w:val="24"/>
        </w:rPr>
      </w:pPr>
      <w:r>
        <w:rPr>
          <w:rFonts w:hint="eastAsia"/>
          <w:bCs/>
          <w:sz w:val="24"/>
        </w:rPr>
        <w:t>（</w:t>
      </w:r>
      <w:r>
        <w:rPr>
          <w:bCs/>
          <w:sz w:val="24"/>
        </w:rPr>
        <w:t>3</w:t>
      </w:r>
      <w:r>
        <w:rPr>
          <w:rFonts w:hint="eastAsia"/>
          <w:bCs/>
          <w:sz w:val="24"/>
        </w:rPr>
        <w:t>）本基金持有的全部权证，其市值不得超过基金资产净值的</w:t>
      </w:r>
      <w:r>
        <w:rPr>
          <w:bCs/>
          <w:sz w:val="24"/>
        </w:rPr>
        <w:t>3%</w:t>
      </w:r>
      <w:r>
        <w:rPr>
          <w:rFonts w:hint="eastAsia"/>
          <w:bCs/>
          <w:sz w:val="24"/>
        </w:rPr>
        <w:t>；</w:t>
      </w:r>
    </w:p>
    <w:p>
      <w:pPr>
        <w:spacing w:line="360" w:lineRule="auto"/>
        <w:ind w:firstLine="480" w:firstLineChars="200"/>
        <w:rPr>
          <w:bCs/>
          <w:sz w:val="24"/>
        </w:rPr>
      </w:pPr>
      <w:r>
        <w:rPr>
          <w:rFonts w:hint="eastAsia"/>
          <w:bCs/>
          <w:sz w:val="24"/>
        </w:rPr>
        <w:t>（</w:t>
      </w:r>
      <w:r>
        <w:rPr>
          <w:bCs/>
          <w:sz w:val="24"/>
        </w:rPr>
        <w:t>4</w:t>
      </w:r>
      <w:r>
        <w:rPr>
          <w:rFonts w:hint="eastAsia"/>
          <w:bCs/>
          <w:sz w:val="24"/>
        </w:rPr>
        <w:t>）本基金管理人管理的全部基金持有的同一权证，不得超过该权证的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5</w:t>
      </w:r>
      <w:r>
        <w:rPr>
          <w:rFonts w:hint="eastAsia"/>
          <w:bCs/>
          <w:sz w:val="24"/>
        </w:rPr>
        <w:t>）本基金在任何交易日买入权证的总金额，不得超过上一交易日基金资产净值的</w:t>
      </w:r>
      <w:r>
        <w:rPr>
          <w:bCs/>
          <w:sz w:val="24"/>
        </w:rPr>
        <w:t>0.5%</w:t>
      </w:r>
      <w:r>
        <w:rPr>
          <w:rFonts w:hint="eastAsia"/>
          <w:bCs/>
          <w:sz w:val="24"/>
        </w:rPr>
        <w:t>；</w:t>
      </w:r>
    </w:p>
    <w:p>
      <w:pPr>
        <w:spacing w:line="360" w:lineRule="auto"/>
        <w:ind w:firstLine="480" w:firstLineChars="200"/>
        <w:rPr>
          <w:bCs/>
          <w:sz w:val="24"/>
        </w:rPr>
      </w:pPr>
      <w:r>
        <w:rPr>
          <w:rFonts w:hint="eastAsia"/>
          <w:bCs/>
          <w:sz w:val="24"/>
        </w:rPr>
        <w:t>（</w:t>
      </w:r>
      <w:r>
        <w:rPr>
          <w:bCs/>
          <w:sz w:val="24"/>
        </w:rPr>
        <w:t>6</w:t>
      </w:r>
      <w:r>
        <w:rPr>
          <w:rFonts w:hint="eastAsia"/>
          <w:bCs/>
          <w:sz w:val="24"/>
        </w:rPr>
        <w:t>）本基金投资于同一原始权益人的各类资产支持证券的比例，不得超过基金资产净值的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7</w:t>
      </w:r>
      <w:r>
        <w:rPr>
          <w:rFonts w:hint="eastAsia"/>
          <w:bCs/>
          <w:sz w:val="24"/>
        </w:rPr>
        <w:t>）本基金持有的全部资产支持证券，其市值不得超过基金资产净值的</w:t>
      </w:r>
      <w:r>
        <w:rPr>
          <w:bCs/>
          <w:sz w:val="24"/>
        </w:rPr>
        <w:t>20%</w:t>
      </w:r>
      <w:r>
        <w:rPr>
          <w:rFonts w:hint="eastAsia"/>
          <w:bCs/>
          <w:sz w:val="24"/>
        </w:rPr>
        <w:t>；</w:t>
      </w:r>
    </w:p>
    <w:p>
      <w:pPr>
        <w:spacing w:line="360" w:lineRule="auto"/>
        <w:ind w:firstLine="480" w:firstLineChars="200"/>
        <w:rPr>
          <w:bCs/>
          <w:sz w:val="24"/>
        </w:rPr>
      </w:pPr>
      <w:r>
        <w:rPr>
          <w:rFonts w:hint="eastAsia"/>
          <w:bCs/>
          <w:sz w:val="24"/>
        </w:rPr>
        <w:t>（</w:t>
      </w:r>
      <w:r>
        <w:rPr>
          <w:bCs/>
          <w:sz w:val="24"/>
        </w:rPr>
        <w:t>8</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9</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pPr>
        <w:spacing w:line="360" w:lineRule="auto"/>
        <w:ind w:firstLine="480" w:firstLineChars="200"/>
        <w:rPr>
          <w:bCs/>
          <w:sz w:val="24"/>
        </w:rPr>
      </w:pPr>
      <w:r>
        <w:rPr>
          <w:rFonts w:hint="eastAsia"/>
          <w:bCs/>
          <w:sz w:val="24"/>
        </w:rPr>
        <w:t>（</w:t>
      </w:r>
      <w:r>
        <w:rPr>
          <w:bCs/>
          <w:sz w:val="24"/>
        </w:rPr>
        <w:t>10</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pPr>
        <w:spacing w:line="360" w:lineRule="auto"/>
        <w:ind w:firstLine="480" w:firstLineChars="200"/>
        <w:rPr>
          <w:bCs/>
          <w:sz w:val="24"/>
        </w:rPr>
      </w:pPr>
      <w:r>
        <w:rPr>
          <w:rFonts w:hint="eastAsia"/>
          <w:bCs/>
          <w:sz w:val="24"/>
        </w:rPr>
        <w:t>（</w:t>
      </w:r>
      <w:r>
        <w:rPr>
          <w:bCs/>
          <w:sz w:val="24"/>
        </w:rPr>
        <w:t>11</w:t>
      </w:r>
      <w:r>
        <w:rPr>
          <w:rFonts w:hint="eastAsia"/>
          <w:bCs/>
          <w:sz w:val="24"/>
        </w:rPr>
        <w:t>）基金财产参与股票发行申购，本基金所申报的金额不超过本基金的总资产，本基金所申报的股票数量不超过拟发行股票公司本次发行股票的总量；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rFonts w:hint="eastAsia"/>
          <w:bCs/>
          <w:sz w:val="24"/>
        </w:rPr>
        <w:t>（</w:t>
      </w:r>
      <w:r>
        <w:rPr>
          <w:bCs/>
          <w:sz w:val="24"/>
        </w:rPr>
        <w:t>12</w:t>
      </w:r>
      <w:r>
        <w:rPr>
          <w:rFonts w:hint="eastAsia"/>
          <w:bCs/>
          <w:sz w:val="24"/>
        </w:rPr>
        <w:t>）本基金进入全国银行间同业市场进行债券回购的资金余额</w:t>
      </w:r>
      <w:r>
        <w:rPr>
          <w:bCs/>
          <w:sz w:val="24"/>
        </w:rPr>
        <w:t>不得超过基金资产净值的40%</w:t>
      </w:r>
      <w:r>
        <w:rPr>
          <w:rFonts w:hint="eastAsia"/>
          <w:bCs/>
          <w:sz w:val="24"/>
        </w:rPr>
        <w:t>；本基金进入全国银行间同业市场进行债券回购的最长期限为1年,债券回购到期后不得展期；</w:t>
      </w:r>
    </w:p>
    <w:p>
      <w:pPr>
        <w:spacing w:line="360" w:lineRule="auto"/>
        <w:ind w:firstLine="480" w:firstLineChars="200"/>
        <w:rPr>
          <w:bCs/>
          <w:sz w:val="24"/>
        </w:rPr>
      </w:pPr>
      <w:r>
        <w:rPr>
          <w:bCs/>
          <w:sz w:val="24"/>
        </w:rPr>
        <w:t>（1</w:t>
      </w:r>
      <w:r>
        <w:rPr>
          <w:rFonts w:hint="eastAsia"/>
          <w:bCs/>
          <w:sz w:val="24"/>
        </w:rPr>
        <w:t>3</w:t>
      </w:r>
      <w:r>
        <w:rPr>
          <w:bCs/>
          <w:sz w:val="24"/>
        </w:rPr>
        <w:t>）</w:t>
      </w:r>
      <w:r>
        <w:rPr>
          <w:rFonts w:hint="eastAsia"/>
          <w:bCs/>
          <w:sz w:val="24"/>
        </w:rPr>
        <w:t>本基金在任何交易日日终，持有的买入股指期货合约价值，不得超过基金资产净值的</w:t>
      </w:r>
      <w:r>
        <w:rPr>
          <w:bCs/>
          <w:sz w:val="24"/>
        </w:rPr>
        <w:t>10%</w:t>
      </w:r>
      <w:r>
        <w:rPr>
          <w:rFonts w:hint="eastAsia"/>
          <w:bCs/>
          <w:sz w:val="24"/>
        </w:rPr>
        <w:t>；</w:t>
      </w:r>
    </w:p>
    <w:p>
      <w:pPr>
        <w:spacing w:line="360" w:lineRule="auto"/>
        <w:ind w:firstLine="480" w:firstLineChars="200"/>
        <w:rPr>
          <w:bCs/>
          <w:sz w:val="24"/>
        </w:rPr>
      </w:pPr>
      <w:r>
        <w:rPr>
          <w:bCs/>
          <w:sz w:val="24"/>
        </w:rPr>
        <w:t>（1</w:t>
      </w:r>
      <w:r>
        <w:rPr>
          <w:rFonts w:hint="eastAsia"/>
          <w:bCs/>
          <w:sz w:val="24"/>
        </w:rPr>
        <w:t>4</w:t>
      </w:r>
      <w:r>
        <w:rPr>
          <w:bCs/>
          <w:sz w:val="24"/>
        </w:rPr>
        <w:t>）</w:t>
      </w:r>
      <w:r>
        <w:rPr>
          <w:rFonts w:hint="eastAsia"/>
          <w:bCs/>
          <w:sz w:val="24"/>
        </w:rPr>
        <w:t>本基金在任何交易日日终，持有的买入期货合约价值与有价证券市值之和</w:t>
      </w:r>
      <w:r>
        <w:rPr>
          <w:rFonts w:ascii="宋体" w:hAnsi="宋体"/>
          <w:bCs/>
          <w:sz w:val="24"/>
        </w:rPr>
        <w:t>,</w:t>
      </w:r>
      <w:r>
        <w:rPr>
          <w:rFonts w:hint="eastAsia"/>
          <w:bCs/>
          <w:sz w:val="24"/>
        </w:rPr>
        <w:t>不得超过基金资产净值的100</w:t>
      </w:r>
      <w:r>
        <w:rPr>
          <w:bCs/>
          <w:sz w:val="24"/>
        </w:rPr>
        <w:t>%</w:t>
      </w:r>
      <w:r>
        <w:rPr>
          <w:rFonts w:hint="eastAsia"/>
          <w:bCs/>
          <w:sz w:val="24"/>
        </w:rPr>
        <w:t>。其中，有价证券指股票、债券（不含到期日在一年以内的政府债券）、权证、资产支持证券、买入返售金融资产（不含质押式回购）等；</w:t>
      </w:r>
    </w:p>
    <w:p>
      <w:pPr>
        <w:spacing w:line="360" w:lineRule="auto"/>
        <w:ind w:firstLine="480" w:firstLineChars="200"/>
        <w:rPr>
          <w:bCs/>
          <w:sz w:val="24"/>
        </w:rPr>
      </w:pPr>
      <w:r>
        <w:rPr>
          <w:bCs/>
          <w:sz w:val="24"/>
        </w:rPr>
        <w:t>（1</w:t>
      </w:r>
      <w:r>
        <w:rPr>
          <w:rFonts w:hint="eastAsia"/>
          <w:bCs/>
          <w:sz w:val="24"/>
        </w:rPr>
        <w:t>5</w:t>
      </w:r>
      <w:r>
        <w:rPr>
          <w:bCs/>
          <w:sz w:val="24"/>
        </w:rPr>
        <w:t>）</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pPr>
        <w:spacing w:line="360" w:lineRule="auto"/>
        <w:ind w:firstLine="480" w:firstLineChars="200"/>
        <w:rPr>
          <w:bCs/>
          <w:sz w:val="24"/>
        </w:rPr>
      </w:pPr>
      <w:r>
        <w:rPr>
          <w:bCs/>
          <w:sz w:val="24"/>
        </w:rPr>
        <w:t>（1</w:t>
      </w:r>
      <w:r>
        <w:rPr>
          <w:rFonts w:hint="eastAsia"/>
          <w:bCs/>
          <w:sz w:val="24"/>
        </w:rPr>
        <w:t>6</w:t>
      </w:r>
      <w:r>
        <w:rPr>
          <w:bCs/>
          <w:sz w:val="24"/>
        </w:rPr>
        <w:t>）</w:t>
      </w:r>
      <w:r>
        <w:rPr>
          <w:rFonts w:hint="eastAsia"/>
          <w:bCs/>
          <w:sz w:val="24"/>
        </w:rPr>
        <w:t>本基金所持有的股票市值和买入、卖出股指期货合约价值，合计（轧差计算）应当符合基金合同关于股票投资比例的有关约定；</w:t>
      </w:r>
    </w:p>
    <w:p>
      <w:pPr>
        <w:spacing w:line="360" w:lineRule="auto"/>
        <w:ind w:firstLine="480" w:firstLineChars="200"/>
        <w:rPr>
          <w:bCs/>
          <w:sz w:val="24"/>
        </w:rPr>
      </w:pPr>
      <w:r>
        <w:rPr>
          <w:bCs/>
          <w:sz w:val="24"/>
        </w:rPr>
        <w:t>（1</w:t>
      </w:r>
      <w:r>
        <w:rPr>
          <w:rFonts w:hint="eastAsia"/>
          <w:bCs/>
          <w:sz w:val="24"/>
        </w:rPr>
        <w:t>7）本基金在任何交易日内交易（不包括平仓）的股指期货合约的成交金额不得超过上一交易日基金资产净值的</w:t>
      </w:r>
      <w:r>
        <w:rPr>
          <w:bCs/>
          <w:sz w:val="24"/>
        </w:rPr>
        <w:t>20%</w:t>
      </w:r>
      <w:r>
        <w:rPr>
          <w:rFonts w:hint="eastAsia"/>
          <w:bCs/>
          <w:sz w:val="24"/>
        </w:rPr>
        <w:t>；</w:t>
      </w:r>
    </w:p>
    <w:p>
      <w:pPr>
        <w:spacing w:line="360" w:lineRule="auto"/>
        <w:ind w:firstLine="480" w:firstLineChars="200"/>
        <w:rPr>
          <w:bCs/>
          <w:sz w:val="24"/>
        </w:rPr>
      </w:pPr>
      <w:r>
        <w:rPr>
          <w:bCs/>
          <w:sz w:val="24"/>
        </w:rPr>
        <w:t>（</w:t>
      </w:r>
      <w:r>
        <w:rPr>
          <w:rFonts w:hint="eastAsia"/>
          <w:bCs/>
          <w:sz w:val="24"/>
        </w:rPr>
        <w:t>18</w:t>
      </w:r>
      <w:r>
        <w:rPr>
          <w:bCs/>
          <w:sz w:val="24"/>
        </w:rPr>
        <w:t>）本基金的基金资产总值不得超过基金资产净值的140%；</w:t>
      </w:r>
    </w:p>
    <w:p>
      <w:pPr>
        <w:spacing w:line="360" w:lineRule="auto"/>
        <w:ind w:firstLine="480" w:firstLineChars="200"/>
        <w:rPr>
          <w:bCs/>
          <w:sz w:val="24"/>
        </w:rPr>
      </w:pPr>
      <w:r>
        <w:rPr>
          <w:rFonts w:hint="eastAsia"/>
          <w:bCs/>
          <w:sz w:val="24"/>
        </w:rPr>
        <w:t>（</w:t>
      </w:r>
      <w:r>
        <w:rPr>
          <w:bCs/>
          <w:sz w:val="24"/>
        </w:rPr>
        <w:t>19</w:t>
      </w:r>
      <w:r>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pPr>
        <w:spacing w:line="360" w:lineRule="auto"/>
        <w:ind w:firstLine="480" w:firstLineChars="200"/>
        <w:rPr>
          <w:bCs/>
          <w:sz w:val="24"/>
        </w:rPr>
      </w:pPr>
      <w:r>
        <w:rPr>
          <w:rFonts w:hint="eastAsia"/>
          <w:bCs/>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rFonts w:hint="eastAsia"/>
          <w:bCs/>
          <w:sz w:val="24"/>
        </w:rPr>
        <w:t>（21）本基金与私募类证券资管产品及中国证监会认定的其他主体为交易对手开展逆回购交易的，可接受质押品的资质要求应当与基金合同约定的投资范围保持一致；</w:t>
      </w:r>
    </w:p>
    <w:p>
      <w:pPr>
        <w:spacing w:line="360" w:lineRule="auto"/>
        <w:ind w:firstLine="480" w:firstLineChars="200"/>
        <w:rPr>
          <w:bCs/>
          <w:sz w:val="24"/>
        </w:rPr>
      </w:pPr>
      <w:r>
        <w:rPr>
          <w:rFonts w:hint="eastAsia"/>
          <w:bCs/>
          <w:sz w:val="24"/>
        </w:rPr>
        <w:t>（</w:t>
      </w:r>
      <w:r>
        <w:rPr>
          <w:bCs/>
          <w:sz w:val="24"/>
        </w:rPr>
        <w:t>22</w:t>
      </w:r>
      <w:r>
        <w:rPr>
          <w:rFonts w:hint="eastAsia"/>
          <w:bCs/>
          <w:sz w:val="24"/>
        </w:rPr>
        <w:t>）本基金投资存托凭证的比例限制依照境内上市交易的股票执行；</w:t>
      </w:r>
    </w:p>
    <w:p>
      <w:pPr>
        <w:spacing w:line="360" w:lineRule="auto"/>
        <w:ind w:firstLine="480" w:firstLineChars="200"/>
        <w:rPr>
          <w:bCs/>
          <w:sz w:val="24"/>
        </w:rPr>
      </w:pPr>
      <w:r>
        <w:rPr>
          <w:rFonts w:hint="eastAsia"/>
          <w:bCs/>
          <w:sz w:val="24"/>
        </w:rPr>
        <w:t>（</w:t>
      </w:r>
      <w:r>
        <w:rPr>
          <w:bCs/>
          <w:sz w:val="24"/>
        </w:rPr>
        <w:t>23</w:t>
      </w:r>
      <w:r>
        <w:rPr>
          <w:rFonts w:hint="eastAsia"/>
          <w:bCs/>
          <w:sz w:val="24"/>
        </w:rPr>
        <w:t>）法律法规及中国证监会规定的和《基金合同》约定的其他投资限制。</w:t>
      </w:r>
    </w:p>
    <w:p>
      <w:pPr>
        <w:spacing w:line="360" w:lineRule="auto"/>
        <w:ind w:firstLine="480" w:firstLineChars="200"/>
        <w:rPr>
          <w:bCs/>
        </w:rPr>
      </w:pPr>
      <w:r>
        <w:rPr>
          <w:rFonts w:hint="eastAsia"/>
          <w:bCs/>
          <w:sz w:val="24"/>
        </w:rPr>
        <w:t>除上述第（2）、（10）、（20）、（21）项另有约定外，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合并、基金规模变动、股权分置改革中支付对价等基金管理人之外的因素致使基金投资比例不符合上述规定投资比例的，基金管理人应当在10个交易日内进行调整</w:t>
      </w:r>
      <w:r>
        <w:rPr>
          <w:rFonts w:hint="eastAsia" w:ascii="宋体" w:hAnsi="宋体"/>
          <w:bCs/>
          <w:sz w:val="24"/>
        </w:rPr>
        <w:t>，但中国证监会规定的特殊情形除外</w:t>
      </w:r>
      <w:r>
        <w:rPr>
          <w:bCs/>
          <w:sz w:val="24"/>
        </w:rPr>
        <w:t>。</w:t>
      </w:r>
      <w:r>
        <w:rPr>
          <w:rFonts w:hint="eastAsia"/>
          <w:bCs/>
          <w:sz w:val="24"/>
        </w:rPr>
        <w:t>法律法规另有规定的，从其规定。</w:t>
      </w:r>
    </w:p>
    <w:p>
      <w:pPr>
        <w:spacing w:line="360" w:lineRule="auto"/>
        <w:ind w:firstLine="480" w:firstLineChars="200"/>
        <w:rPr>
          <w:bCs/>
          <w:sz w:val="24"/>
        </w:rPr>
      </w:pPr>
      <w:r>
        <w:rPr>
          <w:bCs/>
          <w:sz w:val="24"/>
        </w:rPr>
        <w:t>基金管理人应当自</w:t>
      </w:r>
      <w:r>
        <w:rPr>
          <w:rFonts w:hint="eastAsia"/>
          <w:bCs/>
          <w:sz w:val="24"/>
        </w:rPr>
        <w:t>基金转型实施</w:t>
      </w:r>
      <w:r>
        <w:rPr>
          <w:bCs/>
          <w:sz w:val="24"/>
        </w:rPr>
        <w:t>日起</w:t>
      </w:r>
      <w:r>
        <w:rPr>
          <w:rFonts w:hint="eastAsia"/>
          <w:bCs/>
          <w:sz w:val="24"/>
        </w:rPr>
        <w:t>6</w:t>
      </w:r>
      <w:r>
        <w:rPr>
          <w:bCs/>
          <w:sz w:val="24"/>
        </w:rPr>
        <w:t>个月内使基金的投资组合比例符合基金合同的有关约定。</w:t>
      </w:r>
      <w:r>
        <w:rPr>
          <w:rFonts w:hint="eastAsia"/>
          <w:bCs/>
          <w:sz w:val="24"/>
        </w:rPr>
        <w:t>在上述</w:t>
      </w:r>
      <w:r>
        <w:rPr>
          <w:rFonts w:hint="eastAsia" w:ascii="宋体" w:hAnsi="宋体"/>
          <w:bCs/>
          <w:sz w:val="24"/>
        </w:rPr>
        <w:t>期间内，本基金的投资范围、投资策略应当符合基金合同的约定。</w:t>
      </w:r>
      <w:r>
        <w:rPr>
          <w:bCs/>
          <w:sz w:val="24"/>
        </w:rPr>
        <w:t>基金托管人对基金的投资的监督与检查自基金合同生效</w:t>
      </w:r>
      <w:r>
        <w:rPr>
          <w:rFonts w:hint="eastAsia"/>
          <w:bCs/>
          <w:sz w:val="24"/>
        </w:rPr>
        <w:t>之</w:t>
      </w:r>
      <w:r>
        <w:rPr>
          <w:bCs/>
          <w:sz w:val="24"/>
        </w:rPr>
        <w:t>日起开始。</w:t>
      </w:r>
    </w:p>
    <w:p>
      <w:pPr>
        <w:spacing w:line="360" w:lineRule="auto"/>
        <w:ind w:firstLine="480" w:firstLineChars="20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w:t>
      </w:r>
      <w:r>
        <w:rPr>
          <w:rFonts w:hint="eastAsia"/>
          <w:bCs/>
          <w:sz w:val="24"/>
        </w:rPr>
        <w:t>不再受相关限制</w:t>
      </w:r>
      <w:r>
        <w:rPr>
          <w:bCs/>
          <w:sz w:val="24"/>
        </w:rPr>
        <w:t>。</w:t>
      </w:r>
    </w:p>
    <w:p>
      <w:pPr>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exact"/>
        <w:ind w:firstLine="480" w:firstLineChars="200"/>
        <w:jc w:val="left"/>
        <w:rPr>
          <w:bCs/>
          <w:sz w:val="24"/>
          <w:szCs w:val="24"/>
        </w:rPr>
      </w:pPr>
      <w:r>
        <w:rPr>
          <w:bCs/>
          <w:sz w:val="24"/>
          <w:szCs w:val="24"/>
        </w:rPr>
        <w:t>2</w:t>
      </w:r>
      <w:r>
        <w:rPr>
          <w:rFonts w:hint="eastAsia"/>
          <w:bCs/>
          <w:sz w:val="24"/>
          <w:szCs w:val="24"/>
        </w:rPr>
        <w:t>、</w:t>
      </w:r>
      <w:r>
        <w:rPr>
          <w:bCs/>
          <w:sz w:val="24"/>
          <w:szCs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exact"/>
        <w:ind w:firstLine="480" w:firstLineChars="20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rFonts w:hint="eastAsia"/>
          <w:bCs/>
          <w:sz w:val="24"/>
        </w:rPr>
        <w:t>如法律、行政法规或监管部门取消上述禁止性规定，如适用于本基金，基金管理人在履行适当程序后，本基金可不受上述规定的限制。</w:t>
      </w:r>
    </w:p>
    <w:p>
      <w:pPr>
        <w:spacing w:line="360" w:lineRule="auto"/>
        <w:ind w:firstLine="480" w:firstLineChars="200"/>
        <w:rPr>
          <w:bCs/>
          <w:sz w:val="24"/>
        </w:rPr>
      </w:pPr>
      <w:r>
        <w:rPr>
          <w:rFonts w:hint="eastAsia"/>
          <w:bCs/>
          <w:sz w:val="24"/>
        </w:rPr>
        <w:t>（</w:t>
      </w:r>
      <w:r>
        <w:rPr>
          <w:bCs/>
          <w:sz w:val="24"/>
        </w:rPr>
        <w:t>五</w:t>
      </w:r>
      <w:r>
        <w:rPr>
          <w:rFonts w:hint="eastAsia"/>
          <w:bCs/>
          <w:sz w:val="24"/>
        </w:rPr>
        <w:t>）</w:t>
      </w:r>
      <w:r>
        <w:rPr>
          <w:bCs/>
          <w:sz w:val="24"/>
        </w:rPr>
        <w:t>业绩比较基准</w:t>
      </w:r>
    </w:p>
    <w:p>
      <w:pPr>
        <w:spacing w:line="360" w:lineRule="auto"/>
        <w:ind w:firstLine="480" w:firstLineChars="200"/>
        <w:rPr>
          <w:bCs/>
          <w:sz w:val="24"/>
        </w:rPr>
      </w:pPr>
      <w:r>
        <w:rPr>
          <w:rFonts w:hint="eastAsia"/>
          <w:bCs/>
          <w:sz w:val="24"/>
        </w:rPr>
        <w:t>中证环境治理指数收益率×</w:t>
      </w:r>
      <w:r>
        <w:rPr>
          <w:bCs/>
          <w:sz w:val="24"/>
        </w:rPr>
        <w:t>95%</w:t>
      </w:r>
      <w:r>
        <w:rPr>
          <w:rFonts w:hint="eastAsia"/>
          <w:bCs/>
          <w:sz w:val="24"/>
        </w:rPr>
        <w:t>＋银行活期存款利率（税后）×</w:t>
      </w:r>
      <w:r>
        <w:rPr>
          <w:bCs/>
          <w:sz w:val="24"/>
        </w:rPr>
        <w:t>5%</w:t>
      </w:r>
    </w:p>
    <w:p>
      <w:pPr>
        <w:spacing w:line="360" w:lineRule="auto"/>
        <w:ind w:firstLine="480" w:firstLineChars="200"/>
        <w:rPr>
          <w:bCs/>
          <w:sz w:val="24"/>
        </w:rPr>
      </w:pPr>
      <w:r>
        <w:rPr>
          <w:rFonts w:hint="eastAsia"/>
          <w:bCs/>
          <w:sz w:val="24"/>
        </w:rPr>
        <w:t>本基金的标的指数为中证环境治理指数。中证环境治理指数是由中证指数有限公司编制，代表性和可投资性受到市场认可。</w:t>
      </w:r>
    </w:p>
    <w:p>
      <w:pPr>
        <w:spacing w:line="360" w:lineRule="auto"/>
        <w:ind w:firstLine="480" w:firstLineChars="200"/>
        <w:rPr>
          <w:bCs/>
          <w:sz w:val="24"/>
        </w:rPr>
      </w:pPr>
      <w:r>
        <w:rPr>
          <w:rFonts w:hint="eastAsia"/>
          <w:bCs/>
          <w:sz w:val="24"/>
        </w:rPr>
        <w:t>由于本基金每个交易日日终在扣除股指期货合约需缴纳的交易保证金后，投资于现金或者到期日在一年以内的政府债券不低于基金资产净值的</w:t>
      </w:r>
      <w:r>
        <w:rPr>
          <w:bCs/>
          <w:sz w:val="24"/>
        </w:rPr>
        <w:t>5%</w:t>
      </w:r>
      <w:r>
        <w:rPr>
          <w:rFonts w:hint="eastAsia"/>
          <w:bCs/>
          <w:sz w:val="24"/>
        </w:rPr>
        <w:t>，因此本基金业绩比较基准中同时加入了</w:t>
      </w:r>
      <w:r>
        <w:rPr>
          <w:bCs/>
          <w:sz w:val="24"/>
        </w:rPr>
        <w:t>5%</w:t>
      </w:r>
      <w:r>
        <w:rPr>
          <w:rFonts w:hint="eastAsia"/>
          <w:bCs/>
          <w:sz w:val="24"/>
        </w:rPr>
        <w:t>的银行活期存款利率</w:t>
      </w:r>
      <w:r>
        <w:rPr>
          <w:bCs/>
          <w:sz w:val="24"/>
        </w:rPr>
        <w:t>(</w:t>
      </w:r>
      <w:r>
        <w:rPr>
          <w:rFonts w:hint="eastAsia"/>
          <w:bCs/>
          <w:sz w:val="24"/>
        </w:rPr>
        <w:t>税后</w:t>
      </w:r>
      <w:r>
        <w:rPr>
          <w:bCs/>
          <w:sz w:val="24"/>
        </w:rPr>
        <w:t>)</w:t>
      </w:r>
      <w:r>
        <w:rPr>
          <w:rFonts w:hint="eastAsia"/>
          <w:bCs/>
          <w:sz w:val="24"/>
        </w:rPr>
        <w:t>。本基金管理人认为，该业绩比较基准目前能够忠实地反映本基金的风险收益特征。</w:t>
      </w:r>
    </w:p>
    <w:p>
      <w:pPr>
        <w:spacing w:line="360" w:lineRule="auto"/>
        <w:ind w:firstLine="480" w:firstLineChars="20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本基金合同终止。</w:t>
      </w:r>
    </w:p>
    <w:p>
      <w:pPr>
        <w:spacing w:line="360" w:lineRule="auto"/>
        <w:ind w:firstLine="480" w:firstLineChars="20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pPr>
        <w:spacing w:line="360" w:lineRule="auto"/>
        <w:ind w:firstLine="480" w:firstLineChars="200"/>
        <w:rPr>
          <w:bCs/>
          <w:sz w:val="24"/>
        </w:rPr>
      </w:pPr>
      <w:r>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pStyle w:val="39"/>
        <w:adjustRightInd w:val="0"/>
        <w:snapToGrid w:val="0"/>
        <w:spacing w:afterLines="0" w:line="240" w:lineRule="auto"/>
        <w:ind w:firstLine="482"/>
        <w:jc w:val="left"/>
        <w:rPr>
          <w:b/>
          <w:szCs w:val="24"/>
        </w:rPr>
      </w:pPr>
      <w:r>
        <w:rPr>
          <w:b/>
          <w:szCs w:val="24"/>
        </w:rPr>
        <w:t>六、基金资产净值的计算方法和公告方式</w:t>
      </w:r>
    </w:p>
    <w:p>
      <w:pPr>
        <w:spacing w:line="360" w:lineRule="auto"/>
        <w:ind w:firstLine="480" w:firstLineChars="200"/>
        <w:rPr>
          <w:bCs/>
          <w:sz w:val="24"/>
        </w:rPr>
      </w:pPr>
      <w:r>
        <w:rPr>
          <w:bCs/>
          <w:sz w:val="24"/>
        </w:rPr>
        <w:t>（一）估值方法</w:t>
      </w:r>
    </w:p>
    <w:p>
      <w:pPr>
        <w:spacing w:line="360" w:lineRule="auto"/>
        <w:ind w:firstLine="480" w:firstLineChars="200"/>
        <w:rPr>
          <w:bCs/>
          <w:sz w:val="24"/>
        </w:rPr>
      </w:pPr>
      <w:r>
        <w:rPr>
          <w:rFonts w:hint="eastAsia"/>
          <w:bCs/>
          <w:sz w:val="24"/>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pPr>
        <w:spacing w:line="360" w:lineRule="auto"/>
        <w:ind w:firstLine="480" w:firstLineChars="200"/>
        <w:rPr>
          <w:bCs/>
          <w:sz w:val="24"/>
        </w:rPr>
      </w:pPr>
      <w:r>
        <w:rPr>
          <w:rFonts w:hint="eastAsia"/>
          <w:bCs/>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pPr>
        <w:spacing w:line="360" w:lineRule="auto"/>
        <w:ind w:firstLine="480" w:firstLineChars="200"/>
        <w:rPr>
          <w:bCs/>
          <w:sz w:val="24"/>
        </w:rPr>
      </w:pPr>
      <w:r>
        <w:rPr>
          <w:rFonts w:hint="eastAsia"/>
          <w:bCs/>
          <w:sz w:val="24"/>
        </w:rPr>
        <w:t>（3）当投资品种不存在活跃市场，采用市场参与者普遍认同，且被以往市场实际交易价格验证具有可靠性的估值技术，确定投资品种的公允价值。</w:t>
      </w:r>
    </w:p>
    <w:p>
      <w:pPr>
        <w:spacing w:line="360" w:lineRule="auto"/>
        <w:ind w:firstLine="480" w:firstLineChars="200"/>
        <w:rPr>
          <w:bCs/>
          <w:sz w:val="24"/>
        </w:rPr>
      </w:pPr>
      <w:r>
        <w:rPr>
          <w:rFonts w:hint="eastAsia"/>
          <w:bCs/>
          <w:sz w:val="24"/>
        </w:rPr>
        <w:t>（4）如有充足理由认为按原有方法进行估值不能客观反映上述资产或负债公允价值的，基金管理人可根据具体情况与基金托管人商定后，按最能反映公允价值的方法估值。</w:t>
      </w:r>
    </w:p>
    <w:p>
      <w:pPr>
        <w:spacing w:line="360" w:lineRule="auto"/>
        <w:ind w:firstLine="480" w:firstLineChars="200"/>
        <w:rPr>
          <w:bCs/>
          <w:sz w:val="24"/>
        </w:rPr>
      </w:pPr>
      <w:r>
        <w:rPr>
          <w:rFonts w:hint="eastAsia"/>
          <w:bCs/>
          <w:sz w:val="24"/>
        </w:rPr>
        <w:t>（5）本基金投资存托凭证的估值核算依照境内上市交易的股票执行。</w:t>
      </w:r>
    </w:p>
    <w:p>
      <w:pPr>
        <w:spacing w:line="360" w:lineRule="auto"/>
        <w:ind w:firstLine="480" w:firstLineChars="200"/>
        <w:rPr>
          <w:bCs/>
          <w:sz w:val="24"/>
        </w:rPr>
      </w:pPr>
      <w:r>
        <w:rPr>
          <w:rFonts w:hint="eastAsia"/>
          <w:bCs/>
          <w:sz w:val="24"/>
        </w:rPr>
        <w:t>（</w:t>
      </w:r>
      <w:r>
        <w:rPr>
          <w:bCs/>
          <w:sz w:val="24"/>
        </w:rPr>
        <w:t>6</w:t>
      </w:r>
      <w:r>
        <w:rPr>
          <w:rFonts w:hint="eastAsia"/>
          <w:bCs/>
          <w:sz w:val="24"/>
        </w:rPr>
        <w:t>）存在相关法律法规以及监管部门有相关规范的，从其规定。如有新增事项，按监管部门最新规定估值</w:t>
      </w:r>
      <w:r>
        <w:rPr>
          <w:bCs/>
          <w:sz w:val="24"/>
        </w:rPr>
        <w:t>。</w:t>
      </w:r>
    </w:p>
    <w:p>
      <w:pPr>
        <w:spacing w:line="360" w:lineRule="auto"/>
        <w:ind w:firstLine="480" w:firstLineChars="200"/>
        <w:rPr>
          <w:rStyle w:val="33"/>
          <w:bCs/>
          <w:sz w:val="24"/>
        </w:rPr>
      </w:pPr>
      <w:r>
        <w:rPr>
          <w:rStyle w:val="33"/>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adjustRightInd w:val="0"/>
        <w:snapToGrid w:val="0"/>
        <w:spacing w:line="360" w:lineRule="auto"/>
        <w:ind w:firstLine="480" w:firstLineChars="200"/>
        <w:jc w:val="left"/>
        <w:rPr>
          <w:sz w:val="24"/>
          <w:szCs w:val="24"/>
        </w:rPr>
      </w:pPr>
      <w:r>
        <w:rPr>
          <w:sz w:val="24"/>
          <w:szCs w:val="24"/>
        </w:rPr>
        <w:t>（二）估值程序</w:t>
      </w:r>
    </w:p>
    <w:p>
      <w:pPr>
        <w:spacing w:line="360" w:lineRule="auto"/>
        <w:ind w:firstLine="480" w:firstLineChars="200"/>
        <w:rPr>
          <w:bCs/>
          <w:sz w:val="24"/>
        </w:rPr>
      </w:pPr>
      <w:r>
        <w:rPr>
          <w:bCs/>
          <w:sz w:val="24"/>
        </w:rPr>
        <w:t>1、</w:t>
      </w:r>
      <w:r>
        <w:rPr>
          <w:rFonts w:hint="eastAsia"/>
          <w:bCs/>
          <w:sz w:val="24"/>
        </w:rPr>
        <w:t>各类基金份额的基金份额净值是按照每个工作日闭市后，该类基金份额的基金资产净值除以当日该类基金份额的余额数量计算，</w:t>
      </w:r>
      <w:r>
        <w:rPr>
          <w:bCs/>
          <w:sz w:val="24"/>
        </w:rPr>
        <w:t>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pPr>
        <w:spacing w:line="360" w:lineRule="auto"/>
        <w:ind w:firstLine="480" w:firstLineChars="200"/>
        <w:rPr>
          <w:bCs/>
          <w:sz w:val="24"/>
        </w:rPr>
      </w:pPr>
      <w:r>
        <w:rPr>
          <w:rFonts w:hint="eastAsia"/>
          <w:bCs/>
          <w:sz w:val="24"/>
        </w:rPr>
        <w:t>基金管理人于</w:t>
      </w:r>
      <w:r>
        <w:rPr>
          <w:bCs/>
          <w:sz w:val="24"/>
        </w:rPr>
        <w:t>每个工作日计算</w:t>
      </w:r>
      <w:r>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pPr>
        <w:spacing w:line="360" w:lineRule="auto"/>
        <w:ind w:firstLine="480" w:firstLineChars="200"/>
        <w:rPr>
          <w:bCs/>
          <w:sz w:val="24"/>
        </w:rPr>
      </w:pPr>
      <w:r>
        <w:rPr>
          <w:bCs/>
          <w:sz w:val="24"/>
        </w:rPr>
        <w:t>2、基金管理人应每个工作日对基金资产估值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pPr>
        <w:adjustRightInd w:val="0"/>
        <w:snapToGrid w:val="0"/>
        <w:spacing w:line="360" w:lineRule="auto"/>
        <w:ind w:firstLine="480" w:firstLineChars="200"/>
        <w:jc w:val="left"/>
        <w:rPr>
          <w:sz w:val="24"/>
          <w:szCs w:val="24"/>
        </w:rPr>
      </w:pPr>
      <w:r>
        <w:rPr>
          <w:sz w:val="24"/>
          <w:szCs w:val="24"/>
        </w:rPr>
        <w:t>（三）暂停估值的情形</w:t>
      </w:r>
    </w:p>
    <w:p>
      <w:pPr>
        <w:spacing w:line="360" w:lineRule="auto"/>
        <w:ind w:firstLine="480" w:firstLineChars="200"/>
        <w:rPr>
          <w:bCs/>
          <w:sz w:val="24"/>
        </w:rPr>
      </w:pPr>
      <w:r>
        <w:rPr>
          <w:bCs/>
          <w:sz w:val="24"/>
        </w:rPr>
        <w:t>1、基金投资所涉及的证券</w:t>
      </w:r>
      <w:r>
        <w:rPr>
          <w:rFonts w:hint="eastAsia"/>
          <w:bCs/>
          <w:sz w:val="24"/>
        </w:rPr>
        <w:t>、期货</w:t>
      </w:r>
      <w:r>
        <w:rPr>
          <w:bCs/>
          <w:sz w:val="24"/>
        </w:rPr>
        <w:t>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bCs/>
          <w:sz w:val="24"/>
        </w:rPr>
        <w:t>3、</w:t>
      </w:r>
      <w:r>
        <w:rPr>
          <w:rFonts w:hint="eastAsia"/>
          <w:bCs/>
          <w:sz w:val="24"/>
        </w:rPr>
        <w:t>占基金相当比例的投资品种的估值出现重大转变，而基金管理人为保障基金份额持有人的利益，决定延迟估值；</w:t>
      </w:r>
    </w:p>
    <w:p>
      <w:pPr>
        <w:spacing w:line="360" w:lineRule="auto"/>
        <w:ind w:firstLine="480" w:firstLineChars="200"/>
        <w:rPr>
          <w:bCs/>
          <w:sz w:val="24"/>
        </w:rPr>
      </w:pPr>
      <w:r>
        <w:rPr>
          <w:rFonts w:hint="eastAsia"/>
          <w:bCs/>
          <w:sz w:val="24"/>
        </w:rPr>
        <w:t>4、当前一估值日基金资产净值50%以上的资产出现无可参考的活跃市场价格且采用估值技术仍导致公允价值存在重大不确定性时，经与基金托管人协商确认后，基金管理人应当暂停估值；</w:t>
      </w:r>
    </w:p>
    <w:p>
      <w:pPr>
        <w:spacing w:line="360" w:lineRule="auto"/>
        <w:ind w:firstLine="480" w:firstLineChars="200"/>
        <w:rPr>
          <w:bCs/>
          <w:sz w:val="24"/>
        </w:rPr>
      </w:pPr>
      <w:r>
        <w:rPr>
          <w:bCs/>
          <w:sz w:val="24"/>
        </w:rPr>
        <w:t>5</w:t>
      </w:r>
      <w:r>
        <w:rPr>
          <w:rFonts w:hint="eastAsia"/>
          <w:bCs/>
          <w:sz w:val="24"/>
        </w:rPr>
        <w:t>、</w:t>
      </w:r>
      <w:r>
        <w:rPr>
          <w:bCs/>
          <w:sz w:val="24"/>
        </w:rPr>
        <w:t>中国证监会和基金合同认定的其它情形。</w:t>
      </w:r>
    </w:p>
    <w:p>
      <w:pPr>
        <w:pStyle w:val="39"/>
        <w:adjustRightInd w:val="0"/>
        <w:snapToGrid w:val="0"/>
        <w:spacing w:afterLines="0"/>
        <w:ind w:firstLine="482"/>
        <w:jc w:val="left"/>
        <w:rPr>
          <w:b/>
          <w:szCs w:val="24"/>
        </w:rPr>
      </w:pPr>
      <w:r>
        <w:rPr>
          <w:b/>
          <w:szCs w:val="24"/>
        </w:rPr>
        <w:t>七、基金合同</w:t>
      </w:r>
      <w:r>
        <w:rPr>
          <w:rFonts w:hint="eastAsia"/>
          <w:b/>
          <w:szCs w:val="24"/>
        </w:rPr>
        <w:t>变更、</w:t>
      </w:r>
      <w:r>
        <w:rPr>
          <w:b/>
          <w:szCs w:val="24"/>
        </w:rPr>
        <w:t>解除和终止的事由、程序以及基金财产清算方式</w:t>
      </w:r>
    </w:p>
    <w:p>
      <w:pPr>
        <w:adjustRightInd w:val="0"/>
        <w:snapToGrid w:val="0"/>
        <w:spacing w:line="360" w:lineRule="auto"/>
        <w:ind w:firstLine="480" w:firstLineChars="200"/>
        <w:jc w:val="left"/>
        <w:rPr>
          <w:sz w:val="24"/>
          <w:szCs w:val="24"/>
        </w:rPr>
      </w:pPr>
      <w:r>
        <w:rPr>
          <w:sz w:val="24"/>
          <w:szCs w:val="24"/>
        </w:rPr>
        <w:t>（一）</w:t>
      </w:r>
      <w:r>
        <w:rPr>
          <w:rFonts w:hint="eastAsia"/>
          <w:sz w:val="24"/>
          <w:szCs w:val="24"/>
        </w:rPr>
        <w:t>《</w:t>
      </w:r>
      <w:r>
        <w:rPr>
          <w:bCs/>
          <w:sz w:val="24"/>
          <w:szCs w:val="24"/>
        </w:rPr>
        <w:t>基金合同</w:t>
      </w:r>
      <w:r>
        <w:rPr>
          <w:rFonts w:hint="eastAsia"/>
          <w:bCs/>
          <w:sz w:val="24"/>
          <w:szCs w:val="24"/>
        </w:rPr>
        <w:t>》</w:t>
      </w:r>
      <w:r>
        <w:rPr>
          <w:bCs/>
          <w:sz w:val="24"/>
          <w:szCs w:val="24"/>
        </w:rPr>
        <w:t>的变更</w:t>
      </w:r>
    </w:p>
    <w:p>
      <w:pPr>
        <w:autoSpaceDE w:val="0"/>
        <w:autoSpaceDN w:val="0"/>
        <w:adjustRightInd w:val="0"/>
        <w:spacing w:line="360" w:lineRule="auto"/>
        <w:ind w:firstLine="480" w:firstLineChars="2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spacing w:line="360" w:lineRule="auto"/>
        <w:ind w:firstLine="480" w:firstLineChars="200"/>
        <w:rPr>
          <w:bCs/>
          <w:sz w:val="24"/>
        </w:rPr>
      </w:pPr>
      <w:r>
        <w:rPr>
          <w:bCs/>
          <w:sz w:val="24"/>
        </w:rPr>
        <w:t>2、关于《基金合同》变更的基金份额持有人大会决议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pPr>
        <w:adjustRightInd w:val="0"/>
        <w:snapToGrid w:val="0"/>
        <w:spacing w:line="360" w:lineRule="auto"/>
        <w:ind w:firstLine="480" w:firstLineChars="200"/>
        <w:jc w:val="left"/>
        <w:rPr>
          <w:sz w:val="24"/>
          <w:szCs w:val="24"/>
        </w:rPr>
      </w:pPr>
      <w:r>
        <w:rPr>
          <w:rFonts w:hint="eastAsia"/>
          <w:sz w:val="24"/>
          <w:szCs w:val="24"/>
        </w:rPr>
        <w:t>（二）《</w:t>
      </w:r>
      <w:r>
        <w:rPr>
          <w:sz w:val="24"/>
          <w:szCs w:val="24"/>
        </w:rPr>
        <w:t>基金合同</w:t>
      </w:r>
      <w:r>
        <w:rPr>
          <w:rFonts w:hint="eastAsia"/>
          <w:sz w:val="24"/>
          <w:szCs w:val="24"/>
        </w:rPr>
        <w:t>》</w:t>
      </w:r>
      <w:r>
        <w:rPr>
          <w:sz w:val="24"/>
          <w:szCs w:val="24"/>
        </w:rPr>
        <w:t>的终止</w:t>
      </w:r>
      <w:r>
        <w:rPr>
          <w:bCs/>
          <w:sz w:val="24"/>
          <w:szCs w:val="24"/>
        </w:rPr>
        <w:t>事由</w:t>
      </w:r>
    </w:p>
    <w:p>
      <w:pPr>
        <w:spacing w:line="360" w:lineRule="auto"/>
        <w:ind w:firstLine="480" w:firstLineChars="200"/>
        <w:rPr>
          <w:bCs/>
          <w:sz w:val="24"/>
        </w:rPr>
      </w:pPr>
      <w:r>
        <w:rPr>
          <w:bCs/>
          <w:sz w:val="24"/>
        </w:rPr>
        <w:t>有下列情形之一的，《基金合同》应当终止：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bCs/>
          <w:sz w:val="24"/>
        </w:rPr>
      </w:pPr>
      <w:r>
        <w:rPr>
          <w:rFonts w:hint="eastAsia"/>
          <w:bCs/>
          <w:sz w:val="24"/>
        </w:rPr>
        <w:t>3</w:t>
      </w:r>
      <w:r>
        <w:rPr>
          <w:bCs/>
          <w:sz w:val="24"/>
        </w:rPr>
        <w:t>、</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spacing w:line="360" w:lineRule="auto"/>
        <w:ind w:firstLine="480" w:firstLineChars="200"/>
        <w:rPr>
          <w:bCs/>
          <w:sz w:val="24"/>
        </w:rPr>
      </w:pPr>
      <w:r>
        <w:rPr>
          <w:bCs/>
          <w:sz w:val="24"/>
        </w:rPr>
        <w:t>4、《基金合同》约定的其他情形；</w:t>
      </w:r>
    </w:p>
    <w:p>
      <w:pPr>
        <w:spacing w:line="360" w:lineRule="auto"/>
        <w:ind w:firstLine="480" w:firstLineChars="200"/>
        <w:rPr>
          <w:bCs/>
          <w:sz w:val="24"/>
        </w:rPr>
      </w:pPr>
      <w:r>
        <w:rPr>
          <w:bCs/>
          <w:sz w:val="24"/>
        </w:rPr>
        <w:t>5、相关法律法规和中国证监会规定的其他情况。</w:t>
      </w:r>
    </w:p>
    <w:p>
      <w:pPr>
        <w:adjustRightInd w:val="0"/>
        <w:snapToGrid w:val="0"/>
        <w:spacing w:line="360" w:lineRule="auto"/>
        <w:ind w:firstLine="480" w:firstLineChars="200"/>
        <w:jc w:val="left"/>
        <w:rPr>
          <w:sz w:val="24"/>
          <w:szCs w:val="24"/>
        </w:rPr>
      </w:pPr>
      <w:r>
        <w:rPr>
          <w:sz w:val="24"/>
          <w:szCs w:val="24"/>
        </w:rPr>
        <w:t>（</w:t>
      </w:r>
      <w:r>
        <w:rPr>
          <w:rFonts w:hint="eastAsia"/>
          <w:sz w:val="24"/>
          <w:szCs w:val="24"/>
        </w:rPr>
        <w:t>三</w:t>
      </w:r>
      <w:r>
        <w:rPr>
          <w:sz w:val="24"/>
          <w:szCs w:val="24"/>
        </w:rPr>
        <w:t>）</w:t>
      </w:r>
      <w:r>
        <w:rPr>
          <w:sz w:val="24"/>
          <w:szCs w:val="24"/>
        </w:rPr>
        <w:tab/>
      </w:r>
      <w:r>
        <w:rPr>
          <w:sz w:val="24"/>
          <w:szCs w:val="24"/>
        </w:rPr>
        <w:t>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r>
        <w:rPr>
          <w:rFonts w:hint="eastAsia"/>
          <w:bCs/>
          <w:sz w:val="24"/>
        </w:rPr>
        <w:t>财产</w:t>
      </w:r>
      <w:r>
        <w:rPr>
          <w:bCs/>
          <w:sz w:val="24"/>
        </w:rPr>
        <w:t>；</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w:t>
      </w:r>
      <w:r>
        <w:rPr>
          <w:rFonts w:hint="eastAsia"/>
          <w:bCs/>
          <w:sz w:val="24"/>
        </w:rPr>
        <w:t>，若遇基金持有的有价证券出现长期休市、停牌或其他流通受限的情形除外</w:t>
      </w:r>
      <w:r>
        <w:rPr>
          <w:bCs/>
          <w:sz w:val="24"/>
        </w:rPr>
        <w:t>。</w:t>
      </w:r>
    </w:p>
    <w:p>
      <w:pPr>
        <w:pStyle w:val="39"/>
        <w:adjustRightInd w:val="0"/>
        <w:snapToGrid w:val="0"/>
        <w:spacing w:afterLines="0"/>
        <w:ind w:firstLine="482"/>
        <w:jc w:val="left"/>
        <w:rPr>
          <w:b/>
          <w:szCs w:val="24"/>
        </w:rPr>
      </w:pPr>
      <w:r>
        <w:rPr>
          <w:b/>
          <w:szCs w:val="24"/>
        </w:rPr>
        <w:t>八、争议解决方式</w:t>
      </w:r>
    </w:p>
    <w:p>
      <w:pPr>
        <w:spacing w:line="360" w:lineRule="auto"/>
        <w:ind w:firstLine="480" w:firstLineChars="200"/>
        <w:rPr>
          <w:rFonts w:ascii="宋体" w:hAnsi="宋体"/>
          <w:sz w:val="24"/>
        </w:rPr>
      </w:pPr>
      <w:r>
        <w:rPr>
          <w:bCs/>
          <w:sz w:val="24"/>
        </w:rPr>
        <w:t>各方当事人同意，因《基金合同》而产生的或与《基金合同》有关的一切争议，如经友好协商未能解决的，</w:t>
      </w:r>
      <w:r>
        <w:rPr>
          <w:rFonts w:hint="eastAsia" w:ascii="宋体"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pPr>
        <w:adjustRightInd w:val="0"/>
        <w:snapToGrid w:val="0"/>
        <w:spacing w:line="360" w:lineRule="auto"/>
        <w:ind w:firstLine="480" w:firstLineChars="200"/>
        <w:jc w:val="left"/>
        <w:rPr>
          <w:bCs/>
          <w:sz w:val="24"/>
          <w:szCs w:val="24"/>
        </w:rPr>
      </w:pPr>
      <w:r>
        <w:rPr>
          <w:bCs/>
          <w:sz w:val="24"/>
        </w:rPr>
        <w:t>《基金合同》受中国法律管辖。</w:t>
      </w:r>
    </w:p>
    <w:p>
      <w:pPr>
        <w:pStyle w:val="39"/>
        <w:adjustRightInd w:val="0"/>
        <w:snapToGrid w:val="0"/>
        <w:spacing w:afterLines="0"/>
        <w:ind w:firstLine="482"/>
        <w:jc w:val="left"/>
      </w:pPr>
      <w:r>
        <w:rPr>
          <w:b/>
          <w:szCs w:val="24"/>
        </w:rPr>
        <w:t>九、基金合同存放地和投资者取得基金合同的方式</w:t>
      </w:r>
    </w:p>
    <w:p>
      <w:pPr>
        <w:spacing w:line="360" w:lineRule="auto"/>
        <w:ind w:firstLine="480" w:firstLineChars="200"/>
        <w:rPr>
          <w:bCs/>
          <w:sz w:val="24"/>
        </w:rPr>
      </w:pPr>
      <w:r>
        <w:rPr>
          <w:bCs/>
          <w:sz w:val="24"/>
        </w:rPr>
        <w:t>《基金合同》正本一式六份，除上报有关监管机构一式二份外，基金管理人、基金托管人各持有二份，每份具有同等的法律效力。</w:t>
      </w:r>
    </w:p>
    <w:p>
      <w:pPr>
        <w:spacing w:line="360" w:lineRule="auto"/>
        <w:ind w:firstLine="480" w:firstLineChars="200"/>
        <w:rPr>
          <w:bCs/>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p>
      <w:pPr>
        <w:sectPr>
          <w:pgSz w:w="11906" w:h="16838"/>
          <w:pgMar w:top="1440" w:right="1800" w:bottom="1440" w:left="1800" w:header="851" w:footer="992" w:gutter="0"/>
          <w:pgNumType w:start="1"/>
          <w:cols w:space="720" w:num="1"/>
          <w:docGrid w:type="lines" w:linePitch="312" w:charSpace="0"/>
        </w:sectPr>
      </w:pPr>
    </w:p>
    <w:p>
      <w:pPr>
        <w:spacing w:after="120" w:line="360" w:lineRule="auto"/>
        <w:rPr>
          <w:sz w:val="28"/>
          <w:szCs w:val="28"/>
        </w:rPr>
      </w:pPr>
      <w:r>
        <w:rPr>
          <w:rFonts w:hAnsi="宋体"/>
          <w:sz w:val="28"/>
          <w:szCs w:val="28"/>
        </w:rPr>
        <w:t>本页无正文，为《交银施罗德</w:t>
      </w:r>
      <w:r>
        <w:rPr>
          <w:rFonts w:hint="eastAsia" w:hAnsi="宋体"/>
          <w:sz w:val="28"/>
          <w:szCs w:val="28"/>
        </w:rPr>
        <w:t>中证环境治理</w:t>
      </w:r>
      <w:r>
        <w:rPr>
          <w:rFonts w:hint="eastAsia"/>
          <w:sz w:val="28"/>
          <w:szCs w:val="28"/>
        </w:rPr>
        <w:t>指数型</w:t>
      </w:r>
      <w:r>
        <w:rPr>
          <w:rFonts w:hAnsi="宋体"/>
          <w:sz w:val="28"/>
          <w:szCs w:val="28"/>
        </w:rPr>
        <w:t>证券投资基金</w:t>
      </w:r>
      <w:r>
        <w:rPr>
          <w:rFonts w:hint="eastAsia" w:hAnsi="宋体"/>
          <w:sz w:val="28"/>
          <w:szCs w:val="28"/>
        </w:rPr>
        <w:t>（LOF）</w:t>
      </w:r>
      <w:r>
        <w:rPr>
          <w:rFonts w:hAnsi="宋体"/>
          <w:sz w:val="28"/>
          <w:szCs w:val="28"/>
        </w:rPr>
        <w:t>基金合同》的签字盖章页。</w:t>
      </w:r>
    </w:p>
    <w:p>
      <w:pPr>
        <w:spacing w:line="360" w:lineRule="auto"/>
        <w:ind w:right="26"/>
        <w:rPr>
          <w:sz w:val="24"/>
          <w:szCs w:val="24"/>
        </w:rPr>
      </w:pPr>
    </w:p>
    <w:p>
      <w:pPr>
        <w:spacing w:line="360" w:lineRule="auto"/>
        <w:ind w:right="26"/>
        <w:rPr>
          <w:sz w:val="24"/>
          <w:szCs w:val="24"/>
        </w:rPr>
      </w:pPr>
    </w:p>
    <w:p>
      <w:pPr>
        <w:adjustRightInd w:val="0"/>
        <w:snapToGrid w:val="0"/>
        <w:spacing w:line="360" w:lineRule="auto"/>
        <w:rPr>
          <w:b/>
          <w:sz w:val="28"/>
          <w:szCs w:val="28"/>
        </w:rPr>
      </w:pPr>
      <w:r>
        <w:rPr>
          <w:rFonts w:hAnsi="宋体"/>
          <w:b/>
          <w:sz w:val="28"/>
          <w:szCs w:val="28"/>
        </w:rPr>
        <w:t>基金管理人：交银施罗德基金管理有限公司（公章）</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基金托管人：</w:t>
      </w:r>
      <w:r>
        <w:rPr>
          <w:rFonts w:hint="eastAsia" w:hAnsi="宋体"/>
          <w:b/>
          <w:sz w:val="28"/>
          <w:szCs w:val="28"/>
        </w:rPr>
        <w:t>中信</w:t>
      </w:r>
      <w:r>
        <w:rPr>
          <w:rFonts w:hAnsi="宋体"/>
          <w:b/>
          <w:sz w:val="28"/>
          <w:szCs w:val="28"/>
        </w:rPr>
        <w:t>银行股份有限公司（公章）</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p>
    <w:p>
      <w:pPr>
        <w:adjustRightInd w:val="0"/>
        <w:snapToGrid w:val="0"/>
        <w:spacing w:line="360" w:lineRule="auto"/>
        <w:rPr>
          <w:b/>
          <w:sz w:val="28"/>
          <w:szCs w:val="28"/>
        </w:rPr>
      </w:pPr>
      <w:r>
        <w:rPr>
          <w:rFonts w:hAnsi="宋体"/>
          <w:b/>
          <w:sz w:val="28"/>
          <w:szCs w:val="28"/>
        </w:rPr>
        <w:t>签订地点：北京</w:t>
      </w:r>
    </w:p>
    <w:p>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b/>
          <w:sz w:val="28"/>
          <w:szCs w:val="28"/>
        </w:rPr>
        <w:t>二〇  年   月   日</w:t>
      </w:r>
    </w:p>
    <w:sectPr>
      <w:headerReference r:id="rId7" w:type="default"/>
      <w:footerReference r:id="rId8"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Align="top"/>
      <w:pBdr>
        <w:between w:val="none" w:color="auto" w:sz="0" w:space="0"/>
      </w:pBdr>
    </w:pPr>
    <w:r>
      <w:rPr>
        <w:rFonts w:hint="eastAsia"/>
      </w:rPr>
      <w:fldChar w:fldCharType="begin"/>
    </w:r>
    <w:r>
      <w:rPr>
        <w:rStyle w:val="24"/>
        <w:rFonts w:hint="eastAsia"/>
      </w:rPr>
      <w:instrText xml:space="preserve"> PAGE  </w:instrText>
    </w:r>
    <w:r>
      <w:rPr>
        <w:rFonts w:hint="eastAsia"/>
      </w:rPr>
      <w:fldChar w:fldCharType="separate"/>
    </w:r>
    <w:r>
      <w:rPr>
        <w:rStyle w:val="24"/>
      </w:rPr>
      <w:t>94</w:t>
    </w:r>
    <w:r>
      <w:rPr>
        <w:rFonts w:hint="eastAsia"/>
      </w:rPr>
      <w:fldChar w:fldCharType="end"/>
    </w:r>
  </w:p>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etween w:val="none" w:color="auto" w:sz="0" w:space="0"/>
      </w:pBdr>
    </w:pPr>
  </w:p>
  <w:p>
    <w:pPr>
      <w:pStyle w:val="13"/>
      <w:pBdr>
        <w:between w:val="none" w:color="auto" w:sz="0" w:space="0"/>
      </w:pBdr>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10"/>
      </w:pBdr>
      <w:tabs>
        <w:tab w:val="right" w:pos="8280"/>
      </w:tabs>
      <w:wordWrap w:val="0"/>
      <w:adjustRightInd w:val="0"/>
      <w:jc w:val="both"/>
    </w:pPr>
    <w:r>
      <w:rPr>
        <w:rFonts w:hint="eastAsia"/>
        <w:color w:val="000000"/>
      </w:rPr>
      <w:t>XXXX</w:t>
    </w:r>
    <w:r>
      <w:rPr>
        <w:rFonts w:hint="eastAsia"/>
      </w:rPr>
      <w:t>证券投资基金                             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r>
      <w:rPr>
        <w:rFonts w:hint="eastAsia"/>
        <w:szCs w:val="18"/>
      </w:rPr>
      <w:t>交银施罗德中证环境治理指数型证券投资基金（LOF）基金合同</w:t>
    </w:r>
    <w:r>
      <w:rPr>
        <w:color w:val="00000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50"/>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E2D"/>
    <w:rsid w:val="00001492"/>
    <w:rsid w:val="00001B54"/>
    <w:rsid w:val="00001E28"/>
    <w:rsid w:val="00002B1C"/>
    <w:rsid w:val="0000341B"/>
    <w:rsid w:val="00004115"/>
    <w:rsid w:val="00004174"/>
    <w:rsid w:val="000058DD"/>
    <w:rsid w:val="00007055"/>
    <w:rsid w:val="0000755B"/>
    <w:rsid w:val="00010C28"/>
    <w:rsid w:val="00015949"/>
    <w:rsid w:val="000217D3"/>
    <w:rsid w:val="00021EA7"/>
    <w:rsid w:val="0002212D"/>
    <w:rsid w:val="000221EA"/>
    <w:rsid w:val="00022493"/>
    <w:rsid w:val="00023D39"/>
    <w:rsid w:val="000249D4"/>
    <w:rsid w:val="00027282"/>
    <w:rsid w:val="000339BD"/>
    <w:rsid w:val="00033A99"/>
    <w:rsid w:val="00033BBB"/>
    <w:rsid w:val="0003507C"/>
    <w:rsid w:val="00035F99"/>
    <w:rsid w:val="000369D5"/>
    <w:rsid w:val="000373B5"/>
    <w:rsid w:val="00040558"/>
    <w:rsid w:val="00040BC4"/>
    <w:rsid w:val="00041E05"/>
    <w:rsid w:val="00043A57"/>
    <w:rsid w:val="00043A76"/>
    <w:rsid w:val="00045695"/>
    <w:rsid w:val="00046131"/>
    <w:rsid w:val="0004753F"/>
    <w:rsid w:val="000476B9"/>
    <w:rsid w:val="000500BD"/>
    <w:rsid w:val="00053CC7"/>
    <w:rsid w:val="00055117"/>
    <w:rsid w:val="000554DF"/>
    <w:rsid w:val="000559FC"/>
    <w:rsid w:val="00055EC0"/>
    <w:rsid w:val="00056205"/>
    <w:rsid w:val="00056528"/>
    <w:rsid w:val="00060FCB"/>
    <w:rsid w:val="000624D8"/>
    <w:rsid w:val="0006276F"/>
    <w:rsid w:val="000628B1"/>
    <w:rsid w:val="00062BCF"/>
    <w:rsid w:val="00062F04"/>
    <w:rsid w:val="0006548E"/>
    <w:rsid w:val="00065E71"/>
    <w:rsid w:val="000673D2"/>
    <w:rsid w:val="0006794A"/>
    <w:rsid w:val="00071EEA"/>
    <w:rsid w:val="00072C81"/>
    <w:rsid w:val="00077E12"/>
    <w:rsid w:val="00080F61"/>
    <w:rsid w:val="00082314"/>
    <w:rsid w:val="00082458"/>
    <w:rsid w:val="00082CD8"/>
    <w:rsid w:val="00083474"/>
    <w:rsid w:val="00084D65"/>
    <w:rsid w:val="000854C2"/>
    <w:rsid w:val="0008659A"/>
    <w:rsid w:val="000920F7"/>
    <w:rsid w:val="00092D1F"/>
    <w:rsid w:val="00095B2C"/>
    <w:rsid w:val="00095DE8"/>
    <w:rsid w:val="00096490"/>
    <w:rsid w:val="00096E4F"/>
    <w:rsid w:val="000A2AB7"/>
    <w:rsid w:val="000A5CD0"/>
    <w:rsid w:val="000A6EA8"/>
    <w:rsid w:val="000A73E4"/>
    <w:rsid w:val="000B1761"/>
    <w:rsid w:val="000B2218"/>
    <w:rsid w:val="000B2387"/>
    <w:rsid w:val="000B3AA0"/>
    <w:rsid w:val="000B3CC4"/>
    <w:rsid w:val="000B49E1"/>
    <w:rsid w:val="000B4F5B"/>
    <w:rsid w:val="000B5CE6"/>
    <w:rsid w:val="000B7A91"/>
    <w:rsid w:val="000C01EB"/>
    <w:rsid w:val="000C175B"/>
    <w:rsid w:val="000C1857"/>
    <w:rsid w:val="000C1EA4"/>
    <w:rsid w:val="000C2988"/>
    <w:rsid w:val="000C3130"/>
    <w:rsid w:val="000C3A7A"/>
    <w:rsid w:val="000C3E8F"/>
    <w:rsid w:val="000C5FB2"/>
    <w:rsid w:val="000C7FB1"/>
    <w:rsid w:val="000D1E0F"/>
    <w:rsid w:val="000D2346"/>
    <w:rsid w:val="000D25CB"/>
    <w:rsid w:val="000D3F1E"/>
    <w:rsid w:val="000D527B"/>
    <w:rsid w:val="000D53D8"/>
    <w:rsid w:val="000D5DE9"/>
    <w:rsid w:val="000D6375"/>
    <w:rsid w:val="000D777A"/>
    <w:rsid w:val="000D7977"/>
    <w:rsid w:val="000E104A"/>
    <w:rsid w:val="000E1A92"/>
    <w:rsid w:val="000E26B7"/>
    <w:rsid w:val="000E2DC8"/>
    <w:rsid w:val="000E2F97"/>
    <w:rsid w:val="000E4AAB"/>
    <w:rsid w:val="000E57D1"/>
    <w:rsid w:val="000E5B1D"/>
    <w:rsid w:val="000E7730"/>
    <w:rsid w:val="000F0011"/>
    <w:rsid w:val="000F042C"/>
    <w:rsid w:val="000F0EC1"/>
    <w:rsid w:val="000F0FA1"/>
    <w:rsid w:val="000F12CB"/>
    <w:rsid w:val="000F203B"/>
    <w:rsid w:val="000F234C"/>
    <w:rsid w:val="000F41E9"/>
    <w:rsid w:val="000F4457"/>
    <w:rsid w:val="000F4A2E"/>
    <w:rsid w:val="000F4D28"/>
    <w:rsid w:val="000F6B62"/>
    <w:rsid w:val="000F7291"/>
    <w:rsid w:val="001000ED"/>
    <w:rsid w:val="00100AEB"/>
    <w:rsid w:val="00101DE3"/>
    <w:rsid w:val="00102482"/>
    <w:rsid w:val="00104095"/>
    <w:rsid w:val="00104645"/>
    <w:rsid w:val="001053B7"/>
    <w:rsid w:val="001073A3"/>
    <w:rsid w:val="00110037"/>
    <w:rsid w:val="001107DF"/>
    <w:rsid w:val="00112276"/>
    <w:rsid w:val="0011246E"/>
    <w:rsid w:val="00113528"/>
    <w:rsid w:val="001139E9"/>
    <w:rsid w:val="00113B4F"/>
    <w:rsid w:val="00113D0A"/>
    <w:rsid w:val="0011465F"/>
    <w:rsid w:val="00114FE4"/>
    <w:rsid w:val="0011677D"/>
    <w:rsid w:val="00120046"/>
    <w:rsid w:val="00121E55"/>
    <w:rsid w:val="00125BD0"/>
    <w:rsid w:val="00125F47"/>
    <w:rsid w:val="001274F5"/>
    <w:rsid w:val="0012791E"/>
    <w:rsid w:val="00130AE3"/>
    <w:rsid w:val="00130AF4"/>
    <w:rsid w:val="00130D1C"/>
    <w:rsid w:val="00131A08"/>
    <w:rsid w:val="0013230F"/>
    <w:rsid w:val="001327CB"/>
    <w:rsid w:val="00134DE8"/>
    <w:rsid w:val="00137B69"/>
    <w:rsid w:val="0014024A"/>
    <w:rsid w:val="001415F7"/>
    <w:rsid w:val="00141724"/>
    <w:rsid w:val="00141A8D"/>
    <w:rsid w:val="00141F55"/>
    <w:rsid w:val="001433C3"/>
    <w:rsid w:val="0014340F"/>
    <w:rsid w:val="00144317"/>
    <w:rsid w:val="0014459D"/>
    <w:rsid w:val="00144AA8"/>
    <w:rsid w:val="00144DAE"/>
    <w:rsid w:val="00146417"/>
    <w:rsid w:val="00146D15"/>
    <w:rsid w:val="00150B0A"/>
    <w:rsid w:val="001526C6"/>
    <w:rsid w:val="001526E2"/>
    <w:rsid w:val="00153D06"/>
    <w:rsid w:val="00154239"/>
    <w:rsid w:val="001547D0"/>
    <w:rsid w:val="00155207"/>
    <w:rsid w:val="001569BC"/>
    <w:rsid w:val="00156A4C"/>
    <w:rsid w:val="001574B0"/>
    <w:rsid w:val="001603AD"/>
    <w:rsid w:val="0016191B"/>
    <w:rsid w:val="00162E00"/>
    <w:rsid w:val="001634B6"/>
    <w:rsid w:val="001650B6"/>
    <w:rsid w:val="00165C09"/>
    <w:rsid w:val="001661B7"/>
    <w:rsid w:val="0016715A"/>
    <w:rsid w:val="00167CA3"/>
    <w:rsid w:val="001712F2"/>
    <w:rsid w:val="00171A56"/>
    <w:rsid w:val="00171AC4"/>
    <w:rsid w:val="00171E47"/>
    <w:rsid w:val="00172A27"/>
    <w:rsid w:val="00172C66"/>
    <w:rsid w:val="00173E35"/>
    <w:rsid w:val="00176291"/>
    <w:rsid w:val="00180120"/>
    <w:rsid w:val="001833EF"/>
    <w:rsid w:val="0018438B"/>
    <w:rsid w:val="00184455"/>
    <w:rsid w:val="0018469E"/>
    <w:rsid w:val="0018561B"/>
    <w:rsid w:val="00186107"/>
    <w:rsid w:val="0019142E"/>
    <w:rsid w:val="00191A92"/>
    <w:rsid w:val="0019221F"/>
    <w:rsid w:val="0019266B"/>
    <w:rsid w:val="00192D12"/>
    <w:rsid w:val="00194C16"/>
    <w:rsid w:val="00194D89"/>
    <w:rsid w:val="00196B8A"/>
    <w:rsid w:val="001A0451"/>
    <w:rsid w:val="001A0781"/>
    <w:rsid w:val="001A1003"/>
    <w:rsid w:val="001A4BFB"/>
    <w:rsid w:val="001A6A0D"/>
    <w:rsid w:val="001B1D6E"/>
    <w:rsid w:val="001B2E1F"/>
    <w:rsid w:val="001B3913"/>
    <w:rsid w:val="001B45C6"/>
    <w:rsid w:val="001B6C7F"/>
    <w:rsid w:val="001B6D31"/>
    <w:rsid w:val="001C361D"/>
    <w:rsid w:val="001C3D91"/>
    <w:rsid w:val="001C4858"/>
    <w:rsid w:val="001D0754"/>
    <w:rsid w:val="001D1258"/>
    <w:rsid w:val="001D2A5D"/>
    <w:rsid w:val="001D2F8C"/>
    <w:rsid w:val="001D3435"/>
    <w:rsid w:val="001D57FC"/>
    <w:rsid w:val="001D585F"/>
    <w:rsid w:val="001D6C1D"/>
    <w:rsid w:val="001D76EB"/>
    <w:rsid w:val="001E317D"/>
    <w:rsid w:val="001E3B5C"/>
    <w:rsid w:val="001E4054"/>
    <w:rsid w:val="001E5F94"/>
    <w:rsid w:val="001E6F3E"/>
    <w:rsid w:val="001E70D1"/>
    <w:rsid w:val="001E7357"/>
    <w:rsid w:val="001F3BA7"/>
    <w:rsid w:val="001F420F"/>
    <w:rsid w:val="001F482D"/>
    <w:rsid w:val="001F54BC"/>
    <w:rsid w:val="001F7A84"/>
    <w:rsid w:val="00200115"/>
    <w:rsid w:val="002008B4"/>
    <w:rsid w:val="00201FD0"/>
    <w:rsid w:val="0020457E"/>
    <w:rsid w:val="00204DFD"/>
    <w:rsid w:val="00211413"/>
    <w:rsid w:val="00211C68"/>
    <w:rsid w:val="002122FF"/>
    <w:rsid w:val="002125BF"/>
    <w:rsid w:val="00212A3D"/>
    <w:rsid w:val="00214B80"/>
    <w:rsid w:val="00215005"/>
    <w:rsid w:val="00215019"/>
    <w:rsid w:val="00215791"/>
    <w:rsid w:val="00215840"/>
    <w:rsid w:val="00215B98"/>
    <w:rsid w:val="0022065D"/>
    <w:rsid w:val="00221211"/>
    <w:rsid w:val="00221F9B"/>
    <w:rsid w:val="002221E4"/>
    <w:rsid w:val="00223CA7"/>
    <w:rsid w:val="0022414F"/>
    <w:rsid w:val="002245A7"/>
    <w:rsid w:val="00226F88"/>
    <w:rsid w:val="0022703C"/>
    <w:rsid w:val="0023163A"/>
    <w:rsid w:val="002323A5"/>
    <w:rsid w:val="0023349A"/>
    <w:rsid w:val="0023393B"/>
    <w:rsid w:val="00234634"/>
    <w:rsid w:val="0023465C"/>
    <w:rsid w:val="00234F7F"/>
    <w:rsid w:val="00237374"/>
    <w:rsid w:val="0023775B"/>
    <w:rsid w:val="00237F98"/>
    <w:rsid w:val="0024269F"/>
    <w:rsid w:val="00242818"/>
    <w:rsid w:val="0024401B"/>
    <w:rsid w:val="00245116"/>
    <w:rsid w:val="00245612"/>
    <w:rsid w:val="0024617D"/>
    <w:rsid w:val="00247BB0"/>
    <w:rsid w:val="002510E6"/>
    <w:rsid w:val="002518A8"/>
    <w:rsid w:val="0025477E"/>
    <w:rsid w:val="00256426"/>
    <w:rsid w:val="002623BC"/>
    <w:rsid w:val="0026334E"/>
    <w:rsid w:val="00263A02"/>
    <w:rsid w:val="0026537F"/>
    <w:rsid w:val="00266814"/>
    <w:rsid w:val="00266C93"/>
    <w:rsid w:val="00270AB7"/>
    <w:rsid w:val="002714BF"/>
    <w:rsid w:val="00271E3F"/>
    <w:rsid w:val="00274361"/>
    <w:rsid w:val="00276B3B"/>
    <w:rsid w:val="00277E6C"/>
    <w:rsid w:val="00280A03"/>
    <w:rsid w:val="00280A97"/>
    <w:rsid w:val="0028134E"/>
    <w:rsid w:val="00281394"/>
    <w:rsid w:val="002820B3"/>
    <w:rsid w:val="002827CD"/>
    <w:rsid w:val="00283A1A"/>
    <w:rsid w:val="00283C59"/>
    <w:rsid w:val="00286915"/>
    <w:rsid w:val="00287497"/>
    <w:rsid w:val="00287A5B"/>
    <w:rsid w:val="00291830"/>
    <w:rsid w:val="00291DDF"/>
    <w:rsid w:val="00294206"/>
    <w:rsid w:val="00297521"/>
    <w:rsid w:val="00297D0B"/>
    <w:rsid w:val="002A182A"/>
    <w:rsid w:val="002A2457"/>
    <w:rsid w:val="002A375A"/>
    <w:rsid w:val="002A5754"/>
    <w:rsid w:val="002A6197"/>
    <w:rsid w:val="002A63F2"/>
    <w:rsid w:val="002B1213"/>
    <w:rsid w:val="002B1792"/>
    <w:rsid w:val="002B22F6"/>
    <w:rsid w:val="002B4B89"/>
    <w:rsid w:val="002B4EE6"/>
    <w:rsid w:val="002B58E9"/>
    <w:rsid w:val="002B677C"/>
    <w:rsid w:val="002B7E98"/>
    <w:rsid w:val="002C1483"/>
    <w:rsid w:val="002C229A"/>
    <w:rsid w:val="002C2744"/>
    <w:rsid w:val="002C43DB"/>
    <w:rsid w:val="002C5099"/>
    <w:rsid w:val="002C5466"/>
    <w:rsid w:val="002C5634"/>
    <w:rsid w:val="002C62A8"/>
    <w:rsid w:val="002D2ECA"/>
    <w:rsid w:val="002D48B3"/>
    <w:rsid w:val="002D5233"/>
    <w:rsid w:val="002D59F7"/>
    <w:rsid w:val="002D650F"/>
    <w:rsid w:val="002E1C25"/>
    <w:rsid w:val="002E232E"/>
    <w:rsid w:val="002E33C2"/>
    <w:rsid w:val="002E54A4"/>
    <w:rsid w:val="002E5861"/>
    <w:rsid w:val="002E5DDB"/>
    <w:rsid w:val="002E797D"/>
    <w:rsid w:val="002F172E"/>
    <w:rsid w:val="002F1D85"/>
    <w:rsid w:val="002F399A"/>
    <w:rsid w:val="002F3F5E"/>
    <w:rsid w:val="002F4636"/>
    <w:rsid w:val="002F4DD9"/>
    <w:rsid w:val="002F7E39"/>
    <w:rsid w:val="0030097D"/>
    <w:rsid w:val="00301D76"/>
    <w:rsid w:val="00302A44"/>
    <w:rsid w:val="00304B81"/>
    <w:rsid w:val="003052EB"/>
    <w:rsid w:val="00305813"/>
    <w:rsid w:val="00306D9E"/>
    <w:rsid w:val="00306FD2"/>
    <w:rsid w:val="00310C1A"/>
    <w:rsid w:val="003117F8"/>
    <w:rsid w:val="003136A7"/>
    <w:rsid w:val="00315A9F"/>
    <w:rsid w:val="00316AD1"/>
    <w:rsid w:val="00320668"/>
    <w:rsid w:val="00321EDB"/>
    <w:rsid w:val="00322193"/>
    <w:rsid w:val="003222D5"/>
    <w:rsid w:val="00322827"/>
    <w:rsid w:val="003247BE"/>
    <w:rsid w:val="0032514F"/>
    <w:rsid w:val="00325523"/>
    <w:rsid w:val="0032770D"/>
    <w:rsid w:val="00330B72"/>
    <w:rsid w:val="00333112"/>
    <w:rsid w:val="003351A4"/>
    <w:rsid w:val="003362D5"/>
    <w:rsid w:val="00336827"/>
    <w:rsid w:val="003370A0"/>
    <w:rsid w:val="00337CDC"/>
    <w:rsid w:val="0034087F"/>
    <w:rsid w:val="00340C30"/>
    <w:rsid w:val="00341B5E"/>
    <w:rsid w:val="00342A6E"/>
    <w:rsid w:val="00342AE3"/>
    <w:rsid w:val="00344B64"/>
    <w:rsid w:val="00350771"/>
    <w:rsid w:val="00351C9C"/>
    <w:rsid w:val="00352A5B"/>
    <w:rsid w:val="00353109"/>
    <w:rsid w:val="0035570F"/>
    <w:rsid w:val="00355AAD"/>
    <w:rsid w:val="00355BE3"/>
    <w:rsid w:val="00357F99"/>
    <w:rsid w:val="003615FC"/>
    <w:rsid w:val="00361E9F"/>
    <w:rsid w:val="0036229C"/>
    <w:rsid w:val="00362B28"/>
    <w:rsid w:val="003635FB"/>
    <w:rsid w:val="00363E14"/>
    <w:rsid w:val="00366A3F"/>
    <w:rsid w:val="0036731A"/>
    <w:rsid w:val="00371319"/>
    <w:rsid w:val="00371618"/>
    <w:rsid w:val="00371F08"/>
    <w:rsid w:val="0037393C"/>
    <w:rsid w:val="003742AB"/>
    <w:rsid w:val="00374FD5"/>
    <w:rsid w:val="003762DD"/>
    <w:rsid w:val="00377E15"/>
    <w:rsid w:val="00380A63"/>
    <w:rsid w:val="003828FC"/>
    <w:rsid w:val="003837F5"/>
    <w:rsid w:val="00383FA1"/>
    <w:rsid w:val="00384A6E"/>
    <w:rsid w:val="00384CE1"/>
    <w:rsid w:val="0038760D"/>
    <w:rsid w:val="00387712"/>
    <w:rsid w:val="003903F8"/>
    <w:rsid w:val="003937F7"/>
    <w:rsid w:val="003941EF"/>
    <w:rsid w:val="00394D4F"/>
    <w:rsid w:val="00395A3F"/>
    <w:rsid w:val="003961F3"/>
    <w:rsid w:val="00396981"/>
    <w:rsid w:val="00396F10"/>
    <w:rsid w:val="00397119"/>
    <w:rsid w:val="00397B72"/>
    <w:rsid w:val="00397CA5"/>
    <w:rsid w:val="003A035B"/>
    <w:rsid w:val="003A0DB4"/>
    <w:rsid w:val="003A158C"/>
    <w:rsid w:val="003A18E5"/>
    <w:rsid w:val="003A3D74"/>
    <w:rsid w:val="003A3E7E"/>
    <w:rsid w:val="003A4278"/>
    <w:rsid w:val="003A4A13"/>
    <w:rsid w:val="003A592A"/>
    <w:rsid w:val="003A5B50"/>
    <w:rsid w:val="003A5C26"/>
    <w:rsid w:val="003B00F8"/>
    <w:rsid w:val="003B2B48"/>
    <w:rsid w:val="003B6011"/>
    <w:rsid w:val="003B6270"/>
    <w:rsid w:val="003B724A"/>
    <w:rsid w:val="003B7C88"/>
    <w:rsid w:val="003B7DF9"/>
    <w:rsid w:val="003C3066"/>
    <w:rsid w:val="003C3D9B"/>
    <w:rsid w:val="003C3F88"/>
    <w:rsid w:val="003C401E"/>
    <w:rsid w:val="003C45FC"/>
    <w:rsid w:val="003C4B92"/>
    <w:rsid w:val="003C734E"/>
    <w:rsid w:val="003D0674"/>
    <w:rsid w:val="003D153C"/>
    <w:rsid w:val="003D167F"/>
    <w:rsid w:val="003D32C3"/>
    <w:rsid w:val="003D4647"/>
    <w:rsid w:val="003D660C"/>
    <w:rsid w:val="003D6AC0"/>
    <w:rsid w:val="003D6DFC"/>
    <w:rsid w:val="003D7BE1"/>
    <w:rsid w:val="003E172E"/>
    <w:rsid w:val="003E2109"/>
    <w:rsid w:val="003E39B1"/>
    <w:rsid w:val="003E4FE0"/>
    <w:rsid w:val="003E540C"/>
    <w:rsid w:val="003E58B6"/>
    <w:rsid w:val="003E597D"/>
    <w:rsid w:val="003E6C21"/>
    <w:rsid w:val="003E6CB0"/>
    <w:rsid w:val="003E6DD1"/>
    <w:rsid w:val="003E6F9F"/>
    <w:rsid w:val="003F0D92"/>
    <w:rsid w:val="003F1F73"/>
    <w:rsid w:val="003F3D4E"/>
    <w:rsid w:val="003F5A4E"/>
    <w:rsid w:val="003F68CD"/>
    <w:rsid w:val="003F69AA"/>
    <w:rsid w:val="0040081F"/>
    <w:rsid w:val="00401566"/>
    <w:rsid w:val="00401EEB"/>
    <w:rsid w:val="00405F78"/>
    <w:rsid w:val="0040630E"/>
    <w:rsid w:val="00406DB3"/>
    <w:rsid w:val="004076F2"/>
    <w:rsid w:val="004102A3"/>
    <w:rsid w:val="0041174B"/>
    <w:rsid w:val="00411E99"/>
    <w:rsid w:val="00413AFA"/>
    <w:rsid w:val="0041442C"/>
    <w:rsid w:val="00415508"/>
    <w:rsid w:val="0041583B"/>
    <w:rsid w:val="00415B95"/>
    <w:rsid w:val="00416E1C"/>
    <w:rsid w:val="00422ED7"/>
    <w:rsid w:val="0042617D"/>
    <w:rsid w:val="004277BC"/>
    <w:rsid w:val="004310EB"/>
    <w:rsid w:val="004319C7"/>
    <w:rsid w:val="00433780"/>
    <w:rsid w:val="004356B7"/>
    <w:rsid w:val="0043626C"/>
    <w:rsid w:val="00443AB7"/>
    <w:rsid w:val="00443ACB"/>
    <w:rsid w:val="00444957"/>
    <w:rsid w:val="00445847"/>
    <w:rsid w:val="0044617C"/>
    <w:rsid w:val="00446A91"/>
    <w:rsid w:val="0044728B"/>
    <w:rsid w:val="004478DB"/>
    <w:rsid w:val="00451D7E"/>
    <w:rsid w:val="00452978"/>
    <w:rsid w:val="00452B58"/>
    <w:rsid w:val="00452EA1"/>
    <w:rsid w:val="00453D04"/>
    <w:rsid w:val="00453ECA"/>
    <w:rsid w:val="00456546"/>
    <w:rsid w:val="004566D4"/>
    <w:rsid w:val="00456855"/>
    <w:rsid w:val="004576DA"/>
    <w:rsid w:val="00457B8E"/>
    <w:rsid w:val="00461034"/>
    <w:rsid w:val="00461DA9"/>
    <w:rsid w:val="00465DD4"/>
    <w:rsid w:val="00465E00"/>
    <w:rsid w:val="00470220"/>
    <w:rsid w:val="00473F14"/>
    <w:rsid w:val="0047547B"/>
    <w:rsid w:val="00476A5F"/>
    <w:rsid w:val="00476EC2"/>
    <w:rsid w:val="00476F91"/>
    <w:rsid w:val="0048004C"/>
    <w:rsid w:val="00480A9A"/>
    <w:rsid w:val="00482F5C"/>
    <w:rsid w:val="0048462E"/>
    <w:rsid w:val="004850B4"/>
    <w:rsid w:val="00485EB2"/>
    <w:rsid w:val="00486E99"/>
    <w:rsid w:val="00487690"/>
    <w:rsid w:val="004928BF"/>
    <w:rsid w:val="00492B3D"/>
    <w:rsid w:val="004933D2"/>
    <w:rsid w:val="00495DCB"/>
    <w:rsid w:val="00496329"/>
    <w:rsid w:val="0049651D"/>
    <w:rsid w:val="00497A82"/>
    <w:rsid w:val="00497AA0"/>
    <w:rsid w:val="004A00BE"/>
    <w:rsid w:val="004A4C83"/>
    <w:rsid w:val="004A6420"/>
    <w:rsid w:val="004A6B1E"/>
    <w:rsid w:val="004A6FC0"/>
    <w:rsid w:val="004A76B6"/>
    <w:rsid w:val="004A77B0"/>
    <w:rsid w:val="004B0E37"/>
    <w:rsid w:val="004B0ED4"/>
    <w:rsid w:val="004B1917"/>
    <w:rsid w:val="004B3500"/>
    <w:rsid w:val="004B3F9A"/>
    <w:rsid w:val="004B410B"/>
    <w:rsid w:val="004B5D7E"/>
    <w:rsid w:val="004B62CB"/>
    <w:rsid w:val="004B7E27"/>
    <w:rsid w:val="004C0631"/>
    <w:rsid w:val="004C2148"/>
    <w:rsid w:val="004C3A30"/>
    <w:rsid w:val="004C4B55"/>
    <w:rsid w:val="004C687D"/>
    <w:rsid w:val="004C6A7D"/>
    <w:rsid w:val="004C7402"/>
    <w:rsid w:val="004C7C15"/>
    <w:rsid w:val="004C7DC4"/>
    <w:rsid w:val="004D006B"/>
    <w:rsid w:val="004D36F4"/>
    <w:rsid w:val="004D3B06"/>
    <w:rsid w:val="004D5048"/>
    <w:rsid w:val="004D7A23"/>
    <w:rsid w:val="004E002B"/>
    <w:rsid w:val="004E1A48"/>
    <w:rsid w:val="004E3544"/>
    <w:rsid w:val="004E4D58"/>
    <w:rsid w:val="004E5CC3"/>
    <w:rsid w:val="004E6F4D"/>
    <w:rsid w:val="004E705F"/>
    <w:rsid w:val="004E732B"/>
    <w:rsid w:val="004E7E6D"/>
    <w:rsid w:val="004F03F1"/>
    <w:rsid w:val="004F0DE8"/>
    <w:rsid w:val="004F0E38"/>
    <w:rsid w:val="004F43E8"/>
    <w:rsid w:val="004F58B8"/>
    <w:rsid w:val="004F5A2E"/>
    <w:rsid w:val="004F61FA"/>
    <w:rsid w:val="004F7A11"/>
    <w:rsid w:val="004F7E08"/>
    <w:rsid w:val="00500432"/>
    <w:rsid w:val="005005E6"/>
    <w:rsid w:val="00501DBE"/>
    <w:rsid w:val="00502561"/>
    <w:rsid w:val="00502F81"/>
    <w:rsid w:val="00504887"/>
    <w:rsid w:val="00504DC6"/>
    <w:rsid w:val="00506E4D"/>
    <w:rsid w:val="00507054"/>
    <w:rsid w:val="00507E73"/>
    <w:rsid w:val="00510C25"/>
    <w:rsid w:val="00513813"/>
    <w:rsid w:val="00514139"/>
    <w:rsid w:val="00514BB6"/>
    <w:rsid w:val="00515C6E"/>
    <w:rsid w:val="00521951"/>
    <w:rsid w:val="005230D6"/>
    <w:rsid w:val="00523550"/>
    <w:rsid w:val="00523C6C"/>
    <w:rsid w:val="00523F05"/>
    <w:rsid w:val="0052408B"/>
    <w:rsid w:val="00531304"/>
    <w:rsid w:val="00534165"/>
    <w:rsid w:val="00536955"/>
    <w:rsid w:val="0054069F"/>
    <w:rsid w:val="00543025"/>
    <w:rsid w:val="005443B9"/>
    <w:rsid w:val="0054452E"/>
    <w:rsid w:val="00544E6F"/>
    <w:rsid w:val="00544EDC"/>
    <w:rsid w:val="005462EC"/>
    <w:rsid w:val="0054686E"/>
    <w:rsid w:val="00546DB4"/>
    <w:rsid w:val="005506FE"/>
    <w:rsid w:val="00551343"/>
    <w:rsid w:val="00551827"/>
    <w:rsid w:val="00553DCC"/>
    <w:rsid w:val="005548D9"/>
    <w:rsid w:val="005563B6"/>
    <w:rsid w:val="00557F37"/>
    <w:rsid w:val="00560667"/>
    <w:rsid w:val="0056093D"/>
    <w:rsid w:val="005619BF"/>
    <w:rsid w:val="00562B20"/>
    <w:rsid w:val="00564C44"/>
    <w:rsid w:val="00564C98"/>
    <w:rsid w:val="005658CE"/>
    <w:rsid w:val="005677FD"/>
    <w:rsid w:val="00570F73"/>
    <w:rsid w:val="00572D32"/>
    <w:rsid w:val="0057337B"/>
    <w:rsid w:val="00573474"/>
    <w:rsid w:val="00573BC5"/>
    <w:rsid w:val="00574ACB"/>
    <w:rsid w:val="0057562A"/>
    <w:rsid w:val="00575C6A"/>
    <w:rsid w:val="005766CE"/>
    <w:rsid w:val="00580BEE"/>
    <w:rsid w:val="00584250"/>
    <w:rsid w:val="00584AE9"/>
    <w:rsid w:val="0058568C"/>
    <w:rsid w:val="005860CA"/>
    <w:rsid w:val="00590221"/>
    <w:rsid w:val="005925A0"/>
    <w:rsid w:val="005932C6"/>
    <w:rsid w:val="00593C90"/>
    <w:rsid w:val="00594F29"/>
    <w:rsid w:val="00597541"/>
    <w:rsid w:val="005A1401"/>
    <w:rsid w:val="005A4C96"/>
    <w:rsid w:val="005A57D4"/>
    <w:rsid w:val="005A593D"/>
    <w:rsid w:val="005A6660"/>
    <w:rsid w:val="005A6C62"/>
    <w:rsid w:val="005A7754"/>
    <w:rsid w:val="005B05D7"/>
    <w:rsid w:val="005B175A"/>
    <w:rsid w:val="005B20B7"/>
    <w:rsid w:val="005B2960"/>
    <w:rsid w:val="005B38D1"/>
    <w:rsid w:val="005B5CEA"/>
    <w:rsid w:val="005B70BA"/>
    <w:rsid w:val="005C1504"/>
    <w:rsid w:val="005C1AB4"/>
    <w:rsid w:val="005C20B4"/>
    <w:rsid w:val="005C2A26"/>
    <w:rsid w:val="005C2B06"/>
    <w:rsid w:val="005C3575"/>
    <w:rsid w:val="005C3D45"/>
    <w:rsid w:val="005C41BA"/>
    <w:rsid w:val="005C518A"/>
    <w:rsid w:val="005C52E1"/>
    <w:rsid w:val="005D611F"/>
    <w:rsid w:val="005D7494"/>
    <w:rsid w:val="005E3C51"/>
    <w:rsid w:val="005E4888"/>
    <w:rsid w:val="005E5315"/>
    <w:rsid w:val="005E62B1"/>
    <w:rsid w:val="005E75EE"/>
    <w:rsid w:val="005F07A5"/>
    <w:rsid w:val="005F3991"/>
    <w:rsid w:val="005F5919"/>
    <w:rsid w:val="005F5D35"/>
    <w:rsid w:val="005F6D7C"/>
    <w:rsid w:val="005F6E9E"/>
    <w:rsid w:val="005F6EB2"/>
    <w:rsid w:val="005F7012"/>
    <w:rsid w:val="005F7C07"/>
    <w:rsid w:val="00600528"/>
    <w:rsid w:val="00600EA8"/>
    <w:rsid w:val="00603383"/>
    <w:rsid w:val="0060358D"/>
    <w:rsid w:val="00607309"/>
    <w:rsid w:val="00607ACA"/>
    <w:rsid w:val="006103C7"/>
    <w:rsid w:val="00611A50"/>
    <w:rsid w:val="0061265B"/>
    <w:rsid w:val="00612799"/>
    <w:rsid w:val="006129F4"/>
    <w:rsid w:val="0061393F"/>
    <w:rsid w:val="00613A19"/>
    <w:rsid w:val="00614012"/>
    <w:rsid w:val="00614CFE"/>
    <w:rsid w:val="00616271"/>
    <w:rsid w:val="006213FB"/>
    <w:rsid w:val="00623781"/>
    <w:rsid w:val="00623DDB"/>
    <w:rsid w:val="0062429F"/>
    <w:rsid w:val="00625598"/>
    <w:rsid w:val="006255DD"/>
    <w:rsid w:val="0062580D"/>
    <w:rsid w:val="00630E12"/>
    <w:rsid w:val="006313DB"/>
    <w:rsid w:val="00631CA9"/>
    <w:rsid w:val="00633141"/>
    <w:rsid w:val="00637332"/>
    <w:rsid w:val="006377B0"/>
    <w:rsid w:val="006409E5"/>
    <w:rsid w:val="00641841"/>
    <w:rsid w:val="00641882"/>
    <w:rsid w:val="00642B0E"/>
    <w:rsid w:val="006430E0"/>
    <w:rsid w:val="00643230"/>
    <w:rsid w:val="0064477C"/>
    <w:rsid w:val="006448EA"/>
    <w:rsid w:val="0064547C"/>
    <w:rsid w:val="0064598B"/>
    <w:rsid w:val="0064703D"/>
    <w:rsid w:val="006474A6"/>
    <w:rsid w:val="0064757C"/>
    <w:rsid w:val="00647858"/>
    <w:rsid w:val="0065167A"/>
    <w:rsid w:val="00651853"/>
    <w:rsid w:val="0065237D"/>
    <w:rsid w:val="00652FCC"/>
    <w:rsid w:val="0065321E"/>
    <w:rsid w:val="00653FC5"/>
    <w:rsid w:val="00655864"/>
    <w:rsid w:val="00655B28"/>
    <w:rsid w:val="00657824"/>
    <w:rsid w:val="006603D9"/>
    <w:rsid w:val="00661FC7"/>
    <w:rsid w:val="006635C4"/>
    <w:rsid w:val="006641EF"/>
    <w:rsid w:val="00665B75"/>
    <w:rsid w:val="00667737"/>
    <w:rsid w:val="006700C9"/>
    <w:rsid w:val="00670309"/>
    <w:rsid w:val="006707DE"/>
    <w:rsid w:val="006710F7"/>
    <w:rsid w:val="00671A12"/>
    <w:rsid w:val="00671A4B"/>
    <w:rsid w:val="00671C6C"/>
    <w:rsid w:val="006729DD"/>
    <w:rsid w:val="00673192"/>
    <w:rsid w:val="0067373D"/>
    <w:rsid w:val="00673867"/>
    <w:rsid w:val="00675DB7"/>
    <w:rsid w:val="00676316"/>
    <w:rsid w:val="0067689A"/>
    <w:rsid w:val="006775FE"/>
    <w:rsid w:val="00677E72"/>
    <w:rsid w:val="00681367"/>
    <w:rsid w:val="006817DF"/>
    <w:rsid w:val="0068222C"/>
    <w:rsid w:val="00682E44"/>
    <w:rsid w:val="0068529A"/>
    <w:rsid w:val="00685EB6"/>
    <w:rsid w:val="00685F56"/>
    <w:rsid w:val="0068619F"/>
    <w:rsid w:val="00686CF3"/>
    <w:rsid w:val="0068753F"/>
    <w:rsid w:val="006907B4"/>
    <w:rsid w:val="00690A22"/>
    <w:rsid w:val="0069210F"/>
    <w:rsid w:val="00692F53"/>
    <w:rsid w:val="006935BD"/>
    <w:rsid w:val="006936D7"/>
    <w:rsid w:val="00693BE5"/>
    <w:rsid w:val="00694C24"/>
    <w:rsid w:val="00694CA4"/>
    <w:rsid w:val="00695BD9"/>
    <w:rsid w:val="006961AD"/>
    <w:rsid w:val="00696AAA"/>
    <w:rsid w:val="00696CEB"/>
    <w:rsid w:val="00696DB3"/>
    <w:rsid w:val="00696FDB"/>
    <w:rsid w:val="006A0AB6"/>
    <w:rsid w:val="006A0D1A"/>
    <w:rsid w:val="006A203C"/>
    <w:rsid w:val="006A208F"/>
    <w:rsid w:val="006A24EA"/>
    <w:rsid w:val="006A2739"/>
    <w:rsid w:val="006A2AF1"/>
    <w:rsid w:val="006A31AD"/>
    <w:rsid w:val="006A347B"/>
    <w:rsid w:val="006A3755"/>
    <w:rsid w:val="006A37E8"/>
    <w:rsid w:val="006A3D6D"/>
    <w:rsid w:val="006A51EE"/>
    <w:rsid w:val="006A6A35"/>
    <w:rsid w:val="006A710B"/>
    <w:rsid w:val="006B0522"/>
    <w:rsid w:val="006B1186"/>
    <w:rsid w:val="006B1E45"/>
    <w:rsid w:val="006B22BC"/>
    <w:rsid w:val="006B30DC"/>
    <w:rsid w:val="006B79AD"/>
    <w:rsid w:val="006B7F7A"/>
    <w:rsid w:val="006C05B6"/>
    <w:rsid w:val="006C0EE3"/>
    <w:rsid w:val="006C101D"/>
    <w:rsid w:val="006C16BF"/>
    <w:rsid w:val="006C3B5A"/>
    <w:rsid w:val="006C4BF2"/>
    <w:rsid w:val="006C6B62"/>
    <w:rsid w:val="006C7406"/>
    <w:rsid w:val="006C7758"/>
    <w:rsid w:val="006D11DA"/>
    <w:rsid w:val="006D30EB"/>
    <w:rsid w:val="006D42F1"/>
    <w:rsid w:val="006D6444"/>
    <w:rsid w:val="006D6CD3"/>
    <w:rsid w:val="006D7544"/>
    <w:rsid w:val="006E1601"/>
    <w:rsid w:val="006E2B1B"/>
    <w:rsid w:val="006E3F03"/>
    <w:rsid w:val="006E43DC"/>
    <w:rsid w:val="006E445F"/>
    <w:rsid w:val="006E4651"/>
    <w:rsid w:val="006E5032"/>
    <w:rsid w:val="006E5F6E"/>
    <w:rsid w:val="006E69CD"/>
    <w:rsid w:val="006E6ACF"/>
    <w:rsid w:val="006E79B0"/>
    <w:rsid w:val="006E79EC"/>
    <w:rsid w:val="006F2707"/>
    <w:rsid w:val="006F29C6"/>
    <w:rsid w:val="006F32B9"/>
    <w:rsid w:val="006F505C"/>
    <w:rsid w:val="006F699B"/>
    <w:rsid w:val="006F7431"/>
    <w:rsid w:val="007009D7"/>
    <w:rsid w:val="00702580"/>
    <w:rsid w:val="00703A50"/>
    <w:rsid w:val="00704450"/>
    <w:rsid w:val="00707421"/>
    <w:rsid w:val="007075BA"/>
    <w:rsid w:val="007101C3"/>
    <w:rsid w:val="007104B9"/>
    <w:rsid w:val="0071290B"/>
    <w:rsid w:val="00712BBD"/>
    <w:rsid w:val="00713CA2"/>
    <w:rsid w:val="00713CF0"/>
    <w:rsid w:val="00715102"/>
    <w:rsid w:val="007165EA"/>
    <w:rsid w:val="00721106"/>
    <w:rsid w:val="0072309A"/>
    <w:rsid w:val="007253E0"/>
    <w:rsid w:val="00726BC5"/>
    <w:rsid w:val="0072760B"/>
    <w:rsid w:val="007303BD"/>
    <w:rsid w:val="00730961"/>
    <w:rsid w:val="00733776"/>
    <w:rsid w:val="007339EC"/>
    <w:rsid w:val="00735448"/>
    <w:rsid w:val="00735DB7"/>
    <w:rsid w:val="007406F2"/>
    <w:rsid w:val="007415EE"/>
    <w:rsid w:val="00743558"/>
    <w:rsid w:val="00743F48"/>
    <w:rsid w:val="00754151"/>
    <w:rsid w:val="00755B02"/>
    <w:rsid w:val="00761192"/>
    <w:rsid w:val="00762181"/>
    <w:rsid w:val="007636A6"/>
    <w:rsid w:val="00763933"/>
    <w:rsid w:val="007648C5"/>
    <w:rsid w:val="00765775"/>
    <w:rsid w:val="0076744E"/>
    <w:rsid w:val="0077123A"/>
    <w:rsid w:val="00771DAA"/>
    <w:rsid w:val="007726CD"/>
    <w:rsid w:val="0077572E"/>
    <w:rsid w:val="00777031"/>
    <w:rsid w:val="007776E6"/>
    <w:rsid w:val="00777DC5"/>
    <w:rsid w:val="00777EE1"/>
    <w:rsid w:val="0078007B"/>
    <w:rsid w:val="00780426"/>
    <w:rsid w:val="0078075D"/>
    <w:rsid w:val="00782102"/>
    <w:rsid w:val="00782240"/>
    <w:rsid w:val="00783CB6"/>
    <w:rsid w:val="0078420C"/>
    <w:rsid w:val="00784A13"/>
    <w:rsid w:val="00785090"/>
    <w:rsid w:val="0078566B"/>
    <w:rsid w:val="00786781"/>
    <w:rsid w:val="00786924"/>
    <w:rsid w:val="00790E58"/>
    <w:rsid w:val="007937C7"/>
    <w:rsid w:val="00793825"/>
    <w:rsid w:val="00793A71"/>
    <w:rsid w:val="007946B9"/>
    <w:rsid w:val="00794723"/>
    <w:rsid w:val="00796338"/>
    <w:rsid w:val="00797A7F"/>
    <w:rsid w:val="007A00A9"/>
    <w:rsid w:val="007A0645"/>
    <w:rsid w:val="007A2434"/>
    <w:rsid w:val="007A351E"/>
    <w:rsid w:val="007A39DF"/>
    <w:rsid w:val="007B0F6E"/>
    <w:rsid w:val="007B1C1D"/>
    <w:rsid w:val="007B3E6E"/>
    <w:rsid w:val="007B4A7A"/>
    <w:rsid w:val="007B509D"/>
    <w:rsid w:val="007B5A06"/>
    <w:rsid w:val="007B6982"/>
    <w:rsid w:val="007B7C29"/>
    <w:rsid w:val="007C18E6"/>
    <w:rsid w:val="007C3488"/>
    <w:rsid w:val="007C4C3F"/>
    <w:rsid w:val="007C5E97"/>
    <w:rsid w:val="007C5FCE"/>
    <w:rsid w:val="007C60EA"/>
    <w:rsid w:val="007C67A2"/>
    <w:rsid w:val="007C6DC9"/>
    <w:rsid w:val="007D0D98"/>
    <w:rsid w:val="007D11DD"/>
    <w:rsid w:val="007D1583"/>
    <w:rsid w:val="007D1E2B"/>
    <w:rsid w:val="007D2775"/>
    <w:rsid w:val="007D3487"/>
    <w:rsid w:val="007D4206"/>
    <w:rsid w:val="007D47C2"/>
    <w:rsid w:val="007D5274"/>
    <w:rsid w:val="007D5EE1"/>
    <w:rsid w:val="007E0242"/>
    <w:rsid w:val="007E0284"/>
    <w:rsid w:val="007E1970"/>
    <w:rsid w:val="007E310A"/>
    <w:rsid w:val="007E63EE"/>
    <w:rsid w:val="007F0E0F"/>
    <w:rsid w:val="007F1E2A"/>
    <w:rsid w:val="007F25D6"/>
    <w:rsid w:val="007F5DB4"/>
    <w:rsid w:val="007F615A"/>
    <w:rsid w:val="007F62E4"/>
    <w:rsid w:val="008032D7"/>
    <w:rsid w:val="00803B34"/>
    <w:rsid w:val="00804D47"/>
    <w:rsid w:val="0080579C"/>
    <w:rsid w:val="00807754"/>
    <w:rsid w:val="00807F60"/>
    <w:rsid w:val="00807F7E"/>
    <w:rsid w:val="0081179D"/>
    <w:rsid w:val="00813B7A"/>
    <w:rsid w:val="00814584"/>
    <w:rsid w:val="00814991"/>
    <w:rsid w:val="00817782"/>
    <w:rsid w:val="00817FD7"/>
    <w:rsid w:val="008205ED"/>
    <w:rsid w:val="00820783"/>
    <w:rsid w:val="008210C8"/>
    <w:rsid w:val="00821CCE"/>
    <w:rsid w:val="0082256F"/>
    <w:rsid w:val="008227F3"/>
    <w:rsid w:val="00822911"/>
    <w:rsid w:val="008238F2"/>
    <w:rsid w:val="00823F08"/>
    <w:rsid w:val="0082441F"/>
    <w:rsid w:val="008250E3"/>
    <w:rsid w:val="00826105"/>
    <w:rsid w:val="00826561"/>
    <w:rsid w:val="00826670"/>
    <w:rsid w:val="00831EEE"/>
    <w:rsid w:val="00835976"/>
    <w:rsid w:val="00835F38"/>
    <w:rsid w:val="00837A5E"/>
    <w:rsid w:val="008420F8"/>
    <w:rsid w:val="00842296"/>
    <w:rsid w:val="008428D7"/>
    <w:rsid w:val="00843027"/>
    <w:rsid w:val="008436D9"/>
    <w:rsid w:val="00846568"/>
    <w:rsid w:val="00846E89"/>
    <w:rsid w:val="00847CDE"/>
    <w:rsid w:val="00850FA1"/>
    <w:rsid w:val="00851119"/>
    <w:rsid w:val="0085255F"/>
    <w:rsid w:val="008535A7"/>
    <w:rsid w:val="00856157"/>
    <w:rsid w:val="00856B82"/>
    <w:rsid w:val="00860D05"/>
    <w:rsid w:val="0086170E"/>
    <w:rsid w:val="008626A7"/>
    <w:rsid w:val="00862D3B"/>
    <w:rsid w:val="0086390E"/>
    <w:rsid w:val="008672B4"/>
    <w:rsid w:val="0087242A"/>
    <w:rsid w:val="00873E53"/>
    <w:rsid w:val="0087452D"/>
    <w:rsid w:val="00874CA0"/>
    <w:rsid w:val="0087781A"/>
    <w:rsid w:val="008816F4"/>
    <w:rsid w:val="00881817"/>
    <w:rsid w:val="00884FE6"/>
    <w:rsid w:val="00885FFC"/>
    <w:rsid w:val="00887BDD"/>
    <w:rsid w:val="00891955"/>
    <w:rsid w:val="00891B9B"/>
    <w:rsid w:val="00891DF8"/>
    <w:rsid w:val="008A00ED"/>
    <w:rsid w:val="008A36D8"/>
    <w:rsid w:val="008A501A"/>
    <w:rsid w:val="008A5F8E"/>
    <w:rsid w:val="008A7A39"/>
    <w:rsid w:val="008B0941"/>
    <w:rsid w:val="008B2FE8"/>
    <w:rsid w:val="008B45C3"/>
    <w:rsid w:val="008B4DB1"/>
    <w:rsid w:val="008B5922"/>
    <w:rsid w:val="008C010F"/>
    <w:rsid w:val="008C06F0"/>
    <w:rsid w:val="008C30CB"/>
    <w:rsid w:val="008C3C2A"/>
    <w:rsid w:val="008C41D4"/>
    <w:rsid w:val="008C532A"/>
    <w:rsid w:val="008C5E84"/>
    <w:rsid w:val="008C5FC7"/>
    <w:rsid w:val="008C6342"/>
    <w:rsid w:val="008C6540"/>
    <w:rsid w:val="008C7560"/>
    <w:rsid w:val="008D10F2"/>
    <w:rsid w:val="008D127E"/>
    <w:rsid w:val="008D49CC"/>
    <w:rsid w:val="008D6E2E"/>
    <w:rsid w:val="008D7A59"/>
    <w:rsid w:val="008E03FB"/>
    <w:rsid w:val="008E2F34"/>
    <w:rsid w:val="008E38BE"/>
    <w:rsid w:val="008E778F"/>
    <w:rsid w:val="008F0422"/>
    <w:rsid w:val="008F0B92"/>
    <w:rsid w:val="008F1B3D"/>
    <w:rsid w:val="008F2DE6"/>
    <w:rsid w:val="008F2E2A"/>
    <w:rsid w:val="008F3922"/>
    <w:rsid w:val="008F422D"/>
    <w:rsid w:val="008F4402"/>
    <w:rsid w:val="008F51A3"/>
    <w:rsid w:val="008F6713"/>
    <w:rsid w:val="008F67B9"/>
    <w:rsid w:val="009003CA"/>
    <w:rsid w:val="00901A39"/>
    <w:rsid w:val="00903007"/>
    <w:rsid w:val="00905B5B"/>
    <w:rsid w:val="00906D05"/>
    <w:rsid w:val="009107BE"/>
    <w:rsid w:val="00913CEA"/>
    <w:rsid w:val="00914733"/>
    <w:rsid w:val="009152AB"/>
    <w:rsid w:val="00915EE7"/>
    <w:rsid w:val="00916450"/>
    <w:rsid w:val="00920C9F"/>
    <w:rsid w:val="00921B32"/>
    <w:rsid w:val="0092225D"/>
    <w:rsid w:val="009224DB"/>
    <w:rsid w:val="0092772D"/>
    <w:rsid w:val="009313BF"/>
    <w:rsid w:val="00932679"/>
    <w:rsid w:val="009331F2"/>
    <w:rsid w:val="00933A18"/>
    <w:rsid w:val="00933F13"/>
    <w:rsid w:val="00934762"/>
    <w:rsid w:val="00934C29"/>
    <w:rsid w:val="00935DAD"/>
    <w:rsid w:val="00935DF8"/>
    <w:rsid w:val="00936CFC"/>
    <w:rsid w:val="009403F0"/>
    <w:rsid w:val="009417AF"/>
    <w:rsid w:val="00943323"/>
    <w:rsid w:val="00944D85"/>
    <w:rsid w:val="00945A9C"/>
    <w:rsid w:val="009509E6"/>
    <w:rsid w:val="00954856"/>
    <w:rsid w:val="009566BC"/>
    <w:rsid w:val="009569EC"/>
    <w:rsid w:val="00956C51"/>
    <w:rsid w:val="00956D9C"/>
    <w:rsid w:val="00961B83"/>
    <w:rsid w:val="0096233A"/>
    <w:rsid w:val="0096329C"/>
    <w:rsid w:val="0096330F"/>
    <w:rsid w:val="00963737"/>
    <w:rsid w:val="0096444D"/>
    <w:rsid w:val="00964899"/>
    <w:rsid w:val="00964E32"/>
    <w:rsid w:val="00965652"/>
    <w:rsid w:val="00966177"/>
    <w:rsid w:val="00967031"/>
    <w:rsid w:val="00970BF4"/>
    <w:rsid w:val="00973BD9"/>
    <w:rsid w:val="00976003"/>
    <w:rsid w:val="0097773C"/>
    <w:rsid w:val="00977831"/>
    <w:rsid w:val="0098097A"/>
    <w:rsid w:val="0098235A"/>
    <w:rsid w:val="0098248D"/>
    <w:rsid w:val="009831E1"/>
    <w:rsid w:val="00983E97"/>
    <w:rsid w:val="0098571F"/>
    <w:rsid w:val="00985C1C"/>
    <w:rsid w:val="009870D1"/>
    <w:rsid w:val="009916C0"/>
    <w:rsid w:val="00994CB4"/>
    <w:rsid w:val="00994EB8"/>
    <w:rsid w:val="00994F7E"/>
    <w:rsid w:val="00996C6C"/>
    <w:rsid w:val="00997271"/>
    <w:rsid w:val="009A10CE"/>
    <w:rsid w:val="009A243E"/>
    <w:rsid w:val="009A333C"/>
    <w:rsid w:val="009A44FF"/>
    <w:rsid w:val="009A4D2E"/>
    <w:rsid w:val="009A585B"/>
    <w:rsid w:val="009A7A1B"/>
    <w:rsid w:val="009A7C5D"/>
    <w:rsid w:val="009B0559"/>
    <w:rsid w:val="009B066A"/>
    <w:rsid w:val="009B1431"/>
    <w:rsid w:val="009B1702"/>
    <w:rsid w:val="009B20E4"/>
    <w:rsid w:val="009B2A5C"/>
    <w:rsid w:val="009B3672"/>
    <w:rsid w:val="009B417C"/>
    <w:rsid w:val="009B78AA"/>
    <w:rsid w:val="009B7C5E"/>
    <w:rsid w:val="009C0E9E"/>
    <w:rsid w:val="009C10CD"/>
    <w:rsid w:val="009C45CF"/>
    <w:rsid w:val="009C4BB9"/>
    <w:rsid w:val="009C54B2"/>
    <w:rsid w:val="009C708F"/>
    <w:rsid w:val="009D49E2"/>
    <w:rsid w:val="009D4B02"/>
    <w:rsid w:val="009D59B3"/>
    <w:rsid w:val="009D60F8"/>
    <w:rsid w:val="009D638D"/>
    <w:rsid w:val="009D6695"/>
    <w:rsid w:val="009D71B2"/>
    <w:rsid w:val="009E0A90"/>
    <w:rsid w:val="009E33F9"/>
    <w:rsid w:val="009E4C8F"/>
    <w:rsid w:val="009E4D52"/>
    <w:rsid w:val="009E5960"/>
    <w:rsid w:val="009F0B11"/>
    <w:rsid w:val="009F2051"/>
    <w:rsid w:val="009F33DD"/>
    <w:rsid w:val="00A05C01"/>
    <w:rsid w:val="00A0628D"/>
    <w:rsid w:val="00A10834"/>
    <w:rsid w:val="00A118C5"/>
    <w:rsid w:val="00A1251B"/>
    <w:rsid w:val="00A127AC"/>
    <w:rsid w:val="00A12831"/>
    <w:rsid w:val="00A14E35"/>
    <w:rsid w:val="00A1683E"/>
    <w:rsid w:val="00A20A18"/>
    <w:rsid w:val="00A20C01"/>
    <w:rsid w:val="00A217D4"/>
    <w:rsid w:val="00A21FC2"/>
    <w:rsid w:val="00A221CF"/>
    <w:rsid w:val="00A24218"/>
    <w:rsid w:val="00A243CA"/>
    <w:rsid w:val="00A2443B"/>
    <w:rsid w:val="00A24F8B"/>
    <w:rsid w:val="00A2652A"/>
    <w:rsid w:val="00A31735"/>
    <w:rsid w:val="00A31FC2"/>
    <w:rsid w:val="00A3218C"/>
    <w:rsid w:val="00A32906"/>
    <w:rsid w:val="00A330FD"/>
    <w:rsid w:val="00A332EC"/>
    <w:rsid w:val="00A34BD7"/>
    <w:rsid w:val="00A3556B"/>
    <w:rsid w:val="00A35E36"/>
    <w:rsid w:val="00A36ABD"/>
    <w:rsid w:val="00A4433A"/>
    <w:rsid w:val="00A44B4D"/>
    <w:rsid w:val="00A46582"/>
    <w:rsid w:val="00A46FC4"/>
    <w:rsid w:val="00A47466"/>
    <w:rsid w:val="00A47BEC"/>
    <w:rsid w:val="00A505F1"/>
    <w:rsid w:val="00A53AA3"/>
    <w:rsid w:val="00A540B0"/>
    <w:rsid w:val="00A55415"/>
    <w:rsid w:val="00A55C20"/>
    <w:rsid w:val="00A55E73"/>
    <w:rsid w:val="00A55F30"/>
    <w:rsid w:val="00A63C56"/>
    <w:rsid w:val="00A643F3"/>
    <w:rsid w:val="00A657D3"/>
    <w:rsid w:val="00A6643C"/>
    <w:rsid w:val="00A7000C"/>
    <w:rsid w:val="00A70B96"/>
    <w:rsid w:val="00A70D8A"/>
    <w:rsid w:val="00A71444"/>
    <w:rsid w:val="00A71E4F"/>
    <w:rsid w:val="00A72E9A"/>
    <w:rsid w:val="00A7338F"/>
    <w:rsid w:val="00A73A55"/>
    <w:rsid w:val="00A73CCE"/>
    <w:rsid w:val="00A73F8B"/>
    <w:rsid w:val="00A744A3"/>
    <w:rsid w:val="00A74EC7"/>
    <w:rsid w:val="00A77406"/>
    <w:rsid w:val="00A77C70"/>
    <w:rsid w:val="00A77F13"/>
    <w:rsid w:val="00A77F5D"/>
    <w:rsid w:val="00A81AD6"/>
    <w:rsid w:val="00A90DB2"/>
    <w:rsid w:val="00A9127E"/>
    <w:rsid w:val="00A916DB"/>
    <w:rsid w:val="00A927B4"/>
    <w:rsid w:val="00A92D39"/>
    <w:rsid w:val="00A933A5"/>
    <w:rsid w:val="00A933DB"/>
    <w:rsid w:val="00A94048"/>
    <w:rsid w:val="00A94188"/>
    <w:rsid w:val="00A9552C"/>
    <w:rsid w:val="00A9582A"/>
    <w:rsid w:val="00A95C0E"/>
    <w:rsid w:val="00A96652"/>
    <w:rsid w:val="00A96C42"/>
    <w:rsid w:val="00AA0EA8"/>
    <w:rsid w:val="00AA2E29"/>
    <w:rsid w:val="00AA55EA"/>
    <w:rsid w:val="00AA617E"/>
    <w:rsid w:val="00AA6B1A"/>
    <w:rsid w:val="00AA70CE"/>
    <w:rsid w:val="00AB0867"/>
    <w:rsid w:val="00AB0CBB"/>
    <w:rsid w:val="00AB2747"/>
    <w:rsid w:val="00AB2750"/>
    <w:rsid w:val="00AB27D1"/>
    <w:rsid w:val="00AB6C93"/>
    <w:rsid w:val="00AB6CBF"/>
    <w:rsid w:val="00AB7F48"/>
    <w:rsid w:val="00AC1CBE"/>
    <w:rsid w:val="00AC1CD1"/>
    <w:rsid w:val="00AC245D"/>
    <w:rsid w:val="00AC2F8A"/>
    <w:rsid w:val="00AC3ED1"/>
    <w:rsid w:val="00AC4088"/>
    <w:rsid w:val="00AC5508"/>
    <w:rsid w:val="00AC59BE"/>
    <w:rsid w:val="00AC5CA0"/>
    <w:rsid w:val="00AC6908"/>
    <w:rsid w:val="00AD0400"/>
    <w:rsid w:val="00AD0BDD"/>
    <w:rsid w:val="00AD38DE"/>
    <w:rsid w:val="00AD43FC"/>
    <w:rsid w:val="00AD45E0"/>
    <w:rsid w:val="00AD61EC"/>
    <w:rsid w:val="00AD68B0"/>
    <w:rsid w:val="00AD70DB"/>
    <w:rsid w:val="00AE0C43"/>
    <w:rsid w:val="00AE142E"/>
    <w:rsid w:val="00AE200D"/>
    <w:rsid w:val="00AE47F8"/>
    <w:rsid w:val="00AE6A96"/>
    <w:rsid w:val="00AE7CB6"/>
    <w:rsid w:val="00AF0501"/>
    <w:rsid w:val="00AF2383"/>
    <w:rsid w:val="00AF2D15"/>
    <w:rsid w:val="00AF42EA"/>
    <w:rsid w:val="00AF513A"/>
    <w:rsid w:val="00B02296"/>
    <w:rsid w:val="00B0279E"/>
    <w:rsid w:val="00B028CA"/>
    <w:rsid w:val="00B03407"/>
    <w:rsid w:val="00B05953"/>
    <w:rsid w:val="00B131EE"/>
    <w:rsid w:val="00B16566"/>
    <w:rsid w:val="00B20209"/>
    <w:rsid w:val="00B203B2"/>
    <w:rsid w:val="00B2281A"/>
    <w:rsid w:val="00B22AD4"/>
    <w:rsid w:val="00B22F69"/>
    <w:rsid w:val="00B233D3"/>
    <w:rsid w:val="00B23F5D"/>
    <w:rsid w:val="00B23F83"/>
    <w:rsid w:val="00B24916"/>
    <w:rsid w:val="00B309D4"/>
    <w:rsid w:val="00B31222"/>
    <w:rsid w:val="00B32BFD"/>
    <w:rsid w:val="00B330CE"/>
    <w:rsid w:val="00B34568"/>
    <w:rsid w:val="00B35199"/>
    <w:rsid w:val="00B35FF1"/>
    <w:rsid w:val="00B360BA"/>
    <w:rsid w:val="00B36E59"/>
    <w:rsid w:val="00B36FED"/>
    <w:rsid w:val="00B37392"/>
    <w:rsid w:val="00B40991"/>
    <w:rsid w:val="00B42047"/>
    <w:rsid w:val="00B42516"/>
    <w:rsid w:val="00B44541"/>
    <w:rsid w:val="00B452A8"/>
    <w:rsid w:val="00B46741"/>
    <w:rsid w:val="00B469A7"/>
    <w:rsid w:val="00B478C9"/>
    <w:rsid w:val="00B47DE6"/>
    <w:rsid w:val="00B50CD8"/>
    <w:rsid w:val="00B510A1"/>
    <w:rsid w:val="00B5110D"/>
    <w:rsid w:val="00B513C2"/>
    <w:rsid w:val="00B519A5"/>
    <w:rsid w:val="00B528C6"/>
    <w:rsid w:val="00B52D3A"/>
    <w:rsid w:val="00B52F98"/>
    <w:rsid w:val="00B54365"/>
    <w:rsid w:val="00B559DE"/>
    <w:rsid w:val="00B55BF0"/>
    <w:rsid w:val="00B5603C"/>
    <w:rsid w:val="00B562FC"/>
    <w:rsid w:val="00B57758"/>
    <w:rsid w:val="00B57CE5"/>
    <w:rsid w:val="00B601C3"/>
    <w:rsid w:val="00B61D01"/>
    <w:rsid w:val="00B640A2"/>
    <w:rsid w:val="00B654F7"/>
    <w:rsid w:val="00B65CEB"/>
    <w:rsid w:val="00B66A4B"/>
    <w:rsid w:val="00B66BC3"/>
    <w:rsid w:val="00B675F7"/>
    <w:rsid w:val="00B70E5B"/>
    <w:rsid w:val="00B71737"/>
    <w:rsid w:val="00B72A50"/>
    <w:rsid w:val="00B72CE3"/>
    <w:rsid w:val="00B737C1"/>
    <w:rsid w:val="00B77453"/>
    <w:rsid w:val="00B803D3"/>
    <w:rsid w:val="00B80607"/>
    <w:rsid w:val="00B80C4E"/>
    <w:rsid w:val="00B825A7"/>
    <w:rsid w:val="00B838C0"/>
    <w:rsid w:val="00B841BB"/>
    <w:rsid w:val="00B842C7"/>
    <w:rsid w:val="00B85153"/>
    <w:rsid w:val="00B86B23"/>
    <w:rsid w:val="00B9254B"/>
    <w:rsid w:val="00B92C69"/>
    <w:rsid w:val="00B954F0"/>
    <w:rsid w:val="00B95AE9"/>
    <w:rsid w:val="00B95F50"/>
    <w:rsid w:val="00B97171"/>
    <w:rsid w:val="00B9782B"/>
    <w:rsid w:val="00BA18B5"/>
    <w:rsid w:val="00BA2380"/>
    <w:rsid w:val="00BA2FF5"/>
    <w:rsid w:val="00BA3408"/>
    <w:rsid w:val="00BA34A5"/>
    <w:rsid w:val="00BA3E51"/>
    <w:rsid w:val="00BA4B4B"/>
    <w:rsid w:val="00BA6095"/>
    <w:rsid w:val="00BA6106"/>
    <w:rsid w:val="00BA6B84"/>
    <w:rsid w:val="00BA7868"/>
    <w:rsid w:val="00BA7D75"/>
    <w:rsid w:val="00BB32E1"/>
    <w:rsid w:val="00BB41EE"/>
    <w:rsid w:val="00BB471B"/>
    <w:rsid w:val="00BB4872"/>
    <w:rsid w:val="00BB516B"/>
    <w:rsid w:val="00BB6817"/>
    <w:rsid w:val="00BC0454"/>
    <w:rsid w:val="00BC1BFF"/>
    <w:rsid w:val="00BC4F21"/>
    <w:rsid w:val="00BC7065"/>
    <w:rsid w:val="00BD1D4B"/>
    <w:rsid w:val="00BD25EE"/>
    <w:rsid w:val="00BD2E24"/>
    <w:rsid w:val="00BD3864"/>
    <w:rsid w:val="00BD4614"/>
    <w:rsid w:val="00BD4BC5"/>
    <w:rsid w:val="00BD4DB5"/>
    <w:rsid w:val="00BD5898"/>
    <w:rsid w:val="00BD5E85"/>
    <w:rsid w:val="00BD5FAB"/>
    <w:rsid w:val="00BD677E"/>
    <w:rsid w:val="00BE03F6"/>
    <w:rsid w:val="00BE0450"/>
    <w:rsid w:val="00BE0D59"/>
    <w:rsid w:val="00BE0E2A"/>
    <w:rsid w:val="00BE2007"/>
    <w:rsid w:val="00BE273C"/>
    <w:rsid w:val="00BE2C17"/>
    <w:rsid w:val="00BE3117"/>
    <w:rsid w:val="00BE43AB"/>
    <w:rsid w:val="00BE47A4"/>
    <w:rsid w:val="00BE522F"/>
    <w:rsid w:val="00BE5E2D"/>
    <w:rsid w:val="00BE618C"/>
    <w:rsid w:val="00BE6511"/>
    <w:rsid w:val="00BE73F3"/>
    <w:rsid w:val="00BF01E0"/>
    <w:rsid w:val="00BF38B1"/>
    <w:rsid w:val="00BF6DED"/>
    <w:rsid w:val="00BF74EC"/>
    <w:rsid w:val="00BF7FAC"/>
    <w:rsid w:val="00C0017B"/>
    <w:rsid w:val="00C00788"/>
    <w:rsid w:val="00C00DF7"/>
    <w:rsid w:val="00C020AD"/>
    <w:rsid w:val="00C027DC"/>
    <w:rsid w:val="00C02849"/>
    <w:rsid w:val="00C05F12"/>
    <w:rsid w:val="00C06228"/>
    <w:rsid w:val="00C07E17"/>
    <w:rsid w:val="00C10442"/>
    <w:rsid w:val="00C10652"/>
    <w:rsid w:val="00C1084E"/>
    <w:rsid w:val="00C10A33"/>
    <w:rsid w:val="00C11483"/>
    <w:rsid w:val="00C12E71"/>
    <w:rsid w:val="00C14BF3"/>
    <w:rsid w:val="00C15D59"/>
    <w:rsid w:val="00C15EE7"/>
    <w:rsid w:val="00C161B3"/>
    <w:rsid w:val="00C20AC3"/>
    <w:rsid w:val="00C21089"/>
    <w:rsid w:val="00C235FC"/>
    <w:rsid w:val="00C24273"/>
    <w:rsid w:val="00C24D21"/>
    <w:rsid w:val="00C25AF1"/>
    <w:rsid w:val="00C26E11"/>
    <w:rsid w:val="00C26F5A"/>
    <w:rsid w:val="00C2720E"/>
    <w:rsid w:val="00C304F3"/>
    <w:rsid w:val="00C327F4"/>
    <w:rsid w:val="00C32A88"/>
    <w:rsid w:val="00C37418"/>
    <w:rsid w:val="00C377EF"/>
    <w:rsid w:val="00C40FE6"/>
    <w:rsid w:val="00C422E8"/>
    <w:rsid w:val="00C4277B"/>
    <w:rsid w:val="00C44854"/>
    <w:rsid w:val="00C44EAF"/>
    <w:rsid w:val="00C47567"/>
    <w:rsid w:val="00C50F60"/>
    <w:rsid w:val="00C5185A"/>
    <w:rsid w:val="00C51CCE"/>
    <w:rsid w:val="00C527FA"/>
    <w:rsid w:val="00C5296F"/>
    <w:rsid w:val="00C53260"/>
    <w:rsid w:val="00C53B69"/>
    <w:rsid w:val="00C56E95"/>
    <w:rsid w:val="00C56EB6"/>
    <w:rsid w:val="00C57513"/>
    <w:rsid w:val="00C579E6"/>
    <w:rsid w:val="00C602D8"/>
    <w:rsid w:val="00C6053D"/>
    <w:rsid w:val="00C614C7"/>
    <w:rsid w:val="00C6174B"/>
    <w:rsid w:val="00C6571D"/>
    <w:rsid w:val="00C65A5D"/>
    <w:rsid w:val="00C663F7"/>
    <w:rsid w:val="00C71FA5"/>
    <w:rsid w:val="00C739E6"/>
    <w:rsid w:val="00C7412F"/>
    <w:rsid w:val="00C76743"/>
    <w:rsid w:val="00C76ECD"/>
    <w:rsid w:val="00C81B68"/>
    <w:rsid w:val="00C81E67"/>
    <w:rsid w:val="00C81FDC"/>
    <w:rsid w:val="00C82087"/>
    <w:rsid w:val="00C8231D"/>
    <w:rsid w:val="00C8235D"/>
    <w:rsid w:val="00C83C86"/>
    <w:rsid w:val="00C84CA1"/>
    <w:rsid w:val="00C862B4"/>
    <w:rsid w:val="00C87297"/>
    <w:rsid w:val="00C87379"/>
    <w:rsid w:val="00C8793E"/>
    <w:rsid w:val="00C9388A"/>
    <w:rsid w:val="00C93B7B"/>
    <w:rsid w:val="00C93F59"/>
    <w:rsid w:val="00C953C3"/>
    <w:rsid w:val="00C96388"/>
    <w:rsid w:val="00CA17CE"/>
    <w:rsid w:val="00CA1B35"/>
    <w:rsid w:val="00CA2A5C"/>
    <w:rsid w:val="00CA405B"/>
    <w:rsid w:val="00CA4501"/>
    <w:rsid w:val="00CA46D8"/>
    <w:rsid w:val="00CA4950"/>
    <w:rsid w:val="00CA4DE5"/>
    <w:rsid w:val="00CA59E4"/>
    <w:rsid w:val="00CA6E57"/>
    <w:rsid w:val="00CB1BB6"/>
    <w:rsid w:val="00CB236C"/>
    <w:rsid w:val="00CB437F"/>
    <w:rsid w:val="00CB55C4"/>
    <w:rsid w:val="00CB58D3"/>
    <w:rsid w:val="00CB709F"/>
    <w:rsid w:val="00CB7AC5"/>
    <w:rsid w:val="00CC0195"/>
    <w:rsid w:val="00CC0235"/>
    <w:rsid w:val="00CC17FF"/>
    <w:rsid w:val="00CC1BDE"/>
    <w:rsid w:val="00CC1C7A"/>
    <w:rsid w:val="00CC1F20"/>
    <w:rsid w:val="00CC288D"/>
    <w:rsid w:val="00CC2CAC"/>
    <w:rsid w:val="00CC78D3"/>
    <w:rsid w:val="00CC795C"/>
    <w:rsid w:val="00CC7FC8"/>
    <w:rsid w:val="00CD03A9"/>
    <w:rsid w:val="00CD2A8D"/>
    <w:rsid w:val="00CD58AD"/>
    <w:rsid w:val="00CD678B"/>
    <w:rsid w:val="00CD6B55"/>
    <w:rsid w:val="00CD7B41"/>
    <w:rsid w:val="00CE0DA3"/>
    <w:rsid w:val="00CE1516"/>
    <w:rsid w:val="00CE1875"/>
    <w:rsid w:val="00CE1ACD"/>
    <w:rsid w:val="00CE1CF2"/>
    <w:rsid w:val="00CE2008"/>
    <w:rsid w:val="00CE43FD"/>
    <w:rsid w:val="00CE4762"/>
    <w:rsid w:val="00CE530E"/>
    <w:rsid w:val="00CE6548"/>
    <w:rsid w:val="00CE6910"/>
    <w:rsid w:val="00CE7744"/>
    <w:rsid w:val="00CE7750"/>
    <w:rsid w:val="00CE7CD7"/>
    <w:rsid w:val="00CF0143"/>
    <w:rsid w:val="00CF31F0"/>
    <w:rsid w:val="00CF39C6"/>
    <w:rsid w:val="00CF46C7"/>
    <w:rsid w:val="00CF4EBB"/>
    <w:rsid w:val="00D0183A"/>
    <w:rsid w:val="00D02103"/>
    <w:rsid w:val="00D021B0"/>
    <w:rsid w:val="00D03408"/>
    <w:rsid w:val="00D03496"/>
    <w:rsid w:val="00D034BD"/>
    <w:rsid w:val="00D04389"/>
    <w:rsid w:val="00D05C7A"/>
    <w:rsid w:val="00D0763C"/>
    <w:rsid w:val="00D07AD9"/>
    <w:rsid w:val="00D10E93"/>
    <w:rsid w:val="00D121BC"/>
    <w:rsid w:val="00D12993"/>
    <w:rsid w:val="00D13609"/>
    <w:rsid w:val="00D14BF0"/>
    <w:rsid w:val="00D151AD"/>
    <w:rsid w:val="00D2022F"/>
    <w:rsid w:val="00D20D01"/>
    <w:rsid w:val="00D212CF"/>
    <w:rsid w:val="00D21647"/>
    <w:rsid w:val="00D2306F"/>
    <w:rsid w:val="00D23364"/>
    <w:rsid w:val="00D2430F"/>
    <w:rsid w:val="00D245FF"/>
    <w:rsid w:val="00D26996"/>
    <w:rsid w:val="00D30320"/>
    <w:rsid w:val="00D336DF"/>
    <w:rsid w:val="00D337E6"/>
    <w:rsid w:val="00D35585"/>
    <w:rsid w:val="00D37085"/>
    <w:rsid w:val="00D37A88"/>
    <w:rsid w:val="00D4048C"/>
    <w:rsid w:val="00D404C9"/>
    <w:rsid w:val="00D40605"/>
    <w:rsid w:val="00D4087A"/>
    <w:rsid w:val="00D427A4"/>
    <w:rsid w:val="00D4511F"/>
    <w:rsid w:val="00D45561"/>
    <w:rsid w:val="00D45737"/>
    <w:rsid w:val="00D47118"/>
    <w:rsid w:val="00D473CE"/>
    <w:rsid w:val="00D47456"/>
    <w:rsid w:val="00D4770C"/>
    <w:rsid w:val="00D47D95"/>
    <w:rsid w:val="00D50935"/>
    <w:rsid w:val="00D50A44"/>
    <w:rsid w:val="00D50E30"/>
    <w:rsid w:val="00D5204D"/>
    <w:rsid w:val="00D52520"/>
    <w:rsid w:val="00D54E53"/>
    <w:rsid w:val="00D54FE9"/>
    <w:rsid w:val="00D55276"/>
    <w:rsid w:val="00D56D17"/>
    <w:rsid w:val="00D577C2"/>
    <w:rsid w:val="00D6097C"/>
    <w:rsid w:val="00D6191F"/>
    <w:rsid w:val="00D62DFF"/>
    <w:rsid w:val="00D64214"/>
    <w:rsid w:val="00D6489D"/>
    <w:rsid w:val="00D64D6F"/>
    <w:rsid w:val="00D67793"/>
    <w:rsid w:val="00D71C5F"/>
    <w:rsid w:val="00D73BDC"/>
    <w:rsid w:val="00D73BF6"/>
    <w:rsid w:val="00D74D84"/>
    <w:rsid w:val="00D75C84"/>
    <w:rsid w:val="00D763CE"/>
    <w:rsid w:val="00D76A46"/>
    <w:rsid w:val="00D82291"/>
    <w:rsid w:val="00D82E2E"/>
    <w:rsid w:val="00D83A3C"/>
    <w:rsid w:val="00D86719"/>
    <w:rsid w:val="00D86CDF"/>
    <w:rsid w:val="00D86E94"/>
    <w:rsid w:val="00D86FE4"/>
    <w:rsid w:val="00D90356"/>
    <w:rsid w:val="00D90FF5"/>
    <w:rsid w:val="00D91DF0"/>
    <w:rsid w:val="00D9265B"/>
    <w:rsid w:val="00D92A65"/>
    <w:rsid w:val="00D93359"/>
    <w:rsid w:val="00D93E8C"/>
    <w:rsid w:val="00D944C5"/>
    <w:rsid w:val="00D95869"/>
    <w:rsid w:val="00DA1F4F"/>
    <w:rsid w:val="00DA2AE1"/>
    <w:rsid w:val="00DA2C01"/>
    <w:rsid w:val="00DA4EE7"/>
    <w:rsid w:val="00DA5C33"/>
    <w:rsid w:val="00DA6B01"/>
    <w:rsid w:val="00DA6EEE"/>
    <w:rsid w:val="00DA7565"/>
    <w:rsid w:val="00DB0DA9"/>
    <w:rsid w:val="00DB0F77"/>
    <w:rsid w:val="00DB1A9A"/>
    <w:rsid w:val="00DB4CDB"/>
    <w:rsid w:val="00DB5247"/>
    <w:rsid w:val="00DB6274"/>
    <w:rsid w:val="00DB66FD"/>
    <w:rsid w:val="00DB6829"/>
    <w:rsid w:val="00DB7232"/>
    <w:rsid w:val="00DB7826"/>
    <w:rsid w:val="00DC1360"/>
    <w:rsid w:val="00DC5071"/>
    <w:rsid w:val="00DD0868"/>
    <w:rsid w:val="00DD0DBE"/>
    <w:rsid w:val="00DD1683"/>
    <w:rsid w:val="00DD1890"/>
    <w:rsid w:val="00DD22F6"/>
    <w:rsid w:val="00DD3BFF"/>
    <w:rsid w:val="00DD41E4"/>
    <w:rsid w:val="00DD4597"/>
    <w:rsid w:val="00DD5F74"/>
    <w:rsid w:val="00DD6D0D"/>
    <w:rsid w:val="00DE130F"/>
    <w:rsid w:val="00DE1341"/>
    <w:rsid w:val="00DE2149"/>
    <w:rsid w:val="00DE2E5F"/>
    <w:rsid w:val="00DE3BFB"/>
    <w:rsid w:val="00DE3F2F"/>
    <w:rsid w:val="00DE404B"/>
    <w:rsid w:val="00DE4C76"/>
    <w:rsid w:val="00DE4FD4"/>
    <w:rsid w:val="00DE799A"/>
    <w:rsid w:val="00DF01C3"/>
    <w:rsid w:val="00DF0CE8"/>
    <w:rsid w:val="00DF10BB"/>
    <w:rsid w:val="00DF7878"/>
    <w:rsid w:val="00DF7D30"/>
    <w:rsid w:val="00E00305"/>
    <w:rsid w:val="00E003BA"/>
    <w:rsid w:val="00E01FE7"/>
    <w:rsid w:val="00E01FF2"/>
    <w:rsid w:val="00E026FC"/>
    <w:rsid w:val="00E07AC1"/>
    <w:rsid w:val="00E10392"/>
    <w:rsid w:val="00E13433"/>
    <w:rsid w:val="00E13590"/>
    <w:rsid w:val="00E1417E"/>
    <w:rsid w:val="00E14778"/>
    <w:rsid w:val="00E14DB1"/>
    <w:rsid w:val="00E151F9"/>
    <w:rsid w:val="00E15428"/>
    <w:rsid w:val="00E21730"/>
    <w:rsid w:val="00E21975"/>
    <w:rsid w:val="00E22B98"/>
    <w:rsid w:val="00E23F46"/>
    <w:rsid w:val="00E24396"/>
    <w:rsid w:val="00E2628B"/>
    <w:rsid w:val="00E26D0A"/>
    <w:rsid w:val="00E27A34"/>
    <w:rsid w:val="00E27B8C"/>
    <w:rsid w:val="00E30E43"/>
    <w:rsid w:val="00E311D6"/>
    <w:rsid w:val="00E33655"/>
    <w:rsid w:val="00E34129"/>
    <w:rsid w:val="00E3445D"/>
    <w:rsid w:val="00E34983"/>
    <w:rsid w:val="00E359EE"/>
    <w:rsid w:val="00E35EF4"/>
    <w:rsid w:val="00E41B0C"/>
    <w:rsid w:val="00E42380"/>
    <w:rsid w:val="00E42DE8"/>
    <w:rsid w:val="00E44E4E"/>
    <w:rsid w:val="00E46AEA"/>
    <w:rsid w:val="00E470EE"/>
    <w:rsid w:val="00E47A23"/>
    <w:rsid w:val="00E47E23"/>
    <w:rsid w:val="00E50850"/>
    <w:rsid w:val="00E521AC"/>
    <w:rsid w:val="00E53F98"/>
    <w:rsid w:val="00E54406"/>
    <w:rsid w:val="00E5470C"/>
    <w:rsid w:val="00E54E86"/>
    <w:rsid w:val="00E54F10"/>
    <w:rsid w:val="00E5638C"/>
    <w:rsid w:val="00E6087C"/>
    <w:rsid w:val="00E61359"/>
    <w:rsid w:val="00E62EF0"/>
    <w:rsid w:val="00E64E34"/>
    <w:rsid w:val="00E65966"/>
    <w:rsid w:val="00E65A92"/>
    <w:rsid w:val="00E65DE5"/>
    <w:rsid w:val="00E665BB"/>
    <w:rsid w:val="00E705E6"/>
    <w:rsid w:val="00E70757"/>
    <w:rsid w:val="00E70EA0"/>
    <w:rsid w:val="00E71886"/>
    <w:rsid w:val="00E72410"/>
    <w:rsid w:val="00E736B1"/>
    <w:rsid w:val="00E73EC2"/>
    <w:rsid w:val="00E74173"/>
    <w:rsid w:val="00E751A6"/>
    <w:rsid w:val="00E7573B"/>
    <w:rsid w:val="00E76299"/>
    <w:rsid w:val="00E76E54"/>
    <w:rsid w:val="00E77B92"/>
    <w:rsid w:val="00E80BFC"/>
    <w:rsid w:val="00E80ED3"/>
    <w:rsid w:val="00E81B4B"/>
    <w:rsid w:val="00E83AB4"/>
    <w:rsid w:val="00E83FDF"/>
    <w:rsid w:val="00E85142"/>
    <w:rsid w:val="00E87970"/>
    <w:rsid w:val="00E87B24"/>
    <w:rsid w:val="00E903AD"/>
    <w:rsid w:val="00E90C19"/>
    <w:rsid w:val="00E90E30"/>
    <w:rsid w:val="00E92014"/>
    <w:rsid w:val="00E9325C"/>
    <w:rsid w:val="00E9384C"/>
    <w:rsid w:val="00E947B9"/>
    <w:rsid w:val="00E9521E"/>
    <w:rsid w:val="00E96D03"/>
    <w:rsid w:val="00EA221E"/>
    <w:rsid w:val="00EA2BC1"/>
    <w:rsid w:val="00EA2C69"/>
    <w:rsid w:val="00EA3303"/>
    <w:rsid w:val="00EA5199"/>
    <w:rsid w:val="00EA57C7"/>
    <w:rsid w:val="00EA5B3A"/>
    <w:rsid w:val="00EA5E5B"/>
    <w:rsid w:val="00EA790E"/>
    <w:rsid w:val="00EA7E04"/>
    <w:rsid w:val="00EB0117"/>
    <w:rsid w:val="00EB0575"/>
    <w:rsid w:val="00EB05E3"/>
    <w:rsid w:val="00EB3447"/>
    <w:rsid w:val="00EB346A"/>
    <w:rsid w:val="00EB3A54"/>
    <w:rsid w:val="00EB413A"/>
    <w:rsid w:val="00EB5FDA"/>
    <w:rsid w:val="00EB60C2"/>
    <w:rsid w:val="00EB784D"/>
    <w:rsid w:val="00EB7F32"/>
    <w:rsid w:val="00EC0194"/>
    <w:rsid w:val="00EC0AFA"/>
    <w:rsid w:val="00EC0D05"/>
    <w:rsid w:val="00EC1744"/>
    <w:rsid w:val="00EC2B9A"/>
    <w:rsid w:val="00EC4E97"/>
    <w:rsid w:val="00EC5201"/>
    <w:rsid w:val="00EC5756"/>
    <w:rsid w:val="00EC599D"/>
    <w:rsid w:val="00ED160D"/>
    <w:rsid w:val="00ED17F4"/>
    <w:rsid w:val="00ED2C67"/>
    <w:rsid w:val="00ED450E"/>
    <w:rsid w:val="00ED4F68"/>
    <w:rsid w:val="00ED6E5A"/>
    <w:rsid w:val="00EE0270"/>
    <w:rsid w:val="00EE0D2B"/>
    <w:rsid w:val="00EE138D"/>
    <w:rsid w:val="00EE1D20"/>
    <w:rsid w:val="00EE3A19"/>
    <w:rsid w:val="00EE3B55"/>
    <w:rsid w:val="00EE3CC4"/>
    <w:rsid w:val="00EE44BA"/>
    <w:rsid w:val="00EE490F"/>
    <w:rsid w:val="00EE6316"/>
    <w:rsid w:val="00EF0725"/>
    <w:rsid w:val="00EF1FDA"/>
    <w:rsid w:val="00EF4434"/>
    <w:rsid w:val="00EF510D"/>
    <w:rsid w:val="00EF6FA8"/>
    <w:rsid w:val="00F00AD0"/>
    <w:rsid w:val="00F0195C"/>
    <w:rsid w:val="00F04AC8"/>
    <w:rsid w:val="00F04B7C"/>
    <w:rsid w:val="00F05CEE"/>
    <w:rsid w:val="00F05E85"/>
    <w:rsid w:val="00F06BA6"/>
    <w:rsid w:val="00F076DF"/>
    <w:rsid w:val="00F07AF6"/>
    <w:rsid w:val="00F1072E"/>
    <w:rsid w:val="00F11D47"/>
    <w:rsid w:val="00F1218B"/>
    <w:rsid w:val="00F13109"/>
    <w:rsid w:val="00F13D5A"/>
    <w:rsid w:val="00F141FA"/>
    <w:rsid w:val="00F14FCB"/>
    <w:rsid w:val="00F15150"/>
    <w:rsid w:val="00F167BC"/>
    <w:rsid w:val="00F2136B"/>
    <w:rsid w:val="00F23222"/>
    <w:rsid w:val="00F238E0"/>
    <w:rsid w:val="00F24898"/>
    <w:rsid w:val="00F25354"/>
    <w:rsid w:val="00F2592C"/>
    <w:rsid w:val="00F2676B"/>
    <w:rsid w:val="00F267B1"/>
    <w:rsid w:val="00F27FCE"/>
    <w:rsid w:val="00F314A2"/>
    <w:rsid w:val="00F31CC4"/>
    <w:rsid w:val="00F31FC6"/>
    <w:rsid w:val="00F3428F"/>
    <w:rsid w:val="00F34405"/>
    <w:rsid w:val="00F34C2B"/>
    <w:rsid w:val="00F3511C"/>
    <w:rsid w:val="00F365F3"/>
    <w:rsid w:val="00F367F1"/>
    <w:rsid w:val="00F36E6E"/>
    <w:rsid w:val="00F37627"/>
    <w:rsid w:val="00F46453"/>
    <w:rsid w:val="00F470BA"/>
    <w:rsid w:val="00F47506"/>
    <w:rsid w:val="00F50AB0"/>
    <w:rsid w:val="00F51FB0"/>
    <w:rsid w:val="00F53852"/>
    <w:rsid w:val="00F54098"/>
    <w:rsid w:val="00F546A9"/>
    <w:rsid w:val="00F5485C"/>
    <w:rsid w:val="00F54947"/>
    <w:rsid w:val="00F5545C"/>
    <w:rsid w:val="00F559B0"/>
    <w:rsid w:val="00F627D6"/>
    <w:rsid w:val="00F63979"/>
    <w:rsid w:val="00F63AEC"/>
    <w:rsid w:val="00F64ABA"/>
    <w:rsid w:val="00F64FC3"/>
    <w:rsid w:val="00F730D6"/>
    <w:rsid w:val="00F74EA9"/>
    <w:rsid w:val="00F7742A"/>
    <w:rsid w:val="00F824C6"/>
    <w:rsid w:val="00F83B1E"/>
    <w:rsid w:val="00F8457B"/>
    <w:rsid w:val="00F916B7"/>
    <w:rsid w:val="00F93E75"/>
    <w:rsid w:val="00F94DF5"/>
    <w:rsid w:val="00F9577A"/>
    <w:rsid w:val="00F95B1D"/>
    <w:rsid w:val="00F95BED"/>
    <w:rsid w:val="00F96228"/>
    <w:rsid w:val="00F9749E"/>
    <w:rsid w:val="00FA02FB"/>
    <w:rsid w:val="00FA0919"/>
    <w:rsid w:val="00FA0D94"/>
    <w:rsid w:val="00FA2084"/>
    <w:rsid w:val="00FA2769"/>
    <w:rsid w:val="00FA4FD9"/>
    <w:rsid w:val="00FA5465"/>
    <w:rsid w:val="00FA5DF1"/>
    <w:rsid w:val="00FB0C7B"/>
    <w:rsid w:val="00FB10E7"/>
    <w:rsid w:val="00FB31D2"/>
    <w:rsid w:val="00FB3914"/>
    <w:rsid w:val="00FB4CAD"/>
    <w:rsid w:val="00FB4F34"/>
    <w:rsid w:val="00FB540B"/>
    <w:rsid w:val="00FB73A9"/>
    <w:rsid w:val="00FC0142"/>
    <w:rsid w:val="00FC0A19"/>
    <w:rsid w:val="00FC18AB"/>
    <w:rsid w:val="00FC1B98"/>
    <w:rsid w:val="00FC3169"/>
    <w:rsid w:val="00FC4269"/>
    <w:rsid w:val="00FD05D4"/>
    <w:rsid w:val="00FD083F"/>
    <w:rsid w:val="00FD0B12"/>
    <w:rsid w:val="00FD1F3F"/>
    <w:rsid w:val="00FD41F7"/>
    <w:rsid w:val="00FD4CCE"/>
    <w:rsid w:val="00FD4EF7"/>
    <w:rsid w:val="00FD615E"/>
    <w:rsid w:val="00FD66B5"/>
    <w:rsid w:val="00FD67C6"/>
    <w:rsid w:val="00FD7192"/>
    <w:rsid w:val="00FD761C"/>
    <w:rsid w:val="00FE0348"/>
    <w:rsid w:val="00FE1663"/>
    <w:rsid w:val="00FE2173"/>
    <w:rsid w:val="00FE2642"/>
    <w:rsid w:val="00FE266E"/>
    <w:rsid w:val="00FE3362"/>
    <w:rsid w:val="00FE4A2A"/>
    <w:rsid w:val="00FE5072"/>
    <w:rsid w:val="00FE6A47"/>
    <w:rsid w:val="00FE778A"/>
    <w:rsid w:val="00FF2623"/>
    <w:rsid w:val="00FF3148"/>
    <w:rsid w:val="00FF3C7F"/>
    <w:rsid w:val="00FF47A7"/>
    <w:rsid w:val="00FF4F29"/>
    <w:rsid w:val="00FF50EB"/>
    <w:rsid w:val="00FF52DC"/>
    <w:rsid w:val="00FF5D58"/>
    <w:rsid w:val="00FF5DD3"/>
    <w:rsid w:val="00FF608D"/>
    <w:rsid w:val="00FF6371"/>
    <w:rsid w:val="00FF78A0"/>
    <w:rsid w:val="00FF7E01"/>
    <w:rsid w:val="4237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1"/>
    <w:qFormat/>
    <w:uiPriority w:val="0"/>
    <w:pPr>
      <w:jc w:val="left"/>
    </w:pPr>
  </w:style>
  <w:style w:type="paragraph" w:styleId="8">
    <w:name w:val="Body Text"/>
    <w:basedOn w:val="1"/>
    <w:link w:val="29"/>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qFormat/>
    <w:uiPriority w:val="0"/>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8"/>
    <w:qFormat/>
    <w:uiPriority w:val="99"/>
    <w:pPr>
      <w:tabs>
        <w:tab w:val="center" w:pos="4153"/>
        <w:tab w:val="right" w:pos="8306"/>
      </w:tabs>
      <w:snapToGrid w:val="0"/>
      <w:jc w:val="left"/>
    </w:pPr>
    <w:rPr>
      <w:sz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1"/>
    <w:qFormat/>
    <w:uiPriority w:val="0"/>
    <w:pPr>
      <w:spacing w:before="240" w:after="60"/>
      <w:jc w:val="center"/>
      <w:outlineLvl w:val="0"/>
    </w:pPr>
    <w:rPr>
      <w:rFonts w:ascii="Cambria" w:hAnsi="Cambria"/>
      <w:b/>
      <w:sz w:val="32"/>
    </w:rPr>
  </w:style>
  <w:style w:type="paragraph" w:styleId="20">
    <w:name w:val="annotation subject"/>
    <w:basedOn w:val="7"/>
    <w:next w:val="7"/>
    <w:qFormat/>
    <w:uiPriority w:val="0"/>
    <w:rPr>
      <w:b/>
    </w:rPr>
  </w:style>
  <w:style w:type="paragraph" w:styleId="21">
    <w:name w:val="Body Text First Indent"/>
    <w:basedOn w:val="8"/>
    <w:link w:val="49"/>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qFormat/>
    <w:uiPriority w:val="0"/>
  </w:style>
  <w:style w:type="character" w:styleId="25">
    <w:name w:val="FollowedHyperlink"/>
    <w:semiHidden/>
    <w:unhideWhenUsed/>
    <w:qFormat/>
    <w:uiPriority w:val="99"/>
    <w:rPr>
      <w:color w:val="800080"/>
      <w:u w:val="single"/>
    </w:rPr>
  </w:style>
  <w:style w:type="character" w:styleId="26">
    <w:name w:val="Hyperlink"/>
    <w:qFormat/>
    <w:uiPriority w:val="99"/>
    <w:rPr>
      <w:color w:val="0000FF"/>
      <w:u w:val="single"/>
    </w:rPr>
  </w:style>
  <w:style w:type="character" w:styleId="27">
    <w:name w:val="annotation reference"/>
    <w:qFormat/>
    <w:uiPriority w:val="0"/>
    <w:rPr>
      <w:sz w:val="21"/>
    </w:rPr>
  </w:style>
  <w:style w:type="character" w:styleId="28">
    <w:name w:val="footnote reference"/>
    <w:qFormat/>
    <w:uiPriority w:val="0"/>
    <w:rPr>
      <w:vertAlign w:val="superscript"/>
    </w:rPr>
  </w:style>
  <w:style w:type="character" w:customStyle="1" w:styleId="29">
    <w:name w:val="正文文本 字符"/>
    <w:link w:val="8"/>
    <w:qFormat/>
    <w:uiPriority w:val="0"/>
    <w:rPr>
      <w:rFonts w:ascii="宋体"/>
      <w:kern w:val="0"/>
    </w:rPr>
  </w:style>
  <w:style w:type="character" w:customStyle="1" w:styleId="30">
    <w:name w:val="unnamed11"/>
    <w:qFormat/>
    <w:uiPriority w:val="0"/>
    <w:rPr>
      <w:rFonts w:hint="eastAsia" w:ascii="宋体" w:hAnsi="宋体" w:eastAsia="宋体"/>
      <w:sz w:val="18"/>
    </w:rPr>
  </w:style>
  <w:style w:type="character" w:customStyle="1" w:styleId="31">
    <w:name w:val="标题 字符"/>
    <w:link w:val="19"/>
    <w:qFormat/>
    <w:uiPriority w:val="0"/>
    <w:rPr>
      <w:rFonts w:ascii="Cambria" w:hAnsi="Cambria"/>
      <w:b/>
      <w:kern w:val="2"/>
      <w:sz w:val="32"/>
    </w:rPr>
  </w:style>
  <w:style w:type="character" w:customStyle="1" w:styleId="32">
    <w:name w:val="页眉 字符"/>
    <w:link w:val="14"/>
    <w:qFormat/>
    <w:uiPriority w:val="0"/>
    <w:rPr>
      <w:rFonts w:eastAsia="宋体"/>
      <w:kern w:val="2"/>
      <w:sz w:val="18"/>
      <w:lang w:val="en-US" w:eastAsia="zh-CN"/>
    </w:rPr>
  </w:style>
  <w:style w:type="character" w:customStyle="1" w:styleId="33">
    <w:name w:val="read"/>
    <w:basedOn w:val="23"/>
    <w:qFormat/>
    <w:uiPriority w:val="0"/>
  </w:style>
  <w:style w:type="paragraph" w:customStyle="1" w:styleId="34">
    <w:name w:val="Char Char"/>
    <w:basedOn w:val="1"/>
    <w:qFormat/>
    <w:uiPriority w:val="0"/>
  </w:style>
  <w:style w:type="paragraph" w:customStyle="1" w:styleId="35">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6">
    <w:name w:val="unnamed1"/>
    <w:basedOn w:val="1"/>
    <w:qFormat/>
    <w:uiPriority w:val="0"/>
    <w:pPr>
      <w:spacing w:before="60" w:after="60"/>
      <w:ind w:left="15" w:right="15"/>
    </w:pPr>
    <w:rPr>
      <w:rFonts w:hint="eastAsia" w:ascii="宋体" w:hAnsi="宋体"/>
      <w:color w:val="000000"/>
      <w:sz w:val="18"/>
      <w:szCs w:val="18"/>
    </w:rPr>
  </w:style>
  <w:style w:type="paragraph" w:customStyle="1" w:styleId="37">
    <w:name w:val="List_bullet"/>
    <w:basedOn w:val="1"/>
    <w:qFormat/>
    <w:uiPriority w:val="0"/>
    <w:pPr>
      <w:widowControl/>
      <w:tabs>
        <w:tab w:val="left" w:pos="360"/>
      </w:tabs>
      <w:ind w:left="360" w:hanging="360"/>
      <w:jc w:val="left"/>
    </w:pPr>
    <w:rPr>
      <w:kern w:val="0"/>
      <w:sz w:val="24"/>
    </w:rPr>
  </w:style>
  <w:style w:type="paragraph" w:customStyle="1" w:styleId="38">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正文"/>
    <w:basedOn w:val="1"/>
    <w:qFormat/>
    <w:uiPriority w:val="0"/>
    <w:pPr>
      <w:spacing w:afterLines="25" w:line="360" w:lineRule="auto"/>
      <w:ind w:firstLine="200" w:firstLineChars="200"/>
    </w:pPr>
    <w:rPr>
      <w:sz w:val="24"/>
    </w:rPr>
  </w:style>
  <w:style w:type="paragraph" w:customStyle="1" w:styleId="40">
    <w:name w:val="Char"/>
    <w:basedOn w:val="1"/>
    <w:qFormat/>
    <w:uiPriority w:val="0"/>
  </w:style>
  <w:style w:type="paragraph" w:customStyle="1" w:styleId="41">
    <w:name w:val="Char1"/>
    <w:basedOn w:val="1"/>
    <w:qFormat/>
    <w:uiPriority w:val="0"/>
  </w:style>
  <w:style w:type="paragraph" w:customStyle="1" w:styleId="42">
    <w:name w:val="Char Char Char"/>
    <w:basedOn w:val="1"/>
    <w:qFormat/>
    <w:uiPriority w:val="0"/>
  </w:style>
  <w:style w:type="paragraph" w:customStyle="1" w:styleId="43">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4">
    <w:name w:val="Char Char Char Char"/>
    <w:basedOn w:val="1"/>
    <w:qFormat/>
    <w:uiPriority w:val="0"/>
    <w:pPr>
      <w:tabs>
        <w:tab w:val="left" w:pos="360"/>
      </w:tabs>
    </w:pPr>
  </w:style>
  <w:style w:type="paragraph" w:customStyle="1" w:styleId="45">
    <w:name w:val="Char Char1"/>
    <w:basedOn w:val="1"/>
    <w:qFormat/>
    <w:uiPriority w:val="0"/>
  </w:style>
  <w:style w:type="paragraph" w:customStyle="1" w:styleId="46">
    <w:name w:val="正文所"/>
    <w:basedOn w:val="1"/>
    <w:qFormat/>
    <w:uiPriority w:val="0"/>
    <w:pPr>
      <w:spacing w:line="360" w:lineRule="auto"/>
      <w:ind w:firstLine="420" w:firstLineChars="200"/>
    </w:pPr>
    <w:rPr>
      <w:rFonts w:ascii="宋体"/>
    </w:rPr>
  </w:style>
  <w:style w:type="paragraph" w:customStyle="1" w:styleId="47">
    <w:name w:val="Revision"/>
    <w:hidden/>
    <w:semiHidden/>
    <w:qFormat/>
    <w:uiPriority w:val="99"/>
    <w:rPr>
      <w:rFonts w:ascii="Times New Roman" w:hAnsi="Times New Roman" w:eastAsia="宋体" w:cs="Times New Roman"/>
      <w:kern w:val="2"/>
      <w:sz w:val="21"/>
      <w:lang w:val="en-US" w:eastAsia="zh-CN" w:bidi="ar-SA"/>
    </w:rPr>
  </w:style>
  <w:style w:type="character" w:customStyle="1" w:styleId="48">
    <w:name w:val="页脚 字符"/>
    <w:link w:val="13"/>
    <w:qFormat/>
    <w:uiPriority w:val="99"/>
    <w:rPr>
      <w:kern w:val="2"/>
      <w:sz w:val="18"/>
    </w:rPr>
  </w:style>
  <w:style w:type="character" w:customStyle="1" w:styleId="49">
    <w:name w:val="正文首行缩进 字符"/>
    <w:link w:val="21"/>
    <w:semiHidden/>
    <w:qFormat/>
    <w:uiPriority w:val="99"/>
    <w:rPr>
      <w:rFonts w:ascii="宋体"/>
      <w:kern w:val="2"/>
      <w:sz w:val="21"/>
    </w:rPr>
  </w:style>
  <w:style w:type="paragraph" w:customStyle="1" w:styleId="50">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1">
    <w:name w:val="批注文字 字符"/>
    <w:link w:val="7"/>
    <w:qFormat/>
    <w:uiPriority w:val="0"/>
    <w:rPr>
      <w:kern w:val="2"/>
      <w:sz w:val="21"/>
    </w:rPr>
  </w:style>
  <w:style w:type="paragraph" w:styleId="52">
    <w:name w:val="List Paragraph"/>
    <w:basedOn w:val="1"/>
    <w:qFormat/>
    <w:uiPriority w:val="34"/>
    <w:pPr>
      <w:ind w:firstLine="420" w:firstLineChars="200"/>
    </w:pPr>
    <w:rPr>
      <w:rFonts w:ascii="Calibri" w:hAnsi="Calibri"/>
      <w:szCs w:val="22"/>
    </w:rPr>
  </w:style>
  <w:style w:type="character" w:customStyle="1" w:styleId="53">
    <w:name w:val="标题 1 字符"/>
    <w:basedOn w:val="23"/>
    <w:link w:val="2"/>
    <w:qFormat/>
    <w:uiPriority w:val="0"/>
    <w:rPr>
      <w:rFonts w:ascii="宋体"/>
      <w:b/>
      <w:color w:val="000000"/>
      <w:sz w:val="24"/>
    </w:rPr>
  </w:style>
  <w:style w:type="character" w:customStyle="1" w:styleId="54">
    <w:name w:val="批注文字 Char"/>
    <w:qFormat/>
    <w:uiPriority w:val="0"/>
    <w:rPr>
      <w:kern w:val="2"/>
      <w:sz w:val="21"/>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3CD4-CEAB-4F37-8F18-E218E39590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105</Pages>
  <Words>10692</Words>
  <Characters>60947</Characters>
  <Lines>507</Lines>
  <Paragraphs>142</Paragraphs>
  <TotalTime>458</TotalTime>
  <ScaleCrop>false</ScaleCrop>
  <LinksUpToDate>false</LinksUpToDate>
  <CharactersWithSpaces>71497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2021-03-15T10:40:00Z</dcterms:created>
  <dc:creator>交银模板</dc:creator>
  <cp:lastModifiedBy>喻秋燕</cp:lastModifiedBy>
  <cp:lastPrinted>2016-02-01T08:07:00Z</cp:lastPrinted>
  <dcterms:modified xsi:type="dcterms:W3CDTF">2025-03-18T02:47:17Z</dcterms:modified>
  <dc:title>___证券投资基金招募说明书1</dc:title>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C8D16FF08F0E42B9A7FE047ECA9DF2E7</vt:lpwstr>
  </property>
</Properties>
</file>