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B51929">
      <w:pPr>
        <w:rPr>
          <w:sz w:val="32"/>
        </w:rPr>
      </w:pPr>
    </w:p>
    <w:p w:rsidR="00C92FC0" w:rsidRPr="00EB07BC" w:rsidRDefault="00B51929">
      <w:pPr>
        <w:rPr>
          <w:sz w:val="32"/>
        </w:rPr>
      </w:pPr>
    </w:p>
    <w:p w:rsidR="00C92FC0" w:rsidRPr="00EB07BC" w:rsidRDefault="00B51929">
      <w:pPr>
        <w:rPr>
          <w:sz w:val="32"/>
        </w:rPr>
      </w:pPr>
    </w:p>
    <w:p w:rsidR="00C92FC0" w:rsidRPr="00EB07BC" w:rsidRDefault="006B1500">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AE03F7" w:rsidRDefault="00AE03F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AE03F7" w:rsidRDefault="00AE03F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AE03F7" w:rsidRDefault="00E845ED">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交银施罗德中债</w:t>
      </w:r>
      <w:r>
        <w:rPr>
          <w:rFonts w:ascii="Times New Roman" w:hAnsi="Times New Roman"/>
          <w:b/>
          <w:spacing w:val="2"/>
          <w:w w:val="99"/>
          <w:kern w:val="0"/>
          <w:position w:val="-4"/>
          <w:sz w:val="44"/>
          <w:szCs w:val="44"/>
        </w:rPr>
        <w:t>1-3</w:t>
      </w:r>
      <w:r>
        <w:rPr>
          <w:rFonts w:ascii="Times New Roman" w:hAnsi="Times New Roman"/>
          <w:b/>
          <w:spacing w:val="2"/>
          <w:w w:val="99"/>
          <w:kern w:val="0"/>
          <w:position w:val="-4"/>
          <w:sz w:val="44"/>
          <w:szCs w:val="44"/>
        </w:rPr>
        <w:t>年政策性金融债指数证券投资基金</w:t>
      </w:r>
    </w:p>
    <w:p w:rsidR="00AE03F7" w:rsidRDefault="00E845ED">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rsidR="00AE03F7" w:rsidRDefault="00AE03F7">
      <w:pPr>
        <w:snapToGrid w:val="0"/>
        <w:spacing w:line="360" w:lineRule="auto"/>
        <w:jc w:val="center"/>
        <w:rPr>
          <w:rFonts w:ascii="宋体" w:hAnsi="宋体"/>
          <w:b/>
          <w:sz w:val="30"/>
          <w:szCs w:val="30"/>
        </w:rPr>
      </w:pPr>
    </w:p>
    <w:p w:rsidR="00AE03F7" w:rsidRDefault="00AE03F7">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03F7" w:rsidRDefault="00AE03F7">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03F7" w:rsidRDefault="00AE03F7">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03F7" w:rsidRDefault="00AE03F7">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03F7" w:rsidRDefault="00AE03F7">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03F7" w:rsidRDefault="00AE03F7">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03F7" w:rsidRDefault="00E845E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AE03F7" w:rsidRDefault="00E845E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AE03F7" w:rsidRDefault="00AE03F7">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03F7" w:rsidRDefault="00AE03F7">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E03F7" w:rsidRDefault="00E845ED">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二〇二五年</w:t>
      </w:r>
      <w:r w:rsidR="004568D5">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月</w:t>
      </w:r>
    </w:p>
    <w:p w:rsidR="00AE03F7" w:rsidRDefault="00AE03F7">
      <w:pPr>
        <w:autoSpaceDE w:val="0"/>
        <w:autoSpaceDN w:val="0"/>
        <w:adjustRightInd w:val="0"/>
        <w:snapToGrid w:val="0"/>
        <w:spacing w:line="360" w:lineRule="auto"/>
        <w:ind w:left="1347" w:rightChars="6" w:right="13"/>
        <w:rPr>
          <w:rFonts w:ascii="宋体" w:hAnsi="宋体"/>
          <w:kern w:val="0"/>
          <w:sz w:val="32"/>
          <w:szCs w:val="32"/>
        </w:rPr>
        <w:sectPr w:rsidR="00AE03F7">
          <w:headerReference w:type="even" r:id="rId9"/>
          <w:headerReference w:type="default" r:id="rId10"/>
          <w:footerReference w:type="even" r:id="rId11"/>
          <w:footerReference w:type="default" r:id="rId12"/>
          <w:headerReference w:type="first" r:id="rId13"/>
          <w:footerReference w:type="first" r:id="rId14"/>
          <w:pgSz w:w="11920" w:h="16840"/>
          <w:pgMar w:top="1560" w:right="1680" w:bottom="280" w:left="1680" w:header="0" w:footer="1073" w:gutter="0"/>
          <w:pgNumType w:start="1"/>
          <w:cols w:space="720"/>
          <w:titlePg/>
          <w:docGrid w:linePitch="286"/>
        </w:sectPr>
      </w:pPr>
    </w:p>
    <w:p w:rsidR="00AE03F7" w:rsidRDefault="00E845ED">
      <w:pPr>
        <w:pStyle w:val="1"/>
        <w:snapToGrid w:val="0"/>
        <w:spacing w:beforeLines="0" w:before="240" w:after="240"/>
        <w:rPr>
          <w:rFonts w:ascii="宋体" w:hAnsi="宋体"/>
          <w:kern w:val="0"/>
        </w:rPr>
      </w:pPr>
      <w:bookmarkStart w:id="0" w:name="_Toc324920538"/>
      <w:bookmarkStart w:id="1" w:name="_Toc496884613"/>
      <w:bookmarkStart w:id="2" w:name="_Toc188538003"/>
      <w:r>
        <w:rPr>
          <w:rFonts w:ascii="Times New Roman" w:hAnsi="Times New Roman"/>
          <w:kern w:val="0"/>
        </w:rPr>
        <w:lastRenderedPageBreak/>
        <w:t>重要提示</w:t>
      </w:r>
      <w:bookmarkEnd w:id="0"/>
      <w:bookmarkEnd w:id="1"/>
      <w:bookmarkEnd w:id="2"/>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交银施罗德中债</w:t>
      </w:r>
      <w:r>
        <w:rPr>
          <w:rFonts w:ascii="Times New Roman" w:hAnsi="Times New Roman"/>
          <w:kern w:val="0"/>
          <w:sz w:val="24"/>
        </w:rPr>
        <w:t>1-3</w:t>
      </w:r>
      <w:r>
        <w:rPr>
          <w:rFonts w:ascii="Times New Roman" w:hAnsi="Times New Roman"/>
          <w:kern w:val="0"/>
          <w:sz w:val="24"/>
        </w:rPr>
        <w:t>年政策性金融债指数证券投资基金（以下简称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13</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2020</w:t>
      </w:r>
      <w:r>
        <w:rPr>
          <w:rFonts w:ascii="Times New Roman" w:hAnsi="Times New Roman"/>
          <w:kern w:val="0"/>
          <w:sz w:val="24"/>
        </w:rPr>
        <w:t>】</w:t>
      </w:r>
      <w:r>
        <w:rPr>
          <w:rFonts w:ascii="Times New Roman" w:hAnsi="Times New Roman"/>
          <w:kern w:val="0"/>
          <w:sz w:val="24"/>
        </w:rPr>
        <w:t>441</w:t>
      </w:r>
      <w:r>
        <w:rPr>
          <w:rFonts w:ascii="Times New Roman" w:hAnsi="Times New Roman"/>
          <w:kern w:val="0"/>
          <w:sz w:val="24"/>
        </w:rPr>
        <w:t>号文准予募集注册。本基金基金合同于</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日正式生效。</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中国证监会不对基金的投资价值及市场前景等作出实质性判断或者保证。</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本基金投资策略所特有的指数化投资风险；本基金的特有风险；连续</w:t>
      </w:r>
      <w:r>
        <w:rPr>
          <w:rFonts w:ascii="Times New Roman" w:hAnsi="Times New Roman"/>
          <w:kern w:val="0"/>
          <w:sz w:val="24"/>
        </w:rPr>
        <w:t>50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其他风险等等。其中指数化投资风险主要包括：标的指数回报与债券市场平均回报偏离的风险、标的指数下跌的风险、基金跟踪偏离风险、标的指数变更的风险、标的指数计算出错的风险、跟踪误差控制未达约定目标的风险、指数编制机构停止服务的风险、成份券停牌或违约的风险等。</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本基金主要投资于政策性金融债，可能面临政策性银行改制后的信用风险、政策性金融债流动性风险、投资集中度风险等。</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本基金为指数基金，投资者投资于本基金面临跟踪误差控制未达约定目标、指数编制机构停止服务、成份券停牌或违约等潜在风险。</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本基金标的指数为中债</w:t>
      </w:r>
      <w:r>
        <w:rPr>
          <w:rFonts w:ascii="Times New Roman" w:hAnsi="Times New Roman"/>
          <w:kern w:val="0"/>
          <w:sz w:val="24"/>
        </w:rPr>
        <w:t>-1-3</w:t>
      </w:r>
      <w:r>
        <w:rPr>
          <w:rFonts w:ascii="Times New Roman" w:hAnsi="Times New Roman"/>
          <w:kern w:val="0"/>
          <w:sz w:val="24"/>
        </w:rPr>
        <w:t>年政策性金融债指数。</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成份券包括在境内公开发行且上市流通的待偿期</w:t>
      </w:r>
      <w:r>
        <w:rPr>
          <w:rFonts w:ascii="Times New Roman" w:hAnsi="Times New Roman"/>
          <w:kern w:val="0"/>
          <w:sz w:val="24"/>
        </w:rPr>
        <w:t>0.5</w:t>
      </w:r>
      <w:r>
        <w:rPr>
          <w:rFonts w:ascii="Times New Roman" w:hAnsi="Times New Roman"/>
          <w:kern w:val="0"/>
          <w:sz w:val="24"/>
        </w:rPr>
        <w:t>至</w:t>
      </w:r>
      <w:r>
        <w:rPr>
          <w:rFonts w:ascii="Times New Roman" w:hAnsi="Times New Roman"/>
          <w:kern w:val="0"/>
          <w:sz w:val="24"/>
        </w:rPr>
        <w:t>3</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和</w:t>
      </w:r>
      <w:r>
        <w:rPr>
          <w:rFonts w:ascii="Times New Roman" w:hAnsi="Times New Roman"/>
          <w:kern w:val="0"/>
          <w:sz w:val="24"/>
        </w:rPr>
        <w:t>3</w:t>
      </w:r>
      <w:r>
        <w:rPr>
          <w:rFonts w:ascii="Times New Roman" w:hAnsi="Times New Roman"/>
          <w:kern w:val="0"/>
          <w:sz w:val="24"/>
        </w:rPr>
        <w:t>年）的政策性银行债。</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、选样方法</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2.1.</w:t>
      </w:r>
      <w:r>
        <w:rPr>
          <w:rFonts w:ascii="Times New Roman" w:hAnsi="Times New Roman"/>
          <w:kern w:val="0"/>
          <w:sz w:val="24"/>
        </w:rPr>
        <w:t>债券种类</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政策性银行债。</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2.2.</w:t>
      </w:r>
      <w:r>
        <w:rPr>
          <w:rFonts w:ascii="Times New Roman" w:hAnsi="Times New Roman"/>
          <w:kern w:val="0"/>
          <w:sz w:val="24"/>
        </w:rPr>
        <w:t>上市地点</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全国银行间债券市场。</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2.3.</w:t>
      </w:r>
      <w:r>
        <w:rPr>
          <w:rFonts w:ascii="Times New Roman" w:hAnsi="Times New Roman"/>
          <w:kern w:val="0"/>
          <w:sz w:val="24"/>
        </w:rPr>
        <w:t>托管余额</w:t>
      </w:r>
      <w:r>
        <w:rPr>
          <w:rFonts w:ascii="Times New Roman" w:hAnsi="Times New Roman"/>
          <w:kern w:val="0"/>
          <w:sz w:val="24"/>
        </w:rPr>
        <w:t>/</w:t>
      </w:r>
      <w:r>
        <w:rPr>
          <w:rFonts w:ascii="Times New Roman" w:hAnsi="Times New Roman"/>
          <w:kern w:val="0"/>
          <w:sz w:val="24"/>
        </w:rPr>
        <w:t>发行量</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上市</w:t>
      </w:r>
      <w:r>
        <w:rPr>
          <w:rFonts w:ascii="Times New Roman" w:hAnsi="Times New Roman"/>
          <w:kern w:val="0"/>
          <w:sz w:val="24"/>
        </w:rPr>
        <w:t>1</w:t>
      </w:r>
      <w:r>
        <w:rPr>
          <w:rFonts w:ascii="Times New Roman" w:hAnsi="Times New Roman"/>
          <w:kern w:val="0"/>
          <w:sz w:val="24"/>
        </w:rPr>
        <w:t>年内的债券：发行量无限制。</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上市</w:t>
      </w:r>
      <w:r>
        <w:rPr>
          <w:rFonts w:ascii="Times New Roman" w:hAnsi="Times New Roman"/>
          <w:kern w:val="0"/>
          <w:sz w:val="24"/>
        </w:rPr>
        <w:t>1</w:t>
      </w:r>
      <w:r>
        <w:rPr>
          <w:rFonts w:ascii="Times New Roman" w:hAnsi="Times New Roman"/>
          <w:kern w:val="0"/>
          <w:sz w:val="24"/>
        </w:rPr>
        <w:t>年及以上的债券：发行量大于或等于</w:t>
      </w:r>
      <w:r>
        <w:rPr>
          <w:rFonts w:ascii="Times New Roman" w:hAnsi="Times New Roman"/>
          <w:kern w:val="0"/>
          <w:sz w:val="24"/>
        </w:rPr>
        <w:t>200</w:t>
      </w:r>
      <w:r>
        <w:rPr>
          <w:rFonts w:ascii="Times New Roman" w:hAnsi="Times New Roman"/>
          <w:kern w:val="0"/>
          <w:sz w:val="24"/>
        </w:rPr>
        <w:t>亿元。</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2.4.</w:t>
      </w:r>
      <w:r>
        <w:rPr>
          <w:rFonts w:ascii="Times New Roman" w:hAnsi="Times New Roman"/>
          <w:kern w:val="0"/>
          <w:sz w:val="24"/>
        </w:rPr>
        <w:t>债券剩余期限</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0.5</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和</w:t>
      </w:r>
      <w:r>
        <w:rPr>
          <w:rFonts w:ascii="Times New Roman" w:hAnsi="Times New Roman"/>
          <w:kern w:val="0"/>
          <w:sz w:val="24"/>
        </w:rPr>
        <w:t>3</w:t>
      </w:r>
      <w:r>
        <w:rPr>
          <w:rFonts w:ascii="Times New Roman" w:hAnsi="Times New Roman"/>
          <w:kern w:val="0"/>
          <w:sz w:val="24"/>
        </w:rPr>
        <w:t>年）。</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2.5.</w:t>
      </w:r>
      <w:r>
        <w:rPr>
          <w:rFonts w:ascii="Times New Roman" w:hAnsi="Times New Roman"/>
          <w:kern w:val="0"/>
          <w:sz w:val="24"/>
        </w:rPr>
        <w:t>债券币种</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人民币。</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2.6.</w:t>
      </w:r>
      <w:r>
        <w:rPr>
          <w:rFonts w:ascii="Times New Roman" w:hAnsi="Times New Roman"/>
          <w:kern w:val="0"/>
          <w:sz w:val="24"/>
        </w:rPr>
        <w:t>付息方式</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附息式固定利率。</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2.7.</w:t>
      </w:r>
      <w:r>
        <w:rPr>
          <w:rFonts w:ascii="Times New Roman" w:hAnsi="Times New Roman"/>
          <w:kern w:val="0"/>
          <w:sz w:val="24"/>
        </w:rPr>
        <w:t>上市期限</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上市</w:t>
      </w:r>
      <w:r>
        <w:rPr>
          <w:rFonts w:ascii="Times New Roman" w:hAnsi="Times New Roman"/>
          <w:kern w:val="0"/>
          <w:sz w:val="24"/>
        </w:rPr>
        <w:t>7</w:t>
      </w:r>
      <w:r>
        <w:rPr>
          <w:rFonts w:ascii="Times New Roman" w:hAnsi="Times New Roman"/>
          <w:kern w:val="0"/>
          <w:sz w:val="24"/>
        </w:rPr>
        <w:t>年内。</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2.8.</w:t>
      </w:r>
      <w:r>
        <w:rPr>
          <w:rFonts w:ascii="Times New Roman" w:hAnsi="Times New Roman"/>
          <w:kern w:val="0"/>
          <w:sz w:val="24"/>
        </w:rPr>
        <w:t>含权债</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不包含含权债。</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2.9.</w:t>
      </w:r>
      <w:r>
        <w:rPr>
          <w:rFonts w:ascii="Times New Roman" w:hAnsi="Times New Roman"/>
          <w:kern w:val="0"/>
          <w:sz w:val="24"/>
        </w:rPr>
        <w:t>取价源</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以中债估值为参考（价格偏离度参数为</w:t>
      </w:r>
      <w:r>
        <w:rPr>
          <w:rFonts w:ascii="Times New Roman" w:hAnsi="Times New Roman"/>
          <w:kern w:val="0"/>
          <w:sz w:val="24"/>
        </w:rPr>
        <w:t>0.1%</w:t>
      </w:r>
      <w:r>
        <w:rPr>
          <w:rFonts w:ascii="Times New Roman" w:hAnsi="Times New Roman"/>
          <w:kern w:val="0"/>
          <w:sz w:val="24"/>
        </w:rPr>
        <w:t>），优先选取合理的最优双边报价中间价，若无则取合理的银行间市场加权平均结算价，再无则直接采用中债估值价格。</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有关标的指数具体编制方案详见中国债券信息网，网址：</w:t>
      </w:r>
      <w:r>
        <w:rPr>
          <w:rFonts w:ascii="Times New Roman" w:hAnsi="Times New Roman"/>
          <w:kern w:val="0"/>
          <w:sz w:val="24"/>
        </w:rPr>
        <w:t>https://www.chinabond.com.cn/</w:t>
      </w:r>
      <w:r>
        <w:rPr>
          <w:rFonts w:ascii="Times New Roman" w:hAnsi="Times New Roman"/>
          <w:kern w:val="0"/>
          <w:sz w:val="24"/>
        </w:rPr>
        <w:t>。</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AE03F7" w:rsidRDefault="00E845E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本基金单一投资者持有基金份额数不得达到或超过基金份额总数的</w:t>
      </w:r>
      <w:r>
        <w:rPr>
          <w:rFonts w:ascii="Times New Roman" w:hAnsi="Times New Roman"/>
          <w:kern w:val="0"/>
          <w:sz w:val="24"/>
        </w:rPr>
        <w:t>20%</w:t>
      </w:r>
      <w:r>
        <w:rPr>
          <w:rFonts w:ascii="Times New Roman" w:hAnsi="Times New Roman"/>
          <w:kern w:val="0"/>
          <w:sz w:val="24"/>
        </w:rPr>
        <w:t>，但在基金运作过程中因基金份额赎回等情形导致被动达到或超过</w:t>
      </w:r>
      <w:r>
        <w:rPr>
          <w:rFonts w:ascii="Times New Roman" w:hAnsi="Times New Roman"/>
          <w:kern w:val="0"/>
          <w:sz w:val="24"/>
        </w:rPr>
        <w:t>20%</w:t>
      </w:r>
      <w:r>
        <w:rPr>
          <w:rFonts w:ascii="Times New Roman" w:hAnsi="Times New Roman"/>
          <w:kern w:val="0"/>
          <w:sz w:val="24"/>
        </w:rPr>
        <w:t>的除外。法律法规、监管机构另有规定的，从其规定。</w:t>
      </w:r>
    </w:p>
    <w:p w:rsidR="00AE03F7" w:rsidRDefault="004568D5">
      <w:pPr>
        <w:autoSpaceDE w:val="0"/>
        <w:autoSpaceDN w:val="0"/>
        <w:adjustRightInd w:val="0"/>
        <w:snapToGrid w:val="0"/>
        <w:spacing w:line="360" w:lineRule="auto"/>
        <w:ind w:leftChars="50" w:left="105" w:firstLineChars="200" w:firstLine="480"/>
        <w:rPr>
          <w:rFonts w:ascii="宋体" w:hAnsi="宋体"/>
          <w:kern w:val="0"/>
          <w:sz w:val="24"/>
        </w:rPr>
      </w:pPr>
      <w:r w:rsidRPr="004568D5">
        <w:rPr>
          <w:rFonts w:ascii="Times New Roman" w:hAnsi="Times New Roman" w:hint="eastAsia"/>
          <w:kern w:val="0"/>
          <w:sz w:val="24"/>
        </w:rPr>
        <w:t>本次更新招募说明书主要对指数使用费调整为基金管理人承担相关事项进行了相应更新，更新生效日为</w:t>
      </w:r>
      <w:r w:rsidRPr="004568D5">
        <w:rPr>
          <w:rFonts w:ascii="Times New Roman" w:hAnsi="Times New Roman" w:hint="eastAsia"/>
          <w:kern w:val="0"/>
          <w:sz w:val="24"/>
        </w:rPr>
        <w:t>2025</w:t>
      </w:r>
      <w:r w:rsidRPr="004568D5">
        <w:rPr>
          <w:rFonts w:ascii="Times New Roman" w:hAnsi="Times New Roman" w:hint="eastAsia"/>
          <w:kern w:val="0"/>
          <w:sz w:val="24"/>
        </w:rPr>
        <w:t>年</w:t>
      </w:r>
      <w:r w:rsidRPr="004568D5">
        <w:rPr>
          <w:rFonts w:ascii="Times New Roman" w:hAnsi="Times New Roman" w:hint="eastAsia"/>
          <w:kern w:val="0"/>
          <w:sz w:val="24"/>
        </w:rPr>
        <w:t>3</w:t>
      </w:r>
      <w:r w:rsidRPr="004568D5">
        <w:rPr>
          <w:rFonts w:ascii="Times New Roman" w:hAnsi="Times New Roman" w:hint="eastAsia"/>
          <w:kern w:val="0"/>
          <w:sz w:val="24"/>
        </w:rPr>
        <w:t>月</w:t>
      </w:r>
      <w:r w:rsidRPr="004568D5">
        <w:rPr>
          <w:rFonts w:ascii="Times New Roman" w:hAnsi="Times New Roman" w:hint="eastAsia"/>
          <w:kern w:val="0"/>
          <w:sz w:val="24"/>
        </w:rPr>
        <w:t>21</w:t>
      </w:r>
      <w:r w:rsidRPr="004568D5">
        <w:rPr>
          <w:rFonts w:ascii="Times New Roman" w:hAnsi="Times New Roman" w:hint="eastAsia"/>
          <w:kern w:val="0"/>
          <w:sz w:val="24"/>
        </w:rPr>
        <w:t>日，</w:t>
      </w:r>
      <w:r w:rsidR="00E845ED">
        <w:rPr>
          <w:rFonts w:ascii="Times New Roman" w:hAnsi="Times New Roman"/>
          <w:kern w:val="0"/>
          <w:sz w:val="24"/>
        </w:rPr>
        <w:t>对基金经理变更相关事项</w:t>
      </w:r>
      <w:r w:rsidR="00CF7EB9">
        <w:rPr>
          <w:rFonts w:ascii="Times New Roman" w:hAnsi="Times New Roman" w:hint="eastAsia"/>
          <w:kern w:val="0"/>
          <w:sz w:val="24"/>
        </w:rPr>
        <w:t>的</w:t>
      </w:r>
      <w:r w:rsidR="00E845ED">
        <w:rPr>
          <w:rFonts w:ascii="Times New Roman" w:hAnsi="Times New Roman"/>
          <w:kern w:val="0"/>
          <w:sz w:val="24"/>
        </w:rPr>
        <w:t>更新截止日为</w:t>
      </w:r>
      <w:r w:rsidR="00E845ED">
        <w:rPr>
          <w:rFonts w:ascii="Times New Roman" w:hAnsi="Times New Roman"/>
          <w:kern w:val="0"/>
          <w:sz w:val="24"/>
        </w:rPr>
        <w:t>2025</w:t>
      </w:r>
      <w:r w:rsidR="00E845ED">
        <w:rPr>
          <w:rFonts w:ascii="Times New Roman" w:hAnsi="Times New Roman"/>
          <w:kern w:val="0"/>
          <w:sz w:val="24"/>
        </w:rPr>
        <w:t>年</w:t>
      </w:r>
      <w:r w:rsidR="00E845ED">
        <w:rPr>
          <w:rFonts w:ascii="Times New Roman" w:hAnsi="Times New Roman"/>
          <w:kern w:val="0"/>
          <w:sz w:val="24"/>
        </w:rPr>
        <w:t>1</w:t>
      </w:r>
      <w:r w:rsidR="00E845ED">
        <w:rPr>
          <w:rFonts w:ascii="Times New Roman" w:hAnsi="Times New Roman"/>
          <w:kern w:val="0"/>
          <w:sz w:val="24"/>
        </w:rPr>
        <w:t>月</w:t>
      </w:r>
      <w:r w:rsidR="00E845ED">
        <w:rPr>
          <w:rFonts w:ascii="Times New Roman" w:hAnsi="Times New Roman"/>
          <w:kern w:val="0"/>
          <w:sz w:val="24"/>
        </w:rPr>
        <w:t>23</w:t>
      </w:r>
      <w:r w:rsidR="00E845ED">
        <w:rPr>
          <w:rFonts w:ascii="Times New Roman" w:hAnsi="Times New Roman"/>
          <w:kern w:val="0"/>
          <w:sz w:val="24"/>
        </w:rPr>
        <w:t>日，除非另有说明，本招募说明书其他所载内容截止日为</w:t>
      </w:r>
      <w:r w:rsidR="00E845ED">
        <w:rPr>
          <w:rFonts w:ascii="Times New Roman" w:hAnsi="Times New Roman"/>
          <w:kern w:val="0"/>
          <w:sz w:val="24"/>
        </w:rPr>
        <w:t>2024</w:t>
      </w:r>
      <w:r w:rsidR="00E845ED">
        <w:rPr>
          <w:rFonts w:ascii="Times New Roman" w:hAnsi="Times New Roman"/>
          <w:kern w:val="0"/>
          <w:sz w:val="24"/>
        </w:rPr>
        <w:t>年</w:t>
      </w:r>
      <w:r w:rsidR="00E845ED">
        <w:rPr>
          <w:rFonts w:ascii="Times New Roman" w:hAnsi="Times New Roman"/>
          <w:kern w:val="0"/>
          <w:sz w:val="24"/>
        </w:rPr>
        <w:t>05</w:t>
      </w:r>
      <w:r w:rsidR="00E845ED">
        <w:rPr>
          <w:rFonts w:ascii="Times New Roman" w:hAnsi="Times New Roman"/>
          <w:kern w:val="0"/>
          <w:sz w:val="24"/>
        </w:rPr>
        <w:t>月</w:t>
      </w:r>
      <w:r w:rsidR="00E845ED">
        <w:rPr>
          <w:rFonts w:ascii="Times New Roman" w:hAnsi="Times New Roman"/>
          <w:kern w:val="0"/>
          <w:sz w:val="24"/>
        </w:rPr>
        <w:t>27</w:t>
      </w:r>
      <w:r w:rsidR="00E845ED">
        <w:rPr>
          <w:rFonts w:ascii="Times New Roman" w:hAnsi="Times New Roman"/>
          <w:kern w:val="0"/>
          <w:sz w:val="24"/>
        </w:rPr>
        <w:t>日，有关财务数据和净值表现截止日为</w:t>
      </w:r>
      <w:r w:rsidR="00E845ED">
        <w:rPr>
          <w:rFonts w:ascii="Times New Roman" w:hAnsi="Times New Roman"/>
          <w:kern w:val="0"/>
          <w:sz w:val="24"/>
        </w:rPr>
        <w:t>2024</w:t>
      </w:r>
      <w:r w:rsidR="00E845ED">
        <w:rPr>
          <w:rFonts w:ascii="Times New Roman" w:hAnsi="Times New Roman"/>
          <w:kern w:val="0"/>
          <w:sz w:val="24"/>
        </w:rPr>
        <w:t>年</w:t>
      </w:r>
      <w:r w:rsidR="00E845ED">
        <w:rPr>
          <w:rFonts w:ascii="Times New Roman" w:hAnsi="Times New Roman"/>
          <w:kern w:val="0"/>
          <w:sz w:val="24"/>
        </w:rPr>
        <w:t>03</w:t>
      </w:r>
      <w:r w:rsidR="00E845ED">
        <w:rPr>
          <w:rFonts w:ascii="Times New Roman" w:hAnsi="Times New Roman"/>
          <w:kern w:val="0"/>
          <w:sz w:val="24"/>
        </w:rPr>
        <w:t>月</w:t>
      </w:r>
      <w:r w:rsidR="00E845ED">
        <w:rPr>
          <w:rFonts w:ascii="Times New Roman" w:hAnsi="Times New Roman"/>
          <w:kern w:val="0"/>
          <w:sz w:val="24"/>
        </w:rPr>
        <w:t>31</w:t>
      </w:r>
      <w:r w:rsidR="00E845ED">
        <w:rPr>
          <w:rFonts w:ascii="Times New Roman" w:hAnsi="Times New Roman"/>
          <w:kern w:val="0"/>
          <w:sz w:val="24"/>
        </w:rPr>
        <w:t>日，财务和业绩表现数据未经审计。</w:t>
      </w:r>
    </w:p>
    <w:p w:rsidR="00AE03F7" w:rsidRDefault="00AE03F7">
      <w:pPr>
        <w:autoSpaceDE w:val="0"/>
        <w:autoSpaceDN w:val="0"/>
        <w:adjustRightInd w:val="0"/>
        <w:snapToGrid w:val="0"/>
        <w:spacing w:before="51" w:line="360" w:lineRule="auto"/>
        <w:ind w:left="120" w:rightChars="6" w:right="13" w:firstLine="480"/>
        <w:rPr>
          <w:rFonts w:ascii="宋体" w:hAnsi="宋体"/>
          <w:kern w:val="0"/>
          <w:szCs w:val="24"/>
        </w:rPr>
        <w:sectPr w:rsidR="00AE03F7">
          <w:headerReference w:type="default" r:id="rId15"/>
          <w:pgSz w:w="11920" w:h="16840"/>
          <w:pgMar w:top="1440" w:right="1680" w:bottom="280" w:left="1680" w:header="0" w:footer="1073" w:gutter="0"/>
          <w:pgNumType w:start="1"/>
          <w:cols w:space="720"/>
        </w:sectPr>
      </w:pPr>
    </w:p>
    <w:p w:rsidR="00467895" w:rsidRPr="00467895" w:rsidRDefault="00E845ED" w:rsidP="00467895">
      <w:pPr>
        <w:pStyle w:val="af3"/>
        <w:snapToGrid w:val="0"/>
        <w:spacing w:after="240" w:line="360" w:lineRule="auto"/>
        <w:jc w:val="center"/>
        <w:rPr>
          <w:rFonts w:ascii="宋体" w:hAnsi="宋体"/>
          <w:noProof/>
          <w:sz w:val="24"/>
        </w:rPr>
      </w:pPr>
      <w:r w:rsidRPr="00467895">
        <w:rPr>
          <w:rFonts w:ascii="宋体" w:hAnsi="宋体"/>
          <w:color w:val="000000"/>
          <w:position w:val="-4"/>
          <w:sz w:val="24"/>
          <w:szCs w:val="30"/>
        </w:rPr>
        <w:lastRenderedPageBreak/>
        <w:t>目</w:t>
      </w:r>
      <w:r w:rsidRPr="00467895">
        <w:rPr>
          <w:rFonts w:ascii="宋体" w:hAnsi="宋体"/>
          <w:color w:val="000000"/>
          <w:position w:val="-4"/>
          <w:sz w:val="24"/>
          <w:szCs w:val="30"/>
        </w:rPr>
        <w:tab/>
        <w:t>录</w:t>
      </w:r>
      <w:r w:rsidR="00467895" w:rsidRPr="00467895">
        <w:rPr>
          <w:rFonts w:ascii="宋体" w:hAnsi="宋体"/>
          <w:color w:val="000000"/>
          <w:position w:val="-4"/>
          <w:sz w:val="24"/>
          <w:szCs w:val="30"/>
        </w:rPr>
        <w:fldChar w:fldCharType="begin"/>
      </w:r>
      <w:r w:rsidR="00467895" w:rsidRPr="00467895">
        <w:rPr>
          <w:rFonts w:ascii="宋体" w:hAnsi="宋体"/>
          <w:color w:val="000000"/>
          <w:position w:val="-4"/>
          <w:sz w:val="24"/>
          <w:szCs w:val="30"/>
        </w:rPr>
        <w:instrText xml:space="preserve"> TOC \o "1-3" \f - \h \t "-1" </w:instrText>
      </w:r>
      <w:r w:rsidR="00467895" w:rsidRPr="00467895">
        <w:rPr>
          <w:rFonts w:ascii="宋体" w:hAnsi="宋体"/>
          <w:color w:val="000000"/>
          <w:position w:val="-4"/>
          <w:sz w:val="24"/>
          <w:szCs w:val="30"/>
        </w:rPr>
        <w:fldChar w:fldCharType="separate"/>
      </w:r>
    </w:p>
    <w:p w:rsidR="00467895" w:rsidRPr="00B92C93" w:rsidRDefault="00B51929" w:rsidP="00467895">
      <w:pPr>
        <w:pStyle w:val="11"/>
        <w:tabs>
          <w:tab w:val="right" w:leader="dot" w:pos="8550"/>
        </w:tabs>
        <w:spacing w:line="360" w:lineRule="auto"/>
        <w:rPr>
          <w:rFonts w:ascii="宋体" w:hAnsi="宋体"/>
          <w:noProof/>
          <w:sz w:val="24"/>
        </w:rPr>
      </w:pPr>
      <w:hyperlink w:anchor="_Toc188538003" w:history="1">
        <w:r w:rsidR="00467895" w:rsidRPr="00467895">
          <w:rPr>
            <w:rStyle w:val="af0"/>
            <w:rFonts w:ascii="宋体" w:hAnsi="宋体" w:hint="eastAsia"/>
            <w:noProof/>
            <w:kern w:val="0"/>
            <w:sz w:val="24"/>
          </w:rPr>
          <w:t>重要提示</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_Toc188538003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1</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04" w:history="1">
        <w:r w:rsidR="00467895" w:rsidRPr="00467895">
          <w:rPr>
            <w:rStyle w:val="af0"/>
            <w:rFonts w:ascii="宋体" w:hAnsi="宋体" w:hint="eastAsia"/>
            <w:noProof/>
            <w:sz w:val="24"/>
          </w:rPr>
          <w:t>一、绪言</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_Toc188538004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5</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05" w:history="1">
        <w:r w:rsidR="00467895" w:rsidRPr="00467895">
          <w:rPr>
            <w:rStyle w:val="af0"/>
            <w:rFonts w:ascii="宋体" w:hAnsi="宋体" w:hint="eastAsia"/>
            <w:noProof/>
            <w:sz w:val="24"/>
          </w:rPr>
          <w:t>二、释义</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_Toc188538005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6</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06" w:history="1">
        <w:r w:rsidR="00467895" w:rsidRPr="00467895">
          <w:rPr>
            <w:rStyle w:val="af0"/>
            <w:rFonts w:ascii="宋体" w:hAnsi="宋体" w:hint="eastAsia"/>
            <w:noProof/>
            <w:sz w:val="24"/>
          </w:rPr>
          <w:t>三、基金管理人</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_Toc188538006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11</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07" w:history="1">
        <w:r w:rsidR="00467895" w:rsidRPr="00467895">
          <w:rPr>
            <w:rStyle w:val="af0"/>
            <w:rFonts w:ascii="宋体" w:hAnsi="宋体" w:hint="eastAsia"/>
            <w:noProof/>
            <w:sz w:val="24"/>
          </w:rPr>
          <w:t>四、基金托管人</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_Toc188538007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20</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08" w:history="1">
        <w:r w:rsidR="00467895" w:rsidRPr="00467895">
          <w:rPr>
            <w:rStyle w:val="af0"/>
            <w:rFonts w:ascii="宋体" w:hAnsi="宋体" w:hint="eastAsia"/>
            <w:noProof/>
            <w:sz w:val="24"/>
          </w:rPr>
          <w:t>五、相关服务机构</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_Toc188538008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23</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09" w:history="1">
        <w:r w:rsidR="00467895" w:rsidRPr="00467895">
          <w:rPr>
            <w:rStyle w:val="af0"/>
            <w:rFonts w:ascii="宋体" w:hAnsi="宋体" w:hint="eastAsia"/>
            <w:noProof/>
            <w:sz w:val="24"/>
          </w:rPr>
          <w:t>六、基金的募集</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_Toc188538009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34</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0" w:history="1">
        <w:r w:rsidR="00467895" w:rsidRPr="00467895">
          <w:rPr>
            <w:rStyle w:val="af0"/>
            <w:rFonts w:ascii="宋体" w:hAnsi="宋体" w:hint="eastAsia"/>
            <w:noProof/>
            <w:sz w:val="24"/>
          </w:rPr>
          <w:t>七、基金合同的生效</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_Toc188538010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35</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1" w:history="1">
        <w:r w:rsidR="00467895" w:rsidRPr="00467895">
          <w:rPr>
            <w:rStyle w:val="af0"/>
            <w:rFonts w:ascii="宋体" w:hAnsi="宋体" w:hint="eastAsia"/>
            <w:noProof/>
            <w:sz w:val="24"/>
          </w:rPr>
          <w:t>八、基金份额的申购与赎回</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_Toc188538011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36</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2" w:history="1">
        <w:r w:rsidR="00467895" w:rsidRPr="00467895">
          <w:rPr>
            <w:rStyle w:val="af0"/>
            <w:rFonts w:ascii="宋体" w:hAnsi="宋体" w:hint="eastAsia"/>
            <w:noProof/>
            <w:sz w:val="24"/>
          </w:rPr>
          <w:t>九、基金的转换</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_Toc188538012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49</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3" w:history="1">
        <w:r w:rsidR="00467895" w:rsidRPr="00467895">
          <w:rPr>
            <w:rStyle w:val="af0"/>
            <w:rFonts w:ascii="宋体" w:hAnsi="宋体" w:hint="eastAsia"/>
            <w:noProof/>
            <w:sz w:val="24"/>
          </w:rPr>
          <w:t>十、基金的投资</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_Toc188538013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54</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4" w:history="1">
        <w:r w:rsidR="00467895" w:rsidRPr="00467895">
          <w:rPr>
            <w:rStyle w:val="af0"/>
            <w:rFonts w:ascii="宋体" w:hAnsi="宋体" w:hint="eastAsia"/>
            <w:noProof/>
            <w:sz w:val="24"/>
          </w:rPr>
          <w:t>十一、基金的业绩</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_Toc188538014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63</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5" w:history="1">
        <w:r w:rsidR="00467895" w:rsidRPr="00467895">
          <w:rPr>
            <w:rStyle w:val="af0"/>
            <w:rFonts w:ascii="宋体" w:hAnsi="宋体" w:hint="eastAsia"/>
            <w:noProof/>
            <w:sz w:val="24"/>
          </w:rPr>
          <w:t>十二、基金的财产</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_Toc188538015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66</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6" w:history="1">
        <w:r w:rsidR="00467895" w:rsidRPr="00467895">
          <w:rPr>
            <w:rStyle w:val="af0"/>
            <w:rFonts w:ascii="宋体" w:hAnsi="宋体" w:hint="eastAsia"/>
            <w:noProof/>
            <w:sz w:val="24"/>
          </w:rPr>
          <w:t>十三、基金资产的估值</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_Toc188538016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67</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7" w:history="1">
        <w:r w:rsidR="00467895" w:rsidRPr="00467895">
          <w:rPr>
            <w:rStyle w:val="af0"/>
            <w:rFonts w:ascii="宋体" w:hAnsi="宋体" w:hint="eastAsia"/>
            <w:noProof/>
            <w:sz w:val="24"/>
          </w:rPr>
          <w:t>十四、基金收益与分配</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_Toc188538017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73</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8" w:history="1">
        <w:r w:rsidR="00467895" w:rsidRPr="00467895">
          <w:rPr>
            <w:rStyle w:val="af0"/>
            <w:rFonts w:ascii="宋体" w:hAnsi="宋体" w:hint="eastAsia"/>
            <w:noProof/>
            <w:sz w:val="24"/>
          </w:rPr>
          <w:t>十五、基金的费用与税收</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_Toc188538018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75</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19" w:history="1">
        <w:r w:rsidR="00467895" w:rsidRPr="00467895">
          <w:rPr>
            <w:rStyle w:val="af0"/>
            <w:rFonts w:ascii="宋体" w:hAnsi="宋体" w:hint="eastAsia"/>
            <w:noProof/>
            <w:sz w:val="24"/>
          </w:rPr>
          <w:t>十六、基金的会计与审计</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_Toc188538019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78</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0" w:history="1">
        <w:r w:rsidR="00467895" w:rsidRPr="00467895">
          <w:rPr>
            <w:rStyle w:val="af0"/>
            <w:rFonts w:ascii="宋体" w:hAnsi="宋体" w:hint="eastAsia"/>
            <w:noProof/>
            <w:sz w:val="24"/>
          </w:rPr>
          <w:t>十七、基金的信息披露</w:t>
        </w:r>
        <w:bookmarkStart w:id="3" w:name="_GoBack"/>
        <w:bookmarkEnd w:id="3"/>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_Toc188538020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79</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1" w:history="1">
        <w:r w:rsidR="00467895" w:rsidRPr="00467895">
          <w:rPr>
            <w:rStyle w:val="af0"/>
            <w:rFonts w:ascii="宋体" w:hAnsi="宋体" w:hint="eastAsia"/>
            <w:noProof/>
            <w:sz w:val="24"/>
          </w:rPr>
          <w:t>十八、侧袋机制</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_Toc188538021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85</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2" w:history="1">
        <w:r w:rsidR="00467895" w:rsidRPr="00467895">
          <w:rPr>
            <w:rStyle w:val="af0"/>
            <w:rFonts w:ascii="宋体" w:hAnsi="宋体" w:hint="eastAsia"/>
            <w:noProof/>
            <w:sz w:val="24"/>
          </w:rPr>
          <w:t>十九、风险揭示</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_Toc188538022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88</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3" w:history="1">
        <w:r w:rsidR="00467895" w:rsidRPr="00467895">
          <w:rPr>
            <w:rStyle w:val="af0"/>
            <w:rFonts w:ascii="宋体" w:hAnsi="宋体" w:hint="eastAsia"/>
            <w:noProof/>
            <w:sz w:val="24"/>
          </w:rPr>
          <w:t>二十、基金合同的变更、终止与基金财产的清算</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_Toc188538023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96</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4" w:history="1">
        <w:r w:rsidR="00467895" w:rsidRPr="00467895">
          <w:rPr>
            <w:rStyle w:val="af0"/>
            <w:rFonts w:ascii="宋体" w:hAnsi="宋体" w:hint="eastAsia"/>
            <w:noProof/>
            <w:sz w:val="24"/>
          </w:rPr>
          <w:t>二十一、</w:t>
        </w:r>
        <w:r w:rsidR="00467895" w:rsidRPr="00467895">
          <w:rPr>
            <w:rStyle w:val="af0"/>
            <w:rFonts w:ascii="宋体" w:hAnsi="宋体"/>
            <w:noProof/>
            <w:sz w:val="24"/>
          </w:rPr>
          <w:t xml:space="preserve"> </w:t>
        </w:r>
        <w:r w:rsidR="00467895" w:rsidRPr="00467895">
          <w:rPr>
            <w:rStyle w:val="af0"/>
            <w:rFonts w:ascii="宋体" w:hAnsi="宋体" w:hint="eastAsia"/>
            <w:noProof/>
            <w:sz w:val="24"/>
          </w:rPr>
          <w:t>基金合同内容摘要</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_Toc188538024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98</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5" w:history="1">
        <w:r w:rsidR="00467895" w:rsidRPr="00467895">
          <w:rPr>
            <w:rStyle w:val="af0"/>
            <w:rFonts w:ascii="宋体" w:hAnsi="宋体" w:hint="eastAsia"/>
            <w:noProof/>
            <w:sz w:val="24"/>
          </w:rPr>
          <w:t>二十二、托管协议的内容摘要</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_Toc188538025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115</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6" w:history="1">
        <w:r w:rsidR="00467895" w:rsidRPr="00467895">
          <w:rPr>
            <w:rStyle w:val="af0"/>
            <w:rFonts w:ascii="宋体" w:hAnsi="宋体" w:hint="eastAsia"/>
            <w:noProof/>
            <w:sz w:val="24"/>
          </w:rPr>
          <w:t>二十三、对基金份额持有人的服务</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_Toc188538026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127</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7" w:history="1">
        <w:r w:rsidR="00467895" w:rsidRPr="00467895">
          <w:rPr>
            <w:rStyle w:val="af0"/>
            <w:rFonts w:ascii="宋体" w:hAnsi="宋体" w:hint="eastAsia"/>
            <w:noProof/>
            <w:sz w:val="24"/>
          </w:rPr>
          <w:t>二十四、其他应披露事项</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_Toc188538027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129</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8" w:history="1">
        <w:r w:rsidR="00467895" w:rsidRPr="00467895">
          <w:rPr>
            <w:rStyle w:val="af0"/>
            <w:rFonts w:ascii="宋体" w:hAnsi="宋体" w:hint="eastAsia"/>
            <w:noProof/>
            <w:sz w:val="24"/>
          </w:rPr>
          <w:t>二十五、招募说明书的存放及查阅方式</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_Toc188538028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132</w:t>
        </w:r>
        <w:r w:rsidR="00467895" w:rsidRPr="00467895">
          <w:rPr>
            <w:rFonts w:ascii="宋体" w:hAnsi="宋体"/>
            <w:noProof/>
            <w:sz w:val="24"/>
          </w:rPr>
          <w:fldChar w:fldCharType="end"/>
        </w:r>
      </w:hyperlink>
    </w:p>
    <w:p w:rsidR="00467895" w:rsidRPr="00B92C93" w:rsidRDefault="00B51929" w:rsidP="00467895">
      <w:pPr>
        <w:pStyle w:val="11"/>
        <w:tabs>
          <w:tab w:val="right" w:leader="dot" w:pos="8550"/>
        </w:tabs>
        <w:spacing w:line="360" w:lineRule="auto"/>
        <w:rPr>
          <w:rFonts w:ascii="宋体" w:hAnsi="宋体"/>
          <w:noProof/>
          <w:sz w:val="24"/>
        </w:rPr>
      </w:pPr>
      <w:hyperlink w:anchor="_Toc188538029" w:history="1">
        <w:r w:rsidR="00467895" w:rsidRPr="00467895">
          <w:rPr>
            <w:rStyle w:val="af0"/>
            <w:rFonts w:ascii="宋体" w:hAnsi="宋体" w:hint="eastAsia"/>
            <w:noProof/>
            <w:sz w:val="24"/>
          </w:rPr>
          <w:t>二十六、备查文件</w:t>
        </w:r>
        <w:r w:rsidR="00467895" w:rsidRPr="00467895">
          <w:rPr>
            <w:rFonts w:ascii="宋体" w:hAnsi="宋体"/>
            <w:noProof/>
            <w:sz w:val="24"/>
          </w:rPr>
          <w:tab/>
        </w:r>
        <w:r w:rsidR="00467895" w:rsidRPr="00467895">
          <w:rPr>
            <w:rFonts w:ascii="宋体" w:hAnsi="宋体"/>
            <w:noProof/>
            <w:sz w:val="24"/>
          </w:rPr>
          <w:fldChar w:fldCharType="begin"/>
        </w:r>
        <w:r w:rsidR="00467895" w:rsidRPr="00467895">
          <w:rPr>
            <w:rFonts w:ascii="宋体" w:hAnsi="宋体"/>
            <w:noProof/>
            <w:sz w:val="24"/>
          </w:rPr>
          <w:instrText xml:space="preserve"> PAGEREF _Toc188538029 \h </w:instrText>
        </w:r>
        <w:r w:rsidR="00467895" w:rsidRPr="00467895">
          <w:rPr>
            <w:rFonts w:ascii="宋体" w:hAnsi="宋体"/>
            <w:noProof/>
            <w:sz w:val="24"/>
          </w:rPr>
        </w:r>
        <w:r w:rsidR="00467895" w:rsidRPr="00467895">
          <w:rPr>
            <w:rFonts w:ascii="宋体" w:hAnsi="宋体"/>
            <w:noProof/>
            <w:sz w:val="24"/>
          </w:rPr>
          <w:fldChar w:fldCharType="separate"/>
        </w:r>
        <w:r w:rsidR="00C52102">
          <w:rPr>
            <w:rFonts w:ascii="宋体" w:hAnsi="宋体"/>
            <w:noProof/>
            <w:sz w:val="24"/>
          </w:rPr>
          <w:t>133</w:t>
        </w:r>
        <w:r w:rsidR="00467895" w:rsidRPr="00467895">
          <w:rPr>
            <w:rFonts w:ascii="宋体" w:hAnsi="宋体"/>
            <w:noProof/>
            <w:sz w:val="24"/>
          </w:rPr>
          <w:fldChar w:fldCharType="end"/>
        </w:r>
      </w:hyperlink>
    </w:p>
    <w:p w:rsidR="00AE03F7" w:rsidRDefault="00467895" w:rsidP="00C52102">
      <w:pPr>
        <w:pStyle w:val="af3"/>
        <w:snapToGrid w:val="0"/>
        <w:spacing w:after="240" w:line="360" w:lineRule="auto"/>
        <w:jc w:val="center"/>
        <w:rPr>
          <w:rFonts w:hint="eastAsia"/>
        </w:rPr>
        <w:sectPr w:rsidR="00AE03F7">
          <w:pgSz w:w="11920" w:h="16840"/>
          <w:pgMar w:top="1480" w:right="1680" w:bottom="280" w:left="1680" w:header="0" w:footer="1073" w:gutter="0"/>
          <w:cols w:space="720"/>
        </w:sectPr>
      </w:pPr>
      <w:r w:rsidRPr="00467895">
        <w:rPr>
          <w:rFonts w:ascii="宋体" w:hAnsi="宋体"/>
          <w:color w:val="000000"/>
          <w:position w:val="-4"/>
          <w:sz w:val="24"/>
          <w:szCs w:val="30"/>
        </w:rPr>
        <w:fldChar w:fldCharType="end"/>
      </w:r>
    </w:p>
    <w:p w:rsidR="00AE03F7" w:rsidRDefault="00E845ED">
      <w:pPr>
        <w:pStyle w:val="1"/>
        <w:snapToGrid w:val="0"/>
        <w:spacing w:beforeLines="0" w:before="240" w:after="240"/>
        <w:rPr>
          <w:rFonts w:ascii="宋体" w:hAnsi="宋体"/>
          <w:szCs w:val="30"/>
        </w:rPr>
      </w:pPr>
      <w:bookmarkStart w:id="4" w:name="_Toc188538004"/>
      <w:r>
        <w:rPr>
          <w:rFonts w:ascii="Times New Roman" w:hAnsi="Times New Roman"/>
          <w:sz w:val="30"/>
        </w:rPr>
        <w:lastRenderedPageBreak/>
        <w:t>一、绪言</w:t>
      </w:r>
      <w:bookmarkEnd w:id="4"/>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中债1-3年政策性金融债指数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和其他相关法律法规的规定以及《交银施罗德中债1-3年政策性金融债指数证券投资基金基金合同》（以下简称“基金合同”）编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5" w:name="_Toc188538005"/>
      <w:r>
        <w:rPr>
          <w:rFonts w:ascii="Times New Roman" w:hAnsi="Times New Roman"/>
          <w:sz w:val="30"/>
        </w:rPr>
        <w:lastRenderedPageBreak/>
        <w:t>二、释义</w:t>
      </w:r>
      <w:bookmarkEnd w:id="5"/>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1、基金或本基金：指交银施罗德中债1-3年政策性金融债指数证券投资基金</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3、基金托管人或本基金托管人：指中国农业银行股份有限公司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4、基金合同、《基金合同》：指《交银施罗德中债1-3年政策性金融债指数证券投资基金基金合同》及对基金合同的任何有效修订和补充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5、托管协议：指基金管理人与基金托管人就本基金签订之《交银施罗德中债1-3年政策性金融债指数证券投资基金托管协议》及对该托管协议的任何有效修订和补充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6、招募说明书、《招募说明书》或本招募说明书：指《交银施罗德中债1-3年政策性金融债指数证券投资基金招募说明书》及其更新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7、基金产品资料概要：指《交银施罗德中债1-3年政策性金融债指数证券投资基金基金产品资料概要》及其更新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8、基金份额发售公告：指《交银施罗德中债1-3年政策性金融债指数证券投资基金基金份额发售公告》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15、《指数基金指引》：指中国证监会2021年1月22日颁布、同年2月1日实施的</w:t>
      </w:r>
      <w:r>
        <w:rPr>
          <w:rFonts w:ascii="宋体" w:hAnsi="宋体"/>
          <w:sz w:val="24"/>
        </w:rPr>
        <w:lastRenderedPageBreak/>
        <w:t>《公开募集证券投资基金运作指引第3号——指数基金指引》及颁布机关对其不时做出的修订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17、银行业监督管理机构：指中国人民银行和/或中国银行保险监督管理委员会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21、合格境外机构投资者：指符合《合格境外机构投资者境内证券投资管理办法》及相关法律法规规定可以投资于在中国境内依法募集的证券投资基金的中国境外的机构投资者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22、人民币合格境外机构投资者：指按照《人民币合格境外机构投资者境内证券投资试点办法》及相关法律法规规定，运用来自境外的人民币资金进行境内证券投资的境外法人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23、投资人、投资者：指个人投资者、机构投资者、合格境外机构投资者和人民币合格境外机构投资者以及法律法规或中国证监会允许购买证券投资基金的其他投资人的合称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24、基金份额持有人：指依基金合同和招募说明书合法取得基金份额的投资人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25、基金销售业务：指基金管理人或销售机构宣传推介基金，发售基金份额，办理基金份额的申购、赎回、转换、转托管及定期定额投资等业务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26、销售机构：指交银施罗德基金管理有限公司以及符合《销售办法》和中国证监会规定的其他条件，取得基金销售业务资格并与基金管理人签订了基金销售服务协议，办理基金销售业务的机构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28、登记机构：指办理登记业务的机构。基金的登记机构为交银施罗德基金管</w:t>
      </w:r>
      <w:r>
        <w:rPr>
          <w:rFonts w:ascii="宋体" w:hAnsi="宋体"/>
          <w:sz w:val="24"/>
        </w:rPr>
        <w:lastRenderedPageBreak/>
        <w:t>理有限公司或接受交银施罗德基金管理有限公司委托代为办理登记业务的机构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29、基金账户：指登记机构为投资人开立的、记录其持有的、基金管理人所管理的基金份额余额及其变动情况的账户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30、基金交易账户：指销售机构为投资人开立的、记录投资人通过该销售机构办理认购、申购、赎回、转换及转托管等业务而引起的基金份额变动及结余情况的账户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31、基金合同生效日：指基金募集达到法律法规规定及基金合同规定的条件，基金管理人向中国证监会办理基金备案手续完毕，并获得中国证监会书面确认的日期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32、基金合同终止日：指基金合同规定的基金合同终止事由出现后，基金财产清算完毕，清算结果报中国证监会备案并予以公告的日期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33、基金募集期：指自基金份额发售之日起至发售结束之日止的期间，最长不得超过3个月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34、存续期：指基金合同生效至终止之间的不定期期限</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35、工作日：指上海证券交易所、深圳证券交易所的正常交易日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36、T日：指销售机构在规定时间受理投资人申购、赎回或其他业务申请的开放日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37、T+n日：指自T日起第n个工作日（不包含T日）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38、开放日：指为投资人办理基金份额申购、赎回或其他业务的工作日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39、开放时间：指开放日基金接受申购、赎回或其他交易的时间段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40、《业务规则》：指《交银施罗德基金管理有限公司开放式基金业务规则》，是规范基金管理人所管理的开放式证券投资基金登记方面的业务规则，由基金管理人和投资人共同遵守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41、认购：指在基金募集期内，投资人根据基金合同和招募说明书的规定申请购买基金份额的行为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42、申购：指基金合同生效后，投资人根据基金合同和招募说明书的规定申请购买基金份额的行为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43、赎回：指基金合同生效后，基金份额持有人按基金合同和招募说明书规定的条件要求将基金份额兑换为现金的行为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44、基金转换：指基金份额持有人按照基金合同和基金管理人届时有效公告规</w:t>
      </w:r>
      <w:r>
        <w:rPr>
          <w:rFonts w:ascii="宋体" w:hAnsi="宋体"/>
          <w:sz w:val="24"/>
        </w:rPr>
        <w:lastRenderedPageBreak/>
        <w:t>定的条件，申请将其持有基金管理人管理的、某一基金的基金份额转换为基金管理人管理的其他基金基金份额的行为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45、转托管：指基金份额持有人在本基金的不同销售机构之间实施的变更所持基金份额销售机构的操作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48、元：指人民币元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49、基金收益：指基金投资所得红利、债券利息、买卖证券价差、银行存款利息、已实现的其他合法收入及因运用基金财产带来的成本和费用的节约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50、基金资产总值：指基金拥有的各类有价证券、银行存款本息、基金应收申购款及其他资产的价值总和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51、基金资产净值：指基金资产总值减去基金负债后的价值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52、基金份额净值：指计算日基金资产净值除以计算日基金份额总数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53、基金资产估值：指计算评估基金资产和负债的价值，以确定基金资产净值和基金份额净值的过程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54、销售服务费：指从基金财产中计提的，用于本基金市场推广、销售以及基金份额持有人服务的费用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55、A类基金份额：指在投资人认购/申购时收取认购/申购费用、赎回时收取赎回费用且不从本类别基金资产中计提销售服务费的基金份额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56、C类基金份额：指在投资人认购/申购时不收取认购/申购费用、赎回时收取赎回费用，并从本类别基金资产中计提销售服务费的基金份额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57、指定媒介：指中国证监会指定的用以进行信息披露的全国性报刊及指定互联网网站（包括基金管理人网站、基金托管人网站、中国证监会基金电子披露网站）等媒介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58、流动性受限资产：指由于法律法规、监管、合同或操作障碍等原因无法以合理价格予以变现的资产，包括但不限于到期日在10个交易日以上的逆回购与银行</w:t>
      </w:r>
      <w:r>
        <w:rPr>
          <w:rFonts w:ascii="宋体" w:hAnsi="宋体"/>
          <w:sz w:val="24"/>
        </w:rPr>
        <w:lastRenderedPageBreak/>
        <w:t>定期存款（含协议约定有条件提前支取的银行存款）、资产支持证券、因发行人债务违约无法进行转让或交易的债券等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62、不可抗力：指基金合同当事人不能预见、不能避免且不能克服的客观事件</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6" w:name="_Toc188538006"/>
      <w:r>
        <w:rPr>
          <w:rFonts w:ascii="Times New Roman" w:hAnsi="Times New Roman"/>
          <w:sz w:val="30"/>
        </w:rPr>
        <w:lastRenderedPageBreak/>
        <w:t>三、基金管理人</w:t>
      </w:r>
      <w:bookmarkEnd w:id="6"/>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1、基金管理人董事会成员</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夏华龙先生，董事，博士，现任交通银行选派子公司股权董事，历任交通银行</w:t>
      </w:r>
      <w:r w:rsidRPr="004568D5">
        <w:rPr>
          <w:rFonts w:ascii="宋体" w:hAnsi="宋体" w:hint="eastAsia"/>
          <w:sz w:val="24"/>
        </w:rPr>
        <w:lastRenderedPageBreak/>
        <w:t>总行托管部基金业务部内控综合处副处长、资产委托高级经理、保险及养老金高级经理、资产托管部副总经理，交银施罗德基金管理有限公司党委委员、副总经理、首席信息官，交通银行总行养老金融部总经理。</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胡晓晖女士，董事，学士，现任交通银行总行监事会办公室副主任、资深专家，历任交通银行总行授信管理部副处长、处长，苏州分行副行长、高级信贷执行官，总行授信管理部副总经理。</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w:t>
      </w:r>
      <w:r w:rsidRPr="004568D5">
        <w:rPr>
          <w:rFonts w:ascii="宋体" w:hAnsi="宋体" w:hint="eastAsia"/>
          <w:sz w:val="24"/>
        </w:rPr>
        <w:lastRenderedPageBreak/>
        <w:t>南大学工商管理学院院长。</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2、基金管理人监事会成员</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3、基金管理人高级管理人员</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谢卫先生，总经理。简历同上。</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4568D5" w:rsidRPr="004568D5" w:rsidRDefault="004568D5" w:rsidP="004568D5">
      <w:pPr>
        <w:autoSpaceDE w:val="0"/>
        <w:autoSpaceDN w:val="0"/>
        <w:adjustRightInd w:val="0"/>
        <w:snapToGrid w:val="0"/>
        <w:spacing w:line="360" w:lineRule="auto"/>
        <w:ind w:firstLineChars="200" w:firstLine="480"/>
        <w:jc w:val="left"/>
        <w:rPr>
          <w:rFonts w:ascii="宋体" w:hAnsi="宋体"/>
          <w:sz w:val="24"/>
        </w:rPr>
      </w:pPr>
      <w:r w:rsidRPr="004568D5">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rsidR="00AE03F7" w:rsidRDefault="004568D5">
      <w:pPr>
        <w:autoSpaceDE w:val="0"/>
        <w:autoSpaceDN w:val="0"/>
        <w:adjustRightInd w:val="0"/>
        <w:snapToGrid w:val="0"/>
        <w:spacing w:line="360" w:lineRule="auto"/>
        <w:ind w:firstLineChars="200" w:firstLine="480"/>
        <w:jc w:val="left"/>
        <w:rPr>
          <w:rFonts w:ascii="宋体" w:hAnsi="宋体"/>
          <w:szCs w:val="24"/>
        </w:rPr>
      </w:pPr>
      <w:r w:rsidRPr="004568D5">
        <w:rPr>
          <w:rFonts w:ascii="宋体" w:hAnsi="宋体"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顺晨女士:基金经理。上海财经大学金融学博士，9年证券投资行业从业经验。2016年至2017年任国金证券研究所研究员。2017年加入交银施罗德基金管理有限公司，历任固定收益部研究员，基金经理助理。曾任交银施罗德增利债券证券投资基金(2023年06月09日至2024年11月23日)、交银施罗德鑫选回报混合型证券投资</w:t>
      </w:r>
      <w:r>
        <w:rPr>
          <w:rFonts w:ascii="宋体" w:hAnsi="宋体"/>
          <w:sz w:val="24"/>
        </w:rPr>
        <w:lastRenderedPageBreak/>
        <w:t>基金(2023年06月09日至2024年05月22日)的基金经理。现任交银施罗德裕景纯债一年定期开放债券型证券投资基金(2023年06月09日至今)、交银施罗德裕如纯债债券型证券投资基金(2023年06月09日至今)、交银施罗德裕泰两年定期开放债券型证券投资基金(2023年06月09日至今)、交银施罗德中债1-3年农发行债券指数证券投资基金(2023年06月09日至今)、交银施罗德裕坤纯债一年定期开放债券型发起式证券投资基金(2023年06月09日至今)、交银施罗德中债1-3年政策性金融债指数证券投资基金(2023年08月23日至今)、交银施罗德裕祥纯债债券型证券投资基金(2024年02月08日至今)、交银施罗德中债0-3年政策性金融债指数证券投资基金(2024年12月19日至今)、交银施罗德丰润收益债券型证券投资基金(2025年01月09日至今)、交银施罗德裕盈纯债债券型证券投资基金(2025年01月17日至今)的基金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苏建文女士: 基金经理。上海交通大学金融学硕士、北京大学国际政治经济学学士。6年证券投资行业从业经验。2019年加入交银施罗德基金管理有限公司，曾任固定收益部研究员、基金经理助理、混合资产投资部基金经理助理，现任混合资产投资部基金经理。现任交银施罗德中债0-3年政策性金融债指数证券投资基金(2025年01月23日至今)、交银施罗德中债1-3年政策性金融债指数证券投资基金(2025年01月23日至今)、交银施罗德裕泰两年定期开放债券型证券投资基金(2025年01月23日至今)、交银施罗德丰润收益债券型证券投资基金(2025年01月23日至今)、交银施罗德裕盈纯债债券型证券投资基金(2025年01月23日至今)、交银施罗德中债1-3年农发行债券指数证券投资基金(2025年01月23日至今)的基金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季参平先生(2020年08月20日至2023年08月30日)。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4568D5" w:rsidRPr="004568D5">
        <w:rPr>
          <w:rFonts w:ascii="宋体" w:hAnsi="宋体" w:hint="eastAsia"/>
          <w:sz w:val="24"/>
        </w:rPr>
        <w:t>2025年03月19日</w:t>
      </w:r>
      <w:r>
        <w:rPr>
          <w:rFonts w:ascii="宋体" w:hAnsi="宋体"/>
          <w:sz w:val="24"/>
        </w:rPr>
        <w:t>，期后变动（如有）敬请关注基金管理人发布的相关公告。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（三）基金管理人的职责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（8）法律、行政法规和中国证监会禁止的其他行为。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w:t>
      </w:r>
      <w:r>
        <w:rPr>
          <w:rFonts w:ascii="宋体" w:hAnsi="宋体"/>
          <w:sz w:val="24"/>
        </w:rPr>
        <w:lastRenderedPageBreak/>
        <w:t>部负责监察公司的风险管理措施的执行。具体而言，包括如下组成部分：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（8）内控合规及法律事务部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内控合规及法律事务部负责公司的法律、内控合规事务及协调实施信息披露事务，依法维护公司合法权益，评估并处理公司运营中发生的法律、内控合规及信息</w:t>
      </w:r>
      <w:r>
        <w:rPr>
          <w:rFonts w:ascii="宋体" w:hAnsi="宋体"/>
          <w:sz w:val="24"/>
        </w:rPr>
        <w:lastRenderedPageBreak/>
        <w:t>披露相关问题，及时向公司管理层及全体员工传达法规及监管要求。</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AE03F7" w:rsidRDefault="00E845ED">
      <w:pPr>
        <w:pStyle w:val="1"/>
        <w:snapToGrid w:val="0"/>
        <w:spacing w:beforeLines="0" w:before="240" w:after="240"/>
        <w:rPr>
          <w:rFonts w:ascii="宋体" w:hAnsi="宋体"/>
          <w:szCs w:val="30"/>
        </w:rPr>
      </w:pPr>
      <w:bookmarkStart w:id="7" w:name="_Toc188538007"/>
      <w:r>
        <w:rPr>
          <w:rFonts w:ascii="Times New Roman" w:hAnsi="Times New Roman"/>
          <w:sz w:val="30"/>
        </w:rPr>
        <w:lastRenderedPageBreak/>
        <w:t>四、基金托管人</w:t>
      </w:r>
      <w:bookmarkEnd w:id="7"/>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联系人：任航</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2004年更名为中国农业银行托管业务部。目前内设风险合规部/综合管理部、业务管理部、客户一部、客户二部、客户三部、客户四部、系统与信息管理部、营运管理部、营运一部、营运二部，拥有先进的安全防范设施和基金托管业务系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302名，其中具有高级职称的专家60名，服务团队成员专业水平高、业务素质好、服务能力强，高级管理层均有20年以上金融从业经验和高级技术职称，精通国内外证券市场的运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截止到2024年3月31日，中国农业银行托管的封闭式证券投资基金和开放式证券投资基金共865只。</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w:t>
      </w:r>
      <w:r>
        <w:rPr>
          <w:rFonts w:ascii="宋体" w:hAnsi="宋体"/>
          <w:sz w:val="24"/>
        </w:rPr>
        <w:lastRenderedPageBreak/>
        <w:t>整，确保有关信息的真实、准确、完整、及时，保护基金份额持有人的合法权益。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8" w:name="_Toc188538008"/>
      <w:r>
        <w:rPr>
          <w:rFonts w:ascii="Times New Roman" w:hAnsi="Times New Roman"/>
          <w:sz w:val="30"/>
        </w:rPr>
        <w:lastRenderedPageBreak/>
        <w:t>五、相关服务机构</w:t>
      </w:r>
      <w:bookmarkEnd w:id="8"/>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2、其他销售机构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（1）名称：中信银行股份有限公司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（2）名称：宁波银行股份有限公司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住所：宁波市江东区中山东路294号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（4）名称：交通银行股份有限公司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（5）名称：兴业银行股份有限公司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联系电话：021-52629999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（6）名称：中国农业银行股份有限公司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（7）名称：广发证券股份有限公司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（8）名称：兴业证券股份有限公司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（9）名称：中信建投证券股份有限公司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住所：北京市朝阳区安立路66号4号楼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（10）名称：东方财富证券股份有限公司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（11）名称：国金证券股份有限公司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（12）名称：西部证券股份有限公司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电话：029-87211668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（13）名称：国新证券股份有限公司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（14）名称：上海好买基金销售有限公司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（15）名称：珠海盈米财富管理有限公司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网址：www.yingmi.cn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（16）名称：北京创金启富基金销售有限公司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（17）名称：北京度小满基金销售有限公司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（18）名称：北京汇成基金销售有限公司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（19）名称：上海基煜基金销售有限公司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w:t>
      </w:r>
      <w:r>
        <w:rPr>
          <w:rFonts w:ascii="宋体" w:hAnsi="宋体"/>
          <w:sz w:val="24"/>
        </w:rPr>
        <w:lastRenderedPageBreak/>
        <w:t>展区）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（20）名称：蚂蚁（杭州）基金销售有限公司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（21）名称：嘉实财富管理有限公司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（22）名称：济安财富（北京）基金销售有限公司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联系人：宋静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（23）名称：上海天天基金销售有限公司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（24）名称：腾安基金销售（深圳）有限公司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（25）名称：博时财富基金销售有限公司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（26）名称：诺亚正行(上海)基金销售投资顾问有限公司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（27）名称：泛华普益基金销售有限公司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（28）名称：和耕传承基金销售有限公司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（29）名称：深圳众禄基金销售有限公司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办公地址：深圳市罗湖区梨园路物资控股置地大厦8楼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（30）名称：京东肯特瑞基金销售有限公司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办公地址：北京市通州区亦庄经济技术开发区科创十一街18号院京东集团总部A座17层</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（31）名称：玄元保险代理有限公司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办公地址：上海浦东新区世纪大道8号国金中心二期21-22楼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E467C0">
        <w:rPr>
          <w:rFonts w:ascii="宋体" w:hAnsi="宋体" w:hint="eastAsia"/>
          <w:sz w:val="24"/>
        </w:rPr>
        <w:t>张宏良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名称：毕马威华振会计师事务所(特殊普通合伙)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住所：北京市东城区东长安街1号东方广场2座办公楼8层</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办公地址：中国上海南京西路1266号恒隆广场2期25楼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执行事务合伙人：邹俊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电话：+86 (21) 2212 2888</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 (21) 6288 1889</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经办注册会计师：王国蓓、侯雯</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9" w:name="_Toc188538009"/>
      <w:r>
        <w:rPr>
          <w:rFonts w:ascii="Times New Roman" w:hAnsi="Times New Roman"/>
          <w:sz w:val="30"/>
        </w:rPr>
        <w:lastRenderedPageBreak/>
        <w:t>六、基金的募集</w:t>
      </w:r>
      <w:bookmarkEnd w:id="9"/>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本基金由基金管理人依照《基金法》、《运作办法》、《销售办法》、基金合同及其他有关规定，并经中国证监会2020年3月13日证监许可[2020]441号文准予募集注册。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本基金为契约型开放式债券型基金。基金存续期间为不定期。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本基金于2020年7月6日至2020年8月18日进行发售，本基金设立募集期共募集7,409,983,489.98份基金份额，有效认购户数为230户。</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0" w:name="_Toc188538010"/>
      <w:r>
        <w:rPr>
          <w:rFonts w:ascii="Times New Roman" w:hAnsi="Times New Roman"/>
          <w:sz w:val="30"/>
        </w:rPr>
        <w:lastRenderedPageBreak/>
        <w:t>七、基金合同的生效</w:t>
      </w:r>
      <w:bookmarkEnd w:id="10"/>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根据有关规定，本基金满足基金合同生效条件，基金合同已于2020年8月20日正式生效。自基金合同生效之日起，本基金管理人正式开始管理本基金。</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1" w:name="_Toc188538011"/>
      <w:r>
        <w:rPr>
          <w:rFonts w:ascii="Times New Roman" w:hAnsi="Times New Roman"/>
          <w:sz w:val="30"/>
        </w:rPr>
        <w:lastRenderedPageBreak/>
        <w:t>八、基金份额的申购与赎回</w:t>
      </w:r>
      <w:bookmarkEnd w:id="11"/>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个人投资者可以通过基金管理人网上直销交易平台办理开户、本基金的申购、赎回、转换等业务，具体交易细则请参阅基金管理人网站。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本基金已于2020年9月21日起开放申购、赎回业务。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Pr>
          <w:rFonts w:ascii="宋体" w:hAnsi="宋体"/>
          <w:sz w:val="24"/>
        </w:rPr>
        <w:lastRenderedPageBreak/>
        <w:t>受申购申请的最低金额为单笔1元，如果销售机构业务规则规定的最低单笔申购金额高于1元，以该销售机构的规定为准。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每个工作日投资人在单个交易账户的本基金份额余额少于1份时，若当日该账户同时有基金份额减少类业务（如赎回、转换出等）被确认，则基金管理人有权将投资人在该账户的本基金份额一次性全部赎回。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基金管理人届时发布的相关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5、基金管理人可在法律法规允许的情况下，调整申购的金额和赎回的份额的数量限制等，基金管理人必须在调整实施前依照《信息披露办法》的有关规定在指定媒介上公告。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w:t>
      </w:r>
      <w:r>
        <w:rPr>
          <w:rFonts w:ascii="宋体" w:hAnsi="宋体"/>
          <w:sz w:val="24"/>
        </w:rPr>
        <w:lastRenderedPageBreak/>
        <w:t>的支付办法参照基金合同有关条款处理。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赎回时收取赎回费用；申购C类基金份额不支付申购费用、赎回时收取赎回费用，并从该类别基金资产中计提销售服务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E03F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AE03F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投资者赎回A类基金份额或C类基金份额收取赎回费用，该费用随基金份额的持</w:t>
      </w:r>
      <w:r>
        <w:rPr>
          <w:rFonts w:ascii="宋体" w:hAnsi="宋体"/>
          <w:sz w:val="24"/>
        </w:rPr>
        <w:lastRenderedPageBreak/>
        <w:t>有时间递减。本基金A类基金份额和C类基金份额的赎回费用由该类基金份额赎回人承担，对于持续持有期间少于7天的投资人收取的赎回费全额计入基金财产，对于持续持有期间大于等于7天的投资人收取的赎回费总额的25%应归基金财产，其余用于支付登记费和其他必要的手续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E03F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E03F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AE03F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E03F7" w:rsidRDefault="00AE03F7">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且对现有基金份额持有人利益无实质性不利影响的情况下，根据市场情况制定基金促销计划，针对投资人定期和不定期地开展基金促销活动。在基金促销活动期间，基金管理人可以按中国证监会要求履行必要手续后，对投资人适当调低基金销售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w:t>
      </w:r>
      <w:r>
        <w:rPr>
          <w:rFonts w:ascii="宋体" w:hAnsi="宋体"/>
          <w:sz w:val="24"/>
        </w:rPr>
        <w:lastRenderedPageBreak/>
        <w:t>元。赎回金额计算结果按四舍五入方法，保留到小数点后2位，由此产生的收益或损失由基金财产承担。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例四：某投资者（非养老金客户）投资100,000元申购本基金的A类基金份额，假设申购当日A类基金份额净值为1.0400元，申购费率为0.8%，则其可得到的申购份额为：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即：某投资者（非养老金客户）投资100,000元申购本基金的A类基金份额，假设申购当日A类基金份额净值为1.0400元，则其可得到95,390.72份A类基金份额。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例五：某养老金客户投资100,000元通过基金管理人的直销柜台申购本基金的A类基金份额，假设申购当日A类基金份额净值为1.0400元，申购费率为0.32%，则其可得到的申购份额为：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即：该养老金客户投资100,000元通过基金管理人的直销柜台申购本基金的A类基金份额，假设申购当日A类基金份额净值为1.0400元，则其可得到95,847.13份A类基金份额。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（2）C类基金份额的申购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或C类基金份额的赎回金额为按实际确认的有效赎回份额乘以当日该类基金份额的基金份额净值并扣除相应的费用（如有），赎回金额单位为元，计算结果保留到小数点后两位，第三位四舍五入，由此产生的收益或损失由基金财产承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例七：某投资者在持有期限为20天时赎回100,000份A类基金份额，对应的赎回费率为0.1%，假设赎回当日A类基金份额净值是1.0160元，则其可得到的赎回金额为：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即：投资者在持有期限为20天时赎回100,000份A类基金份额，对应的赎回费率为0.1%，假设赎回当日A类基金份额净值是1.0160元，则其可得到的赎回金额为101,498.40元。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例八：某投资者在持有期限为20天时赎回100,000份C类基金份额，对应的赎回费率为0.1%，假设赎回当日C类基金份额净值是1.0160元，则其可得到的赎回金额为：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即：投资者在持有期限为20天时赎回100,000份C类基金份额，对应的赎回费率为0.1%，假设赎回当日C类基金份额净值是1.0160元，则其可得到的赎回金额为101,498.40元。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履行适当程序，可以适当延迟计算或公告。本基金A类基金份额和C类基金份额的基金份额净值的计算，保留到小数点后4位，小数点后第5位四舍五入，由此产生的收益或损失由基金财产承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7、基金管理人接受某笔或者某些申购申请有可能导致单一投资者持有基金份额的比例达到或超过20%，或者变相规避20%集中度的。出现上述情形时，基金管理人有权将上述申购申请全部或部分确认失败。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8、法律法规规定、中国证监会认定或基金合同约定的其他情形。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7、法律法规规定、中国证监会认定或基金合同约定的其他情形。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（十）巨额赎回的情形及处理方式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该类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当发生上述巨额赎回并延期办理时，基金管理人应当通过邮寄、传真或者通知销售机构代为告知等其他方式在3个交易日内通知基金份额持有人，说明有关处理方法，并在两日内在指定媒介上刊登公告。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2、如发生暂停的时间为1日，基金管理人应于重新开放日，在指定媒介上刊登基金重新开放申购或赎回公告，并公布最近1个开放日的各类基金份额净值。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（十二）基金的非交易过户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（十三）基金的转托管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（十五）基金份额的冻结和解冻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（十六）基金份额的转让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（十七）实施侧袋机制期间本基金的申购与赎回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（十八）其他业务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2" w:name="_Toc188538012"/>
      <w:r>
        <w:rPr>
          <w:rFonts w:ascii="Times New Roman" w:hAnsi="Times New Roman"/>
          <w:sz w:val="30"/>
        </w:rPr>
        <w:lastRenderedPageBreak/>
        <w:t>九、基金的转换</w:t>
      </w:r>
      <w:bookmarkEnd w:id="12"/>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本基金2021年12月18日刊登公告自2021年12月22日起开放日常转换业务。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w:t>
      </w:r>
      <w:r>
        <w:rPr>
          <w:rFonts w:ascii="宋体" w:hAnsi="宋体"/>
          <w:sz w:val="24"/>
        </w:rPr>
        <w:lastRenderedPageBreak/>
        <w:t>后两位以后的部分四舍五入，误差部分归基金财产。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3、转出与转入基金的申购补差费用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申购费用低的基金向申购费用高的基金转换，收取申购补差费用；从申购费用高的基金向申购费用低的基金或不收取申购费用的基金转换，不收取申购补差费用。申购补差费用原则上按照转出确认金额对应的转入基金申购费减去转出基金申购费差额进行计算补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4、网上直销的申购补差费率优惠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w:t>
      </w:r>
      <w:r>
        <w:rPr>
          <w:rFonts w:ascii="宋体" w:hAnsi="宋体"/>
          <w:sz w:val="24"/>
        </w:rPr>
        <w:lastRenderedPageBreak/>
        <w:t>阅本基金管理人网站。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5、本基金管理人可以根据法律法规及基金合同的规定对上述转换费用收费方式和费率进行调整，并应于调整后的收费方式和费率实施前依照《信息披露办法》的有关规定在中国证监会规定媒介上公告。</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转出基金申购费用=转入确认金额×转出基金申购费率/（1+转出基金申购费率）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转入基金申购费用=转入确认金额×转入基金申购费率/（1+转入基金申购费率）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转出与转入基金的申购补差费=MAX（0，转入基金申购费用-转出基金申购费用）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稳利A类基金份额100,000份，持有期半年，转换申请当日交银稳利的A类基金份额净值为1.0100元，交银现金宝A类基金份额的基金份额净值为1.00元。若该投资者将100,000份交银稳利A类基金份额转换为交银现金宝A类基金份额，则转入交银现金宝确认的A类基金份额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转入确认金额=101,000-0=101,000元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转出基金申购费用=101,000×0.30%/（1+0.30%）=302.09元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转出与转入基金的申购补差费=0元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转入基金确认份额=（101,000-0）/1.00=101,000份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现金宝A类基金份额100,000份，该100,000份基金份额未结转的待支付收益为61.52元，转换申请当日交银现金宝的A类基金份额净值为1.00元，交银稳利的A类基金份额净值为1.0100元。若该投资者将100,000份交银现金宝A类基金份额转换为交银稳利A类基金份额，则转入交银稳利确认的A类基金份额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转入基金申购费用=100,000×0.30%/（1+0.30%）=299.10元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转出与转入基金的申购补差费=299.10-0=299.10元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转入基金确认份额=（100,000-299.10+61.52）/1.0100=98,774.67份</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w:t>
      </w:r>
      <w:r>
        <w:rPr>
          <w:rFonts w:ascii="宋体" w:hAnsi="宋体"/>
          <w:sz w:val="24"/>
        </w:rPr>
        <w:lastRenderedPageBreak/>
        <w:t>将自转入基金份额被确认日起重新开始计算。</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3" w:name="_Toc188538013"/>
      <w:r>
        <w:rPr>
          <w:rFonts w:ascii="Times New Roman" w:hAnsi="Times New Roman"/>
          <w:sz w:val="30"/>
        </w:rPr>
        <w:lastRenderedPageBreak/>
        <w:t>十、基金的投资</w:t>
      </w:r>
      <w:bookmarkEnd w:id="13"/>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本基金通过指数化投资，争取在扣除各项费用之前获得与标的指数相似的总回报，追求跟踪偏离度及跟踪误差的最小化。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其中投资于剩余期限在1年至3年（包含1年和3年）的标的指数成份券和备选成份券的比例不低于本基金非现金基金资产的80%；每个交易日日终，现金或到期日在一年以内的政府债券的投资比例合计不低于基金资产净值的5%，其中现金不包括结算备付金、存出保证金、应收申购款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（三）投资标的指数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中债-1-3年政策性金融债指数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券价格波动等指数编制方法变动之外的因素致使标的指数不符合要求的情形）、指数编制机构退出等情形，基金管理人应当自该情形发生之日起十个工作日内向中国证监会报告并提出解决方案，更换基金标的指数、转换运作方式，与其他基金合并或者终止基金合同等，并在6个月内召集基金份额持有人大会进行表决，基金份额持有人大会未成功召开或就上述事项表决未通过的，基金合同终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w:t>
      </w:r>
      <w:r>
        <w:rPr>
          <w:rFonts w:ascii="宋体" w:hAnsi="宋体"/>
          <w:sz w:val="24"/>
        </w:rPr>
        <w:lastRenderedPageBreak/>
        <w:t>先原则维持基金投资运作。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若基金标的指数发生变更，基金业绩比较基准随之变更，由基金管理人根据标的指数变更情形履行对应适当程序，并在调整实施前依照《信息披露办法》的有关规定在中国证监会指定媒介上刊登公告。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（四）投资策略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1、债券指数化投资策略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（1）债券投资组合的构建策略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构建投资组合的过程主要分为三步：划分债券层级、筛选目标组合成份券和逐步调整建仓。</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①划分债券层级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本基金根据债券的剩余期限将标的指数成份券划分层级，按照分层抽样的原理，确定各层级成份券及其权重。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②筛选目标组合成份券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层完成后，本基金在各层级成份券内利用动态最优化或随机抽样等方法筛选出与各层级总体风险收益特征（例如久期、凸性等）相近的且流动性较好（主要考虑发行规模、日均成交金额、期间成交天数等指标）的个券组合，或部分投资于非成份券，以更好的实现对标的指数的跟踪。</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③逐步建仓</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本基金将根据实际的市场流动性情况和投资机会逐步建仓。</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（2）债券投资组合的调整策略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①定期调整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基金管理人将每月评估投资组合整体以及各层级债券与标的指数的偏离情 况，定期对投资组合进行调整，以确保总体特征与标的指数相似，并缩小跟踪误</w:t>
      </w:r>
      <w:r>
        <w:rPr>
          <w:rFonts w:ascii="宋体" w:hAnsi="宋体"/>
          <w:sz w:val="24"/>
        </w:rPr>
        <w:lastRenderedPageBreak/>
        <w:t>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②不定期调整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2、其他投资策略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在一定程度上弥补基金费用，基金管理人还可以在控制风险的前提下，使用其他投资策略。未来，随着市场的发展和基金管理运作的需要，基金管理人可以在不改变投资目标的前提下，遵循法律法规的规定并履行适当程序后，相应调整或更新投资策略，并在招募说明书更新中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（五）投资限制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（1）本基金投资于债券资产的比例不低于基金资产的80%，其中投资于剩余期限在1年至3年（包含1年和3年）的标的指数成份券和备选成份券的比例不低于本基金非现金基金资产的80%；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（2）每个交易日日终，保持不低于基金资产净值5%的现金或者到期日在一年以内的政府债券，其中现金不包括结算备付金、存出保证金、应收申购款等；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（3）本基金进入全国银行间同业市场进行债券回购的资金余额不得超过基金资产净值的40%，进入全国银行间同业市场进行债券回购的最长期限为1 年，债券回购到期后不得展期；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（5）本基金与私募类证券资管产品及中国证监会认定的其他主体为交易对手开展逆回购交易的，可接受质押品的资质要求应当与基金合同约定的投资范围保持一致；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（6）本基金资产总值不超过基金资产净值的140%；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（7）法律法规及中国证监会规定的和《基金合同》约定的其他投资限制。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除上述第（2）、（4）、（5）项外，因证券市场波动、证券发行人合并或基金规</w:t>
      </w:r>
      <w:r>
        <w:rPr>
          <w:rFonts w:ascii="宋体" w:hAnsi="宋体"/>
          <w:sz w:val="24"/>
        </w:rPr>
        <w:lastRenderedPageBreak/>
        <w:t>模变动等基金管理人之外的因素致使基金投资比例不符合上述规定投资比例的，基金管理人应当在10个交易日内进行调整，但中国证监会规定的特殊情形除外。法律法规另有规定的，从其规定。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（六）业绩比较基准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中债-1-3年政策性金融债指数收益率*95%+银行活期存款利率（税后）*5%</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未来若出现标的指数不符合要求（不包括因成份券价格波动等指数编制方法变</w:t>
      </w:r>
      <w:r>
        <w:rPr>
          <w:rFonts w:ascii="宋体" w:hAnsi="宋体"/>
          <w:sz w:val="24"/>
        </w:rPr>
        <w:lastRenderedPageBreak/>
        <w:t>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若基金标的指数发生变更，基金业绩比较基准随之变更，由基金管理人根据标的指数变更情形履行对应适当程序，并在调整实施前依照《信息披露办法》的有关规定在中国证监会指定媒介上刊登公告。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（七）风险收益特征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（八）基金管理人代表基金行使债权人权利的处理原则及方法</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（九）侧袋机制的实施和投资运作安排</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w:t>
      </w:r>
      <w:r>
        <w:rPr>
          <w:rFonts w:ascii="宋体" w:hAnsi="宋体"/>
          <w:sz w:val="24"/>
        </w:rPr>
        <w:lastRenderedPageBreak/>
        <w:t>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（十）基金投资组合报告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本基金托管人中国农业银行股份有限公司根据本基金合同规定,于2024年04月19日复核了本报告中的财务指标、净值表现和投资组合报告等内容,保证复核内容不存在虚假记载、误导性陈述或者重大遗漏。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本报告期为2024年01月01日起至03月31日。本报告财务资料未经审计师审计。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534,366,602.02</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99.82</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534,366,602.02</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99.82</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942,646.43</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2,151.99</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535,311,400.44</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534,366,602.02</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104.37</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534,366,602.02</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104.37</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534,366,602.02</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104.37</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1,900,000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194,243,852.46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37.94</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200208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国开</w:t>
            </w:r>
            <w:r>
              <w:rPr>
                <w:rFonts w:ascii="Times New Roman" w:hAnsi="Times New Roman"/>
                <w:color w:val="000000"/>
                <w:kern w:val="0"/>
                <w:sz w:val="25"/>
                <w:szCs w:val="24"/>
              </w:rPr>
              <w:t>08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123,999,016.39</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24.22</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220303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进出</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123,310,163.93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24.08</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230420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农发</w:t>
            </w: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62,566,229.51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12.22</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30,247,339.73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5.91</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注：序号：1　　债券代码：200208　　债券名称：20国开08　　数量：1,200,000　　公允价值：123,999,016　　占基金净资产比例：24.22%　　序号：2　　债券代码：220303　　债券名称：22进出03　　数量：1,200,000　　公允价值：123,310,164　　占基金净资产比例：24.08%　　序号：3　　债券代码：220403　　债券名称：22农发03　　数量：300,000　　公允价值：30,247,340　　占基金净资产比例：5.91%　　序号：4　　债券代码：220406　　债券名称：22农发06　　数量：1,900,000　　公允价值：194,243,852　　占基金净资产比例：37.94%　　序号：5　　债券代码：230420　　债券名称：23农发20　　数量：600,000　　公允价值：62,566,230　　占基金净资产比例：12.22%</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7、报告期末按公允价值占基金资产净值比例大小排序的前五名贵金属投资明细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2,151.99</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right"/>
              <w:rPr>
                <w:rFonts w:ascii="宋体" w:hAnsi="宋体"/>
                <w:color w:val="000000"/>
                <w:kern w:val="0"/>
                <w:sz w:val="25"/>
                <w:szCs w:val="24"/>
              </w:rPr>
            </w:pPr>
            <w:r>
              <w:rPr>
                <w:rFonts w:ascii="Times New Roman" w:hAnsi="Times New Roman"/>
                <w:color w:val="000000"/>
                <w:kern w:val="0"/>
                <w:sz w:val="25"/>
                <w:szCs w:val="24"/>
              </w:rPr>
              <w:t>2,151.99</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4" w:name="_Toc188538014"/>
      <w:r>
        <w:rPr>
          <w:rFonts w:ascii="Times New Roman" w:hAnsi="Times New Roman"/>
          <w:sz w:val="30"/>
        </w:rPr>
        <w:lastRenderedPageBreak/>
        <w:t>十一、基金的业绩</w:t>
      </w:r>
      <w:bookmarkEnd w:id="14"/>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基金业绩截止日为2024年03月31日，所载财务数据未经审计师审计。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1、本报告期基金份额净值增长率及其与同期业绩比较基准收益率的比较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（1）交银中债1-3年政金债指数A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2.82%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2.68%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2.50%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2.54%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3.78%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3.40%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1.24%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（2）交银中债1-3年政金债指数C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2.67%</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2.68%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2.43%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2.54%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AE03F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2021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2.41%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2.22%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注：1、本基金的业绩比较基准为中债-1-3年政策性金融债指数收益率*95%+银行活期存款利率（税后）*5%，每日进行再平衡过程。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2、交银中债1-3年政金债指数C上述“自基金合同生效起至2021年12月31日”</w:t>
      </w:r>
      <w:r>
        <w:rPr>
          <w:rFonts w:ascii="宋体" w:hAnsi="宋体"/>
          <w:sz w:val="24"/>
        </w:rPr>
        <w:lastRenderedPageBreak/>
        <w:t>实际为“自基金份额类别首次确认起至2021年12月31日”，下同。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AE03F7" w:rsidRDefault="00E845E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交银施罗德中债1-3年政策性金融债指数证券投资基金</w:t>
      </w:r>
    </w:p>
    <w:p w:rsidR="00AE03F7" w:rsidRDefault="00E845E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AE03F7" w:rsidRDefault="00E845E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（2020年8月20日至2024年03月31日）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交银中债1-3年政金债指数A</w:t>
      </w:r>
    </w:p>
    <w:p w:rsidR="00AE03F7" w:rsidRDefault="006B1500">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81650" cy="455295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4552950"/>
                    </a:xfrm>
                    <a:prstGeom prst="rect">
                      <a:avLst/>
                    </a:prstGeom>
                    <a:noFill/>
                    <a:ln>
                      <a:noFill/>
                    </a:ln>
                  </pic:spPr>
                </pic:pic>
              </a:graphicData>
            </a:graphic>
          </wp:inline>
        </w:drawing>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交银中债1-3年政金债指数C</w:t>
      </w:r>
    </w:p>
    <w:p w:rsidR="00AE03F7" w:rsidRDefault="006B1500">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81650" cy="45529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0" cy="4552950"/>
                    </a:xfrm>
                    <a:prstGeom prst="rect">
                      <a:avLst/>
                    </a:prstGeom>
                    <a:noFill/>
                    <a:ln>
                      <a:noFill/>
                    </a:ln>
                  </pic:spPr>
                </pic:pic>
              </a:graphicData>
            </a:graphic>
          </wp:inline>
        </w:drawing>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5" w:name="_Toc188538015"/>
      <w:r>
        <w:rPr>
          <w:rFonts w:ascii="Times New Roman" w:hAnsi="Times New Roman"/>
          <w:sz w:val="30"/>
        </w:rPr>
        <w:lastRenderedPageBreak/>
        <w:t>十二、基金的财产</w:t>
      </w:r>
      <w:bookmarkEnd w:id="15"/>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6" w:name="_Toc188538016"/>
      <w:r>
        <w:rPr>
          <w:rFonts w:ascii="Times New Roman" w:hAnsi="Times New Roman"/>
          <w:sz w:val="30"/>
        </w:rPr>
        <w:lastRenderedPageBreak/>
        <w:t>十三、基金资产的估值</w:t>
      </w:r>
      <w:bookmarkEnd w:id="16"/>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（1）交易所上市交易或挂牌转让的固定收益品种（另有规定的除外），选取估值日第三方估值机构提供的相应品种当日的估值净价进行估值；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（2）交易所上市实行全价交易的债券（可转债除外），选取第三方估值机构提供的估值全价减去估值全价中所含的债券（税后）应收利息得到的净价进行估值；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（3）交易所上市不存在活跃市场的有价证券，采用估值技术确定公允价值。交易所市场挂牌转让的资产支持证券，采用估值技术确定公允价值；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6、当发生大额申购或赎回情形时，基金管理人可以采用摆动定价机制，以确保基金估值的公平性。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w:t>
      </w:r>
      <w:r>
        <w:rPr>
          <w:rFonts w:ascii="宋体" w:hAnsi="宋体"/>
          <w:sz w:val="24"/>
        </w:rPr>
        <w:lastRenderedPageBreak/>
        <w:t>方，共同查明原因，双方协商解决。</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w:t>
      </w:r>
      <w:r>
        <w:rPr>
          <w:rFonts w:ascii="宋体" w:hAnsi="宋体"/>
          <w:sz w:val="24"/>
        </w:rPr>
        <w:lastRenderedPageBreak/>
        <w:t>登记机构进行更正，并就估值错误的更正向有关当事人进行确认。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w:t>
      </w:r>
      <w:r>
        <w:rPr>
          <w:rFonts w:ascii="宋体" w:hAnsi="宋体"/>
          <w:sz w:val="24"/>
        </w:rPr>
        <w:lastRenderedPageBreak/>
        <w:t>主袋账户的基金净值信息，暂停披露侧袋账户份额净值。</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7" w:name="_Toc188538017"/>
      <w:r>
        <w:rPr>
          <w:rFonts w:ascii="Times New Roman" w:hAnsi="Times New Roman"/>
          <w:sz w:val="30"/>
        </w:rPr>
        <w:lastRenderedPageBreak/>
        <w:t>十四、基金收益与分配</w:t>
      </w:r>
      <w:bookmarkEnd w:id="17"/>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2、在符合有关基金分红条件的前提下，基金管理人可以根据实际情况进行收益分配，具体分配方案以公告为准，若基金合同生效不满3个月可不进行收益分配；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本基金收益分配方案由基金管理人拟定，并由基金托管人复核，依照《信息披露办法》的规定在指定媒介公告。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8" w:name="_Toc188538018"/>
      <w:r>
        <w:rPr>
          <w:rFonts w:ascii="Times New Roman" w:hAnsi="Times New Roman"/>
          <w:sz w:val="30"/>
        </w:rPr>
        <w:lastRenderedPageBreak/>
        <w:t>十五、基金的费用与税收</w:t>
      </w:r>
      <w:bookmarkEnd w:id="18"/>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AE03F7" w:rsidRDefault="001B78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E845ED">
        <w:rPr>
          <w:rFonts w:ascii="宋体" w:hAnsi="宋体"/>
          <w:sz w:val="24"/>
        </w:rPr>
        <w:t>、《基金合同》生效后与基金相关的信息披露费用；</w:t>
      </w:r>
    </w:p>
    <w:p w:rsidR="00AE03F7" w:rsidRDefault="001B78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E845ED">
        <w:rPr>
          <w:rFonts w:ascii="宋体" w:hAnsi="宋体"/>
          <w:sz w:val="24"/>
        </w:rPr>
        <w:t>、《基金合同》生效后与基金相关的会计师费、律师费、仲裁费和诉讼费；</w:t>
      </w:r>
    </w:p>
    <w:p w:rsidR="00AE03F7" w:rsidRDefault="001B78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E845ED">
        <w:rPr>
          <w:rFonts w:ascii="宋体" w:hAnsi="宋体"/>
          <w:sz w:val="24"/>
        </w:rPr>
        <w:t>、基金份额持有人大会费用；</w:t>
      </w:r>
    </w:p>
    <w:p w:rsidR="00AE03F7" w:rsidRDefault="001B78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E845ED">
        <w:rPr>
          <w:rFonts w:ascii="宋体" w:hAnsi="宋体"/>
          <w:sz w:val="24"/>
        </w:rPr>
        <w:t>、基金的证券交易费用；</w:t>
      </w:r>
    </w:p>
    <w:p w:rsidR="00AE03F7" w:rsidRDefault="001B78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E845ED">
        <w:rPr>
          <w:rFonts w:ascii="宋体" w:hAnsi="宋体"/>
          <w:sz w:val="24"/>
        </w:rPr>
        <w:t>、基金的银行汇划费用；</w:t>
      </w:r>
    </w:p>
    <w:p w:rsidR="00AE03F7" w:rsidRDefault="001B78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E845ED">
        <w:rPr>
          <w:rFonts w:ascii="宋体" w:hAnsi="宋体"/>
          <w:sz w:val="24"/>
        </w:rPr>
        <w:t>、基金的开户费用、账户维护费用；</w:t>
      </w:r>
    </w:p>
    <w:p w:rsidR="00AE03F7" w:rsidRDefault="001B78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E845ED">
        <w:rPr>
          <w:rFonts w:ascii="宋体" w:hAnsi="宋体"/>
          <w:sz w:val="24"/>
        </w:rPr>
        <w:t>、本基金从C类基金份额的基金财产中计提的销售服务费；</w:t>
      </w:r>
    </w:p>
    <w:p w:rsidR="00AE03F7" w:rsidRDefault="001B78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E845ED">
        <w:rPr>
          <w:rFonts w:ascii="宋体" w:hAnsi="宋体"/>
          <w:sz w:val="24"/>
        </w:rPr>
        <w:t>、按照国家有关规定和《基金合同》约定，可以在基金财产中列支的其他费用。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本基金的管理费按前一日基金资产净值的0.15%年费率计提。管理费的计算方法如下：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基金管理费每日计提，按月支付。由基金管理人向基金托管人发送基金管理费划付指令，经基金托管人复核后于次月首日起3个工作日内从基金资产中一次性支付给基金管理人。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H＝E×0.05%÷当年天数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基金托管费每日计提，按月支付。由基金管理人向基金托管人发送基金托管费划付指令，经基金托管人复核后于次月首日起3个工作日内从基金资产中一次性支付给基金托管人。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1B788E">
        <w:rPr>
          <w:rFonts w:ascii="宋体" w:hAnsi="宋体"/>
          <w:sz w:val="24"/>
        </w:rPr>
        <w:t>3</w:t>
      </w:r>
      <w:r>
        <w:rPr>
          <w:rFonts w:ascii="宋体" w:hAnsi="宋体"/>
          <w:sz w:val="24"/>
        </w:rPr>
        <w:t>）C类基金份额的销售服务费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本基金A类基金份额不收取销售服务费，C类基金份额的销售服务费按前一日C类基金资产净值的0.1%年费率计提。计算方法如下：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管理人向基金托管人发送销售服务费划付指令，经基金托管人复核后于次月首日起3个工作日内从基金资产中一次性支付给基金管理人，由基金管理人代付给销售机构。若遇法定节假日、休息日或不可抗力致使无法按时支付的，顺延至最近可支付日支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1B788E">
        <w:rPr>
          <w:rFonts w:ascii="宋体" w:hAnsi="宋体"/>
          <w:sz w:val="24"/>
        </w:rPr>
        <w:t>4</w:t>
      </w:r>
      <w:r>
        <w:rPr>
          <w:rFonts w:ascii="宋体" w:hAnsi="宋体"/>
          <w:sz w:val="24"/>
        </w:rPr>
        <w:t>）上述“（一）基金费用的种类”中</w:t>
      </w:r>
      <w:r w:rsidR="001B788E">
        <w:rPr>
          <w:rFonts w:ascii="宋体" w:hAnsi="宋体"/>
          <w:sz w:val="24"/>
        </w:rPr>
        <w:t>第3</w:t>
      </w:r>
      <w:r>
        <w:rPr>
          <w:rFonts w:ascii="宋体" w:hAnsi="宋体"/>
          <w:sz w:val="24"/>
        </w:rPr>
        <w:t>－</w:t>
      </w:r>
      <w:r w:rsidR="001B788E">
        <w:rPr>
          <w:rFonts w:ascii="宋体" w:hAnsi="宋体"/>
          <w:sz w:val="24"/>
        </w:rPr>
        <w:t>8</w:t>
      </w:r>
      <w:r>
        <w:rPr>
          <w:rFonts w:ascii="宋体" w:hAnsi="宋体"/>
          <w:sz w:val="24"/>
        </w:rPr>
        <w:t>项、第</w:t>
      </w:r>
      <w:r w:rsidR="001B788E">
        <w:rPr>
          <w:rFonts w:ascii="宋体" w:hAnsi="宋体"/>
          <w:sz w:val="24"/>
        </w:rPr>
        <w:t>10</w:t>
      </w:r>
      <w:r>
        <w:rPr>
          <w:rFonts w:ascii="宋体" w:hAnsi="宋体"/>
          <w:sz w:val="24"/>
        </w:rPr>
        <w:t>项费用，根据有关法规及相应协议规定，按费用实际支出金额列入当期费用，由基金托管人从基金财产中支付。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（三）不列入基金费用的项目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AE03F7" w:rsidRDefault="00E845E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3、《基金合同》生效前的相关费用；</w:t>
      </w:r>
    </w:p>
    <w:p w:rsidR="001B788E" w:rsidRDefault="001B788E">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4</w:t>
      </w:r>
      <w:r>
        <w:rPr>
          <w:rFonts w:hint="eastAsia"/>
          <w:bCs/>
          <w:sz w:val="24"/>
        </w:rPr>
        <w:t>、</w:t>
      </w:r>
      <w:r w:rsidRPr="001D68DE">
        <w:rPr>
          <w:rFonts w:hint="eastAsia"/>
          <w:bCs/>
          <w:sz w:val="24"/>
        </w:rPr>
        <w:t>标的指数许可使用费。标的指数许可使用费由基金管理人承担，不得从基金财产中列支；</w:t>
      </w:r>
    </w:p>
    <w:p w:rsidR="00AE03F7" w:rsidRDefault="001B78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E845ED">
        <w:rPr>
          <w:rFonts w:ascii="宋体" w:hAnsi="宋体"/>
          <w:sz w:val="24"/>
        </w:rPr>
        <w:t>、其他根据相关法律法规及中国证监会的有关规定不得列入基金费用的项目。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19" w:name="_Toc188538019"/>
      <w:r>
        <w:rPr>
          <w:rFonts w:ascii="Times New Roman" w:hAnsi="Times New Roman"/>
          <w:sz w:val="30"/>
        </w:rPr>
        <w:lastRenderedPageBreak/>
        <w:t>十六、基金的会计与审计</w:t>
      </w:r>
      <w:bookmarkEnd w:id="19"/>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3、基金管理人认为有充足理由更换会计师事务所，须通报基金托管人。更换会计师事务所需依照《信息披露办法》的规定在指定媒介公告。</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20" w:name="_Toc188538020"/>
      <w:r>
        <w:rPr>
          <w:rFonts w:ascii="Times New Roman" w:hAnsi="Times New Roman"/>
          <w:sz w:val="30"/>
        </w:rPr>
        <w:lastRenderedPageBreak/>
        <w:t>十七、基金的信息披露</w:t>
      </w:r>
      <w:bookmarkEnd w:id="20"/>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一、基金招募说明书、《基金合同》、基金托管协议、基金产品资料概要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二、基金份额发售公告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三、《基金合同》生效公告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四、基金净值信息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《基金合同》生效后，在开始办理基金份额申购或者赎回前，基金管理人应当至少每周在指定网站分别披露一次A类基金份额和C类基金份额所对应的基金份额净值和基金份额累计净值。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基金销售机构网站或者营业网点分别披露开放日的A类基金份额和C类基金份额所对应的基金份额净值和基金份额累计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基金管理人应当在不晚于半年度和年度最后一日的次日，在指定网站披露半年度和年度最后一日A类基金份额和C类基金份额所对应的基金份额净值和基金份额累计净值。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五、基金份额申购、赎回价格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六、基金定期报告，包括基金年度报告、基金中期报告和基金季度报告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七、临时报告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本基金发生重大事件，有关信息披露义务人应当依照《信息披露办法》的规定编制临时报告书，并登载在指定报刊和指定网站上。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17、本基金开始办理申购、赎回；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八、澄清公告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九、基金份额持有人大会决议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十、实施侧袋机制期间的信息披露</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十一、中国证监会规定的其他信息。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基金信息披露义务人公开披露基金信息，应当符合中国证监会相关基金信息披露内容与格式准则等法规的规定。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基金管理人、基金托管人应当在指定报刊中选择披露信息的报刊。基金管理人、基金托管人应当向中国证监会基金电子披露网站报送拟披露的基金信息，并保证相关报送信息的真实、准确、完整、及时。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为基金信息披露义务人公开披露的基金信息出具审计报告、法律意见书的专业机构，应当制作工作底稿，并将相关档案至少保存到《基金合同》终止后十年。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21" w:name="_Toc188538021"/>
      <w:r>
        <w:rPr>
          <w:rFonts w:ascii="Times New Roman" w:hAnsi="Times New Roman"/>
          <w:sz w:val="30"/>
        </w:rPr>
        <w:lastRenderedPageBreak/>
        <w:t>十八、侧袋机制</w:t>
      </w:r>
      <w:bookmarkEnd w:id="21"/>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rsidR="00AE03F7" w:rsidRDefault="00E845E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AE03F7" w:rsidRDefault="00E845ED">
      <w:pPr>
        <w:pStyle w:val="1"/>
        <w:snapToGrid w:val="0"/>
        <w:spacing w:beforeLines="0" w:before="240" w:after="240"/>
        <w:rPr>
          <w:rFonts w:ascii="宋体" w:hAnsi="宋体"/>
          <w:szCs w:val="30"/>
        </w:rPr>
      </w:pPr>
      <w:bookmarkStart w:id="22" w:name="_Toc188538022"/>
      <w:r>
        <w:rPr>
          <w:rFonts w:ascii="Times New Roman" w:hAnsi="Times New Roman"/>
          <w:sz w:val="30"/>
        </w:rPr>
        <w:lastRenderedPageBreak/>
        <w:t>十九、风险揭示</w:t>
      </w:r>
      <w:bookmarkEnd w:id="22"/>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w:t>
      </w:r>
      <w:r>
        <w:rPr>
          <w:rFonts w:ascii="宋体" w:hAnsi="宋体"/>
          <w:sz w:val="24"/>
        </w:rPr>
        <w:lastRenderedPageBreak/>
        <w:t>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本基金的投资市场主要为证券交易所、全国银行间债券市场等流动性较好的规范型交易场所，主要投资对象为具有良好流动性的金融工具，综合评估在正常市场环境下本基金的流动性风险适中。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当基金出现巨额赎回时，基金管理人可以根据基金当时的资产组合状况决定全额赎回或部分延期赎回。</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该类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w:t>
      </w:r>
      <w:r>
        <w:rPr>
          <w:rFonts w:ascii="宋体" w:hAnsi="宋体"/>
          <w:sz w:val="24"/>
        </w:rPr>
        <w:lastRenderedPageBreak/>
        <w:t>款项，但不得超过20个工作日，并应当在指定媒介上进行公告。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（五）本基金投资策略所特有的指数化投资风险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1、标的指数的风险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（1）标的指数下跌的风险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标的指数成份券的价格可能受到政治因素、经济因素、投资者心理和交易制度等各种因素的影响而波动，导致指数值波动，从而使基金收益水平发生变化，产生风险。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（2）标的指数计算出错的风险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数编制方法的缺陷可能导致标的指数的表现与总体市场表现产生差异，从而使基金收益发生变化。同时，标的指数许可方不对指数的实时性、完整性和准确性做出任何承诺。标的指数值可能出现错误，投资者若参考指数值进行投资决策可能导致损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（3）标的指数变更的风险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2、基金跟踪偏离风险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基金在跟踪标的指数时由于各种原因导致基金的业绩表现与标的指数表现之间可能产生差异，主要影响因素可能包括：</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主要采用抽样复制和动态最优化的方法，投资于标的指数中具有代表性和流动性的成份券和备选成份券，或选择非成份券作为替代，构造与标的指数风险收益特征相似的资产组合，基金投资组合与标的指数构成可能存在差异，从而可能导致基金实际收益率与标的指数收益率产生偏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（2）在标的指数编制中，债券利息计算再投资收益，而基金再投资中未必能获得相同的收益率；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（3）指数调整成份券时，基金在相应的组合调整中可能暂时扩大与标的指数的构成差异，而且会产生相应的交易成本。</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（4）基金运作过程中发生的费用，包括交易成本、市场冲击成本、管理费和托管费等，可能导致本基金在跟踪指数时产生收益上的偏离；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（5）基金发生申购或赎回时将带来一定的现金流或变现需求，当债券市场流动性不足时，或受银行间债券市场债券交易起点的限制，本基金投资组合面临一定</w:t>
      </w:r>
      <w:r>
        <w:rPr>
          <w:rFonts w:ascii="宋体" w:hAnsi="宋体"/>
          <w:sz w:val="24"/>
        </w:rPr>
        <w:lastRenderedPageBreak/>
        <w:t>程度的跟踪偏离风险；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（6）在指数化投资过程中，基金管理人对指数基金的管理能力例如跟踪指数的技术手段、买入卖出的时机选择等都会对本基金的收益产生影响，从而影响本基金对业绩比较基准的跟踪程度。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3、标的指数回报与债券市场平均回报偏离的风险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标的指数并不能完全代表整个债券市场。标的指数成份券的平均回报率与整个债券市场的平均回报率可能存在偏离。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4、跟踪误差控制未达约定目标的风险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本基金力争控制本基金日均跟踪偏离度的绝对值不超过0.35%，年跟踪误差不超过4%。但因标的指数编制规则调整或其他因素可能导致跟踪误差超过上述范围，本基金净值表现与指数价格走势可能发生较大偏离。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5、指数编制机构停止服务的风险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6、成份券停牌或违约的风险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成份券可能因各种原因临时或长期停牌。发生停牌时，基金可能面临因无法及时调整投资组合而导致跟踪偏离度和跟踪误差扩大的风险。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基金可能面临因成份券发行人不能按时支付债券利息或偿还本金，从而带来损失的风险。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本基金运作过程中，当指数成份券发生明显负面事件面临违约风险，且指数编制机构暂未作出调整的，基金管理人应当按照持有人利益优先的原则，履行内部决</w:t>
      </w:r>
      <w:r>
        <w:rPr>
          <w:rFonts w:ascii="宋体" w:hAnsi="宋体"/>
          <w:sz w:val="24"/>
        </w:rPr>
        <w:lastRenderedPageBreak/>
        <w:t>策程序后及时对相关成份券进行调整，由此可能影响投资者的投资损益并使基金产生跟踪偏离度和跟踪误差。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（六）本基金主要投资于政策性金融债，可能面临以下风险：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1、政策性银行改制后的信用风险，若未来政策性银行进行改制，政策性金融债的性质有可能发生较大变化，债券信用等级也可能相应调整，基金投资可能面临一定信用风险；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2、政策性金融债流动性风险，政策性金融债市场投资者行为具有一定趋同性，在极端市场环境下可能集中买入或卖出，存在流动性风险；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3、投资者集中度风险，政策性金融债发行人较为单一，若单一主体发生重大事项变化，可能对基金净值表现产生较大影响。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（七）本基金的特有风险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1、本基金为债券型基金，投资于债券资产的比例不低于基金资产的80%，因投资债券资产而面临债券资产市场的系统性风险和个券风险；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2、基金合同提前终止风险。连续50个工作日出现基金份额持有人数量不满200人或者基金资产净值低于5000万元情形的，基金管理人提前终止基金合同，不需召开基金份额持有人大会。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（八）其他风险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23" w:name="_Toc188538023"/>
      <w:r>
        <w:rPr>
          <w:rFonts w:ascii="Times New Roman" w:hAnsi="Times New Roman"/>
          <w:sz w:val="30"/>
        </w:rPr>
        <w:lastRenderedPageBreak/>
        <w:t>二十、基金合同的变更、终止与基金财产的清算</w:t>
      </w:r>
      <w:bookmarkEnd w:id="23"/>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2、关于《基金合同》变更的基金份额持有人大会决议自生效后方可执行，自决议生效后依照《信息披露办法》的规定在指定媒介公告。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w:t>
      </w:r>
      <w:r>
        <w:rPr>
          <w:rFonts w:ascii="宋体" w:hAnsi="宋体"/>
          <w:sz w:val="24"/>
        </w:rPr>
        <w:lastRenderedPageBreak/>
        <w:t>估价、变现和分配。基金财产清算小组可以依法进行必要的民事活动。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24" w:name="_Toc188538024"/>
      <w:r>
        <w:rPr>
          <w:rFonts w:ascii="Times New Roman" w:hAnsi="Times New Roman"/>
          <w:sz w:val="30"/>
        </w:rPr>
        <w:lastRenderedPageBreak/>
        <w:t>二十一、</w:t>
      </w:r>
      <w:r>
        <w:rPr>
          <w:rFonts w:ascii="Times New Roman" w:hAnsi="Times New Roman"/>
          <w:sz w:val="30"/>
        </w:rPr>
        <w:t xml:space="preserve"> </w:t>
      </w:r>
      <w:r>
        <w:rPr>
          <w:rFonts w:ascii="Times New Roman" w:hAnsi="Times New Roman"/>
          <w:sz w:val="30"/>
        </w:rPr>
        <w:t>基金合同内容摘要</w:t>
      </w:r>
      <w:bookmarkEnd w:id="24"/>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3）依法转让或者申请赎回其持有的基金份额；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w:t>
      </w:r>
      <w:r>
        <w:rPr>
          <w:rFonts w:ascii="宋体" w:hAnsi="宋体"/>
          <w:sz w:val="24"/>
        </w:rPr>
        <w:lastRenderedPageBreak/>
        <w:t>有权代表基金份额持有人出席会议并表决。基金份额持有人持有的每一基金份额拥有平等的投票权。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（1）当出现或需要决定下列事由之一的，应当召开基金份额持有人大会，法律法规、中国证监会另有规定的除外：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1）终止《基金合同》，基金合同另有规定的除外；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8）变更基金投资目标、范围或策略，基金合同另有规定的除外；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9）变更基金份额持有人大会程序，基金合同另有规定的除外；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3）在法律法规和《基金合同》规定的范围内调整本基金的申购费率、调低赎回费率、在对现有基金份额持有人利益无实质性不利影响的前提下变更收费方式；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w:t>
      </w:r>
      <w:r>
        <w:rPr>
          <w:rFonts w:ascii="宋体" w:hAnsi="宋体"/>
          <w:sz w:val="24"/>
        </w:rPr>
        <w:lastRenderedPageBreak/>
        <w:t>同》进行修改；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w:t>
      </w:r>
      <w:r>
        <w:rPr>
          <w:rFonts w:ascii="宋体" w:hAnsi="宋体"/>
          <w:sz w:val="24"/>
        </w:rPr>
        <w:lastRenderedPageBreak/>
        <w:t>基金管理人，基金管理人应当配合；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w:t>
      </w:r>
      <w:r>
        <w:rPr>
          <w:rFonts w:ascii="宋体" w:hAnsi="宋体"/>
          <w:sz w:val="24"/>
        </w:rPr>
        <w:lastRenderedPageBreak/>
        <w:t>构允许的其他方式召开，会议的召开方式由会议召集人确定。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w:t>
      </w:r>
      <w:r>
        <w:rPr>
          <w:rFonts w:ascii="宋体" w:hAnsi="宋体"/>
          <w:sz w:val="24"/>
        </w:rPr>
        <w:lastRenderedPageBreak/>
        <w:t>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w:t>
      </w:r>
      <w:r>
        <w:rPr>
          <w:rFonts w:ascii="宋体" w:hAnsi="宋体"/>
          <w:sz w:val="24"/>
        </w:rPr>
        <w:lastRenderedPageBreak/>
        <w:t>额持有人大会的主持人。基金管理人和基金托管人拒不出席或主持基金份额持有人大会，不影响基金份额持有人大会作出的决议的效力。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w:t>
      </w:r>
      <w:r>
        <w:rPr>
          <w:rFonts w:ascii="宋体" w:hAnsi="宋体"/>
          <w:sz w:val="24"/>
        </w:rPr>
        <w:lastRenderedPageBreak/>
        <w:t>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w:t>
      </w:r>
      <w:r>
        <w:rPr>
          <w:rFonts w:ascii="宋体" w:hAnsi="宋体"/>
          <w:sz w:val="24"/>
        </w:rPr>
        <w:lastRenderedPageBreak/>
        <w:t>份额持有人大会召集和审议事项不涉及侧袋账户的，则仅指主袋份额持有人持有或代表的基金份额或表决权符合该等比例：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w:t>
      </w:r>
      <w:r>
        <w:rPr>
          <w:rFonts w:ascii="宋体" w:hAnsi="宋体"/>
          <w:sz w:val="24"/>
        </w:rPr>
        <w:lastRenderedPageBreak/>
        <w:t>和基金合同约定可不经基金份额持有人大会决议通过的事项，由基金管理人和基金托管人同意后变更并公告，并报中国证监会备案。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（2）关于《基金合同》变更的基金份额持有人大会决议自生效后方可执行，自决议生效后依照《信息披露办法》的规定在指定媒介公告。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w:t>
      </w:r>
      <w:r>
        <w:rPr>
          <w:rFonts w:ascii="宋体" w:hAnsi="宋体"/>
          <w:sz w:val="24"/>
        </w:rPr>
        <w:lastRenderedPageBreak/>
        <w:t>履行基金合同规定的义务，维护基金份额持有人的合法权益。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25" w:name="_Toc188538025"/>
      <w:r>
        <w:rPr>
          <w:rFonts w:ascii="Times New Roman" w:hAnsi="Times New Roman"/>
          <w:sz w:val="30"/>
        </w:rPr>
        <w:lastRenderedPageBreak/>
        <w:t>二十二、托管协议的内容摘要</w:t>
      </w:r>
      <w:bookmarkEnd w:id="25"/>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注册地址：北京市东城区建国门内大街69号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办公地址：北京市西城区复兴门内大街28号凯晨世贸中心东座九层</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法定代表人：谷澎</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成立时间：2009年1月15日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基金托管资格批准文号：中国证监会证监基字[1998]23号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w:t>
      </w:r>
      <w:r>
        <w:rPr>
          <w:rFonts w:ascii="宋体" w:hAnsi="宋体"/>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其中投资于剩余期限在1年至3年（包含1年和3年）的标的指数成份券和备选成份券的比例不低于本基金非现金基金资产的80%；每个交易日日终，现金或到期日在一年以内的政府债券的投资比例合计不低于基金资产净值的5%，其中现金不包括结算备付金、存出保证金、应收申购款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（2）基金托管人根据有关法律法规的规定及基金合同的约定，对基金投资、融资比例进行监督。基金托管人按下述比例和调整期限进行监督：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1）本基金投资于债券资产的比例不低于基金资产的80%，其中投资于剩余期限在1年至3年（包含1年和3年）的标的指数成份券和备选成份券的比例不低于本基金非现金基金资产的80%；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2）每个交易日日终，保持不低于基金资产净值5%的现金或者到期日在一年以内的政府债券，其中现金不包括结算备付金、存出保证金、应收申购款等；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3）本基金进入全国银行间同业市场进行债券回购的资金余额不得超过基金资产净值的40%，进入全国银行间同业市场中进行债券回购的最长期限为1 年，债券回购到期后不得展期；</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5）本基金与私募类证券资管产品及中国证监会认定的其他主体为交易对手开展逆回购交易的，可接受质押品的资质要求应当与基金合同约定的投资范围保持一致；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6）本基金资产总值不超过基金资产净值的140%；</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7）法律法规及中国证监会规定的和《基金合同》约定的其他投资限制。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4）、5）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（3）基金托管人根据有关法律法规的规定及基金合同的约定，对本协议第十五条第（11）项基金投资禁止行为进行监督。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（5）基金托管人根据有关法律法规的规定及基金合同的约定，对基金管理人投资银行存款进行监督。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基金投资银行存款的，基金管理人应根据法律法规的规定及基金合同的约定，建立投资制度、审慎选择存款银行，做好风险控制；并按照基金托管人的要求配合基金托管人完成相关业务办理。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1）基金投资流通受限证券，应遵守《关于基金投资非公开发行股票等流通受限证券有关问题的通知》等有关法律法规规定。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4）在投资流通受限证券之前，基金管理人应至少提前一个交易日向基金托管人提供有关流通受限证券的相关信息，具体应当包括但不限于如下文件（如有）：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3）基金托管人按照规定开设基金财产的资金账户、证券账户等投资所需账</w:t>
      </w:r>
      <w:r>
        <w:rPr>
          <w:rFonts w:ascii="宋体" w:hAnsi="宋体"/>
          <w:sz w:val="24"/>
        </w:rPr>
        <w:lastRenderedPageBreak/>
        <w:t>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1）基金募集期间的认购款项应存于专用账户。该账户由基金管理人或基金管理人委托的登记机构开立并管理。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3）若基金募集期限届满，未能达到基金备案的条件，由基金管理人按规定办理退款等事宜，基金托管人应提供充分协助。</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w:t>
      </w:r>
      <w:r>
        <w:rPr>
          <w:rFonts w:ascii="宋体" w:hAnsi="宋体"/>
          <w:sz w:val="24"/>
        </w:rPr>
        <w:lastRenderedPageBreak/>
        <w:t>金的任何账户进行本基金业务以外的活动。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1）基金托管人在中国证券登记结算有限责任公司上海分公司、深圳分公司为本基金开立基金托管人与基金联名的证券账户。</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1）因业务发展需要而开立的其他账户，可以根据法律法规和基金合同的规定，在基金管理人和基金托管人商议后开立。新账户按有关规则使用并管理。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（7）基金财产投资的有关有价凭证等的保管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月末、年中和年末估值复核与基金会计账目的核对同时进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（六）基金份额持有人名册的登记与保管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w:t>
      </w:r>
      <w:r>
        <w:rPr>
          <w:rFonts w:ascii="宋体" w:hAnsi="宋体"/>
          <w:sz w:val="24"/>
        </w:rPr>
        <w:lastRenderedPageBreak/>
        <w:t>登记日、每年6月30日、12月31日的基金份额持有人名册。基金份额持有人名册的内容至少应包括持有人的名称和持有的基金份额。</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本协议适用中华人民共和国法律（不含港澳台地区法律）并从其解释。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3）基金管理人解散、依法被撤销、破产或由其他基金管理人接管基金管理权；</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4）发生法律法规、中国证监会或基金合同规定的其他终止事项。</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26" w:name="_Toc188538026"/>
      <w:r>
        <w:rPr>
          <w:rFonts w:ascii="Times New Roman" w:hAnsi="Times New Roman"/>
          <w:sz w:val="30"/>
        </w:rPr>
        <w:lastRenderedPageBreak/>
        <w:t>二十三、对基金份额持有人的服务</w:t>
      </w:r>
      <w:bookmarkEnd w:id="26"/>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转换等业务。通过网上直销交易平台办理本基金A类基金份额的申购和定期定额投资业务的个人投资者将享受前端申购费率的优惠。具体优惠费率请参见公司网站列示的网上直销交易平台申购、定期定额投资费率表或相关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（四）基金转换业务</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（五）基金红利再投资</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基金份额进行再投资，若投资人不选择，本基金默认的收益分配方式是现金分红；基金份额持有人可对其持有的A类以及C类基金份额分别选择不同的收益分配方式。再投资红利按红利再投日（即除息日）除息后的基金份额净值自动转为基金份额，并免收申购费用。</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（六）定期定额投资计划</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（七）如本招募说明书存在任何您/贵机构无法理解的内容，请通过上述方式联系基金管理人。请确保投资前，您/贵机构已经全面理解了本招募说明书。</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27" w:name="_Toc188538027"/>
      <w:r>
        <w:rPr>
          <w:rFonts w:ascii="Times New Roman" w:hAnsi="Times New Roman"/>
          <w:sz w:val="30"/>
        </w:rPr>
        <w:lastRenderedPageBreak/>
        <w:t>二十四、其他应披露事项</w:t>
      </w:r>
      <w:bookmarkEnd w:id="27"/>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年政策性金融债指数证券投资基金基金经理变更的公告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2023-09-04</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2023-09-04</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2023-09-04</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交银施罗德基金管理有限公司关于增加北京度小满基金销售有限公司为旗下基金销售机构的公告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2023-09-27</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交银施罗德基金管理有限公司关于增加和耕传承基金销售有限公司为旗下基金销售机构的公告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2023-10-31</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交银施罗德基金管理有限公司关于增加东方财富证券股份有限公司为旗下基金销售机构的公告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2023-11-24</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交银施罗德基金管理有限公司关于增加深圳众禄基金销售股份有限公司为旗下基金销售机构的公告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2023-11-27</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年政策性金融债指数证券投资基金暂停及恢复大额申购（转换转入）业务的公告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2023-12-18</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2023-12-20</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交银施罗德基金管理有限公司关于增加京东肯特瑞基金销售有限公司为旗下基金销售机构的公告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2024-03-13</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交银施罗德基金管理有限公司关于增加玄元保险代理有限公司为旗下基金销售机构的公告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2024-03-15</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2024-03-22</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2024-03-25</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交银施罗德基金管理有限公司关于增加国新证券股份有限公司为旗下基金的销售机构的公告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2024-04-01</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交银施罗德基金管理有限公司关于增加中国农业银行股份有限公司为旗下基金的销售机构的公告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2024-04-18</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年政策性金融债指数证券投资基金开放定期定额投资业务的公告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2024-04-19</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年政策性金融债指数证券投资基金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rsidR="00AE03F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E03F7" w:rsidRDefault="00E845E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bl>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28" w:name="_Toc188538028"/>
      <w:r>
        <w:rPr>
          <w:rFonts w:ascii="Times New Roman" w:hAnsi="Times New Roman"/>
          <w:sz w:val="30"/>
        </w:rPr>
        <w:lastRenderedPageBreak/>
        <w:t>二十五、招募说明书的存放及查阅方式</w:t>
      </w:r>
      <w:bookmarkEnd w:id="28"/>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E845E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E03F7" w:rsidRDefault="00E845ED">
      <w:pPr>
        <w:pStyle w:val="1"/>
        <w:snapToGrid w:val="0"/>
        <w:spacing w:beforeLines="0" w:before="240" w:after="240"/>
        <w:rPr>
          <w:rFonts w:ascii="宋体" w:hAnsi="宋体"/>
          <w:szCs w:val="30"/>
        </w:rPr>
      </w:pPr>
      <w:bookmarkStart w:id="29" w:name="_Toc188538029"/>
      <w:r>
        <w:rPr>
          <w:rFonts w:ascii="Times New Roman" w:hAnsi="Times New Roman"/>
          <w:sz w:val="30"/>
        </w:rPr>
        <w:lastRenderedPageBreak/>
        <w:t>二十六、备查文件</w:t>
      </w:r>
      <w:bookmarkEnd w:id="29"/>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（一）中国证监会准予交银施罗德中债1-3年政策性金融债指数证券投资基金募集注册的文件</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（二）《交银施罗德中债1-3年政策性金融债指数证券投资基金基金合同》</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（三）《交银施罗德中债1-3年政策性金融债指数证券投资基金托管协议》</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AE03F7" w:rsidRDefault="00E845E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（六）关于申请募集注册交银施罗德中债1-3年政策性金融债指数证券投资基金的法律意见书</w:t>
      </w:r>
    </w:p>
    <w:sectPr w:rsidR="00AE03F7">
      <w:footerReference w:type="default" r:id="rId18"/>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29" w:rsidRDefault="00B51929">
      <w:r>
        <w:separator/>
      </w:r>
    </w:p>
  </w:endnote>
  <w:endnote w:type="continuationSeparator" w:id="0">
    <w:p w:rsidR="00B51929" w:rsidRDefault="00B5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F7" w:rsidRDefault="00AE03F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F7" w:rsidRDefault="006B150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3F7" w:rsidRDefault="00E845E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52102">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AE03F7" w:rsidRDefault="00E845E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52102">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F7" w:rsidRDefault="00AE03F7">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F7" w:rsidRDefault="006B150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3F7" w:rsidRDefault="00E845E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52102">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AE03F7" w:rsidRDefault="00E845E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52102">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29" w:rsidRDefault="00B51929">
      <w:r>
        <w:separator/>
      </w:r>
    </w:p>
  </w:footnote>
  <w:footnote w:type="continuationSeparator" w:id="0">
    <w:p w:rsidR="00B51929" w:rsidRDefault="00B5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F7" w:rsidRDefault="00AE03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6B1500">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AE03F7" w:rsidRDefault="00E845ED">
    <w:pPr>
      <w:pStyle w:val="a3"/>
      <w:jc w:val="right"/>
      <w:rPr>
        <w:rFonts w:ascii="宋体" w:hAnsi="宋体"/>
      </w:rPr>
    </w:pPr>
    <w:r>
      <w:rPr>
        <w:rFonts w:ascii="宋体" w:hAnsi="宋体" w:hint="eastAsia"/>
      </w:rPr>
      <w:t>交银施罗德中债1-3年政策性金融债指数证券投资基金招募说明书更新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F7" w:rsidRDefault="00AE03F7">
    <w:pPr>
      <w:pStyle w:val="11"/>
      <w:jc w:val="right"/>
    </w:pPr>
  </w:p>
  <w:p w:rsidR="00AE03F7" w:rsidRDefault="00AE03F7">
    <w:pPr>
      <w:pStyle w:val="11"/>
      <w:jc w:val="right"/>
    </w:pPr>
  </w:p>
  <w:p w:rsidR="00AE03F7" w:rsidRDefault="00AE03F7">
    <w:pPr>
      <w:pStyle w:val="a3"/>
      <w:jc w:val="right"/>
    </w:pPr>
  </w:p>
  <w:p w:rsidR="009E65D0" w:rsidRDefault="006B1500">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AE03F7" w:rsidRDefault="00E845ED">
    <w:pPr>
      <w:pStyle w:val="a3"/>
      <w:jc w:val="right"/>
      <w:rPr>
        <w:rFonts w:ascii="宋体" w:hAnsi="宋体"/>
      </w:rPr>
    </w:pPr>
    <w:r>
      <w:rPr>
        <w:rFonts w:ascii="宋体" w:hAnsi="宋体" w:hint="eastAsia"/>
      </w:rPr>
      <w:t>交银施罗德中债1-3年政策性金融债指数证券投资基金招募说明书更新</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F7" w:rsidRDefault="00AE03F7">
    <w:pPr>
      <w:pStyle w:val="a3"/>
      <w:jc w:val="right"/>
    </w:pPr>
  </w:p>
  <w:p w:rsidR="00AE03F7" w:rsidRDefault="00AE03F7">
    <w:pPr>
      <w:pStyle w:val="a3"/>
      <w:jc w:val="right"/>
    </w:pPr>
  </w:p>
  <w:p w:rsidR="00AE03F7" w:rsidRDefault="00AE03F7">
    <w:pPr>
      <w:pStyle w:val="a3"/>
      <w:jc w:val="right"/>
    </w:pPr>
  </w:p>
  <w:p w:rsidR="009E65D0" w:rsidRDefault="006B1500">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AE03F7" w:rsidRDefault="00E845ED">
    <w:pPr>
      <w:pStyle w:val="a3"/>
      <w:jc w:val="right"/>
      <w:rPr>
        <w:rFonts w:ascii="宋体" w:hAnsi="宋体"/>
      </w:rPr>
    </w:pPr>
    <w:r>
      <w:rPr>
        <w:rFonts w:ascii="宋体" w:hAnsi="宋体" w:hint="eastAsia"/>
      </w:rPr>
      <w:t>交银施罗德中债1-3年政策性金融债指数证券投资基金招募说明书更新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B788E"/>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568D5"/>
    <w:rsid w:val="00456ED6"/>
    <w:rsid w:val="00462EB0"/>
    <w:rsid w:val="00463933"/>
    <w:rsid w:val="00464346"/>
    <w:rsid w:val="00467895"/>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1500"/>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57DD4"/>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2B"/>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3F7"/>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1929"/>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2C93"/>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2102"/>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CF7EB9"/>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67C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845ED"/>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9F9FA"/>
  <w15:docId w15:val="{A8EA40A5-CA79-431A-9610-05C9E46D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C521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134</Pages>
  <Words>13894</Words>
  <Characters>79200</Characters>
  <Application>Microsoft Office Word</Application>
  <DocSecurity>0</DocSecurity>
  <Lines>660</Lines>
  <Paragraphs>185</Paragraphs>
  <ScaleCrop>false</ScaleCrop>
  <Company>Microsoft</Company>
  <LinksUpToDate>false</LinksUpToDate>
  <CharactersWithSpaces>92909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7</cp:revision>
  <cp:lastPrinted>2013-02-18T03:10:00Z</cp:lastPrinted>
  <dcterms:created xsi:type="dcterms:W3CDTF">2025-03-17T07:31:00Z</dcterms:created>
  <dcterms:modified xsi:type="dcterms:W3CDTF">2025-03-19T05:16:00Z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