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46A21350" w:rsidR="00FC2918" w:rsidRPr="00335FE8" w:rsidRDefault="002A4174" w:rsidP="006A53E7">
      <w:pPr>
        <w:jc w:val="center"/>
        <w:rPr>
          <w:rFonts w:ascii="黑体" w:eastAsia="黑体" w:hAnsi="黑体"/>
          <w:b/>
          <w:sz w:val="36"/>
        </w:rPr>
      </w:pPr>
      <w:bookmarkStart w:id="0" w:name="_GoBack"/>
      <w:bookmarkEnd w:id="0"/>
      <w:r w:rsidRPr="002A4174">
        <w:rPr>
          <w:rFonts w:ascii="黑体" w:eastAsia="黑体" w:hAnsi="黑体" w:hint="eastAsia"/>
          <w:b/>
          <w:sz w:val="36"/>
        </w:rPr>
        <w:t>交银施罗德稳</w:t>
      </w:r>
      <w:r w:rsidR="0016212A">
        <w:rPr>
          <w:rFonts w:ascii="黑体" w:eastAsia="黑体" w:hAnsi="黑体" w:hint="eastAsia"/>
          <w:b/>
          <w:sz w:val="36"/>
        </w:rPr>
        <w:t>悦回报</w:t>
      </w:r>
      <w:r w:rsidRPr="002A4174">
        <w:rPr>
          <w:rFonts w:ascii="黑体" w:eastAsia="黑体" w:hAnsi="黑体" w:hint="eastAsia"/>
          <w:b/>
          <w:sz w:val="36"/>
        </w:rPr>
        <w:t>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69DB5068"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D87713" w:rsidRPr="00335FE8">
        <w:rPr>
          <w:rFonts w:ascii="仿宋_GB2312" w:eastAsia="仿宋_GB2312" w:hAnsi="宋体" w:cs="宋体" w:hint="eastAsia"/>
          <w:kern w:val="0"/>
          <w:szCs w:val="21"/>
        </w:rPr>
        <w:t>202</w:t>
      </w:r>
      <w:r w:rsidR="00D87713">
        <w:rPr>
          <w:rFonts w:ascii="仿宋_GB2312" w:eastAsia="仿宋_GB2312" w:hAnsi="宋体" w:cs="宋体"/>
          <w:kern w:val="0"/>
          <w:szCs w:val="21"/>
        </w:rPr>
        <w:t>4</w:t>
      </w:r>
      <w:r w:rsidR="006A53E7" w:rsidRPr="00335FE8">
        <w:rPr>
          <w:rFonts w:ascii="仿宋_GB2312" w:eastAsia="仿宋_GB2312" w:hAnsi="宋体" w:cs="宋体" w:hint="eastAsia"/>
          <w:kern w:val="0"/>
          <w:szCs w:val="21"/>
        </w:rPr>
        <w:t>-</w:t>
      </w:r>
      <w:r w:rsidR="00D87713">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D87713">
        <w:rPr>
          <w:rFonts w:ascii="仿宋_GB2312" w:eastAsia="仿宋_GB2312" w:hAnsi="宋体" w:cs="宋体"/>
          <w:kern w:val="0"/>
          <w:szCs w:val="21"/>
        </w:rPr>
        <w:t>2</w:t>
      </w:r>
    </w:p>
    <w:p w14:paraId="7D15B036" w14:textId="6214BF08"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87713" w:rsidRPr="00DA7C34">
        <w:rPr>
          <w:rFonts w:ascii="Times New Roman" w:hAnsi="Times New Roman" w:cs="Times New Roman"/>
        </w:rPr>
        <w:t>202</w:t>
      </w:r>
      <w:r w:rsidR="00D87713">
        <w:rPr>
          <w:rFonts w:ascii="Times New Roman" w:hAnsi="Times New Roman" w:cs="Times New Roman"/>
        </w:rPr>
        <w:t>4</w:t>
      </w:r>
      <w:r w:rsidRPr="00DA7C34">
        <w:rPr>
          <w:rFonts w:ascii="Times New Roman" w:hAnsi="Times New Roman" w:cs="Times New Roman"/>
        </w:rPr>
        <w:t>-</w:t>
      </w:r>
      <w:r w:rsidR="00D87713">
        <w:rPr>
          <w:rFonts w:ascii="Times New Roman" w:hAnsi="Times New Roman" w:cs="Times New Roman"/>
        </w:rPr>
        <w:t>2</w:t>
      </w:r>
      <w:r w:rsidRPr="00DA7C34">
        <w:rPr>
          <w:rFonts w:ascii="Times New Roman" w:hAnsi="Times New Roman" w:cs="Times New Roman"/>
        </w:rPr>
        <w:t>-</w:t>
      </w:r>
      <w:r w:rsidR="00D87713">
        <w:rPr>
          <w:rFonts w:ascii="Times New Roman" w:hAnsi="Times New Roman" w:cs="Times New Roman"/>
        </w:rPr>
        <w:t>5</w:t>
      </w:r>
      <w:r w:rsidR="00D87713">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4FBE82BB" w:rsidR="00AF7A1E" w:rsidRPr="00335FE8" w:rsidRDefault="00AF7A1E">
            <w:pPr>
              <w:rPr>
                <w:rFonts w:ascii="仿宋_GB2312" w:eastAsia="仿宋_GB2312"/>
                <w:szCs w:val="21"/>
              </w:rPr>
            </w:pPr>
            <w:r w:rsidRPr="00335FE8">
              <w:rPr>
                <w:rFonts w:ascii="仿宋_GB2312" w:eastAsia="仿宋_GB2312" w:hint="eastAsia"/>
                <w:szCs w:val="21"/>
              </w:rPr>
              <w:t>交银</w:t>
            </w:r>
            <w:r w:rsidR="00EF2579">
              <w:rPr>
                <w:rFonts w:ascii="仿宋_GB2312" w:eastAsia="仿宋_GB2312" w:hint="eastAsia"/>
                <w:szCs w:val="21"/>
              </w:rPr>
              <w:t>稳</w:t>
            </w:r>
            <w:r w:rsidR="0016212A">
              <w:rPr>
                <w:rFonts w:ascii="仿宋_GB2312" w:eastAsia="仿宋_GB2312" w:hint="eastAsia"/>
                <w:szCs w:val="21"/>
              </w:rPr>
              <w:t>悦回报</w:t>
            </w:r>
            <w:r w:rsidR="00EF2579">
              <w:rPr>
                <w:rFonts w:ascii="仿宋_GB2312" w:eastAsia="仿宋_GB2312" w:hint="eastAsia"/>
                <w:szCs w:val="21"/>
              </w:rPr>
              <w:t>债券</w:t>
            </w:r>
            <w:r w:rsidR="0078259F">
              <w:rPr>
                <w:rFonts w:ascii="仿宋_GB2312" w:eastAsia="仿宋_GB2312" w:hint="eastAsia"/>
                <w:szCs w:val="21"/>
              </w:rPr>
              <w:t>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50F192A9" w:rsidR="00AF7A1E" w:rsidRPr="00335FE8" w:rsidRDefault="00D87713" w:rsidP="00AF7A1E">
            <w:pPr>
              <w:rPr>
                <w:rFonts w:ascii="仿宋_GB2312" w:eastAsia="仿宋_GB2312"/>
                <w:szCs w:val="21"/>
              </w:rPr>
            </w:pPr>
            <w:r>
              <w:rPr>
                <w:rFonts w:ascii="仿宋_GB2312" w:eastAsia="仿宋_GB2312"/>
                <w:szCs w:val="21"/>
              </w:rPr>
              <w:t>019560</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3580FFBC" w:rsidR="00AF7A1E" w:rsidRPr="00335FE8" w:rsidRDefault="002A4174" w:rsidP="00AF7A1E">
            <w:pPr>
              <w:rPr>
                <w:rFonts w:ascii="仿宋_GB2312" w:eastAsia="仿宋_GB2312"/>
                <w:szCs w:val="21"/>
              </w:rPr>
            </w:pPr>
            <w:r w:rsidRPr="002A4174">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4A3E5784" w:rsidR="006A53E7" w:rsidRPr="00335FE8" w:rsidRDefault="0016212A" w:rsidP="006A53E7">
            <w:pPr>
              <w:jc w:val="left"/>
              <w:rPr>
                <w:rFonts w:ascii="仿宋_GB2312" w:eastAsia="仿宋_GB2312"/>
                <w:szCs w:val="21"/>
              </w:rPr>
            </w:pPr>
            <w:r>
              <w:rPr>
                <w:rFonts w:ascii="仿宋_GB2312" w:eastAsia="仿宋_GB2312" w:hint="eastAsia"/>
                <w:szCs w:val="21"/>
              </w:rPr>
              <w:t>王艺伟</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072BD134" w:rsidR="006A53E7" w:rsidRPr="00335FE8" w:rsidRDefault="0016212A" w:rsidP="00CC5FD1">
            <w:pPr>
              <w:jc w:val="left"/>
              <w:rPr>
                <w:rFonts w:ascii="仿宋_GB2312" w:eastAsia="仿宋_GB2312"/>
                <w:szCs w:val="21"/>
              </w:rPr>
            </w:pPr>
            <w:r>
              <w:rPr>
                <w:rFonts w:ascii="仿宋_GB2312" w:eastAsia="仿宋_GB2312" w:hint="eastAsia"/>
                <w:szCs w:val="21"/>
              </w:rPr>
              <w:t>20</w:t>
            </w:r>
            <w:r>
              <w:rPr>
                <w:rFonts w:ascii="仿宋_GB2312" w:eastAsia="仿宋_GB2312"/>
                <w:szCs w:val="21"/>
              </w:rPr>
              <w:t>12</w:t>
            </w:r>
            <w:r>
              <w:rPr>
                <w:rFonts w:ascii="仿宋_GB2312" w:eastAsia="仿宋_GB2312" w:hint="eastAsia"/>
                <w:szCs w:val="21"/>
              </w:rPr>
              <w:t>-0</w:t>
            </w:r>
            <w:r>
              <w:rPr>
                <w:rFonts w:ascii="仿宋_GB2312" w:eastAsia="仿宋_GB2312"/>
                <w:szCs w:val="21"/>
              </w:rPr>
              <w:t>7</w:t>
            </w:r>
            <w:r>
              <w:rPr>
                <w:rFonts w:ascii="仿宋_GB2312" w:eastAsia="仿宋_GB2312" w:hint="eastAsia"/>
                <w:szCs w:val="21"/>
              </w:rPr>
              <w:t>-</w:t>
            </w:r>
            <w:r w:rsidR="00CC5FD1">
              <w:rPr>
                <w:rFonts w:ascii="仿宋_GB2312" w:eastAsia="仿宋_GB2312"/>
                <w:szCs w:val="21"/>
              </w:rPr>
              <w:t>13</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088084C4" w:rsidR="00F811C4" w:rsidRPr="00335FE8" w:rsidRDefault="0016212A" w:rsidP="00F811C4">
            <w:pPr>
              <w:ind w:firstLine="420"/>
              <w:jc w:val="left"/>
              <w:rPr>
                <w:rFonts w:ascii="仿宋_GB2312" w:eastAsia="仿宋_GB2312"/>
                <w:szCs w:val="21"/>
              </w:rPr>
            </w:pPr>
            <w:r w:rsidRPr="00B9534D">
              <w:rPr>
                <w:rFonts w:ascii="仿宋_GB2312" w:eastAsia="仿宋_GB2312" w:hint="eastAsia"/>
                <w:szCs w:val="21"/>
              </w:rPr>
              <w:t>在合理控制风险并保持基金资产良好流动性的前提下，追求超越业绩比较基准的投资回报，力争实现基金资产的长期稳健增值。</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0256F55" w14:textId="77777777" w:rsidR="0016212A" w:rsidRPr="00B9534D" w:rsidRDefault="0016212A" w:rsidP="0016212A">
            <w:pPr>
              <w:ind w:firstLine="420"/>
              <w:jc w:val="left"/>
              <w:rPr>
                <w:rFonts w:ascii="仿宋_GB2312" w:eastAsia="仿宋_GB2312"/>
                <w:szCs w:val="21"/>
              </w:rPr>
            </w:pPr>
            <w:r w:rsidRPr="00B9534D">
              <w:rPr>
                <w:rFonts w:ascii="仿宋_GB2312" w:eastAsia="仿宋_GB2312" w:hint="eastAsia"/>
                <w:szCs w:val="21"/>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国债期货、信用衍生品以及法律法规或中国证监会允许基金投资的其他金融工具（但须符合中国证监会相关规定）。</w:t>
            </w:r>
          </w:p>
          <w:p w14:paraId="672D09DC" w14:textId="77777777" w:rsidR="0016212A" w:rsidRPr="00B9534D" w:rsidRDefault="0016212A" w:rsidP="0016212A">
            <w:pPr>
              <w:ind w:firstLine="420"/>
              <w:jc w:val="left"/>
              <w:rPr>
                <w:rFonts w:ascii="仿宋_GB2312" w:eastAsia="仿宋_GB2312"/>
                <w:szCs w:val="21"/>
              </w:rPr>
            </w:pPr>
            <w:r w:rsidRPr="00B9534D">
              <w:rPr>
                <w:rFonts w:ascii="仿宋_GB2312" w:eastAsia="仿宋_GB2312" w:hint="eastAsia"/>
                <w:szCs w:val="21"/>
              </w:rPr>
              <w:t>如法律法规或监管机构以后允许基金投资其他品种，基金管理人在履行适当程序后，可以将其纳入投资范围。</w:t>
            </w:r>
          </w:p>
          <w:p w14:paraId="45E03209" w14:textId="77777777" w:rsidR="0016212A" w:rsidRPr="00B9534D" w:rsidRDefault="0016212A" w:rsidP="0016212A">
            <w:pPr>
              <w:ind w:firstLine="420"/>
              <w:jc w:val="left"/>
              <w:rPr>
                <w:rFonts w:ascii="仿宋_GB2312" w:eastAsia="仿宋_GB2312"/>
                <w:szCs w:val="21"/>
              </w:rPr>
            </w:pPr>
            <w:r w:rsidRPr="00B9534D">
              <w:rPr>
                <w:rFonts w:ascii="仿宋_GB2312" w:eastAsia="仿宋_GB2312" w:hint="eastAsia"/>
                <w:szCs w:val="21"/>
              </w:rPr>
              <w:t>基金的投资组合比例为：本基金投资于债券资产的比例不低于基金资产的80%，投资于股票（含存托凭证）、可转换债券（含可分离交易可转换债券）、可交换公司债券的比例合计不超过基金资产的20%（其中投资于港股通标的股票的比例占股票资产的0%-50%）；每个交易日日终在扣除国债期货合约需缴纳的交易保证金后，本基金持有的现金或者到期日在一年以内的政府债券的比例合计不低于基金资产净值的5%，其中现金不包括结算备付</w:t>
            </w:r>
            <w:r w:rsidRPr="00B9534D">
              <w:rPr>
                <w:rFonts w:ascii="仿宋_GB2312" w:eastAsia="仿宋_GB2312" w:hint="eastAsia"/>
                <w:szCs w:val="21"/>
              </w:rPr>
              <w:lastRenderedPageBreak/>
              <w:t>金、存出保证金、应收申购款等。</w:t>
            </w:r>
          </w:p>
          <w:p w14:paraId="2DFAAB65" w14:textId="36009B9C" w:rsidR="00F811C4" w:rsidRPr="00335FE8" w:rsidRDefault="0016212A">
            <w:pPr>
              <w:ind w:firstLine="420"/>
              <w:jc w:val="left"/>
              <w:rPr>
                <w:rFonts w:ascii="仿宋_GB2312" w:eastAsia="仿宋_GB2312"/>
                <w:szCs w:val="21"/>
              </w:rPr>
            </w:pPr>
            <w:r w:rsidRPr="00B9534D">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3483567" w:rsidR="00F811C4" w:rsidRPr="00335FE8" w:rsidRDefault="002360F6" w:rsidP="001A78BD">
            <w:pPr>
              <w:ind w:firstLine="420"/>
              <w:jc w:val="left"/>
              <w:rPr>
                <w:rFonts w:ascii="仿宋_GB2312" w:eastAsia="仿宋_GB2312"/>
                <w:szCs w:val="21"/>
              </w:rPr>
            </w:pPr>
            <w:r w:rsidRPr="002360F6">
              <w:rPr>
                <w:rFonts w:ascii="仿宋_GB2312" w:eastAsia="仿宋_GB2312" w:hint="eastAsia"/>
                <w:szCs w:val="21"/>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r w:rsidR="0016212A" w:rsidRPr="0016212A">
              <w:rPr>
                <w:rFonts w:ascii="仿宋_GB2312" w:eastAsia="仿宋_GB2312" w:hint="eastAsia"/>
                <w:szCs w:val="21"/>
              </w:rPr>
              <w:t>本基金采用的主要策略包括：1、大类资产配置；2、股票投资策略；3、债券投资策略；4、国债期货投资策略；5、信用衍生品投资策略。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77E7538C" w:rsidR="00F811C4" w:rsidRPr="00335FE8" w:rsidRDefault="0016212A">
            <w:pPr>
              <w:ind w:firstLine="420"/>
              <w:jc w:val="left"/>
              <w:rPr>
                <w:rFonts w:ascii="仿宋_GB2312" w:eastAsia="仿宋_GB2312"/>
                <w:szCs w:val="21"/>
              </w:rPr>
            </w:pPr>
            <w:r w:rsidRPr="00B9534D">
              <w:rPr>
                <w:rFonts w:ascii="仿宋_GB2312" w:eastAsia="仿宋_GB2312" w:hint="eastAsia"/>
                <w:szCs w:val="21"/>
              </w:rPr>
              <w:t>沪深300指数收益率×8%+恒生指数收益率×2%+中证综合债券指数收益率×90%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007D1E7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2A4174" w:rsidRPr="002A4174">
        <w:rPr>
          <w:rFonts w:ascii="仿宋_GB2312" w:eastAsia="仿宋_GB2312" w:hint="eastAsia"/>
          <w:szCs w:val="21"/>
        </w:rPr>
        <w:t>交银施罗德稳</w:t>
      </w:r>
      <w:r w:rsidR="0016212A">
        <w:rPr>
          <w:rFonts w:ascii="仿宋_GB2312" w:eastAsia="仿宋_GB2312" w:hint="eastAsia"/>
          <w:szCs w:val="21"/>
        </w:rPr>
        <w:t>悦回报</w:t>
      </w:r>
      <w:r w:rsidR="002A4174" w:rsidRPr="002A4174">
        <w:rPr>
          <w:rFonts w:ascii="仿宋_GB2312" w:eastAsia="仿宋_GB2312" w:hint="eastAsia"/>
          <w:szCs w:val="21"/>
        </w:rPr>
        <w:t>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0526F8">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68C5DA13" w14:textId="77777777" w:rsidTr="000526F8">
        <w:trPr>
          <w:jc w:val="center"/>
        </w:trPr>
        <w:tc>
          <w:tcPr>
            <w:tcW w:w="2800" w:type="dxa"/>
            <w:vMerge w:val="restart"/>
            <w:vAlign w:val="center"/>
          </w:tcPr>
          <w:p w14:paraId="6F017C6B"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703" w:type="dxa"/>
          </w:tcPr>
          <w:p w14:paraId="270F024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75" w:type="dxa"/>
            <w:vAlign w:val="center"/>
          </w:tcPr>
          <w:p w14:paraId="05D6CC0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30" w:type="dxa"/>
            <w:vAlign w:val="center"/>
          </w:tcPr>
          <w:p w14:paraId="1C5E4D3D" w14:textId="77777777" w:rsidR="009C0C41" w:rsidRPr="00335FE8" w:rsidRDefault="009C0C41" w:rsidP="00D373CC">
            <w:pPr>
              <w:rPr>
                <w:rFonts w:ascii="仿宋_GB2312" w:eastAsia="仿宋_GB2312"/>
                <w:szCs w:val="21"/>
              </w:rPr>
            </w:pPr>
          </w:p>
        </w:tc>
      </w:tr>
      <w:tr w:rsidR="009C0C41" w:rsidRPr="00335FE8" w14:paraId="3D711FB6" w14:textId="77777777" w:rsidTr="000526F8">
        <w:trPr>
          <w:jc w:val="center"/>
        </w:trPr>
        <w:tc>
          <w:tcPr>
            <w:tcW w:w="2800" w:type="dxa"/>
            <w:vMerge/>
            <w:vAlign w:val="center"/>
          </w:tcPr>
          <w:p w14:paraId="7D8E6B9F"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5BC3B429" w14:textId="3FD4E421" w:rsidR="009C0C41" w:rsidRPr="00335FE8" w:rsidRDefault="00EF2579" w:rsidP="00D373CC">
            <w:pPr>
              <w:rPr>
                <w:rFonts w:ascii="仿宋_GB2312" w:eastAsia="仿宋_GB2312"/>
                <w:szCs w:val="21"/>
              </w:rPr>
            </w:pPr>
            <w:r>
              <w:rPr>
                <w:rFonts w:ascii="仿宋_GB2312" w:eastAsia="仿宋_GB2312"/>
                <w:szCs w:val="21"/>
              </w:rPr>
              <w:t>7</w:t>
            </w:r>
            <w:r w:rsidR="009C0C41" w:rsidRPr="00335FE8">
              <w:rPr>
                <w:rFonts w:ascii="仿宋_GB2312" w:eastAsia="仿宋_GB2312" w:hint="eastAsia"/>
                <w:szCs w:val="21"/>
              </w:rPr>
              <w:t>天≤N</w:t>
            </w:r>
          </w:p>
        </w:tc>
        <w:tc>
          <w:tcPr>
            <w:tcW w:w="1775" w:type="dxa"/>
            <w:vAlign w:val="center"/>
          </w:tcPr>
          <w:p w14:paraId="7DE37D6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30" w:type="dxa"/>
            <w:vAlign w:val="center"/>
          </w:tcPr>
          <w:p w14:paraId="1B4EE9EE" w14:textId="77777777" w:rsidR="009C0C41" w:rsidRPr="00335FE8" w:rsidRDefault="009C0C41" w:rsidP="00D373CC">
            <w:pPr>
              <w:rPr>
                <w:rFonts w:ascii="仿宋_GB2312" w:eastAsia="仿宋_GB2312"/>
                <w:szCs w:val="21"/>
              </w:rPr>
            </w:pPr>
          </w:p>
        </w:tc>
      </w:tr>
    </w:tbl>
    <w:p w14:paraId="37DA5133" w14:textId="6540982F"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3BB80D79" w:rsidR="00D373CC" w:rsidRPr="00335FE8" w:rsidRDefault="00D373CC" w:rsidP="00F37B7B">
            <w:pPr>
              <w:rPr>
                <w:rFonts w:ascii="仿宋_GB2312" w:eastAsia="仿宋_GB2312"/>
                <w:szCs w:val="21"/>
              </w:rPr>
            </w:pPr>
            <w:r w:rsidRPr="00335FE8">
              <w:rPr>
                <w:rFonts w:ascii="仿宋_GB2312" w:eastAsia="仿宋_GB2312" w:hint="eastAsia"/>
                <w:szCs w:val="21"/>
              </w:rPr>
              <w:t>0.</w:t>
            </w:r>
            <w:r w:rsidR="00F37B7B">
              <w:rPr>
                <w:rFonts w:ascii="仿宋_GB2312" w:eastAsia="仿宋_GB2312"/>
                <w:szCs w:val="21"/>
              </w:rPr>
              <w:t>6</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4D1A5B1" w:rsidR="00D373CC" w:rsidRPr="00335FE8" w:rsidRDefault="00D373CC" w:rsidP="00EF2579">
            <w:pPr>
              <w:rPr>
                <w:rFonts w:ascii="仿宋_GB2312" w:eastAsia="仿宋_GB2312"/>
                <w:szCs w:val="21"/>
              </w:rPr>
            </w:pPr>
            <w:r w:rsidRPr="00335FE8">
              <w:rPr>
                <w:rFonts w:ascii="仿宋_GB2312" w:eastAsia="仿宋_GB2312" w:hint="eastAsia"/>
                <w:szCs w:val="21"/>
              </w:rPr>
              <w:t>0.</w:t>
            </w:r>
            <w:r w:rsidR="00EF2579">
              <w:rPr>
                <w:rFonts w:ascii="仿宋_GB2312" w:eastAsia="仿宋_GB2312"/>
                <w:szCs w:val="21"/>
              </w:rPr>
              <w:t>1</w:t>
            </w:r>
            <w:r w:rsidR="0016212A">
              <w:rPr>
                <w:rFonts w:ascii="仿宋_GB2312" w:eastAsia="仿宋_GB2312"/>
                <w:szCs w:val="21"/>
              </w:rPr>
              <w:t>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00D4876" w:rsidR="00D373CC" w:rsidRPr="00335FE8" w:rsidRDefault="00D373CC" w:rsidP="0016212A">
            <w:pPr>
              <w:rPr>
                <w:rFonts w:ascii="仿宋_GB2312" w:eastAsia="仿宋_GB2312"/>
                <w:szCs w:val="21"/>
              </w:rPr>
            </w:pPr>
            <w:r w:rsidRPr="00335FE8">
              <w:rPr>
                <w:rFonts w:ascii="仿宋_GB2312" w:eastAsia="仿宋_GB2312" w:hint="eastAsia"/>
                <w:szCs w:val="21"/>
              </w:rPr>
              <w:t>0.</w:t>
            </w:r>
            <w:r w:rsidR="0016212A">
              <w:rPr>
                <w:rFonts w:ascii="仿宋_GB2312" w:eastAsia="仿宋_GB2312"/>
                <w:szCs w:val="21"/>
              </w:rPr>
              <w:t>4</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5A0F54D6"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1、市场风险</w:t>
      </w:r>
    </w:p>
    <w:p w14:paraId="1936732E"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（1）政策风险（2）经济周期风险（3）利率风险（4）上市公司经营风险、（5）购买力风险</w:t>
      </w:r>
    </w:p>
    <w:p w14:paraId="58ED7298"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2、管理风险</w:t>
      </w:r>
    </w:p>
    <w:p w14:paraId="2852049E"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3、流动性风险</w:t>
      </w:r>
    </w:p>
    <w:p w14:paraId="6D87DB3E"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4、信用风险</w:t>
      </w:r>
    </w:p>
    <w:p w14:paraId="0FF2BC0F"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lastRenderedPageBreak/>
        <w:t>5、本基金的特有风险</w:t>
      </w:r>
    </w:p>
    <w:p w14:paraId="1DF93A3A" w14:textId="77777777" w:rsidR="007B1F80" w:rsidRPr="007B1F80" w:rsidRDefault="007B1F80" w:rsidP="007B1F80">
      <w:pPr>
        <w:ind w:firstLine="420"/>
        <w:jc w:val="left"/>
        <w:rPr>
          <w:rFonts w:ascii="仿宋_GB2312" w:eastAsia="仿宋_GB2312"/>
          <w:szCs w:val="21"/>
        </w:rPr>
      </w:pPr>
      <w:r w:rsidRPr="007B1F80">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251CE515" w14:textId="6FD195AA" w:rsidR="002360F6" w:rsidRPr="002360F6" w:rsidRDefault="007B1F80" w:rsidP="002360F6">
      <w:pPr>
        <w:ind w:firstLine="420"/>
        <w:jc w:val="left"/>
        <w:rPr>
          <w:rFonts w:ascii="仿宋_GB2312" w:eastAsia="仿宋_GB2312"/>
          <w:szCs w:val="21"/>
        </w:rPr>
      </w:pPr>
      <w:r w:rsidRPr="007B1F80">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08D25FA"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（3）本基金在主要投资于债券类资产的同时也积极关注股票市场的投资机会，会因投资权益类资产而面临权益类资产市场的系统性风险和个券风险；</w:t>
      </w:r>
    </w:p>
    <w:p w14:paraId="21F6CF60"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（4）基金合同提前终止风险。连续50个工作日出现基金份额持有人数量不满200人或者基金资产净值低于5000万元情形的，基金合同终止，不需召开基金份额持有人大会。</w:t>
      </w:r>
    </w:p>
    <w:p w14:paraId="147E4A67"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（5）本基金可投资创业板股票，创业板个股上市后的前五个交易日不设价格涨跌幅限制，第六个交易日开始涨跌幅限制比例为20%。</w:t>
      </w:r>
    </w:p>
    <w:p w14:paraId="4BF9118E"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6、投资资产支持证券的特定风险</w:t>
      </w:r>
    </w:p>
    <w:p w14:paraId="2D236102"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14D5D32"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7、投资流通受限证券的特定风险</w:t>
      </w:r>
    </w:p>
    <w:p w14:paraId="4FFD2E57"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EE79E04"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8、投资港股通标的股票的特定风险</w:t>
      </w:r>
    </w:p>
    <w:p w14:paraId="56A5D432"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或选择不将基金资产投资于港股，基金资产并非必然投资港股。</w:t>
      </w:r>
    </w:p>
    <w:p w14:paraId="32CA6CB7"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9、投资科创板股票的特定风险</w:t>
      </w:r>
    </w:p>
    <w:p w14:paraId="1AB96733"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5B8C447"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10、投资存托凭证的特定风险</w:t>
      </w:r>
    </w:p>
    <w:p w14:paraId="2C4EACD7"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1496DCC"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CE79BC3" w14:textId="77777777" w:rsidR="008904AA" w:rsidRDefault="002360F6" w:rsidP="002360F6">
      <w:pPr>
        <w:ind w:firstLine="420"/>
        <w:jc w:val="left"/>
        <w:rPr>
          <w:rFonts w:ascii="仿宋_GB2312" w:eastAsia="仿宋_GB2312"/>
          <w:szCs w:val="21"/>
        </w:rPr>
      </w:pPr>
      <w:r w:rsidRPr="002360F6">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59062611" w14:textId="6689BB69"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11、投资国债期货的特定风险</w:t>
      </w:r>
    </w:p>
    <w:p w14:paraId="5BEF36C9"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w:t>
      </w:r>
      <w:r w:rsidRPr="002360F6">
        <w:rPr>
          <w:rFonts w:ascii="仿宋_GB2312" w:eastAsia="仿宋_GB2312" w:hint="eastAsia"/>
          <w:szCs w:val="21"/>
        </w:rPr>
        <w:lastRenderedPageBreak/>
        <w:t>使得所持有的头寸面临被强制平仓的风险。</w:t>
      </w:r>
    </w:p>
    <w:p w14:paraId="0315AA58"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12、信用衍生品投资风险</w:t>
      </w:r>
    </w:p>
    <w:p w14:paraId="7134A5F7"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0BCFF730"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13、本基金法律文件风险收益特征表述与销售机构基金风险评价可能不一致的风险</w:t>
      </w:r>
    </w:p>
    <w:p w14:paraId="444A999F" w14:textId="77777777" w:rsidR="002360F6" w:rsidRPr="002360F6" w:rsidRDefault="002360F6" w:rsidP="002360F6">
      <w:pPr>
        <w:ind w:firstLine="420"/>
        <w:jc w:val="left"/>
        <w:rPr>
          <w:rFonts w:ascii="仿宋_GB2312" w:eastAsia="仿宋_GB2312"/>
          <w:szCs w:val="21"/>
        </w:rPr>
      </w:pPr>
      <w:r w:rsidRPr="002360F6">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22B01A4E" w14:textId="6ED53385" w:rsidR="00800C96" w:rsidRDefault="002360F6" w:rsidP="00800C96">
      <w:pPr>
        <w:ind w:firstLine="420"/>
        <w:jc w:val="left"/>
        <w:rPr>
          <w:rFonts w:ascii="仿宋_GB2312" w:eastAsia="仿宋_GB2312"/>
          <w:szCs w:val="21"/>
        </w:rPr>
      </w:pPr>
      <w:r w:rsidRPr="002360F6">
        <w:rPr>
          <w:rFonts w:ascii="仿宋_GB2312" w:eastAsia="仿宋_GB2312" w:hint="eastAsia"/>
          <w:szCs w:val="21"/>
        </w:rPr>
        <w:t>14、其他风险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0714412"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因基金合同而产生的或与基金合同有关的一切争议，如经友好协商未能解决的，任何一方均有权将争议提交</w:t>
      </w:r>
      <w:r w:rsidR="00D16918" w:rsidRPr="00D16918">
        <w:rPr>
          <w:rFonts w:ascii="仿宋_GB2312" w:eastAsia="仿宋_GB2312" w:hint="eastAsia"/>
          <w:b/>
          <w:szCs w:val="21"/>
        </w:rPr>
        <w:t>上海国际经济贸易仲裁委员会</w:t>
      </w:r>
      <w:r w:rsidRPr="003A35CE">
        <w:rPr>
          <w:rFonts w:ascii="仿宋_GB2312" w:eastAsia="仿宋_GB2312" w:hint="eastAsia"/>
          <w:b/>
          <w:szCs w:val="21"/>
        </w:rPr>
        <w:t>，按其届时有效的仲裁规则进行仲裁。仲裁地点为</w:t>
      </w:r>
      <w:r w:rsidR="00D16918">
        <w:rPr>
          <w:rFonts w:ascii="仿宋_GB2312" w:eastAsia="仿宋_GB2312" w:hint="eastAsia"/>
          <w:b/>
          <w:szCs w:val="21"/>
        </w:rPr>
        <w:t>上海</w:t>
      </w:r>
      <w:r w:rsidRPr="003A35CE">
        <w:rPr>
          <w:rFonts w:ascii="仿宋_GB2312" w:eastAsia="仿宋_GB2312" w:hint="eastAsia"/>
          <w:b/>
          <w:szCs w:val="21"/>
        </w:rPr>
        <w:t>市。</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042662F1"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w:t>
      </w:r>
      <w:r w:rsidR="0016212A">
        <w:rPr>
          <w:rFonts w:ascii="仿宋_GB2312" w:eastAsia="仿宋_GB2312" w:hint="eastAsia"/>
          <w:szCs w:val="21"/>
        </w:rPr>
        <w:t>悦回报</w:t>
      </w:r>
      <w:r w:rsidR="00EF2579" w:rsidRPr="00EF2579">
        <w:rPr>
          <w:rFonts w:ascii="仿宋_GB2312" w:eastAsia="仿宋_GB2312" w:hint="eastAsia"/>
          <w:szCs w:val="21"/>
        </w:rPr>
        <w:t>债券型证券投资基金</w:t>
      </w:r>
      <w:r w:rsidRPr="00335FE8">
        <w:rPr>
          <w:rFonts w:ascii="仿宋_GB2312" w:eastAsia="仿宋_GB2312" w:hint="eastAsia"/>
          <w:szCs w:val="21"/>
        </w:rPr>
        <w:t>基金合同》、</w:t>
      </w:r>
    </w:p>
    <w:p w14:paraId="09E8F937" w14:textId="4FAE612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w:t>
      </w:r>
      <w:r w:rsidR="0016212A">
        <w:rPr>
          <w:rFonts w:ascii="仿宋_GB2312" w:eastAsia="仿宋_GB2312" w:hint="eastAsia"/>
          <w:szCs w:val="21"/>
        </w:rPr>
        <w:t>悦回报</w:t>
      </w:r>
      <w:r w:rsidR="00EF2579" w:rsidRPr="00EF2579">
        <w:rPr>
          <w:rFonts w:ascii="仿宋_GB2312" w:eastAsia="仿宋_GB2312" w:hint="eastAsia"/>
          <w:szCs w:val="21"/>
        </w:rPr>
        <w:t>债券型证券投资基金</w:t>
      </w:r>
      <w:r w:rsidRPr="00335FE8">
        <w:rPr>
          <w:rFonts w:ascii="仿宋_GB2312" w:eastAsia="仿宋_GB2312" w:hint="eastAsia"/>
          <w:szCs w:val="21"/>
        </w:rPr>
        <w:t>托管协议》、</w:t>
      </w:r>
    </w:p>
    <w:p w14:paraId="49AD74C4" w14:textId="4BB526C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w:t>
      </w:r>
      <w:r w:rsidR="0016212A">
        <w:rPr>
          <w:rFonts w:ascii="仿宋_GB2312" w:eastAsia="仿宋_GB2312" w:hint="eastAsia"/>
          <w:szCs w:val="21"/>
        </w:rPr>
        <w:t>悦回报</w:t>
      </w:r>
      <w:r w:rsidR="00EF2579" w:rsidRPr="00EF2579">
        <w:rPr>
          <w:rFonts w:ascii="仿宋_GB2312" w:eastAsia="仿宋_GB2312" w:hint="eastAsia"/>
          <w:szCs w:val="21"/>
        </w:rPr>
        <w:t>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33A67" w14:textId="77777777" w:rsidR="000E7B35" w:rsidRDefault="000E7B35" w:rsidP="00880454">
      <w:r>
        <w:separator/>
      </w:r>
    </w:p>
  </w:endnote>
  <w:endnote w:type="continuationSeparator" w:id="0">
    <w:p w14:paraId="03D90812" w14:textId="77777777" w:rsidR="000E7B35" w:rsidRDefault="000E7B35"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EC1E6" w14:textId="77777777" w:rsidR="000E7B35" w:rsidRDefault="000E7B35" w:rsidP="00880454">
      <w:r>
        <w:separator/>
      </w:r>
    </w:p>
  </w:footnote>
  <w:footnote w:type="continuationSeparator" w:id="0">
    <w:p w14:paraId="51C63E77" w14:textId="77777777" w:rsidR="000E7B35" w:rsidRDefault="000E7B35"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3540"/>
    <w:rsid w:val="000120CF"/>
    <w:rsid w:val="00031BF4"/>
    <w:rsid w:val="00051221"/>
    <w:rsid w:val="000526F8"/>
    <w:rsid w:val="00076DDF"/>
    <w:rsid w:val="00094816"/>
    <w:rsid w:val="000C5B75"/>
    <w:rsid w:val="000E7B35"/>
    <w:rsid w:val="000F07AF"/>
    <w:rsid w:val="000F2329"/>
    <w:rsid w:val="000F29EF"/>
    <w:rsid w:val="00131F08"/>
    <w:rsid w:val="00146A49"/>
    <w:rsid w:val="0016212A"/>
    <w:rsid w:val="00191F76"/>
    <w:rsid w:val="0019752C"/>
    <w:rsid w:val="001A78BD"/>
    <w:rsid w:val="001E402A"/>
    <w:rsid w:val="00203836"/>
    <w:rsid w:val="002066AE"/>
    <w:rsid w:val="002360F6"/>
    <w:rsid w:val="00266E90"/>
    <w:rsid w:val="00287210"/>
    <w:rsid w:val="002A4174"/>
    <w:rsid w:val="002F5DBC"/>
    <w:rsid w:val="00335FE8"/>
    <w:rsid w:val="00343729"/>
    <w:rsid w:val="00360142"/>
    <w:rsid w:val="003A35CE"/>
    <w:rsid w:val="003E751E"/>
    <w:rsid w:val="00401C56"/>
    <w:rsid w:val="00436CCE"/>
    <w:rsid w:val="00447692"/>
    <w:rsid w:val="00454D85"/>
    <w:rsid w:val="00491227"/>
    <w:rsid w:val="004A2001"/>
    <w:rsid w:val="004A275D"/>
    <w:rsid w:val="004A6802"/>
    <w:rsid w:val="005B6F61"/>
    <w:rsid w:val="005D4FC5"/>
    <w:rsid w:val="006240B9"/>
    <w:rsid w:val="00665C5D"/>
    <w:rsid w:val="006A53E7"/>
    <w:rsid w:val="006A5546"/>
    <w:rsid w:val="006C56C6"/>
    <w:rsid w:val="007434D5"/>
    <w:rsid w:val="00756A51"/>
    <w:rsid w:val="0078259F"/>
    <w:rsid w:val="007A64C5"/>
    <w:rsid w:val="007B1F80"/>
    <w:rsid w:val="00800C96"/>
    <w:rsid w:val="0081521B"/>
    <w:rsid w:val="00846EFA"/>
    <w:rsid w:val="00854FEF"/>
    <w:rsid w:val="00880454"/>
    <w:rsid w:val="008904AA"/>
    <w:rsid w:val="00896FD7"/>
    <w:rsid w:val="008A6BEE"/>
    <w:rsid w:val="008A6FA6"/>
    <w:rsid w:val="008E4722"/>
    <w:rsid w:val="00902522"/>
    <w:rsid w:val="0090269C"/>
    <w:rsid w:val="00903B54"/>
    <w:rsid w:val="00970F27"/>
    <w:rsid w:val="009728DC"/>
    <w:rsid w:val="00990F8F"/>
    <w:rsid w:val="009C04D0"/>
    <w:rsid w:val="009C0C41"/>
    <w:rsid w:val="009C2774"/>
    <w:rsid w:val="009F4EAE"/>
    <w:rsid w:val="00A007DA"/>
    <w:rsid w:val="00A20486"/>
    <w:rsid w:val="00A308AF"/>
    <w:rsid w:val="00AB59CB"/>
    <w:rsid w:val="00AC1440"/>
    <w:rsid w:val="00AF7A1E"/>
    <w:rsid w:val="00B36386"/>
    <w:rsid w:val="00BE0A67"/>
    <w:rsid w:val="00C04141"/>
    <w:rsid w:val="00C0525C"/>
    <w:rsid w:val="00C7207B"/>
    <w:rsid w:val="00C97315"/>
    <w:rsid w:val="00CB283A"/>
    <w:rsid w:val="00CC5FD1"/>
    <w:rsid w:val="00CD7637"/>
    <w:rsid w:val="00D04A15"/>
    <w:rsid w:val="00D06C8D"/>
    <w:rsid w:val="00D16918"/>
    <w:rsid w:val="00D21E6A"/>
    <w:rsid w:val="00D33E46"/>
    <w:rsid w:val="00D373CC"/>
    <w:rsid w:val="00D571CE"/>
    <w:rsid w:val="00D71B4F"/>
    <w:rsid w:val="00D87713"/>
    <w:rsid w:val="00D91FD5"/>
    <w:rsid w:val="00DB319C"/>
    <w:rsid w:val="00E51B6D"/>
    <w:rsid w:val="00E53DBC"/>
    <w:rsid w:val="00E57C58"/>
    <w:rsid w:val="00ED6E44"/>
    <w:rsid w:val="00EF2579"/>
    <w:rsid w:val="00F141B3"/>
    <w:rsid w:val="00F37B7B"/>
    <w:rsid w:val="00F62C60"/>
    <w:rsid w:val="00F75715"/>
    <w:rsid w:val="00F811C4"/>
    <w:rsid w:val="00FA2DD4"/>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cp:lastPrinted>2023-03-15T09:27:00Z</cp:lastPrinted>
  <dcterms:created xsi:type="dcterms:W3CDTF">2024-02-02T09:11:00Z</dcterms:created>
  <dcterms:modified xsi:type="dcterms:W3CDTF">2024-02-02T09:11:00Z</dcterms:modified>
</cp:coreProperties>
</file>