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39EE74" w14:textId="77777777" w:rsidR="00A37EB9" w:rsidRPr="00EB07BC" w:rsidRDefault="00A37EB9">
      <w:pPr>
        <w:rPr>
          <w:sz w:val="32"/>
        </w:rPr>
      </w:pPr>
    </w:p>
    <w:p w14:paraId="427DC17D" w14:textId="77777777" w:rsidR="00A37EB9" w:rsidRPr="00EB07BC" w:rsidRDefault="00A37EB9">
      <w:pPr>
        <w:rPr>
          <w:sz w:val="32"/>
        </w:rPr>
      </w:pPr>
    </w:p>
    <w:p w14:paraId="6D74C115" w14:textId="77777777" w:rsidR="00A37EB9" w:rsidRPr="00EB07BC" w:rsidRDefault="00A37EB9">
      <w:pPr>
        <w:rPr>
          <w:sz w:val="32"/>
        </w:rPr>
      </w:pPr>
    </w:p>
    <w:p w14:paraId="33203951" w14:textId="1D2315F4" w:rsidR="00A37EB9" w:rsidRPr="00EB07BC" w:rsidRDefault="00191782">
      <w:pPr>
        <w:jc w:val="center"/>
        <w:rPr>
          <w:sz w:val="32"/>
        </w:rPr>
      </w:pPr>
      <w:r>
        <w:rPr>
          <w:noProof/>
        </w:rPr>
        <w:drawing>
          <wp:inline distT="0" distB="0" distL="0" distR="0" wp14:anchorId="7A01C7D6" wp14:editId="22010B81">
            <wp:extent cx="4343400" cy="577850"/>
            <wp:effectExtent l="0" t="0" r="0" b="0"/>
            <wp:docPr id="8"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43400" cy="577850"/>
                    </a:xfrm>
                    <a:prstGeom prst="rect">
                      <a:avLst/>
                    </a:prstGeom>
                    <a:noFill/>
                    <a:ln>
                      <a:noFill/>
                    </a:ln>
                  </pic:spPr>
                </pic:pic>
              </a:graphicData>
            </a:graphic>
          </wp:inline>
        </w:drawing>
      </w:r>
    </w:p>
    <w:p w14:paraId="7643A779" w14:textId="77777777" w:rsidR="00FD086C" w:rsidRDefault="00FD086C">
      <w:pPr>
        <w:autoSpaceDE w:val="0"/>
        <w:autoSpaceDN w:val="0"/>
        <w:adjustRightInd w:val="0"/>
        <w:snapToGrid w:val="0"/>
        <w:spacing w:before="63" w:line="360" w:lineRule="auto"/>
        <w:ind w:rightChars="6" w:right="13"/>
        <w:jc w:val="center"/>
        <w:rPr>
          <w:rFonts w:ascii="宋体" w:hAnsi="宋体"/>
          <w:b/>
          <w:spacing w:val="2"/>
          <w:w w:val="99"/>
          <w:kern w:val="0"/>
          <w:position w:val="-4"/>
          <w:sz w:val="44"/>
          <w:szCs w:val="44"/>
        </w:rPr>
      </w:pPr>
    </w:p>
    <w:p w14:paraId="1C7CBF00" w14:textId="77777777" w:rsidR="00FD086C" w:rsidRDefault="00FD086C">
      <w:pPr>
        <w:autoSpaceDE w:val="0"/>
        <w:autoSpaceDN w:val="0"/>
        <w:adjustRightInd w:val="0"/>
        <w:snapToGrid w:val="0"/>
        <w:spacing w:before="63" w:line="360" w:lineRule="auto"/>
        <w:ind w:rightChars="6" w:right="13"/>
        <w:jc w:val="center"/>
        <w:rPr>
          <w:rFonts w:ascii="宋体" w:hAnsi="宋体"/>
          <w:b/>
          <w:spacing w:val="2"/>
          <w:w w:val="99"/>
          <w:kern w:val="0"/>
          <w:position w:val="-4"/>
          <w:sz w:val="44"/>
          <w:szCs w:val="44"/>
        </w:rPr>
      </w:pPr>
    </w:p>
    <w:p w14:paraId="56E5E302" w14:textId="1B873A74" w:rsidR="00FD086C" w:rsidRPr="00040D5C" w:rsidRDefault="004B071E">
      <w:pPr>
        <w:snapToGrid w:val="0"/>
        <w:spacing w:line="360" w:lineRule="auto"/>
        <w:jc w:val="center"/>
        <w:rPr>
          <w:rFonts w:ascii="Times New Roman" w:hAnsi="Times New Roman"/>
          <w:b/>
          <w:spacing w:val="2"/>
          <w:w w:val="99"/>
          <w:kern w:val="0"/>
          <w:position w:val="-4"/>
          <w:sz w:val="44"/>
          <w:szCs w:val="44"/>
        </w:rPr>
      </w:pPr>
      <w:r w:rsidRPr="00CC5C02">
        <w:rPr>
          <w:rFonts w:ascii="Times New Roman" w:hAnsi="Times New Roman"/>
          <w:b/>
          <w:spacing w:val="2"/>
          <w:w w:val="99"/>
          <w:kern w:val="0"/>
          <w:position w:val="-4"/>
          <w:sz w:val="44"/>
          <w:szCs w:val="44"/>
        </w:rPr>
        <w:t>交银施罗德</w:t>
      </w:r>
      <w:r w:rsidR="00CC5C02" w:rsidRPr="00CC5C02">
        <w:rPr>
          <w:rFonts w:ascii="Times New Roman" w:hAnsi="Times New Roman"/>
          <w:b/>
          <w:spacing w:val="2"/>
          <w:w w:val="99"/>
          <w:kern w:val="0"/>
          <w:position w:val="-4"/>
          <w:sz w:val="44"/>
          <w:szCs w:val="44"/>
        </w:rPr>
        <w:t>中证红利低波动</w:t>
      </w:r>
      <w:r w:rsidR="00CC5C02" w:rsidRPr="00CC5C02">
        <w:rPr>
          <w:rFonts w:ascii="Times New Roman" w:hAnsi="Times New Roman"/>
          <w:b/>
          <w:spacing w:val="2"/>
          <w:w w:val="99"/>
          <w:kern w:val="0"/>
          <w:position w:val="-4"/>
          <w:sz w:val="44"/>
          <w:szCs w:val="44"/>
        </w:rPr>
        <w:t>100</w:t>
      </w:r>
      <w:r w:rsidR="00CC5C02" w:rsidRPr="00CC5C02">
        <w:rPr>
          <w:rFonts w:ascii="Times New Roman" w:hAnsi="Times New Roman"/>
          <w:b/>
          <w:spacing w:val="2"/>
          <w:w w:val="99"/>
          <w:kern w:val="0"/>
          <w:position w:val="-4"/>
          <w:sz w:val="44"/>
          <w:szCs w:val="44"/>
        </w:rPr>
        <w:t>指数型</w:t>
      </w:r>
      <w:r w:rsidRPr="00CC5C02">
        <w:rPr>
          <w:rFonts w:ascii="Times New Roman" w:hAnsi="Times New Roman"/>
          <w:b/>
          <w:spacing w:val="2"/>
          <w:w w:val="99"/>
          <w:kern w:val="0"/>
          <w:position w:val="-4"/>
          <w:sz w:val="44"/>
          <w:szCs w:val="44"/>
        </w:rPr>
        <w:t>证券投资基金</w:t>
      </w:r>
      <w:r w:rsidRPr="00040D5C">
        <w:rPr>
          <w:rFonts w:ascii="Times New Roman" w:hAnsi="Times New Roman"/>
          <w:b/>
          <w:spacing w:val="2"/>
          <w:w w:val="99"/>
          <w:kern w:val="0"/>
          <w:position w:val="-4"/>
          <w:sz w:val="44"/>
          <w:szCs w:val="44"/>
        </w:rPr>
        <w:t>招募说明书</w:t>
      </w:r>
    </w:p>
    <w:p w14:paraId="4C42AB94" w14:textId="77777777" w:rsidR="00FD086C" w:rsidRDefault="00FD086C">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34BD1D2A" w14:textId="77777777" w:rsidR="00FD086C" w:rsidRDefault="00FD086C">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5614AA46" w14:textId="77777777" w:rsidR="00FD086C" w:rsidRDefault="00FD086C">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71D52D59" w14:textId="77777777" w:rsidR="00FD086C" w:rsidRDefault="00FD086C">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1A399B15" w14:textId="77777777" w:rsidR="00FD086C" w:rsidRDefault="00FD086C">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2EFF2FE6" w14:textId="77777777" w:rsidR="00FD086C" w:rsidRDefault="00FD086C">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0EDD5809" w14:textId="77777777" w:rsidR="00FD086C" w:rsidRDefault="004B071E">
      <w:pPr>
        <w:autoSpaceDE w:val="0"/>
        <w:autoSpaceDN w:val="0"/>
        <w:adjustRightInd w:val="0"/>
        <w:snapToGrid w:val="0"/>
        <w:spacing w:line="360" w:lineRule="auto"/>
        <w:ind w:firstLineChars="500" w:firstLine="1405"/>
        <w:rPr>
          <w:rFonts w:ascii="宋体" w:hAnsi="宋体"/>
          <w:b/>
          <w:w w:val="99"/>
          <w:kern w:val="0"/>
          <w:sz w:val="28"/>
          <w:szCs w:val="32"/>
        </w:rPr>
      </w:pPr>
      <w:r>
        <w:rPr>
          <w:rFonts w:ascii="宋体" w:hAnsi="宋体"/>
          <w:b/>
          <w:spacing w:val="2"/>
          <w:w w:val="99"/>
          <w:kern w:val="0"/>
          <w:sz w:val="28"/>
          <w:szCs w:val="32"/>
        </w:rPr>
        <w:t>基金管理人：交银施罗德基金管理有限公司</w:t>
      </w:r>
    </w:p>
    <w:p w14:paraId="5C86FDB3" w14:textId="5C236F24" w:rsidR="00FD086C" w:rsidRDefault="004B071E">
      <w:pPr>
        <w:autoSpaceDE w:val="0"/>
        <w:autoSpaceDN w:val="0"/>
        <w:adjustRightInd w:val="0"/>
        <w:snapToGrid w:val="0"/>
        <w:spacing w:line="360" w:lineRule="auto"/>
        <w:ind w:firstLineChars="500" w:firstLine="1405"/>
        <w:rPr>
          <w:rFonts w:ascii="宋体" w:hAnsi="宋体"/>
          <w:b/>
          <w:w w:val="99"/>
          <w:kern w:val="0"/>
          <w:sz w:val="28"/>
          <w:szCs w:val="32"/>
        </w:rPr>
      </w:pPr>
      <w:r>
        <w:rPr>
          <w:rFonts w:ascii="宋体" w:hAnsi="宋体"/>
          <w:b/>
          <w:spacing w:val="2"/>
          <w:w w:val="99"/>
          <w:kern w:val="0"/>
          <w:sz w:val="28"/>
          <w:szCs w:val="32"/>
        </w:rPr>
        <w:t>基金托管人：</w:t>
      </w:r>
      <w:r w:rsidR="007A02EA">
        <w:rPr>
          <w:rFonts w:ascii="宋体" w:hAnsi="宋体"/>
          <w:b/>
          <w:spacing w:val="2"/>
          <w:w w:val="99"/>
          <w:kern w:val="0"/>
          <w:sz w:val="28"/>
          <w:szCs w:val="32"/>
        </w:rPr>
        <w:t>中国农业银行</w:t>
      </w:r>
      <w:r>
        <w:rPr>
          <w:rFonts w:ascii="宋体" w:hAnsi="宋体"/>
          <w:b/>
          <w:spacing w:val="2"/>
          <w:w w:val="99"/>
          <w:kern w:val="0"/>
          <w:sz w:val="28"/>
          <w:szCs w:val="32"/>
        </w:rPr>
        <w:t>股份有限公司</w:t>
      </w:r>
    </w:p>
    <w:p w14:paraId="41BFB137" w14:textId="77777777" w:rsidR="00FD086C" w:rsidRDefault="00FD086C">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71FE681D" w14:textId="77777777" w:rsidR="00FD086C" w:rsidRDefault="00FD086C">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47ED1845" w14:textId="27EC0A84" w:rsidR="00FD086C" w:rsidRDefault="004B071E">
      <w:pPr>
        <w:autoSpaceDE w:val="0"/>
        <w:autoSpaceDN w:val="0"/>
        <w:adjustRightInd w:val="0"/>
        <w:snapToGrid w:val="0"/>
        <w:spacing w:line="360" w:lineRule="auto"/>
        <w:ind w:rightChars="6" w:right="13"/>
        <w:jc w:val="center"/>
        <w:rPr>
          <w:rFonts w:ascii="宋体" w:hAnsi="宋体"/>
          <w:b/>
          <w:kern w:val="0"/>
          <w:sz w:val="28"/>
          <w:szCs w:val="32"/>
        </w:rPr>
      </w:pPr>
      <w:r>
        <w:rPr>
          <w:rFonts w:ascii="Times New Roman" w:hAnsi="Times New Roman"/>
          <w:b/>
          <w:spacing w:val="2"/>
          <w:w w:val="99"/>
          <w:kern w:val="0"/>
          <w:sz w:val="28"/>
          <w:szCs w:val="32"/>
        </w:rPr>
        <w:t>二〇二</w:t>
      </w:r>
      <w:r w:rsidR="004F74CD">
        <w:rPr>
          <w:rFonts w:ascii="Times New Roman" w:hAnsi="Times New Roman" w:hint="eastAsia"/>
          <w:b/>
          <w:spacing w:val="2"/>
          <w:w w:val="99"/>
          <w:kern w:val="0"/>
          <w:sz w:val="28"/>
          <w:szCs w:val="32"/>
        </w:rPr>
        <w:t>四</w:t>
      </w:r>
      <w:r>
        <w:rPr>
          <w:rFonts w:ascii="Times New Roman" w:hAnsi="Times New Roman"/>
          <w:b/>
          <w:spacing w:val="2"/>
          <w:w w:val="99"/>
          <w:kern w:val="0"/>
          <w:sz w:val="28"/>
          <w:szCs w:val="32"/>
        </w:rPr>
        <w:t>年</w:t>
      </w:r>
      <w:r w:rsidR="0035497B">
        <w:rPr>
          <w:rFonts w:ascii="Times New Roman" w:hAnsi="Times New Roman" w:hint="eastAsia"/>
          <w:b/>
          <w:spacing w:val="2"/>
          <w:w w:val="99"/>
          <w:kern w:val="0"/>
          <w:sz w:val="28"/>
          <w:szCs w:val="32"/>
        </w:rPr>
        <w:t>一</w:t>
      </w:r>
      <w:r>
        <w:rPr>
          <w:rFonts w:ascii="Times New Roman" w:hAnsi="Times New Roman"/>
          <w:b/>
          <w:spacing w:val="2"/>
          <w:w w:val="99"/>
          <w:kern w:val="0"/>
          <w:sz w:val="28"/>
          <w:szCs w:val="32"/>
        </w:rPr>
        <w:t>月</w:t>
      </w:r>
    </w:p>
    <w:p w14:paraId="6DC8F318" w14:textId="77777777" w:rsidR="00FD086C" w:rsidRDefault="00FD086C">
      <w:pPr>
        <w:autoSpaceDE w:val="0"/>
        <w:autoSpaceDN w:val="0"/>
        <w:adjustRightInd w:val="0"/>
        <w:snapToGrid w:val="0"/>
        <w:spacing w:line="360" w:lineRule="auto"/>
        <w:ind w:left="1347" w:rightChars="6" w:right="13"/>
        <w:rPr>
          <w:rFonts w:ascii="宋体" w:hAnsi="宋体"/>
          <w:kern w:val="0"/>
          <w:sz w:val="32"/>
          <w:szCs w:val="32"/>
        </w:rPr>
        <w:sectPr w:rsidR="00FD086C">
          <w:headerReference w:type="default" r:id="rId10"/>
          <w:footerReference w:type="default" r:id="rId11"/>
          <w:headerReference w:type="first" r:id="rId12"/>
          <w:pgSz w:w="11920" w:h="16840"/>
          <w:pgMar w:top="1560" w:right="1680" w:bottom="280" w:left="1680" w:header="0" w:footer="1073" w:gutter="0"/>
          <w:pgNumType w:start="1"/>
          <w:cols w:space="720"/>
          <w:titlePg/>
          <w:docGrid w:linePitch="286"/>
        </w:sectPr>
      </w:pPr>
    </w:p>
    <w:p w14:paraId="5122CC5D" w14:textId="77777777" w:rsidR="00FD086C" w:rsidRDefault="004B071E">
      <w:pPr>
        <w:pStyle w:val="1"/>
        <w:snapToGrid w:val="0"/>
        <w:spacing w:beforeLines="0" w:before="240" w:after="240"/>
        <w:rPr>
          <w:rFonts w:ascii="宋体" w:hAnsi="宋体"/>
          <w:kern w:val="0"/>
        </w:rPr>
      </w:pPr>
      <w:bookmarkStart w:id="0" w:name="_Toc324920538"/>
      <w:bookmarkStart w:id="1" w:name="_Toc496884613"/>
      <w:bookmarkStart w:id="2" w:name="_Toc147840618"/>
      <w:r>
        <w:rPr>
          <w:rFonts w:ascii="Times New Roman" w:hAnsi="Times New Roman"/>
          <w:kern w:val="0"/>
        </w:rPr>
        <w:lastRenderedPageBreak/>
        <w:t>重要提示</w:t>
      </w:r>
      <w:bookmarkEnd w:id="0"/>
      <w:bookmarkEnd w:id="1"/>
      <w:bookmarkEnd w:id="2"/>
    </w:p>
    <w:p w14:paraId="3F06F44F" w14:textId="76240575" w:rsidR="00FD086C" w:rsidRDefault="004B071E">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交银施罗德</w:t>
      </w:r>
      <w:r w:rsidR="00CC5C02">
        <w:rPr>
          <w:rFonts w:ascii="Times New Roman" w:hAnsi="Times New Roman"/>
          <w:kern w:val="0"/>
          <w:sz w:val="24"/>
        </w:rPr>
        <w:t>中证红利低波动</w:t>
      </w:r>
      <w:r w:rsidR="00CC5C02">
        <w:rPr>
          <w:rFonts w:ascii="Times New Roman" w:hAnsi="Times New Roman"/>
          <w:kern w:val="0"/>
          <w:sz w:val="24"/>
        </w:rPr>
        <w:t>100</w:t>
      </w:r>
      <w:r w:rsidR="00CC5C02">
        <w:rPr>
          <w:rFonts w:ascii="Times New Roman" w:hAnsi="Times New Roman"/>
          <w:kern w:val="0"/>
          <w:sz w:val="24"/>
        </w:rPr>
        <w:t>指数型</w:t>
      </w:r>
      <w:r>
        <w:rPr>
          <w:rFonts w:ascii="Times New Roman" w:hAnsi="Times New Roman"/>
          <w:kern w:val="0"/>
          <w:sz w:val="24"/>
        </w:rPr>
        <w:t>证券投资基金（以下简称</w:t>
      </w:r>
      <w:r>
        <w:rPr>
          <w:rFonts w:ascii="Times New Roman" w:hAnsi="Times New Roman"/>
          <w:kern w:val="0"/>
          <w:sz w:val="24"/>
        </w:rPr>
        <w:t>“</w:t>
      </w:r>
      <w:r>
        <w:rPr>
          <w:rFonts w:ascii="Times New Roman" w:hAnsi="Times New Roman"/>
          <w:kern w:val="0"/>
          <w:sz w:val="24"/>
        </w:rPr>
        <w:t>本基金</w:t>
      </w:r>
      <w:r>
        <w:rPr>
          <w:rFonts w:ascii="Times New Roman" w:hAnsi="Times New Roman"/>
          <w:kern w:val="0"/>
          <w:sz w:val="24"/>
        </w:rPr>
        <w:t>”</w:t>
      </w:r>
      <w:r>
        <w:rPr>
          <w:rFonts w:ascii="Times New Roman" w:hAnsi="Times New Roman"/>
          <w:kern w:val="0"/>
          <w:sz w:val="24"/>
        </w:rPr>
        <w:t>）经</w:t>
      </w:r>
      <w:r w:rsidR="00E8453C">
        <w:rPr>
          <w:rFonts w:ascii="Times New Roman" w:hAnsi="Times New Roman"/>
          <w:kern w:val="0"/>
          <w:sz w:val="24"/>
        </w:rPr>
        <w:t>202</w:t>
      </w:r>
      <w:r w:rsidR="004F74CD">
        <w:rPr>
          <w:rFonts w:ascii="Times New Roman" w:hAnsi="Times New Roman"/>
          <w:kern w:val="0"/>
          <w:sz w:val="24"/>
        </w:rPr>
        <w:t>3</w:t>
      </w:r>
      <w:r>
        <w:rPr>
          <w:rFonts w:ascii="Times New Roman" w:hAnsi="Times New Roman"/>
          <w:kern w:val="0"/>
          <w:sz w:val="24"/>
        </w:rPr>
        <w:t>年</w:t>
      </w:r>
      <w:r w:rsidR="004F74CD">
        <w:rPr>
          <w:rFonts w:ascii="Times New Roman" w:hAnsi="Times New Roman" w:hint="eastAsia"/>
          <w:kern w:val="0"/>
          <w:sz w:val="24"/>
        </w:rPr>
        <w:t>1</w:t>
      </w:r>
      <w:r w:rsidR="004F74CD">
        <w:rPr>
          <w:rFonts w:ascii="Times New Roman" w:hAnsi="Times New Roman"/>
          <w:kern w:val="0"/>
          <w:sz w:val="24"/>
        </w:rPr>
        <w:t>1</w:t>
      </w:r>
      <w:r>
        <w:rPr>
          <w:rFonts w:ascii="Times New Roman" w:hAnsi="Times New Roman"/>
          <w:kern w:val="0"/>
          <w:sz w:val="24"/>
        </w:rPr>
        <w:t>月</w:t>
      </w:r>
      <w:r w:rsidR="004F74CD">
        <w:rPr>
          <w:rFonts w:ascii="Times New Roman" w:hAnsi="Times New Roman"/>
          <w:kern w:val="0"/>
          <w:sz w:val="24"/>
        </w:rPr>
        <w:t>9</w:t>
      </w:r>
      <w:r>
        <w:rPr>
          <w:rFonts w:ascii="Times New Roman" w:hAnsi="Times New Roman"/>
          <w:kern w:val="0"/>
          <w:sz w:val="24"/>
        </w:rPr>
        <w:t>日中国证券监督管理委员会（以下简称</w:t>
      </w:r>
      <w:r>
        <w:rPr>
          <w:rFonts w:ascii="Times New Roman" w:hAnsi="Times New Roman"/>
          <w:kern w:val="0"/>
          <w:sz w:val="24"/>
        </w:rPr>
        <w:t>“</w:t>
      </w:r>
      <w:r>
        <w:rPr>
          <w:rFonts w:ascii="Times New Roman" w:hAnsi="Times New Roman"/>
          <w:kern w:val="0"/>
          <w:sz w:val="24"/>
        </w:rPr>
        <w:t>中国证监会</w:t>
      </w:r>
      <w:r>
        <w:rPr>
          <w:rFonts w:ascii="Times New Roman" w:hAnsi="Times New Roman"/>
          <w:kern w:val="0"/>
          <w:sz w:val="24"/>
        </w:rPr>
        <w:t>”</w:t>
      </w:r>
      <w:r>
        <w:rPr>
          <w:rFonts w:ascii="Times New Roman" w:hAnsi="Times New Roman"/>
          <w:kern w:val="0"/>
          <w:sz w:val="24"/>
        </w:rPr>
        <w:t>）证监许可【</w:t>
      </w:r>
      <w:r w:rsidR="00E8453C">
        <w:rPr>
          <w:rFonts w:ascii="Times New Roman" w:hAnsi="Times New Roman"/>
          <w:kern w:val="0"/>
          <w:sz w:val="24"/>
        </w:rPr>
        <w:t>202</w:t>
      </w:r>
      <w:r w:rsidR="004F74CD">
        <w:rPr>
          <w:rFonts w:ascii="Times New Roman" w:hAnsi="Times New Roman"/>
          <w:kern w:val="0"/>
          <w:sz w:val="24"/>
        </w:rPr>
        <w:t>3</w:t>
      </w:r>
      <w:r>
        <w:rPr>
          <w:rFonts w:ascii="Times New Roman" w:hAnsi="Times New Roman"/>
          <w:kern w:val="0"/>
          <w:sz w:val="24"/>
        </w:rPr>
        <w:t>】</w:t>
      </w:r>
      <w:r w:rsidR="004F74CD">
        <w:rPr>
          <w:rFonts w:ascii="Times New Roman" w:hAnsi="Times New Roman" w:hint="eastAsia"/>
          <w:kern w:val="0"/>
          <w:sz w:val="24"/>
        </w:rPr>
        <w:t>2</w:t>
      </w:r>
      <w:r w:rsidR="004F74CD">
        <w:rPr>
          <w:rFonts w:ascii="Times New Roman" w:hAnsi="Times New Roman"/>
          <w:kern w:val="0"/>
          <w:sz w:val="24"/>
        </w:rPr>
        <w:t>549</w:t>
      </w:r>
      <w:r>
        <w:rPr>
          <w:rFonts w:ascii="Times New Roman" w:hAnsi="Times New Roman"/>
          <w:kern w:val="0"/>
          <w:sz w:val="24"/>
        </w:rPr>
        <w:t>号文准予募集注册。</w:t>
      </w:r>
    </w:p>
    <w:p w14:paraId="08D76374" w14:textId="77777777" w:rsidR="00FD086C" w:rsidRDefault="004B071E">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基金管理人保证招募说明书的内容真实、准确、完整。本招募说明书经中国证监会注册，但中国证监会对本基金募集的注册，并不表明其对本基金的投资价值和市场前景作出实质性判断或保证，也不表明投资于本基金没有风险。</w:t>
      </w:r>
    </w:p>
    <w:p w14:paraId="4A0F0A12" w14:textId="77777777" w:rsidR="00FD086C" w:rsidRDefault="004B071E">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基金管理人依照恪尽职守、诚实信用、谨慎勤勉的原则管理和运用基金财产，但不保证投资本基金一定盈利，也不保证基金份额持有人的最低收益；因基金价格可升可跌，亦不保证基金份额持有人能全数取回其原本投资。</w:t>
      </w:r>
    </w:p>
    <w:p w14:paraId="3E021F78" w14:textId="5BD2D3CD" w:rsidR="00FD086C" w:rsidRDefault="004B071E">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本基金投资于证券市场，基金净值会因为证券市场波动等因素产生波动。投资人在投资本基金前，需全面认识本基金产品的风险收益特征和产品特性，充分考虑自身的风险承受能力，理性判断市场，对投资本基金的意愿、时机、数量等投资行为作出独立决策。投资人根据所持有</w:t>
      </w:r>
      <w:r w:rsidR="008608CA">
        <w:rPr>
          <w:rFonts w:ascii="Times New Roman" w:hAnsi="Times New Roman" w:hint="eastAsia"/>
          <w:kern w:val="0"/>
          <w:sz w:val="24"/>
        </w:rPr>
        <w:t>基金</w:t>
      </w:r>
      <w:r>
        <w:rPr>
          <w:rFonts w:ascii="Times New Roman" w:hAnsi="Times New Roman"/>
          <w:kern w:val="0"/>
          <w:sz w:val="24"/>
        </w:rPr>
        <w:t>份额享受基金的收益，但同时也需承担相应的投资风险。投资本基金可能遇到的风险包括：因受到经济因素、政治因素、投资心理和交易制度等各种因素的影响而引起的市场风险；基金管理人在基金管理</w:t>
      </w:r>
      <w:r w:rsidR="00B06194">
        <w:rPr>
          <w:rFonts w:ascii="Times New Roman" w:hAnsi="Times New Roman" w:hint="eastAsia"/>
          <w:kern w:val="0"/>
          <w:sz w:val="24"/>
        </w:rPr>
        <w:t>运作</w:t>
      </w:r>
      <w:r>
        <w:rPr>
          <w:rFonts w:ascii="Times New Roman" w:hAnsi="Times New Roman"/>
          <w:kern w:val="0"/>
          <w:sz w:val="24"/>
        </w:rPr>
        <w:t>过程中产生的基金管理风险；流动性风险</w:t>
      </w:r>
      <w:r w:rsidR="00081F4E">
        <w:rPr>
          <w:rFonts w:ascii="宋体" w:hAnsi="宋体" w:hint="eastAsia"/>
          <w:kern w:val="0"/>
          <w:sz w:val="24"/>
        </w:rPr>
        <w:t>（包括实施</w:t>
      </w:r>
      <w:r w:rsidR="00081F4E">
        <w:rPr>
          <w:rFonts w:ascii="宋体" w:hAnsi="宋体"/>
          <w:kern w:val="0"/>
          <w:sz w:val="24"/>
        </w:rPr>
        <w:t>侧袋机制时的特定风险）</w:t>
      </w:r>
      <w:r>
        <w:rPr>
          <w:rFonts w:ascii="Times New Roman" w:hAnsi="Times New Roman"/>
          <w:kern w:val="0"/>
          <w:sz w:val="24"/>
        </w:rPr>
        <w:t>；信用风险；本基金</w:t>
      </w:r>
      <w:r w:rsidR="00D6667C">
        <w:rPr>
          <w:rFonts w:ascii="Times New Roman" w:hAnsi="Times New Roman"/>
          <w:kern w:val="0"/>
          <w:sz w:val="24"/>
        </w:rPr>
        <w:t>的</w:t>
      </w:r>
      <w:r>
        <w:rPr>
          <w:rFonts w:ascii="Times New Roman" w:hAnsi="Times New Roman"/>
          <w:kern w:val="0"/>
          <w:sz w:val="24"/>
        </w:rPr>
        <w:t>特有风险；投资股指期货的特定风险；</w:t>
      </w:r>
      <w:r w:rsidR="00D6667C">
        <w:rPr>
          <w:rFonts w:ascii="Times New Roman" w:hAnsi="Times New Roman"/>
          <w:kern w:val="0"/>
          <w:sz w:val="24"/>
        </w:rPr>
        <w:t>投资资产支持证券的特定风险；</w:t>
      </w:r>
      <w:r w:rsidR="008608CA" w:rsidRPr="008608CA">
        <w:rPr>
          <w:rFonts w:ascii="Times New Roman" w:hAnsi="Times New Roman" w:hint="eastAsia"/>
          <w:kern w:val="0"/>
          <w:sz w:val="24"/>
        </w:rPr>
        <w:t>投资流通受限证券的特定风险</w:t>
      </w:r>
      <w:r w:rsidR="008608CA">
        <w:rPr>
          <w:rFonts w:ascii="Times New Roman" w:hAnsi="Times New Roman" w:hint="eastAsia"/>
          <w:kern w:val="0"/>
          <w:sz w:val="24"/>
        </w:rPr>
        <w:t>；</w:t>
      </w:r>
      <w:r w:rsidR="008608CA" w:rsidRPr="008608CA">
        <w:rPr>
          <w:rFonts w:ascii="Times New Roman" w:hAnsi="Times New Roman" w:hint="eastAsia"/>
          <w:kern w:val="0"/>
          <w:sz w:val="24"/>
        </w:rPr>
        <w:t>投资存托凭证的特定风险</w:t>
      </w:r>
      <w:r w:rsidR="008608CA">
        <w:rPr>
          <w:rFonts w:ascii="Times New Roman" w:hAnsi="Times New Roman" w:hint="eastAsia"/>
          <w:kern w:val="0"/>
          <w:sz w:val="24"/>
        </w:rPr>
        <w:t>；</w:t>
      </w:r>
      <w:r w:rsidR="008608CA" w:rsidRPr="008608CA">
        <w:rPr>
          <w:rFonts w:ascii="Times New Roman" w:hAnsi="Times New Roman" w:hint="eastAsia"/>
          <w:kern w:val="0"/>
          <w:sz w:val="24"/>
        </w:rPr>
        <w:t>投资科创板股票的特定风险</w:t>
      </w:r>
      <w:r w:rsidR="008608CA">
        <w:rPr>
          <w:rFonts w:ascii="Times New Roman" w:hAnsi="Times New Roman" w:hint="eastAsia"/>
          <w:kern w:val="0"/>
          <w:sz w:val="24"/>
        </w:rPr>
        <w:t>；</w:t>
      </w:r>
      <w:r w:rsidR="008608CA" w:rsidRPr="008608CA">
        <w:rPr>
          <w:rFonts w:ascii="Times New Roman" w:hAnsi="Times New Roman" w:hint="eastAsia"/>
          <w:kern w:val="0"/>
          <w:sz w:val="24"/>
        </w:rPr>
        <w:t>本基金法律文件风险收益特征表述与销售机构基金风险评价可能不一致的风险</w:t>
      </w:r>
      <w:r w:rsidR="008608CA">
        <w:rPr>
          <w:rFonts w:ascii="Times New Roman" w:hAnsi="Times New Roman" w:hint="eastAsia"/>
          <w:kern w:val="0"/>
          <w:sz w:val="24"/>
        </w:rPr>
        <w:t>；</w:t>
      </w:r>
      <w:r>
        <w:rPr>
          <w:rFonts w:ascii="Times New Roman" w:hAnsi="Times New Roman"/>
          <w:kern w:val="0"/>
          <w:sz w:val="24"/>
        </w:rPr>
        <w:t>投资本基金</w:t>
      </w:r>
      <w:r w:rsidR="008608CA">
        <w:rPr>
          <w:rFonts w:ascii="Times New Roman" w:hAnsi="Times New Roman" w:hint="eastAsia"/>
          <w:kern w:val="0"/>
          <w:sz w:val="24"/>
        </w:rPr>
        <w:t>的</w:t>
      </w:r>
      <w:r>
        <w:rPr>
          <w:rFonts w:ascii="Times New Roman" w:hAnsi="Times New Roman"/>
          <w:kern w:val="0"/>
          <w:sz w:val="24"/>
        </w:rPr>
        <w:t>其他风险</w:t>
      </w:r>
      <w:r w:rsidR="00D6667C">
        <w:rPr>
          <w:rFonts w:ascii="Times New Roman" w:hAnsi="Times New Roman"/>
          <w:kern w:val="0"/>
          <w:sz w:val="24"/>
        </w:rPr>
        <w:t>等</w:t>
      </w:r>
      <w:r>
        <w:rPr>
          <w:rFonts w:ascii="Times New Roman" w:hAnsi="Times New Roman"/>
          <w:kern w:val="0"/>
          <w:sz w:val="24"/>
        </w:rPr>
        <w:t>等。</w:t>
      </w:r>
    </w:p>
    <w:p w14:paraId="7614934B" w14:textId="77777777" w:rsidR="00E77039" w:rsidRPr="00E77039" w:rsidRDefault="00E77039" w:rsidP="00E77039">
      <w:pPr>
        <w:autoSpaceDE w:val="0"/>
        <w:autoSpaceDN w:val="0"/>
        <w:adjustRightInd w:val="0"/>
        <w:snapToGrid w:val="0"/>
        <w:spacing w:line="360" w:lineRule="auto"/>
        <w:ind w:leftChars="50" w:left="105" w:firstLineChars="200" w:firstLine="480"/>
        <w:rPr>
          <w:rFonts w:ascii="Times New Roman" w:hAnsi="Times New Roman"/>
          <w:kern w:val="0"/>
          <w:sz w:val="24"/>
        </w:rPr>
      </w:pPr>
      <w:r w:rsidRPr="00E77039">
        <w:rPr>
          <w:rFonts w:ascii="Times New Roman" w:hAnsi="Times New Roman" w:hint="eastAsia"/>
          <w:kern w:val="0"/>
          <w:sz w:val="24"/>
        </w:rPr>
        <w:t>本基金是一只股票型基金，其预期风险和预期收益理论上高于混合型基金、债券型基金和货币市场基金。</w:t>
      </w:r>
    </w:p>
    <w:p w14:paraId="0E638834" w14:textId="77777777" w:rsidR="00E77039" w:rsidRDefault="00E77039">
      <w:pPr>
        <w:autoSpaceDE w:val="0"/>
        <w:autoSpaceDN w:val="0"/>
        <w:adjustRightInd w:val="0"/>
        <w:snapToGrid w:val="0"/>
        <w:spacing w:line="360" w:lineRule="auto"/>
        <w:ind w:leftChars="50" w:left="105" w:firstLineChars="200" w:firstLine="480"/>
        <w:rPr>
          <w:rFonts w:ascii="Times New Roman" w:hAnsi="Times New Roman"/>
          <w:kern w:val="0"/>
          <w:sz w:val="24"/>
        </w:rPr>
      </w:pPr>
      <w:r w:rsidRPr="00E77039">
        <w:rPr>
          <w:rFonts w:ascii="Times New Roman" w:hAnsi="Times New Roman" w:hint="eastAsia"/>
          <w:kern w:val="0"/>
          <w:sz w:val="24"/>
        </w:rPr>
        <w:t>本基金为指数型基金，主要采用完全复制法跟踪中证红利低波动</w:t>
      </w:r>
      <w:r w:rsidRPr="00E77039">
        <w:rPr>
          <w:rFonts w:ascii="Times New Roman" w:hAnsi="Times New Roman" w:hint="eastAsia"/>
          <w:kern w:val="0"/>
          <w:sz w:val="24"/>
        </w:rPr>
        <w:t>100</w:t>
      </w:r>
      <w:r w:rsidRPr="00E77039">
        <w:rPr>
          <w:rFonts w:ascii="Times New Roman" w:hAnsi="Times New Roman" w:hint="eastAsia"/>
          <w:kern w:val="0"/>
          <w:sz w:val="24"/>
        </w:rPr>
        <w:t>指数，具有与标的指数相似的风险收益特征。</w:t>
      </w:r>
    </w:p>
    <w:p w14:paraId="3D9A6121" w14:textId="77777777" w:rsidR="00FD086C" w:rsidRDefault="004B071E">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本基金为指数基金，投资者投资于本基金面临跟踪误差控制未达约定目标、指数编制机构停止服务、成份券停牌等潜在风险。</w:t>
      </w:r>
    </w:p>
    <w:p w14:paraId="668D012F" w14:textId="45B71D59" w:rsidR="00FD086C" w:rsidRDefault="004B071E">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本基金标的指数为</w:t>
      </w:r>
      <w:r w:rsidR="00710D56" w:rsidRPr="00710D56">
        <w:rPr>
          <w:rFonts w:ascii="Times New Roman" w:hAnsi="Times New Roman" w:hint="eastAsia"/>
          <w:kern w:val="0"/>
          <w:sz w:val="24"/>
        </w:rPr>
        <w:t>中证红利低波动</w:t>
      </w:r>
      <w:r w:rsidR="00710D56" w:rsidRPr="00710D56">
        <w:rPr>
          <w:rFonts w:ascii="Times New Roman" w:hAnsi="Times New Roman" w:hint="eastAsia"/>
          <w:kern w:val="0"/>
          <w:sz w:val="24"/>
        </w:rPr>
        <w:t>100</w:t>
      </w:r>
      <w:r w:rsidR="00710D56" w:rsidRPr="00710D56">
        <w:rPr>
          <w:rFonts w:ascii="Times New Roman" w:hAnsi="Times New Roman" w:hint="eastAsia"/>
          <w:kern w:val="0"/>
          <w:sz w:val="24"/>
        </w:rPr>
        <w:t>指数</w:t>
      </w:r>
      <w:r>
        <w:rPr>
          <w:rFonts w:ascii="Times New Roman" w:hAnsi="Times New Roman"/>
          <w:kern w:val="0"/>
          <w:sz w:val="24"/>
        </w:rPr>
        <w:t>。</w:t>
      </w:r>
    </w:p>
    <w:p w14:paraId="4A734BE1" w14:textId="77777777" w:rsidR="00FD086C" w:rsidRDefault="004B071E">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1</w:t>
      </w:r>
      <w:r>
        <w:rPr>
          <w:rFonts w:ascii="Times New Roman" w:hAnsi="Times New Roman"/>
          <w:kern w:val="0"/>
          <w:sz w:val="24"/>
        </w:rPr>
        <w:t>、选样空间</w:t>
      </w:r>
    </w:p>
    <w:p w14:paraId="6A2140D7" w14:textId="77777777" w:rsidR="00780FFF" w:rsidRDefault="008B10F2">
      <w:pPr>
        <w:autoSpaceDE w:val="0"/>
        <w:autoSpaceDN w:val="0"/>
        <w:adjustRightInd w:val="0"/>
        <w:snapToGrid w:val="0"/>
        <w:spacing w:line="360" w:lineRule="auto"/>
        <w:ind w:leftChars="50" w:left="105" w:firstLineChars="200" w:firstLine="480"/>
        <w:rPr>
          <w:rFonts w:ascii="Times New Roman" w:hAnsi="Times New Roman"/>
          <w:kern w:val="0"/>
          <w:sz w:val="24"/>
        </w:rPr>
      </w:pPr>
      <w:r w:rsidRPr="008B10F2">
        <w:rPr>
          <w:rFonts w:ascii="Times New Roman" w:hAnsi="Times New Roman" w:hint="eastAsia"/>
          <w:kern w:val="0"/>
          <w:sz w:val="24"/>
        </w:rPr>
        <w:lastRenderedPageBreak/>
        <w:t>同中证全指指数的样本空间</w:t>
      </w:r>
    </w:p>
    <w:p w14:paraId="6C28130E" w14:textId="77777777" w:rsidR="00FD086C" w:rsidRDefault="004B071E">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2</w:t>
      </w:r>
      <w:r>
        <w:rPr>
          <w:rFonts w:ascii="Times New Roman" w:hAnsi="Times New Roman"/>
          <w:kern w:val="0"/>
          <w:sz w:val="24"/>
        </w:rPr>
        <w:t>、选样方法</w:t>
      </w:r>
    </w:p>
    <w:p w14:paraId="58700023" w14:textId="77777777" w:rsidR="008B10F2" w:rsidRDefault="008B10F2">
      <w:pPr>
        <w:autoSpaceDE w:val="0"/>
        <w:autoSpaceDN w:val="0"/>
        <w:adjustRightInd w:val="0"/>
        <w:snapToGrid w:val="0"/>
        <w:spacing w:line="360" w:lineRule="auto"/>
        <w:ind w:leftChars="50" w:left="105" w:firstLineChars="200" w:firstLine="480"/>
        <w:rPr>
          <w:rFonts w:ascii="Times New Roman" w:hAnsi="Times New Roman"/>
          <w:kern w:val="0"/>
          <w:sz w:val="24"/>
        </w:rPr>
      </w:pPr>
      <w:r w:rsidRPr="008B10F2">
        <w:rPr>
          <w:rFonts w:ascii="Times New Roman" w:hAnsi="Times New Roman" w:hint="eastAsia"/>
          <w:kern w:val="0"/>
          <w:sz w:val="24"/>
        </w:rPr>
        <w:t>（</w:t>
      </w:r>
      <w:r w:rsidRPr="008B10F2">
        <w:rPr>
          <w:rFonts w:ascii="Times New Roman" w:hAnsi="Times New Roman" w:hint="eastAsia"/>
          <w:kern w:val="0"/>
          <w:sz w:val="24"/>
        </w:rPr>
        <w:t>1</w:t>
      </w:r>
      <w:r w:rsidRPr="008B10F2">
        <w:rPr>
          <w:rFonts w:ascii="Times New Roman" w:hAnsi="Times New Roman" w:hint="eastAsia"/>
          <w:kern w:val="0"/>
          <w:sz w:val="24"/>
        </w:rPr>
        <w:t>）对样本空间内证券按照过去一年的日均成交金额由高到低排名，剔除排名后</w:t>
      </w:r>
      <w:r w:rsidRPr="008B10F2">
        <w:rPr>
          <w:rFonts w:ascii="Times New Roman" w:hAnsi="Times New Roman" w:hint="eastAsia"/>
          <w:kern w:val="0"/>
          <w:sz w:val="24"/>
        </w:rPr>
        <w:t>20%</w:t>
      </w:r>
      <w:r w:rsidRPr="008B10F2">
        <w:rPr>
          <w:rFonts w:ascii="Times New Roman" w:hAnsi="Times New Roman" w:hint="eastAsia"/>
          <w:kern w:val="0"/>
          <w:sz w:val="24"/>
        </w:rPr>
        <w:t>的证券；</w:t>
      </w:r>
    </w:p>
    <w:p w14:paraId="5BC228E3" w14:textId="77777777" w:rsidR="008B10F2" w:rsidRDefault="008B10F2">
      <w:pPr>
        <w:autoSpaceDE w:val="0"/>
        <w:autoSpaceDN w:val="0"/>
        <w:adjustRightInd w:val="0"/>
        <w:snapToGrid w:val="0"/>
        <w:spacing w:line="360" w:lineRule="auto"/>
        <w:ind w:leftChars="50" w:left="105" w:firstLineChars="200" w:firstLine="480"/>
        <w:rPr>
          <w:rFonts w:ascii="Times New Roman" w:hAnsi="Times New Roman"/>
          <w:kern w:val="0"/>
          <w:sz w:val="24"/>
        </w:rPr>
      </w:pPr>
      <w:r w:rsidRPr="008B10F2">
        <w:rPr>
          <w:rFonts w:ascii="Times New Roman" w:hAnsi="Times New Roman" w:hint="eastAsia"/>
          <w:kern w:val="0"/>
          <w:sz w:val="24"/>
        </w:rPr>
        <w:t>（</w:t>
      </w:r>
      <w:r>
        <w:rPr>
          <w:rFonts w:ascii="Times New Roman" w:hAnsi="Times New Roman"/>
          <w:kern w:val="0"/>
          <w:sz w:val="24"/>
        </w:rPr>
        <w:t>2</w:t>
      </w:r>
      <w:r w:rsidRPr="008B10F2">
        <w:rPr>
          <w:rFonts w:ascii="Times New Roman" w:hAnsi="Times New Roman" w:hint="eastAsia"/>
          <w:kern w:val="0"/>
          <w:sz w:val="24"/>
        </w:rPr>
        <w:t>）选取过去三年连续现金分红且每年现金股息率均大于</w:t>
      </w:r>
      <w:r w:rsidRPr="008B10F2">
        <w:rPr>
          <w:rFonts w:ascii="Times New Roman" w:hAnsi="Times New Roman" w:hint="eastAsia"/>
          <w:kern w:val="0"/>
          <w:sz w:val="24"/>
        </w:rPr>
        <w:t>0</w:t>
      </w:r>
      <w:r w:rsidRPr="008B10F2">
        <w:rPr>
          <w:rFonts w:ascii="Times New Roman" w:hAnsi="Times New Roman" w:hint="eastAsia"/>
          <w:kern w:val="0"/>
          <w:sz w:val="24"/>
        </w:rPr>
        <w:t>的证券；</w:t>
      </w:r>
    </w:p>
    <w:p w14:paraId="2D42D688" w14:textId="3F31573A" w:rsidR="007422CF" w:rsidRDefault="008B10F2" w:rsidP="00E22786">
      <w:pPr>
        <w:autoSpaceDE w:val="0"/>
        <w:autoSpaceDN w:val="0"/>
        <w:adjustRightInd w:val="0"/>
        <w:snapToGrid w:val="0"/>
        <w:spacing w:line="360" w:lineRule="auto"/>
        <w:ind w:leftChars="50" w:left="105" w:firstLineChars="200" w:firstLine="480"/>
        <w:rPr>
          <w:rFonts w:ascii="Times New Roman" w:hAnsi="Times New Roman"/>
          <w:kern w:val="0"/>
          <w:sz w:val="24"/>
        </w:rPr>
      </w:pPr>
      <w:r w:rsidRPr="008B10F2">
        <w:rPr>
          <w:rFonts w:ascii="Times New Roman" w:hAnsi="Times New Roman" w:hint="eastAsia"/>
          <w:kern w:val="0"/>
          <w:sz w:val="24"/>
        </w:rPr>
        <w:t>（</w:t>
      </w:r>
      <w:r w:rsidRPr="008B10F2">
        <w:rPr>
          <w:rFonts w:ascii="Times New Roman" w:hAnsi="Times New Roman" w:hint="eastAsia"/>
          <w:kern w:val="0"/>
          <w:sz w:val="24"/>
        </w:rPr>
        <w:t>3</w:t>
      </w:r>
      <w:r w:rsidRPr="008B10F2">
        <w:rPr>
          <w:rFonts w:ascii="Times New Roman" w:hAnsi="Times New Roman" w:hint="eastAsia"/>
          <w:kern w:val="0"/>
          <w:sz w:val="24"/>
        </w:rPr>
        <w:t>）对（</w:t>
      </w:r>
      <w:r w:rsidRPr="008B10F2">
        <w:rPr>
          <w:rFonts w:ascii="Times New Roman" w:hAnsi="Times New Roman" w:hint="eastAsia"/>
          <w:kern w:val="0"/>
          <w:sz w:val="24"/>
        </w:rPr>
        <w:t>2</w:t>
      </w:r>
      <w:r w:rsidRPr="008B10F2">
        <w:rPr>
          <w:rFonts w:ascii="Times New Roman" w:hAnsi="Times New Roman" w:hint="eastAsia"/>
          <w:kern w:val="0"/>
          <w:sz w:val="24"/>
        </w:rPr>
        <w:t>）中剩余证券，计算每只证券的股息率和过去一年波动率，其中股息率的计算方法如下：</w:t>
      </w:r>
    </w:p>
    <w:p w14:paraId="51FE0E72" w14:textId="68AE337B" w:rsidR="00E22786" w:rsidRPr="00040D5C" w:rsidRDefault="00B60F9A" w:rsidP="00040D5C">
      <w:pPr>
        <w:autoSpaceDE w:val="0"/>
        <w:autoSpaceDN w:val="0"/>
        <w:adjustRightInd w:val="0"/>
        <w:snapToGrid w:val="0"/>
        <w:spacing w:line="360" w:lineRule="auto"/>
        <w:ind w:leftChars="50" w:left="105" w:firstLineChars="200" w:firstLine="480"/>
        <w:jc w:val="center"/>
        <w:rPr>
          <w:rFonts w:ascii="Times New Roman" w:hAnsi="Times New Roman"/>
          <w:i/>
          <w:kern w:val="0"/>
          <w:sz w:val="24"/>
          <w:szCs w:val="24"/>
        </w:rPr>
      </w:pPr>
      <m:oMathPara>
        <m:oMath>
          <m:r>
            <m:rPr>
              <m:nor/>
            </m:rPr>
            <w:rPr>
              <w:rFonts w:ascii="Cambria Math" w:hAnsi="Cambria Math" w:hint="eastAsia"/>
              <w:kern w:val="0"/>
              <w:sz w:val="24"/>
              <w:szCs w:val="24"/>
            </w:rPr>
            <m:t>股息率</m:t>
          </m:r>
          <m:r>
            <m:rPr>
              <m:nor/>
            </m:rPr>
            <w:rPr>
              <w:rFonts w:ascii="Cambria Math" w:hAnsi="Cambria Math"/>
              <w:kern w:val="0"/>
              <w:sz w:val="24"/>
              <w:szCs w:val="24"/>
            </w:rPr>
            <m:t>=</m:t>
          </m:r>
          <m:f>
            <m:fPr>
              <m:ctrlPr>
                <w:rPr>
                  <w:rFonts w:ascii="Cambria Math" w:hAnsi="Cambria Math"/>
                  <w:kern w:val="0"/>
                  <w:sz w:val="24"/>
                  <w:szCs w:val="24"/>
                </w:rPr>
              </m:ctrlPr>
            </m:fPr>
            <m:num>
              <m:r>
                <m:rPr>
                  <m:nor/>
                </m:rPr>
                <w:rPr>
                  <w:rFonts w:ascii="Cambria Math" w:hAnsi="Cambria Math" w:hint="eastAsia"/>
                  <w:kern w:val="0"/>
                  <w:sz w:val="24"/>
                  <w:szCs w:val="24"/>
                </w:rPr>
                <m:t>过去三个会计年度分红总额</m:t>
              </m:r>
              <m:r>
                <m:rPr>
                  <m:nor/>
                </m:rPr>
                <w:rPr>
                  <w:rFonts w:ascii="Cambria Math" w:hAnsi="Cambria Math"/>
                  <w:kern w:val="0"/>
                  <w:sz w:val="24"/>
                  <w:szCs w:val="24"/>
                </w:rPr>
                <m:t>/3</m:t>
              </m:r>
            </m:num>
            <m:den>
              <m:r>
                <m:rPr>
                  <m:nor/>
                </m:rPr>
                <w:rPr>
                  <w:rFonts w:ascii="Cambria Math" w:hAnsi="Cambria Math" w:hint="eastAsia"/>
                  <w:kern w:val="0"/>
                  <w:sz w:val="24"/>
                  <w:szCs w:val="24"/>
                </w:rPr>
                <m:t>调整日总市值</m:t>
              </m:r>
            </m:den>
          </m:f>
        </m:oMath>
      </m:oMathPara>
    </w:p>
    <w:p w14:paraId="782CF293" w14:textId="77777777" w:rsidR="008B10F2" w:rsidRDefault="008B10F2">
      <w:pPr>
        <w:autoSpaceDE w:val="0"/>
        <w:autoSpaceDN w:val="0"/>
        <w:adjustRightInd w:val="0"/>
        <w:snapToGrid w:val="0"/>
        <w:spacing w:line="360" w:lineRule="auto"/>
        <w:ind w:leftChars="50" w:left="105" w:firstLineChars="200" w:firstLine="480"/>
        <w:rPr>
          <w:rFonts w:ascii="Times New Roman" w:hAnsi="Times New Roman"/>
          <w:kern w:val="0"/>
          <w:sz w:val="24"/>
        </w:rPr>
      </w:pPr>
      <w:r w:rsidRPr="008B10F2">
        <w:rPr>
          <w:rFonts w:ascii="Times New Roman" w:hAnsi="Times New Roman" w:hint="eastAsia"/>
          <w:kern w:val="0"/>
          <w:sz w:val="24"/>
        </w:rPr>
        <w:t>（</w:t>
      </w:r>
      <w:r w:rsidRPr="008B10F2">
        <w:rPr>
          <w:rFonts w:ascii="Times New Roman" w:hAnsi="Times New Roman" w:hint="eastAsia"/>
          <w:kern w:val="0"/>
          <w:sz w:val="24"/>
        </w:rPr>
        <w:t>4</w:t>
      </w:r>
      <w:r w:rsidRPr="008B10F2">
        <w:rPr>
          <w:rFonts w:ascii="Times New Roman" w:hAnsi="Times New Roman" w:hint="eastAsia"/>
          <w:kern w:val="0"/>
          <w:sz w:val="24"/>
        </w:rPr>
        <w:t>）对（</w:t>
      </w:r>
      <w:r w:rsidRPr="008B10F2">
        <w:rPr>
          <w:rFonts w:ascii="Times New Roman" w:hAnsi="Times New Roman" w:hint="eastAsia"/>
          <w:kern w:val="0"/>
          <w:sz w:val="24"/>
        </w:rPr>
        <w:t>3</w:t>
      </w:r>
      <w:r w:rsidRPr="008B10F2">
        <w:rPr>
          <w:rFonts w:ascii="Times New Roman" w:hAnsi="Times New Roman" w:hint="eastAsia"/>
          <w:kern w:val="0"/>
          <w:sz w:val="24"/>
        </w:rPr>
        <w:t>）中证券，首先按照股息率进行降序排名，选取排名靠前的</w:t>
      </w:r>
      <w:r w:rsidRPr="008B10F2">
        <w:rPr>
          <w:rFonts w:ascii="Times New Roman" w:hAnsi="Times New Roman" w:hint="eastAsia"/>
          <w:kern w:val="0"/>
          <w:sz w:val="24"/>
        </w:rPr>
        <w:t>300</w:t>
      </w:r>
      <w:r w:rsidRPr="008B10F2">
        <w:rPr>
          <w:rFonts w:ascii="Times New Roman" w:hAnsi="Times New Roman" w:hint="eastAsia"/>
          <w:kern w:val="0"/>
          <w:sz w:val="24"/>
        </w:rPr>
        <w:t>只证券；再根据过去一年波动率升序排名，选取排名靠前的</w:t>
      </w:r>
      <w:r w:rsidRPr="008B10F2">
        <w:rPr>
          <w:rFonts w:ascii="Times New Roman" w:hAnsi="Times New Roman" w:hint="eastAsia"/>
          <w:kern w:val="0"/>
          <w:sz w:val="24"/>
        </w:rPr>
        <w:t>100</w:t>
      </w:r>
      <w:r w:rsidRPr="008B10F2">
        <w:rPr>
          <w:rFonts w:ascii="Times New Roman" w:hAnsi="Times New Roman" w:hint="eastAsia"/>
          <w:kern w:val="0"/>
          <w:sz w:val="24"/>
        </w:rPr>
        <w:t>只证券作为指数样本。</w:t>
      </w:r>
    </w:p>
    <w:p w14:paraId="3FADF225" w14:textId="77777777" w:rsidR="00FD086C" w:rsidRDefault="004B071E">
      <w:pPr>
        <w:autoSpaceDE w:val="0"/>
        <w:autoSpaceDN w:val="0"/>
        <w:adjustRightInd w:val="0"/>
        <w:snapToGrid w:val="0"/>
        <w:spacing w:line="360" w:lineRule="auto"/>
        <w:ind w:leftChars="50" w:left="105" w:firstLineChars="200" w:firstLine="480"/>
        <w:rPr>
          <w:rFonts w:ascii="Times New Roman" w:hAnsi="Times New Roman"/>
          <w:kern w:val="0"/>
          <w:sz w:val="24"/>
        </w:rPr>
      </w:pPr>
      <w:r>
        <w:rPr>
          <w:rFonts w:ascii="Times New Roman" w:hAnsi="Times New Roman"/>
          <w:kern w:val="0"/>
          <w:sz w:val="24"/>
        </w:rPr>
        <w:t>3</w:t>
      </w:r>
      <w:r>
        <w:rPr>
          <w:rFonts w:ascii="Times New Roman" w:hAnsi="Times New Roman"/>
          <w:kern w:val="0"/>
          <w:sz w:val="24"/>
        </w:rPr>
        <w:t>、指数计算</w:t>
      </w:r>
    </w:p>
    <w:p w14:paraId="0F2F4FBC" w14:textId="759B8F1D" w:rsidR="00093DFA" w:rsidRDefault="00093DFA">
      <w:pPr>
        <w:autoSpaceDE w:val="0"/>
        <w:autoSpaceDN w:val="0"/>
        <w:adjustRightInd w:val="0"/>
        <w:snapToGrid w:val="0"/>
        <w:spacing w:line="360" w:lineRule="auto"/>
        <w:ind w:leftChars="50" w:left="105" w:firstLineChars="200" w:firstLine="480"/>
        <w:rPr>
          <w:rFonts w:ascii="宋体" w:hAnsi="宋体"/>
          <w:kern w:val="0"/>
          <w:sz w:val="24"/>
        </w:rPr>
      </w:pPr>
      <w:r w:rsidRPr="00093DFA">
        <w:rPr>
          <w:rFonts w:ascii="宋体" w:hAnsi="宋体" w:hint="eastAsia"/>
          <w:kern w:val="0"/>
          <w:sz w:val="24"/>
        </w:rPr>
        <w:t>指数计算公式为：</w:t>
      </w:r>
    </w:p>
    <w:p w14:paraId="53E06FC0" w14:textId="5919C942" w:rsidR="00FD086C" w:rsidRDefault="00E22786" w:rsidP="00040D5C">
      <w:pPr>
        <w:autoSpaceDE w:val="0"/>
        <w:autoSpaceDN w:val="0"/>
        <w:adjustRightInd w:val="0"/>
        <w:snapToGrid w:val="0"/>
        <w:spacing w:line="360" w:lineRule="auto"/>
        <w:ind w:leftChars="50" w:left="105" w:firstLineChars="200" w:firstLine="480"/>
        <w:rPr>
          <w:rFonts w:ascii="宋体" w:hAnsi="宋体"/>
          <w:kern w:val="0"/>
          <w:sz w:val="24"/>
        </w:rPr>
      </w:pPr>
      <m:oMathPara>
        <m:oMath>
          <m:r>
            <m:rPr>
              <m:sty m:val="p"/>
            </m:rPr>
            <w:rPr>
              <w:rFonts w:ascii="Cambria Math" w:hAnsi="Cambria Math" w:hint="eastAsia"/>
              <w:kern w:val="0"/>
              <w:sz w:val="24"/>
              <w:szCs w:val="24"/>
            </w:rPr>
            <m:t>报告期指数</m:t>
          </m:r>
          <m:r>
            <m:rPr>
              <m:sty m:val="p"/>
            </m:rPr>
            <w:rPr>
              <w:rFonts w:ascii="Cambria Math" w:hAnsi="Cambria Math"/>
              <w:kern w:val="0"/>
              <w:sz w:val="24"/>
              <w:szCs w:val="24"/>
            </w:rPr>
            <m:t>=</m:t>
          </m:r>
          <m:f>
            <m:fPr>
              <m:ctrlPr>
                <w:rPr>
                  <w:rFonts w:ascii="Cambria Math" w:hAnsi="Cambria Math"/>
                  <w:kern w:val="0"/>
                  <w:sz w:val="24"/>
                  <w:szCs w:val="24"/>
                </w:rPr>
              </m:ctrlPr>
            </m:fPr>
            <m:num>
              <m:r>
                <m:rPr>
                  <m:sty m:val="p"/>
                </m:rPr>
                <w:rPr>
                  <w:rFonts w:ascii="Cambria Math" w:hAnsi="Cambria Math" w:hint="eastAsia"/>
                  <w:kern w:val="0"/>
                  <w:sz w:val="24"/>
                  <w:szCs w:val="24"/>
                </w:rPr>
                <m:t>报告期样本的调整市值</m:t>
              </m:r>
            </m:num>
            <m:den>
              <m:r>
                <m:rPr>
                  <m:sty m:val="p"/>
                </m:rPr>
                <w:rPr>
                  <w:rFonts w:ascii="Cambria Math" w:hAnsi="Cambria Math" w:hint="eastAsia"/>
                  <w:kern w:val="0"/>
                  <w:sz w:val="24"/>
                  <w:szCs w:val="24"/>
                </w:rPr>
                <m:t>除数</m:t>
              </m:r>
            </m:den>
          </m:f>
          <m:r>
            <m:rPr>
              <m:sty m:val="p"/>
            </m:rPr>
            <w:rPr>
              <w:rFonts w:ascii="Cambria Math" w:hAnsi="Cambria Math"/>
              <w:kern w:val="0"/>
              <w:sz w:val="24"/>
              <w:szCs w:val="24"/>
            </w:rPr>
            <m:t>×1000</m:t>
          </m:r>
        </m:oMath>
      </m:oMathPara>
    </w:p>
    <w:p w14:paraId="642BE939" w14:textId="77777777" w:rsidR="00093DFA" w:rsidRDefault="00093DFA" w:rsidP="005C1E06">
      <w:pPr>
        <w:autoSpaceDE w:val="0"/>
        <w:autoSpaceDN w:val="0"/>
        <w:adjustRightInd w:val="0"/>
        <w:snapToGrid w:val="0"/>
        <w:spacing w:line="360" w:lineRule="auto"/>
        <w:ind w:leftChars="50" w:left="105" w:firstLineChars="200" w:firstLine="480"/>
        <w:rPr>
          <w:rFonts w:ascii="Times New Roman" w:hAnsi="Times New Roman"/>
          <w:kern w:val="0"/>
          <w:sz w:val="24"/>
        </w:rPr>
      </w:pPr>
      <w:r w:rsidRPr="00093DFA">
        <w:rPr>
          <w:rFonts w:ascii="Times New Roman" w:hAnsi="Times New Roman" w:hint="eastAsia"/>
          <w:kern w:val="0"/>
          <w:sz w:val="24"/>
        </w:rPr>
        <w:t>其中，调整市值＝∑</w:t>
      </w:r>
      <w:r w:rsidRPr="00093DFA">
        <w:rPr>
          <w:rFonts w:ascii="Times New Roman" w:hAnsi="Times New Roman" w:hint="eastAsia"/>
          <w:kern w:val="0"/>
          <w:sz w:val="24"/>
        </w:rPr>
        <w:t>(</w:t>
      </w:r>
      <w:r w:rsidRPr="00093DFA">
        <w:rPr>
          <w:rFonts w:ascii="Times New Roman" w:hAnsi="Times New Roman" w:hint="eastAsia"/>
          <w:kern w:val="0"/>
          <w:sz w:val="24"/>
        </w:rPr>
        <w:t>证券价格×调整股本数×权重因子</w:t>
      </w:r>
      <w:r w:rsidRPr="00093DFA">
        <w:rPr>
          <w:rFonts w:ascii="Times New Roman" w:hAnsi="Times New Roman" w:hint="eastAsia"/>
          <w:kern w:val="0"/>
          <w:sz w:val="24"/>
        </w:rPr>
        <w:t>)</w:t>
      </w:r>
      <w:r w:rsidRPr="00093DFA">
        <w:rPr>
          <w:rFonts w:ascii="Times New Roman" w:hAnsi="Times New Roman" w:hint="eastAsia"/>
          <w:kern w:val="0"/>
          <w:sz w:val="24"/>
        </w:rPr>
        <w:t>。调整股本数的计算方法、除数修正方法参见计算与维护细则。权重因子介于</w:t>
      </w:r>
      <w:r w:rsidRPr="00093DFA">
        <w:rPr>
          <w:rFonts w:ascii="Times New Roman" w:hAnsi="Times New Roman" w:hint="eastAsia"/>
          <w:kern w:val="0"/>
          <w:sz w:val="24"/>
        </w:rPr>
        <w:t xml:space="preserve"> 0 </w:t>
      </w:r>
      <w:r w:rsidRPr="00093DFA">
        <w:rPr>
          <w:rFonts w:ascii="Times New Roman" w:hAnsi="Times New Roman" w:hint="eastAsia"/>
          <w:kern w:val="0"/>
          <w:sz w:val="24"/>
        </w:rPr>
        <w:t>和</w:t>
      </w:r>
      <w:r w:rsidRPr="00093DFA">
        <w:rPr>
          <w:rFonts w:ascii="Times New Roman" w:hAnsi="Times New Roman" w:hint="eastAsia"/>
          <w:kern w:val="0"/>
          <w:sz w:val="24"/>
        </w:rPr>
        <w:t xml:space="preserve"> 1 </w:t>
      </w:r>
      <w:r w:rsidRPr="00093DFA">
        <w:rPr>
          <w:rFonts w:ascii="Times New Roman" w:hAnsi="Times New Roman" w:hint="eastAsia"/>
          <w:kern w:val="0"/>
          <w:sz w:val="24"/>
        </w:rPr>
        <w:t>之间，以使样本采用股息率</w:t>
      </w:r>
      <w:r w:rsidRPr="00093DFA">
        <w:rPr>
          <w:rFonts w:ascii="Times New Roman" w:hAnsi="Times New Roman" w:hint="eastAsia"/>
          <w:kern w:val="0"/>
          <w:sz w:val="24"/>
        </w:rPr>
        <w:t>/</w:t>
      </w:r>
      <w:r w:rsidRPr="00093DFA">
        <w:rPr>
          <w:rFonts w:ascii="Times New Roman" w:hAnsi="Times New Roman" w:hint="eastAsia"/>
          <w:kern w:val="0"/>
          <w:sz w:val="24"/>
        </w:rPr>
        <w:t>过去一年波动率加权，且样本所属中证二级行业的权重不超过</w:t>
      </w:r>
      <w:r w:rsidRPr="00093DFA">
        <w:rPr>
          <w:rFonts w:ascii="Times New Roman" w:hAnsi="Times New Roman" w:hint="eastAsia"/>
          <w:kern w:val="0"/>
          <w:sz w:val="24"/>
        </w:rPr>
        <w:t xml:space="preserve"> 20%</w:t>
      </w:r>
      <w:r w:rsidRPr="00093DFA">
        <w:rPr>
          <w:rFonts w:ascii="Times New Roman" w:hAnsi="Times New Roman" w:hint="eastAsia"/>
          <w:kern w:val="0"/>
          <w:sz w:val="24"/>
        </w:rPr>
        <w:t>。</w:t>
      </w:r>
    </w:p>
    <w:p w14:paraId="61EE5616" w14:textId="77777777" w:rsidR="00BA513D" w:rsidRDefault="004B071E" w:rsidP="00BA513D">
      <w:pPr>
        <w:autoSpaceDE w:val="0"/>
        <w:autoSpaceDN w:val="0"/>
        <w:adjustRightInd w:val="0"/>
        <w:snapToGrid w:val="0"/>
        <w:spacing w:line="360" w:lineRule="auto"/>
        <w:ind w:leftChars="50" w:left="105" w:firstLineChars="200" w:firstLine="480"/>
        <w:rPr>
          <w:rFonts w:ascii="Times New Roman" w:hAnsi="Times New Roman"/>
          <w:kern w:val="0"/>
          <w:sz w:val="24"/>
        </w:rPr>
      </w:pPr>
      <w:r>
        <w:rPr>
          <w:rFonts w:ascii="Times New Roman" w:hAnsi="Times New Roman"/>
          <w:kern w:val="0"/>
          <w:sz w:val="24"/>
        </w:rPr>
        <w:t>有关标的指数具体编制方案及成份股信息详见</w:t>
      </w:r>
      <w:r w:rsidR="005C1E06" w:rsidRPr="00040D5C">
        <w:rPr>
          <w:rFonts w:ascii="Times New Roman" w:hAnsi="Times New Roman" w:hint="eastAsia"/>
          <w:kern w:val="0"/>
          <w:sz w:val="24"/>
        </w:rPr>
        <w:t>中证指数有限公司网站，网址：</w:t>
      </w:r>
      <w:hyperlink r:id="rId13" w:history="1">
        <w:r w:rsidR="005C1E06" w:rsidRPr="00040D5C">
          <w:rPr>
            <w:rStyle w:val="af0"/>
            <w:rFonts w:ascii="Times New Roman" w:hAnsi="Times New Roman"/>
            <w:kern w:val="0"/>
            <w:sz w:val="24"/>
          </w:rPr>
          <w:t>www.csindex.com.cn</w:t>
        </w:r>
      </w:hyperlink>
      <w:r w:rsidR="005C1E06" w:rsidRPr="00040D5C">
        <w:rPr>
          <w:rFonts w:ascii="Times New Roman" w:hAnsi="Times New Roman" w:hint="eastAsia"/>
          <w:kern w:val="0"/>
          <w:sz w:val="24"/>
        </w:rPr>
        <w:t>。</w:t>
      </w:r>
    </w:p>
    <w:p w14:paraId="60DA4A2C" w14:textId="77777777" w:rsidR="00CF66CB" w:rsidRDefault="00CF66CB" w:rsidP="00CF66CB">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本基金可投资于股指期货，股指期货作为一种金融衍生品，其价值取决于一种或多种基础资产或指数，其评价主要源自于对挂钩资产的价格与价格波动的预期。投资股指期货所面临的风险主要是市场风险、流动性风险、基差风险、保证金风险、信用风险和操作风险，以及不适当的估值使基金资产面临损失的风险等。</w:t>
      </w:r>
    </w:p>
    <w:p w14:paraId="13794198" w14:textId="77777777" w:rsidR="005F2BCE" w:rsidRDefault="005F2BCE" w:rsidP="005F2BCE">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本基金可投资资产支持证券，资产支持证券具有一定的价格波动风险、流动性风险、信用风险等风险，基金管理人将本着谨慎和控制风险的原则进行资产支持证券投资，请基金份额持有人关注包括投资资产支持证券可能导致的基金净值波动在内的各项风险。</w:t>
      </w:r>
    </w:p>
    <w:p w14:paraId="1017C4CB" w14:textId="195395CF" w:rsidR="00287A08" w:rsidRDefault="00287A08" w:rsidP="00287A08">
      <w:pPr>
        <w:widowControl/>
        <w:adjustRightInd w:val="0"/>
        <w:snapToGrid w:val="0"/>
        <w:spacing w:line="360" w:lineRule="auto"/>
        <w:ind w:firstLineChars="200" w:firstLine="480"/>
        <w:rPr>
          <w:rFonts w:hAnsi="宋体"/>
          <w:sz w:val="24"/>
        </w:rPr>
      </w:pPr>
      <w:r>
        <w:rPr>
          <w:rFonts w:hAnsi="宋体" w:hint="eastAsia"/>
          <w:sz w:val="24"/>
        </w:rPr>
        <w:lastRenderedPageBreak/>
        <w:t>基金投资流动受限证券将面临证券市场流动性风险，主要表现在几个方面：基金建仓困难，或建仓成本很高；基金资产不能迅速转变成现金，或变现成本很高；不能应付可能出现的投资者大额赎回的风险；证券投资中个券和个股的流动性风险等。</w:t>
      </w:r>
    </w:p>
    <w:p w14:paraId="3CC81E91" w14:textId="77777777" w:rsidR="00287A08" w:rsidRDefault="00287A08" w:rsidP="00287A08">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具体风险烦请查阅本招募说明书</w:t>
      </w:r>
      <w:r>
        <w:rPr>
          <w:rFonts w:ascii="Times New Roman" w:hAnsi="Times New Roman"/>
          <w:kern w:val="0"/>
          <w:sz w:val="24"/>
        </w:rPr>
        <w:t>“</w:t>
      </w:r>
      <w:r>
        <w:rPr>
          <w:rFonts w:ascii="Times New Roman" w:hAnsi="Times New Roman"/>
          <w:kern w:val="0"/>
          <w:sz w:val="24"/>
        </w:rPr>
        <w:t>风险揭示</w:t>
      </w:r>
      <w:r>
        <w:rPr>
          <w:rFonts w:ascii="Times New Roman" w:hAnsi="Times New Roman"/>
          <w:kern w:val="0"/>
          <w:sz w:val="24"/>
        </w:rPr>
        <w:t>”</w:t>
      </w:r>
      <w:r>
        <w:rPr>
          <w:rFonts w:ascii="Times New Roman" w:hAnsi="Times New Roman"/>
          <w:kern w:val="0"/>
          <w:sz w:val="24"/>
        </w:rPr>
        <w:t>章节内容。</w:t>
      </w:r>
    </w:p>
    <w:p w14:paraId="64497232" w14:textId="77777777" w:rsidR="00287A08" w:rsidRDefault="00287A08" w:rsidP="00287A08">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本基金可根据投资策略需要或市场环境的变化，选择将部分基金资产投资于存托凭证或选择不将基金资产投资于存托凭证，基金资产并非必然投资存托凭证。</w:t>
      </w:r>
    </w:p>
    <w:p w14:paraId="7FD8469F" w14:textId="77777777" w:rsidR="00611C90" w:rsidRDefault="00611C90" w:rsidP="00611C90">
      <w:pPr>
        <w:widowControl/>
        <w:adjustRightInd w:val="0"/>
        <w:snapToGrid w:val="0"/>
        <w:spacing w:line="360" w:lineRule="auto"/>
        <w:ind w:firstLineChars="200" w:firstLine="480"/>
        <w:rPr>
          <w:rFonts w:hAnsi="宋体"/>
          <w:bCs/>
          <w:sz w:val="24"/>
        </w:rPr>
      </w:pPr>
      <w:r>
        <w:rPr>
          <w:rFonts w:hAnsi="宋体" w:hint="eastAsia"/>
          <w:bCs/>
          <w:sz w:val="24"/>
        </w:rPr>
        <w:t>本基金可投资科创板股票，会面临科创板机制下因投资标的、市场制度以及交易规则等差异带来的特有风险，包括但不限于市场风险、流动性风险、退市风险、集中度风险、系统性风险、政策风险等。具体风险请查阅本基金招募说明书“风险揭示”章节的具体内容。</w:t>
      </w:r>
    </w:p>
    <w:p w14:paraId="271A4BB5" w14:textId="77777777" w:rsidR="00611C90" w:rsidRDefault="00611C90" w:rsidP="00611C90">
      <w:pPr>
        <w:widowControl/>
        <w:adjustRightInd w:val="0"/>
        <w:snapToGrid w:val="0"/>
        <w:spacing w:line="360" w:lineRule="auto"/>
        <w:ind w:firstLineChars="200" w:firstLine="480"/>
        <w:rPr>
          <w:kern w:val="0"/>
          <w:sz w:val="24"/>
        </w:rPr>
      </w:pPr>
      <w:r>
        <w:rPr>
          <w:rFonts w:hAnsi="宋体" w:hint="eastAsia"/>
          <w:bCs/>
          <w:sz w:val="24"/>
        </w:rPr>
        <w:t>基金可根据投资策略需要或市场环境的变化，选择将部分基金资产投资于科创板股票或选择不将基金资产投资于科创板股票，基金资产并非必然投资于科创板股票。</w:t>
      </w:r>
    </w:p>
    <w:p w14:paraId="13EDA9AC" w14:textId="1AADB873" w:rsidR="002F2F34" w:rsidRDefault="002F2F34" w:rsidP="002F2F34">
      <w:pPr>
        <w:autoSpaceDE w:val="0"/>
        <w:autoSpaceDN w:val="0"/>
        <w:adjustRightInd w:val="0"/>
        <w:snapToGrid w:val="0"/>
        <w:spacing w:line="360" w:lineRule="auto"/>
        <w:ind w:leftChars="50" w:left="105" w:firstLineChars="200" w:firstLine="480"/>
        <w:rPr>
          <w:rFonts w:ascii="Times New Roman" w:hAnsi="Times New Roman"/>
          <w:kern w:val="0"/>
          <w:sz w:val="24"/>
        </w:rPr>
      </w:pPr>
      <w:r w:rsidRPr="0005145C">
        <w:rPr>
          <w:rFonts w:ascii="Times New Roman" w:hAnsi="Times New Roman"/>
          <w:bCs/>
          <w:kern w:val="0"/>
          <w:sz w:val="24"/>
        </w:rPr>
        <w:t>《基金合同》生效后，</w:t>
      </w:r>
      <w:r>
        <w:rPr>
          <w:rFonts w:ascii="Times New Roman" w:hAnsi="Times New Roman"/>
          <w:kern w:val="0"/>
          <w:sz w:val="24"/>
        </w:rPr>
        <w:t>连续</w:t>
      </w:r>
      <w:r>
        <w:rPr>
          <w:rFonts w:ascii="Times New Roman" w:hAnsi="Times New Roman" w:hint="eastAsia"/>
          <w:kern w:val="0"/>
          <w:sz w:val="24"/>
        </w:rPr>
        <w:t>5</w:t>
      </w:r>
      <w:r>
        <w:rPr>
          <w:rFonts w:ascii="Times New Roman" w:hAnsi="Times New Roman"/>
          <w:kern w:val="0"/>
          <w:sz w:val="24"/>
        </w:rPr>
        <w:t>0</w:t>
      </w:r>
      <w:r>
        <w:rPr>
          <w:rFonts w:ascii="Times New Roman" w:hAnsi="Times New Roman"/>
          <w:kern w:val="0"/>
          <w:sz w:val="24"/>
        </w:rPr>
        <w:t>个工作日出现基金份额持有人数量不满</w:t>
      </w:r>
      <w:r>
        <w:rPr>
          <w:rFonts w:ascii="Times New Roman" w:hAnsi="Times New Roman"/>
          <w:kern w:val="0"/>
          <w:sz w:val="24"/>
        </w:rPr>
        <w:t>200</w:t>
      </w:r>
      <w:r>
        <w:rPr>
          <w:rFonts w:ascii="Times New Roman" w:hAnsi="Times New Roman"/>
          <w:kern w:val="0"/>
          <w:sz w:val="24"/>
        </w:rPr>
        <w:t>人或基金资产净值低于</w:t>
      </w:r>
      <w:r>
        <w:rPr>
          <w:rFonts w:ascii="Times New Roman" w:hAnsi="Times New Roman"/>
          <w:kern w:val="0"/>
          <w:sz w:val="24"/>
        </w:rPr>
        <w:t>5000</w:t>
      </w:r>
      <w:r>
        <w:rPr>
          <w:rFonts w:ascii="Times New Roman" w:hAnsi="Times New Roman"/>
          <w:kern w:val="0"/>
          <w:sz w:val="24"/>
        </w:rPr>
        <w:t>万元情形</w:t>
      </w:r>
      <w:r>
        <w:rPr>
          <w:rFonts w:ascii="Times New Roman" w:hAnsi="Times New Roman" w:hint="eastAsia"/>
          <w:kern w:val="0"/>
          <w:sz w:val="24"/>
        </w:rPr>
        <w:t>的</w:t>
      </w:r>
      <w:r>
        <w:rPr>
          <w:rFonts w:ascii="Times New Roman" w:hAnsi="Times New Roman"/>
          <w:kern w:val="0"/>
          <w:sz w:val="24"/>
        </w:rPr>
        <w:t>，</w:t>
      </w:r>
      <w:r w:rsidRPr="00493D88">
        <w:rPr>
          <w:rFonts w:ascii="宋体" w:hAnsi="宋体" w:hint="eastAsia"/>
          <w:sz w:val="24"/>
        </w:rPr>
        <w:t>基金合同终止，不需召开基金份额持有人大会。</w:t>
      </w:r>
      <w:r>
        <w:rPr>
          <w:rFonts w:ascii="宋体" w:hAnsi="宋体" w:hint="eastAsia"/>
          <w:sz w:val="24"/>
        </w:rPr>
        <w:t>因此，</w:t>
      </w:r>
      <w:r w:rsidRPr="009C21A6">
        <w:rPr>
          <w:rFonts w:ascii="Times New Roman" w:hAnsi="Times New Roman" w:hint="eastAsia"/>
          <w:kern w:val="0"/>
          <w:sz w:val="24"/>
        </w:rPr>
        <w:t>投资者可能面临基金合同提前终止的风险。</w:t>
      </w:r>
    </w:p>
    <w:p w14:paraId="6A09829A" w14:textId="6E8C928C" w:rsidR="00C96870" w:rsidRDefault="004B071E" w:rsidP="00BA513D">
      <w:pPr>
        <w:autoSpaceDE w:val="0"/>
        <w:autoSpaceDN w:val="0"/>
        <w:adjustRightInd w:val="0"/>
        <w:snapToGrid w:val="0"/>
        <w:spacing w:line="360" w:lineRule="auto"/>
        <w:ind w:leftChars="50" w:left="105" w:firstLineChars="200" w:firstLine="480"/>
        <w:rPr>
          <w:rFonts w:ascii="Times New Roman" w:hAnsi="Times New Roman"/>
          <w:kern w:val="0"/>
          <w:sz w:val="24"/>
        </w:rPr>
      </w:pPr>
      <w:r>
        <w:rPr>
          <w:rFonts w:ascii="Times New Roman" w:hAnsi="Times New Roman"/>
          <w:kern w:val="0"/>
          <w:sz w:val="24"/>
        </w:rPr>
        <w:t>投资有风险，投资人在投资本基金前应认真阅读本基金的招募说明书、基金合同、基金产品资料概要等信息披露文件，自主判断基金的投资价值，自主作出投资决策，自行承担投资风险。基金的过往业绩并不代表未来表现。基金管理人管理的其他基金的业绩并不构成对本基金业绩表现的保证。基金管理人提醒投资者基金投资的</w:t>
      </w:r>
      <w:r>
        <w:rPr>
          <w:rFonts w:ascii="Times New Roman" w:hAnsi="Times New Roman"/>
          <w:kern w:val="0"/>
          <w:sz w:val="24"/>
        </w:rPr>
        <w:t>“</w:t>
      </w:r>
      <w:r>
        <w:rPr>
          <w:rFonts w:ascii="Times New Roman" w:hAnsi="Times New Roman"/>
          <w:kern w:val="0"/>
          <w:sz w:val="24"/>
        </w:rPr>
        <w:t>买者自负</w:t>
      </w:r>
      <w:r>
        <w:rPr>
          <w:rFonts w:ascii="Times New Roman" w:hAnsi="Times New Roman"/>
          <w:kern w:val="0"/>
          <w:sz w:val="24"/>
        </w:rPr>
        <w:t>”</w:t>
      </w:r>
      <w:r>
        <w:rPr>
          <w:rFonts w:ascii="Times New Roman" w:hAnsi="Times New Roman"/>
          <w:kern w:val="0"/>
          <w:sz w:val="24"/>
        </w:rPr>
        <w:t>原则，在投资者作出投资决策后，基金运营状况与基金净值变化引致的投资风险，由投资者自行负责。</w:t>
      </w:r>
    </w:p>
    <w:p w14:paraId="3FE5C37E" w14:textId="12B3305E" w:rsidR="00FD086C" w:rsidRDefault="004B071E">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本基金单一投资者持有基金份额数不得超过基金份额总数的</w:t>
      </w:r>
      <w:r>
        <w:rPr>
          <w:rFonts w:ascii="Times New Roman" w:hAnsi="Times New Roman"/>
          <w:kern w:val="0"/>
          <w:sz w:val="24"/>
        </w:rPr>
        <w:t>50%</w:t>
      </w:r>
      <w:r>
        <w:rPr>
          <w:rFonts w:ascii="Times New Roman" w:hAnsi="Times New Roman"/>
          <w:kern w:val="0"/>
          <w:sz w:val="24"/>
        </w:rPr>
        <w:t>，但在基金运作过程中因基金份额赎回等情形导致被动超过前述</w:t>
      </w:r>
      <w:r>
        <w:rPr>
          <w:rFonts w:ascii="Times New Roman" w:hAnsi="Times New Roman"/>
          <w:kern w:val="0"/>
          <w:sz w:val="24"/>
        </w:rPr>
        <w:t>50%</w:t>
      </w:r>
      <w:r>
        <w:rPr>
          <w:rFonts w:ascii="Times New Roman" w:hAnsi="Times New Roman"/>
          <w:kern w:val="0"/>
          <w:sz w:val="24"/>
        </w:rPr>
        <w:t>比例的除外。</w:t>
      </w:r>
    </w:p>
    <w:p w14:paraId="75403D67" w14:textId="77777777" w:rsidR="00FD086C" w:rsidRDefault="00FD086C">
      <w:pPr>
        <w:autoSpaceDE w:val="0"/>
        <w:autoSpaceDN w:val="0"/>
        <w:adjustRightInd w:val="0"/>
        <w:snapToGrid w:val="0"/>
        <w:spacing w:before="51" w:line="360" w:lineRule="auto"/>
        <w:ind w:left="120" w:rightChars="6" w:right="13" w:firstLine="480"/>
        <w:rPr>
          <w:rFonts w:ascii="宋体" w:hAnsi="宋体"/>
          <w:kern w:val="0"/>
          <w:szCs w:val="24"/>
        </w:rPr>
        <w:sectPr w:rsidR="00FD086C">
          <w:headerReference w:type="default" r:id="rId14"/>
          <w:pgSz w:w="11920" w:h="16840"/>
          <w:pgMar w:top="1440" w:right="1680" w:bottom="280" w:left="1680" w:header="0" w:footer="1073" w:gutter="0"/>
          <w:pgNumType w:start="1"/>
          <w:cols w:space="720"/>
        </w:sectPr>
      </w:pPr>
    </w:p>
    <w:p w14:paraId="50EE44FE" w14:textId="77777777" w:rsidR="00C30450" w:rsidRPr="00C30450" w:rsidRDefault="004B071E" w:rsidP="00C30450">
      <w:pPr>
        <w:keepNext/>
        <w:keepLines/>
        <w:widowControl/>
        <w:snapToGrid w:val="0"/>
        <w:spacing w:before="480" w:afterLines="100" w:after="240" w:line="360" w:lineRule="auto"/>
        <w:jc w:val="center"/>
        <w:rPr>
          <w:rFonts w:ascii="宋体" w:hAnsi="宋体"/>
          <w:b/>
          <w:bCs/>
          <w:color w:val="000000"/>
          <w:kern w:val="0"/>
          <w:position w:val="-4"/>
          <w:sz w:val="24"/>
          <w:szCs w:val="30"/>
        </w:rPr>
      </w:pPr>
      <w:r w:rsidRPr="00C30450">
        <w:rPr>
          <w:rFonts w:ascii="宋体" w:hAnsi="宋体"/>
          <w:b/>
          <w:bCs/>
          <w:color w:val="000000"/>
          <w:kern w:val="0"/>
          <w:position w:val="-4"/>
          <w:sz w:val="24"/>
          <w:szCs w:val="30"/>
        </w:rPr>
        <w:lastRenderedPageBreak/>
        <w:t>目</w:t>
      </w:r>
      <w:r w:rsidRPr="00C30450">
        <w:rPr>
          <w:rFonts w:ascii="宋体" w:hAnsi="宋体"/>
          <w:b/>
          <w:bCs/>
          <w:color w:val="000000"/>
          <w:kern w:val="0"/>
          <w:position w:val="-4"/>
          <w:sz w:val="24"/>
          <w:szCs w:val="30"/>
        </w:rPr>
        <w:tab/>
        <w:t>录</w:t>
      </w:r>
    </w:p>
    <w:p w14:paraId="2E5BA1EE" w14:textId="4C8DC56D" w:rsidR="00C30450" w:rsidRPr="00C30450" w:rsidRDefault="009B19C1" w:rsidP="00C30450">
      <w:pPr>
        <w:pStyle w:val="11"/>
        <w:tabs>
          <w:tab w:val="right" w:leader="dot" w:pos="8550"/>
        </w:tabs>
        <w:spacing w:line="360" w:lineRule="auto"/>
        <w:rPr>
          <w:rStyle w:val="af0"/>
          <w:rFonts w:ascii="宋体" w:hAnsi="宋体"/>
          <w:noProof/>
          <w:sz w:val="24"/>
        </w:rPr>
      </w:pPr>
      <w:r w:rsidRPr="00C30450">
        <w:rPr>
          <w:rStyle w:val="af0"/>
          <w:rFonts w:ascii="宋体" w:hAnsi="宋体"/>
          <w:noProof/>
          <w:sz w:val="24"/>
        </w:rPr>
        <w:fldChar w:fldCharType="begin"/>
      </w:r>
      <w:r w:rsidRPr="00C30450">
        <w:rPr>
          <w:rStyle w:val="af0"/>
          <w:rFonts w:ascii="宋体" w:hAnsi="宋体"/>
          <w:noProof/>
          <w:sz w:val="24"/>
        </w:rPr>
        <w:instrText xml:space="preserve"> TOC \o "1-3" \f - \h \t "-1" </w:instrText>
      </w:r>
      <w:r w:rsidRPr="00C30450">
        <w:rPr>
          <w:rStyle w:val="af0"/>
          <w:rFonts w:ascii="宋体" w:hAnsi="宋体"/>
          <w:noProof/>
          <w:sz w:val="24"/>
        </w:rPr>
        <w:fldChar w:fldCharType="separate"/>
      </w:r>
      <w:hyperlink w:anchor="_Toc147840618" w:history="1">
        <w:r w:rsidR="00C30450" w:rsidRPr="00C30450">
          <w:rPr>
            <w:rStyle w:val="af0"/>
            <w:rFonts w:ascii="宋体" w:hAnsi="宋体"/>
            <w:noProof/>
            <w:sz w:val="24"/>
          </w:rPr>
          <w:t>重要提示</w:t>
        </w:r>
        <w:r w:rsidR="00C30450" w:rsidRPr="00C30450">
          <w:rPr>
            <w:rStyle w:val="af0"/>
            <w:rFonts w:ascii="宋体" w:hAnsi="宋体"/>
            <w:noProof/>
            <w:sz w:val="24"/>
          </w:rPr>
          <w:tab/>
        </w:r>
        <w:r w:rsidR="00C30450" w:rsidRPr="00C30450">
          <w:rPr>
            <w:rStyle w:val="af0"/>
            <w:rFonts w:ascii="宋体" w:hAnsi="宋体"/>
            <w:noProof/>
            <w:sz w:val="24"/>
          </w:rPr>
          <w:fldChar w:fldCharType="begin"/>
        </w:r>
        <w:r w:rsidR="00C30450" w:rsidRPr="00C30450">
          <w:rPr>
            <w:rStyle w:val="af0"/>
            <w:rFonts w:ascii="宋体" w:hAnsi="宋体"/>
            <w:noProof/>
            <w:sz w:val="24"/>
          </w:rPr>
          <w:instrText xml:space="preserve"> PAGEREF _Toc147840618 \h </w:instrText>
        </w:r>
        <w:r w:rsidR="00C30450" w:rsidRPr="00C30450">
          <w:rPr>
            <w:rStyle w:val="af0"/>
            <w:rFonts w:ascii="宋体" w:hAnsi="宋体"/>
            <w:noProof/>
            <w:sz w:val="24"/>
          </w:rPr>
        </w:r>
        <w:r w:rsidR="00C30450" w:rsidRPr="00C30450">
          <w:rPr>
            <w:rStyle w:val="af0"/>
            <w:rFonts w:ascii="宋体" w:hAnsi="宋体"/>
            <w:noProof/>
            <w:sz w:val="24"/>
          </w:rPr>
          <w:fldChar w:fldCharType="separate"/>
        </w:r>
        <w:r w:rsidR="0014768F">
          <w:rPr>
            <w:rStyle w:val="af0"/>
            <w:rFonts w:ascii="宋体" w:hAnsi="宋体"/>
            <w:noProof/>
            <w:sz w:val="24"/>
          </w:rPr>
          <w:t>1</w:t>
        </w:r>
        <w:r w:rsidR="00C30450" w:rsidRPr="00C30450">
          <w:rPr>
            <w:rStyle w:val="af0"/>
            <w:rFonts w:ascii="宋体" w:hAnsi="宋体"/>
            <w:noProof/>
            <w:sz w:val="24"/>
          </w:rPr>
          <w:fldChar w:fldCharType="end"/>
        </w:r>
      </w:hyperlink>
    </w:p>
    <w:p w14:paraId="0C5FF072" w14:textId="47D863F2" w:rsidR="00C30450" w:rsidRPr="00C30450" w:rsidRDefault="00B00B45" w:rsidP="00C30450">
      <w:pPr>
        <w:pStyle w:val="11"/>
        <w:tabs>
          <w:tab w:val="right" w:leader="dot" w:pos="8550"/>
        </w:tabs>
        <w:spacing w:line="360" w:lineRule="auto"/>
        <w:rPr>
          <w:rStyle w:val="af0"/>
          <w:rFonts w:ascii="宋体" w:hAnsi="宋体"/>
          <w:noProof/>
          <w:sz w:val="24"/>
        </w:rPr>
      </w:pPr>
      <w:hyperlink w:anchor="_Toc147840619" w:history="1">
        <w:r w:rsidR="00C30450" w:rsidRPr="00C30450">
          <w:rPr>
            <w:rStyle w:val="af0"/>
            <w:rFonts w:ascii="宋体" w:hAnsi="宋体"/>
            <w:noProof/>
            <w:sz w:val="24"/>
          </w:rPr>
          <w:t>一、绪言</w:t>
        </w:r>
        <w:r w:rsidR="00C30450" w:rsidRPr="00C30450">
          <w:rPr>
            <w:rStyle w:val="af0"/>
            <w:rFonts w:ascii="宋体" w:hAnsi="宋体"/>
            <w:noProof/>
            <w:sz w:val="24"/>
          </w:rPr>
          <w:tab/>
        </w:r>
        <w:r w:rsidR="00C30450" w:rsidRPr="00C30450">
          <w:rPr>
            <w:rStyle w:val="af0"/>
            <w:rFonts w:ascii="宋体" w:hAnsi="宋体"/>
            <w:noProof/>
            <w:sz w:val="24"/>
          </w:rPr>
          <w:fldChar w:fldCharType="begin"/>
        </w:r>
        <w:r w:rsidR="00C30450" w:rsidRPr="00C30450">
          <w:rPr>
            <w:rStyle w:val="af0"/>
            <w:rFonts w:ascii="宋体" w:hAnsi="宋体"/>
            <w:noProof/>
            <w:sz w:val="24"/>
          </w:rPr>
          <w:instrText xml:space="preserve"> PAGEREF _Toc147840619 \h </w:instrText>
        </w:r>
        <w:r w:rsidR="00C30450" w:rsidRPr="00C30450">
          <w:rPr>
            <w:rStyle w:val="af0"/>
            <w:rFonts w:ascii="宋体" w:hAnsi="宋体"/>
            <w:noProof/>
            <w:sz w:val="24"/>
          </w:rPr>
        </w:r>
        <w:r w:rsidR="00C30450" w:rsidRPr="00C30450">
          <w:rPr>
            <w:rStyle w:val="af0"/>
            <w:rFonts w:ascii="宋体" w:hAnsi="宋体"/>
            <w:noProof/>
            <w:sz w:val="24"/>
          </w:rPr>
          <w:fldChar w:fldCharType="separate"/>
        </w:r>
        <w:r w:rsidR="0014768F">
          <w:rPr>
            <w:rStyle w:val="af0"/>
            <w:rFonts w:ascii="宋体" w:hAnsi="宋体"/>
            <w:noProof/>
            <w:sz w:val="24"/>
          </w:rPr>
          <w:t>5</w:t>
        </w:r>
        <w:r w:rsidR="00C30450" w:rsidRPr="00C30450">
          <w:rPr>
            <w:rStyle w:val="af0"/>
            <w:rFonts w:ascii="宋体" w:hAnsi="宋体"/>
            <w:noProof/>
            <w:sz w:val="24"/>
          </w:rPr>
          <w:fldChar w:fldCharType="end"/>
        </w:r>
      </w:hyperlink>
    </w:p>
    <w:p w14:paraId="5797F5BE" w14:textId="2397A36B" w:rsidR="00C30450" w:rsidRPr="00C30450" w:rsidRDefault="00B00B45" w:rsidP="00C30450">
      <w:pPr>
        <w:pStyle w:val="11"/>
        <w:tabs>
          <w:tab w:val="right" w:leader="dot" w:pos="8550"/>
        </w:tabs>
        <w:spacing w:line="360" w:lineRule="auto"/>
        <w:rPr>
          <w:rStyle w:val="af0"/>
          <w:rFonts w:ascii="宋体" w:hAnsi="宋体"/>
          <w:noProof/>
          <w:sz w:val="24"/>
        </w:rPr>
      </w:pPr>
      <w:hyperlink w:anchor="_Toc147840620" w:history="1">
        <w:r w:rsidR="00C30450" w:rsidRPr="00C30450">
          <w:rPr>
            <w:rStyle w:val="af0"/>
            <w:rFonts w:ascii="宋体" w:hAnsi="宋体"/>
            <w:noProof/>
            <w:sz w:val="24"/>
          </w:rPr>
          <w:t>二、释义</w:t>
        </w:r>
        <w:r w:rsidR="00C30450" w:rsidRPr="00C30450">
          <w:rPr>
            <w:rStyle w:val="af0"/>
            <w:rFonts w:ascii="宋体" w:hAnsi="宋体"/>
            <w:noProof/>
            <w:sz w:val="24"/>
          </w:rPr>
          <w:tab/>
        </w:r>
        <w:r w:rsidR="00C30450" w:rsidRPr="00C30450">
          <w:rPr>
            <w:rStyle w:val="af0"/>
            <w:rFonts w:ascii="宋体" w:hAnsi="宋体"/>
            <w:noProof/>
            <w:sz w:val="24"/>
          </w:rPr>
          <w:fldChar w:fldCharType="begin"/>
        </w:r>
        <w:r w:rsidR="00C30450" w:rsidRPr="00C30450">
          <w:rPr>
            <w:rStyle w:val="af0"/>
            <w:rFonts w:ascii="宋体" w:hAnsi="宋体"/>
            <w:noProof/>
            <w:sz w:val="24"/>
          </w:rPr>
          <w:instrText xml:space="preserve"> PAGEREF _Toc147840620 \h </w:instrText>
        </w:r>
        <w:r w:rsidR="00C30450" w:rsidRPr="00C30450">
          <w:rPr>
            <w:rStyle w:val="af0"/>
            <w:rFonts w:ascii="宋体" w:hAnsi="宋体"/>
            <w:noProof/>
            <w:sz w:val="24"/>
          </w:rPr>
        </w:r>
        <w:r w:rsidR="00C30450" w:rsidRPr="00C30450">
          <w:rPr>
            <w:rStyle w:val="af0"/>
            <w:rFonts w:ascii="宋体" w:hAnsi="宋体"/>
            <w:noProof/>
            <w:sz w:val="24"/>
          </w:rPr>
          <w:fldChar w:fldCharType="separate"/>
        </w:r>
        <w:r w:rsidR="0014768F">
          <w:rPr>
            <w:rStyle w:val="af0"/>
            <w:rFonts w:ascii="宋体" w:hAnsi="宋体"/>
            <w:noProof/>
            <w:sz w:val="24"/>
          </w:rPr>
          <w:t>6</w:t>
        </w:r>
        <w:r w:rsidR="00C30450" w:rsidRPr="00C30450">
          <w:rPr>
            <w:rStyle w:val="af0"/>
            <w:rFonts w:ascii="宋体" w:hAnsi="宋体"/>
            <w:noProof/>
            <w:sz w:val="24"/>
          </w:rPr>
          <w:fldChar w:fldCharType="end"/>
        </w:r>
      </w:hyperlink>
    </w:p>
    <w:p w14:paraId="7BBB59EE" w14:textId="585413CD" w:rsidR="00C30450" w:rsidRPr="00C30450" w:rsidRDefault="00B00B45" w:rsidP="00C30450">
      <w:pPr>
        <w:pStyle w:val="11"/>
        <w:tabs>
          <w:tab w:val="right" w:leader="dot" w:pos="8550"/>
        </w:tabs>
        <w:spacing w:line="360" w:lineRule="auto"/>
        <w:rPr>
          <w:rStyle w:val="af0"/>
          <w:rFonts w:ascii="宋体" w:hAnsi="宋体"/>
          <w:noProof/>
          <w:sz w:val="24"/>
        </w:rPr>
      </w:pPr>
      <w:hyperlink w:anchor="_Toc147840621" w:history="1">
        <w:r w:rsidR="00C30450" w:rsidRPr="00C30450">
          <w:rPr>
            <w:rStyle w:val="af0"/>
            <w:rFonts w:ascii="宋体" w:hAnsi="宋体"/>
            <w:noProof/>
            <w:sz w:val="24"/>
          </w:rPr>
          <w:t>三、基金管理人</w:t>
        </w:r>
        <w:r w:rsidR="00C30450" w:rsidRPr="00C30450">
          <w:rPr>
            <w:rStyle w:val="af0"/>
            <w:rFonts w:ascii="宋体" w:hAnsi="宋体"/>
            <w:noProof/>
            <w:sz w:val="24"/>
          </w:rPr>
          <w:tab/>
        </w:r>
        <w:r w:rsidR="00C30450" w:rsidRPr="00C30450">
          <w:rPr>
            <w:rStyle w:val="af0"/>
            <w:rFonts w:ascii="宋体" w:hAnsi="宋体"/>
            <w:noProof/>
            <w:sz w:val="24"/>
          </w:rPr>
          <w:fldChar w:fldCharType="begin"/>
        </w:r>
        <w:r w:rsidR="00C30450" w:rsidRPr="00C30450">
          <w:rPr>
            <w:rStyle w:val="af0"/>
            <w:rFonts w:ascii="宋体" w:hAnsi="宋体"/>
            <w:noProof/>
            <w:sz w:val="24"/>
          </w:rPr>
          <w:instrText xml:space="preserve"> PAGEREF _Toc147840621 \h </w:instrText>
        </w:r>
        <w:r w:rsidR="00C30450" w:rsidRPr="00C30450">
          <w:rPr>
            <w:rStyle w:val="af0"/>
            <w:rFonts w:ascii="宋体" w:hAnsi="宋体"/>
            <w:noProof/>
            <w:sz w:val="24"/>
          </w:rPr>
        </w:r>
        <w:r w:rsidR="00C30450" w:rsidRPr="00C30450">
          <w:rPr>
            <w:rStyle w:val="af0"/>
            <w:rFonts w:ascii="宋体" w:hAnsi="宋体"/>
            <w:noProof/>
            <w:sz w:val="24"/>
          </w:rPr>
          <w:fldChar w:fldCharType="separate"/>
        </w:r>
        <w:r w:rsidR="0014768F">
          <w:rPr>
            <w:rStyle w:val="af0"/>
            <w:rFonts w:ascii="宋体" w:hAnsi="宋体"/>
            <w:noProof/>
            <w:sz w:val="24"/>
          </w:rPr>
          <w:t>11</w:t>
        </w:r>
        <w:r w:rsidR="00C30450" w:rsidRPr="00C30450">
          <w:rPr>
            <w:rStyle w:val="af0"/>
            <w:rFonts w:ascii="宋体" w:hAnsi="宋体"/>
            <w:noProof/>
            <w:sz w:val="24"/>
          </w:rPr>
          <w:fldChar w:fldCharType="end"/>
        </w:r>
      </w:hyperlink>
    </w:p>
    <w:p w14:paraId="5D75EC7B" w14:textId="562A64CD" w:rsidR="00C30450" w:rsidRPr="00C30450" w:rsidRDefault="00B00B45" w:rsidP="00C30450">
      <w:pPr>
        <w:pStyle w:val="11"/>
        <w:tabs>
          <w:tab w:val="right" w:leader="dot" w:pos="8550"/>
        </w:tabs>
        <w:spacing w:line="360" w:lineRule="auto"/>
        <w:rPr>
          <w:rStyle w:val="af0"/>
          <w:rFonts w:ascii="宋体" w:hAnsi="宋体"/>
          <w:noProof/>
          <w:sz w:val="24"/>
        </w:rPr>
      </w:pPr>
      <w:hyperlink w:anchor="_Toc147840622" w:history="1">
        <w:r w:rsidR="00C30450" w:rsidRPr="00C30450">
          <w:rPr>
            <w:rStyle w:val="af0"/>
            <w:rFonts w:ascii="宋体" w:hAnsi="宋体"/>
            <w:noProof/>
            <w:sz w:val="24"/>
          </w:rPr>
          <w:t>四、基金托管人</w:t>
        </w:r>
        <w:r w:rsidR="00C30450" w:rsidRPr="00C30450">
          <w:rPr>
            <w:rStyle w:val="af0"/>
            <w:rFonts w:ascii="宋体" w:hAnsi="宋体"/>
            <w:noProof/>
            <w:sz w:val="24"/>
          </w:rPr>
          <w:tab/>
        </w:r>
        <w:r w:rsidR="00C30450" w:rsidRPr="00C30450">
          <w:rPr>
            <w:rStyle w:val="af0"/>
            <w:rFonts w:ascii="宋体" w:hAnsi="宋体"/>
            <w:noProof/>
            <w:sz w:val="24"/>
          </w:rPr>
          <w:fldChar w:fldCharType="begin"/>
        </w:r>
        <w:r w:rsidR="00C30450" w:rsidRPr="00C30450">
          <w:rPr>
            <w:rStyle w:val="af0"/>
            <w:rFonts w:ascii="宋体" w:hAnsi="宋体"/>
            <w:noProof/>
            <w:sz w:val="24"/>
          </w:rPr>
          <w:instrText xml:space="preserve"> PAGEREF _Toc147840622 \h </w:instrText>
        </w:r>
        <w:r w:rsidR="00C30450" w:rsidRPr="00C30450">
          <w:rPr>
            <w:rStyle w:val="af0"/>
            <w:rFonts w:ascii="宋体" w:hAnsi="宋体"/>
            <w:noProof/>
            <w:sz w:val="24"/>
          </w:rPr>
        </w:r>
        <w:r w:rsidR="00C30450" w:rsidRPr="00C30450">
          <w:rPr>
            <w:rStyle w:val="af0"/>
            <w:rFonts w:ascii="宋体" w:hAnsi="宋体"/>
            <w:noProof/>
            <w:sz w:val="24"/>
          </w:rPr>
          <w:fldChar w:fldCharType="separate"/>
        </w:r>
        <w:r w:rsidR="0014768F">
          <w:rPr>
            <w:rStyle w:val="af0"/>
            <w:rFonts w:ascii="宋体" w:hAnsi="宋体"/>
            <w:noProof/>
            <w:sz w:val="24"/>
          </w:rPr>
          <w:t>19</w:t>
        </w:r>
        <w:r w:rsidR="00C30450" w:rsidRPr="00C30450">
          <w:rPr>
            <w:rStyle w:val="af0"/>
            <w:rFonts w:ascii="宋体" w:hAnsi="宋体"/>
            <w:noProof/>
            <w:sz w:val="24"/>
          </w:rPr>
          <w:fldChar w:fldCharType="end"/>
        </w:r>
      </w:hyperlink>
    </w:p>
    <w:p w14:paraId="0FFE0F9E" w14:textId="7FE6352E" w:rsidR="00C30450" w:rsidRPr="00C30450" w:rsidRDefault="00B00B45" w:rsidP="00C30450">
      <w:pPr>
        <w:pStyle w:val="11"/>
        <w:tabs>
          <w:tab w:val="right" w:leader="dot" w:pos="8550"/>
        </w:tabs>
        <w:spacing w:line="360" w:lineRule="auto"/>
        <w:rPr>
          <w:rStyle w:val="af0"/>
          <w:rFonts w:ascii="宋体" w:hAnsi="宋体"/>
          <w:noProof/>
          <w:sz w:val="24"/>
        </w:rPr>
      </w:pPr>
      <w:hyperlink w:anchor="_Toc147840623" w:history="1">
        <w:r w:rsidR="00C30450" w:rsidRPr="00C30450">
          <w:rPr>
            <w:rStyle w:val="af0"/>
            <w:rFonts w:ascii="宋体" w:hAnsi="宋体"/>
            <w:noProof/>
            <w:sz w:val="24"/>
          </w:rPr>
          <w:t>五、相关服务机构</w:t>
        </w:r>
        <w:r w:rsidR="00C30450" w:rsidRPr="00C30450">
          <w:rPr>
            <w:rStyle w:val="af0"/>
            <w:rFonts w:ascii="宋体" w:hAnsi="宋体"/>
            <w:noProof/>
            <w:sz w:val="24"/>
          </w:rPr>
          <w:tab/>
        </w:r>
        <w:r w:rsidR="00C30450" w:rsidRPr="00C30450">
          <w:rPr>
            <w:rStyle w:val="af0"/>
            <w:rFonts w:ascii="宋体" w:hAnsi="宋体"/>
            <w:noProof/>
            <w:sz w:val="24"/>
          </w:rPr>
          <w:fldChar w:fldCharType="begin"/>
        </w:r>
        <w:r w:rsidR="00C30450" w:rsidRPr="00C30450">
          <w:rPr>
            <w:rStyle w:val="af0"/>
            <w:rFonts w:ascii="宋体" w:hAnsi="宋体"/>
            <w:noProof/>
            <w:sz w:val="24"/>
          </w:rPr>
          <w:instrText xml:space="preserve"> PAGEREF _Toc147840623 \h </w:instrText>
        </w:r>
        <w:r w:rsidR="00C30450" w:rsidRPr="00C30450">
          <w:rPr>
            <w:rStyle w:val="af0"/>
            <w:rFonts w:ascii="宋体" w:hAnsi="宋体"/>
            <w:noProof/>
            <w:sz w:val="24"/>
          </w:rPr>
        </w:r>
        <w:r w:rsidR="00C30450" w:rsidRPr="00C30450">
          <w:rPr>
            <w:rStyle w:val="af0"/>
            <w:rFonts w:ascii="宋体" w:hAnsi="宋体"/>
            <w:noProof/>
            <w:sz w:val="24"/>
          </w:rPr>
          <w:fldChar w:fldCharType="separate"/>
        </w:r>
        <w:r w:rsidR="0014768F">
          <w:rPr>
            <w:rStyle w:val="af0"/>
            <w:rFonts w:ascii="宋体" w:hAnsi="宋体"/>
            <w:noProof/>
            <w:sz w:val="24"/>
          </w:rPr>
          <w:t>22</w:t>
        </w:r>
        <w:r w:rsidR="00C30450" w:rsidRPr="00C30450">
          <w:rPr>
            <w:rStyle w:val="af0"/>
            <w:rFonts w:ascii="宋体" w:hAnsi="宋体"/>
            <w:noProof/>
            <w:sz w:val="24"/>
          </w:rPr>
          <w:fldChar w:fldCharType="end"/>
        </w:r>
      </w:hyperlink>
    </w:p>
    <w:p w14:paraId="20A9C737" w14:textId="0B48773C" w:rsidR="00C30450" w:rsidRPr="00C30450" w:rsidRDefault="00B00B45" w:rsidP="00C30450">
      <w:pPr>
        <w:pStyle w:val="11"/>
        <w:tabs>
          <w:tab w:val="right" w:leader="dot" w:pos="8550"/>
        </w:tabs>
        <w:spacing w:line="360" w:lineRule="auto"/>
        <w:rPr>
          <w:rStyle w:val="af0"/>
          <w:rFonts w:ascii="宋体" w:hAnsi="宋体"/>
          <w:noProof/>
          <w:sz w:val="24"/>
        </w:rPr>
      </w:pPr>
      <w:hyperlink w:anchor="_Toc147840624" w:history="1">
        <w:r w:rsidR="00C30450" w:rsidRPr="00C30450">
          <w:rPr>
            <w:rStyle w:val="af0"/>
            <w:rFonts w:ascii="宋体" w:hAnsi="宋体"/>
            <w:noProof/>
            <w:sz w:val="24"/>
          </w:rPr>
          <w:t>六、基金的募集</w:t>
        </w:r>
        <w:r w:rsidR="00C30450" w:rsidRPr="00C30450">
          <w:rPr>
            <w:rStyle w:val="af0"/>
            <w:rFonts w:ascii="宋体" w:hAnsi="宋体"/>
            <w:noProof/>
            <w:sz w:val="24"/>
          </w:rPr>
          <w:tab/>
        </w:r>
        <w:r w:rsidR="00C30450" w:rsidRPr="00C30450">
          <w:rPr>
            <w:rStyle w:val="af0"/>
            <w:rFonts w:ascii="宋体" w:hAnsi="宋体"/>
            <w:noProof/>
            <w:sz w:val="24"/>
          </w:rPr>
          <w:fldChar w:fldCharType="begin"/>
        </w:r>
        <w:r w:rsidR="00C30450" w:rsidRPr="00C30450">
          <w:rPr>
            <w:rStyle w:val="af0"/>
            <w:rFonts w:ascii="宋体" w:hAnsi="宋体"/>
            <w:noProof/>
            <w:sz w:val="24"/>
          </w:rPr>
          <w:instrText xml:space="preserve"> PAGEREF _Toc147840624 \h </w:instrText>
        </w:r>
        <w:r w:rsidR="00C30450" w:rsidRPr="00C30450">
          <w:rPr>
            <w:rStyle w:val="af0"/>
            <w:rFonts w:ascii="宋体" w:hAnsi="宋体"/>
            <w:noProof/>
            <w:sz w:val="24"/>
          </w:rPr>
        </w:r>
        <w:r w:rsidR="00C30450" w:rsidRPr="00C30450">
          <w:rPr>
            <w:rStyle w:val="af0"/>
            <w:rFonts w:ascii="宋体" w:hAnsi="宋体"/>
            <w:noProof/>
            <w:sz w:val="24"/>
          </w:rPr>
          <w:fldChar w:fldCharType="separate"/>
        </w:r>
        <w:r w:rsidR="0014768F">
          <w:rPr>
            <w:rStyle w:val="af0"/>
            <w:rFonts w:ascii="宋体" w:hAnsi="宋体"/>
            <w:noProof/>
            <w:sz w:val="24"/>
          </w:rPr>
          <w:t>25</w:t>
        </w:r>
        <w:r w:rsidR="00C30450" w:rsidRPr="00C30450">
          <w:rPr>
            <w:rStyle w:val="af0"/>
            <w:rFonts w:ascii="宋体" w:hAnsi="宋体"/>
            <w:noProof/>
            <w:sz w:val="24"/>
          </w:rPr>
          <w:fldChar w:fldCharType="end"/>
        </w:r>
      </w:hyperlink>
    </w:p>
    <w:p w14:paraId="2C4C3FE8" w14:textId="4CCCEA0E" w:rsidR="00C30450" w:rsidRPr="00C30450" w:rsidRDefault="00B00B45" w:rsidP="00C30450">
      <w:pPr>
        <w:pStyle w:val="11"/>
        <w:tabs>
          <w:tab w:val="right" w:leader="dot" w:pos="8550"/>
        </w:tabs>
        <w:spacing w:line="360" w:lineRule="auto"/>
        <w:rPr>
          <w:rStyle w:val="af0"/>
          <w:rFonts w:ascii="宋体" w:hAnsi="宋体"/>
          <w:noProof/>
          <w:sz w:val="24"/>
        </w:rPr>
      </w:pPr>
      <w:hyperlink w:anchor="_Toc147840625" w:history="1">
        <w:r w:rsidR="00C30450" w:rsidRPr="00C30450">
          <w:rPr>
            <w:rStyle w:val="af0"/>
            <w:rFonts w:ascii="宋体" w:hAnsi="宋体"/>
            <w:noProof/>
            <w:sz w:val="24"/>
          </w:rPr>
          <w:t>七、基金合同的生效</w:t>
        </w:r>
        <w:r w:rsidR="00C30450" w:rsidRPr="00C30450">
          <w:rPr>
            <w:rStyle w:val="af0"/>
            <w:rFonts w:ascii="宋体" w:hAnsi="宋体"/>
            <w:noProof/>
            <w:sz w:val="24"/>
          </w:rPr>
          <w:tab/>
        </w:r>
        <w:r w:rsidR="00C30450" w:rsidRPr="00C30450">
          <w:rPr>
            <w:rStyle w:val="af0"/>
            <w:rFonts w:ascii="宋体" w:hAnsi="宋体"/>
            <w:noProof/>
            <w:sz w:val="24"/>
          </w:rPr>
          <w:fldChar w:fldCharType="begin"/>
        </w:r>
        <w:r w:rsidR="00C30450" w:rsidRPr="00C30450">
          <w:rPr>
            <w:rStyle w:val="af0"/>
            <w:rFonts w:ascii="宋体" w:hAnsi="宋体"/>
            <w:noProof/>
            <w:sz w:val="24"/>
          </w:rPr>
          <w:instrText xml:space="preserve"> PAGEREF _Toc147840625 \h </w:instrText>
        </w:r>
        <w:r w:rsidR="00C30450" w:rsidRPr="00C30450">
          <w:rPr>
            <w:rStyle w:val="af0"/>
            <w:rFonts w:ascii="宋体" w:hAnsi="宋体"/>
            <w:noProof/>
            <w:sz w:val="24"/>
          </w:rPr>
        </w:r>
        <w:r w:rsidR="00C30450" w:rsidRPr="00C30450">
          <w:rPr>
            <w:rStyle w:val="af0"/>
            <w:rFonts w:ascii="宋体" w:hAnsi="宋体"/>
            <w:noProof/>
            <w:sz w:val="24"/>
          </w:rPr>
          <w:fldChar w:fldCharType="separate"/>
        </w:r>
        <w:r w:rsidR="0014768F">
          <w:rPr>
            <w:rStyle w:val="af0"/>
            <w:rFonts w:ascii="宋体" w:hAnsi="宋体"/>
            <w:noProof/>
            <w:sz w:val="24"/>
          </w:rPr>
          <w:t>31</w:t>
        </w:r>
        <w:r w:rsidR="00C30450" w:rsidRPr="00C30450">
          <w:rPr>
            <w:rStyle w:val="af0"/>
            <w:rFonts w:ascii="宋体" w:hAnsi="宋体"/>
            <w:noProof/>
            <w:sz w:val="24"/>
          </w:rPr>
          <w:fldChar w:fldCharType="end"/>
        </w:r>
      </w:hyperlink>
    </w:p>
    <w:p w14:paraId="043C603B" w14:textId="5F2B9412" w:rsidR="00C30450" w:rsidRPr="00C30450" w:rsidRDefault="00B00B45" w:rsidP="00C30450">
      <w:pPr>
        <w:pStyle w:val="11"/>
        <w:tabs>
          <w:tab w:val="right" w:leader="dot" w:pos="8550"/>
        </w:tabs>
        <w:spacing w:line="360" w:lineRule="auto"/>
        <w:rPr>
          <w:rStyle w:val="af0"/>
          <w:rFonts w:ascii="宋体" w:hAnsi="宋体"/>
          <w:noProof/>
          <w:sz w:val="24"/>
        </w:rPr>
      </w:pPr>
      <w:hyperlink w:anchor="_Toc147840626" w:history="1">
        <w:r w:rsidR="00C30450" w:rsidRPr="00C30450">
          <w:rPr>
            <w:rStyle w:val="af0"/>
            <w:rFonts w:ascii="宋体" w:hAnsi="宋体"/>
            <w:noProof/>
            <w:sz w:val="24"/>
          </w:rPr>
          <w:t>八、基金份额的申购与赎回</w:t>
        </w:r>
        <w:r w:rsidR="00C30450" w:rsidRPr="00C30450">
          <w:rPr>
            <w:rStyle w:val="af0"/>
            <w:rFonts w:ascii="宋体" w:hAnsi="宋体"/>
            <w:noProof/>
            <w:sz w:val="24"/>
          </w:rPr>
          <w:tab/>
        </w:r>
        <w:r w:rsidR="00C30450" w:rsidRPr="00C30450">
          <w:rPr>
            <w:rStyle w:val="af0"/>
            <w:rFonts w:ascii="宋体" w:hAnsi="宋体"/>
            <w:noProof/>
            <w:sz w:val="24"/>
          </w:rPr>
          <w:fldChar w:fldCharType="begin"/>
        </w:r>
        <w:r w:rsidR="00C30450" w:rsidRPr="00C30450">
          <w:rPr>
            <w:rStyle w:val="af0"/>
            <w:rFonts w:ascii="宋体" w:hAnsi="宋体"/>
            <w:noProof/>
            <w:sz w:val="24"/>
          </w:rPr>
          <w:instrText xml:space="preserve"> PAGEREF _Toc147840626 \h </w:instrText>
        </w:r>
        <w:r w:rsidR="00C30450" w:rsidRPr="00C30450">
          <w:rPr>
            <w:rStyle w:val="af0"/>
            <w:rFonts w:ascii="宋体" w:hAnsi="宋体"/>
            <w:noProof/>
            <w:sz w:val="24"/>
          </w:rPr>
        </w:r>
        <w:r w:rsidR="00C30450" w:rsidRPr="00C30450">
          <w:rPr>
            <w:rStyle w:val="af0"/>
            <w:rFonts w:ascii="宋体" w:hAnsi="宋体"/>
            <w:noProof/>
            <w:sz w:val="24"/>
          </w:rPr>
          <w:fldChar w:fldCharType="separate"/>
        </w:r>
        <w:r w:rsidR="0014768F">
          <w:rPr>
            <w:rStyle w:val="af0"/>
            <w:rFonts w:ascii="宋体" w:hAnsi="宋体"/>
            <w:noProof/>
            <w:sz w:val="24"/>
          </w:rPr>
          <w:t>32</w:t>
        </w:r>
        <w:r w:rsidR="00C30450" w:rsidRPr="00C30450">
          <w:rPr>
            <w:rStyle w:val="af0"/>
            <w:rFonts w:ascii="宋体" w:hAnsi="宋体"/>
            <w:noProof/>
            <w:sz w:val="24"/>
          </w:rPr>
          <w:fldChar w:fldCharType="end"/>
        </w:r>
      </w:hyperlink>
    </w:p>
    <w:p w14:paraId="1B446CB6" w14:textId="1834F10F" w:rsidR="00C30450" w:rsidRPr="00C30450" w:rsidRDefault="00B00B45" w:rsidP="00C30450">
      <w:pPr>
        <w:pStyle w:val="11"/>
        <w:tabs>
          <w:tab w:val="right" w:leader="dot" w:pos="8550"/>
        </w:tabs>
        <w:spacing w:line="360" w:lineRule="auto"/>
        <w:rPr>
          <w:rStyle w:val="af0"/>
          <w:rFonts w:ascii="宋体" w:hAnsi="宋体"/>
          <w:noProof/>
          <w:sz w:val="24"/>
        </w:rPr>
      </w:pPr>
      <w:hyperlink w:anchor="_Toc147840627" w:history="1">
        <w:r w:rsidR="00C30450" w:rsidRPr="00C30450">
          <w:rPr>
            <w:rStyle w:val="af0"/>
            <w:rFonts w:ascii="宋体" w:hAnsi="宋体"/>
            <w:noProof/>
            <w:sz w:val="24"/>
          </w:rPr>
          <w:t>九、基金的投资</w:t>
        </w:r>
        <w:r w:rsidR="00C30450" w:rsidRPr="00C30450">
          <w:rPr>
            <w:rStyle w:val="af0"/>
            <w:rFonts w:ascii="宋体" w:hAnsi="宋体"/>
            <w:noProof/>
            <w:sz w:val="24"/>
          </w:rPr>
          <w:tab/>
        </w:r>
        <w:r w:rsidR="00C30450" w:rsidRPr="00C30450">
          <w:rPr>
            <w:rStyle w:val="af0"/>
            <w:rFonts w:ascii="宋体" w:hAnsi="宋体"/>
            <w:noProof/>
            <w:sz w:val="24"/>
          </w:rPr>
          <w:fldChar w:fldCharType="begin"/>
        </w:r>
        <w:r w:rsidR="00C30450" w:rsidRPr="00C30450">
          <w:rPr>
            <w:rStyle w:val="af0"/>
            <w:rFonts w:ascii="宋体" w:hAnsi="宋体"/>
            <w:noProof/>
            <w:sz w:val="24"/>
          </w:rPr>
          <w:instrText xml:space="preserve"> PAGEREF _Toc147840627 \h </w:instrText>
        </w:r>
        <w:r w:rsidR="00C30450" w:rsidRPr="00C30450">
          <w:rPr>
            <w:rStyle w:val="af0"/>
            <w:rFonts w:ascii="宋体" w:hAnsi="宋体"/>
            <w:noProof/>
            <w:sz w:val="24"/>
          </w:rPr>
        </w:r>
        <w:r w:rsidR="00C30450" w:rsidRPr="00C30450">
          <w:rPr>
            <w:rStyle w:val="af0"/>
            <w:rFonts w:ascii="宋体" w:hAnsi="宋体"/>
            <w:noProof/>
            <w:sz w:val="24"/>
          </w:rPr>
          <w:fldChar w:fldCharType="separate"/>
        </w:r>
        <w:r w:rsidR="0014768F">
          <w:rPr>
            <w:rStyle w:val="af0"/>
            <w:rFonts w:ascii="宋体" w:hAnsi="宋体"/>
            <w:noProof/>
            <w:sz w:val="24"/>
          </w:rPr>
          <w:t>46</w:t>
        </w:r>
        <w:r w:rsidR="00C30450" w:rsidRPr="00C30450">
          <w:rPr>
            <w:rStyle w:val="af0"/>
            <w:rFonts w:ascii="宋体" w:hAnsi="宋体"/>
            <w:noProof/>
            <w:sz w:val="24"/>
          </w:rPr>
          <w:fldChar w:fldCharType="end"/>
        </w:r>
      </w:hyperlink>
    </w:p>
    <w:p w14:paraId="2B0B3B37" w14:textId="370168FD" w:rsidR="00C30450" w:rsidRPr="00C30450" w:rsidRDefault="00B00B45" w:rsidP="00C30450">
      <w:pPr>
        <w:pStyle w:val="11"/>
        <w:tabs>
          <w:tab w:val="right" w:leader="dot" w:pos="8550"/>
        </w:tabs>
        <w:spacing w:line="360" w:lineRule="auto"/>
        <w:rPr>
          <w:rStyle w:val="af0"/>
          <w:rFonts w:ascii="宋体" w:hAnsi="宋体"/>
          <w:noProof/>
          <w:sz w:val="24"/>
        </w:rPr>
      </w:pPr>
      <w:hyperlink w:anchor="_Toc147840628" w:history="1">
        <w:r w:rsidR="00C30450" w:rsidRPr="00C30450">
          <w:rPr>
            <w:rStyle w:val="af0"/>
            <w:rFonts w:ascii="宋体" w:hAnsi="宋体"/>
            <w:noProof/>
            <w:sz w:val="24"/>
          </w:rPr>
          <w:t>十、基金的财产</w:t>
        </w:r>
        <w:r w:rsidR="00C30450" w:rsidRPr="00C30450">
          <w:rPr>
            <w:rStyle w:val="af0"/>
            <w:rFonts w:ascii="宋体" w:hAnsi="宋体"/>
            <w:noProof/>
            <w:sz w:val="24"/>
          </w:rPr>
          <w:tab/>
        </w:r>
        <w:r w:rsidR="00C30450" w:rsidRPr="00C30450">
          <w:rPr>
            <w:rStyle w:val="af0"/>
            <w:rFonts w:ascii="宋体" w:hAnsi="宋体"/>
            <w:noProof/>
            <w:sz w:val="24"/>
          </w:rPr>
          <w:fldChar w:fldCharType="begin"/>
        </w:r>
        <w:r w:rsidR="00C30450" w:rsidRPr="00C30450">
          <w:rPr>
            <w:rStyle w:val="af0"/>
            <w:rFonts w:ascii="宋体" w:hAnsi="宋体"/>
            <w:noProof/>
            <w:sz w:val="24"/>
          </w:rPr>
          <w:instrText xml:space="preserve"> PAGEREF _Toc147840628 \h </w:instrText>
        </w:r>
        <w:r w:rsidR="00C30450" w:rsidRPr="00C30450">
          <w:rPr>
            <w:rStyle w:val="af0"/>
            <w:rFonts w:ascii="宋体" w:hAnsi="宋体"/>
            <w:noProof/>
            <w:sz w:val="24"/>
          </w:rPr>
        </w:r>
        <w:r w:rsidR="00C30450" w:rsidRPr="00C30450">
          <w:rPr>
            <w:rStyle w:val="af0"/>
            <w:rFonts w:ascii="宋体" w:hAnsi="宋体"/>
            <w:noProof/>
            <w:sz w:val="24"/>
          </w:rPr>
          <w:fldChar w:fldCharType="separate"/>
        </w:r>
        <w:r w:rsidR="0014768F">
          <w:rPr>
            <w:rStyle w:val="af0"/>
            <w:rFonts w:ascii="宋体" w:hAnsi="宋体"/>
            <w:noProof/>
            <w:sz w:val="24"/>
          </w:rPr>
          <w:t>52</w:t>
        </w:r>
        <w:r w:rsidR="00C30450" w:rsidRPr="00C30450">
          <w:rPr>
            <w:rStyle w:val="af0"/>
            <w:rFonts w:ascii="宋体" w:hAnsi="宋体"/>
            <w:noProof/>
            <w:sz w:val="24"/>
          </w:rPr>
          <w:fldChar w:fldCharType="end"/>
        </w:r>
      </w:hyperlink>
    </w:p>
    <w:p w14:paraId="68EB7030" w14:textId="5BDB23BB" w:rsidR="00C30450" w:rsidRPr="00C30450" w:rsidRDefault="00B00B45" w:rsidP="00C30450">
      <w:pPr>
        <w:pStyle w:val="11"/>
        <w:tabs>
          <w:tab w:val="right" w:leader="dot" w:pos="8550"/>
        </w:tabs>
        <w:spacing w:line="360" w:lineRule="auto"/>
        <w:rPr>
          <w:rStyle w:val="af0"/>
          <w:rFonts w:ascii="宋体" w:hAnsi="宋体"/>
          <w:noProof/>
          <w:sz w:val="24"/>
        </w:rPr>
      </w:pPr>
      <w:hyperlink w:anchor="_Toc147840629" w:history="1">
        <w:r w:rsidR="00C30450" w:rsidRPr="00C30450">
          <w:rPr>
            <w:rStyle w:val="af0"/>
            <w:rFonts w:ascii="宋体" w:hAnsi="宋体"/>
            <w:noProof/>
            <w:sz w:val="24"/>
          </w:rPr>
          <w:t>十一、基金资产的估值</w:t>
        </w:r>
        <w:bookmarkStart w:id="3" w:name="_GoBack"/>
        <w:bookmarkEnd w:id="3"/>
        <w:r w:rsidR="00C30450" w:rsidRPr="00C30450">
          <w:rPr>
            <w:rStyle w:val="af0"/>
            <w:rFonts w:ascii="宋体" w:hAnsi="宋体"/>
            <w:noProof/>
            <w:sz w:val="24"/>
          </w:rPr>
          <w:tab/>
        </w:r>
        <w:r w:rsidR="00C30450" w:rsidRPr="00C30450">
          <w:rPr>
            <w:rStyle w:val="af0"/>
            <w:rFonts w:ascii="宋体" w:hAnsi="宋体"/>
            <w:noProof/>
            <w:sz w:val="24"/>
          </w:rPr>
          <w:fldChar w:fldCharType="begin"/>
        </w:r>
        <w:r w:rsidR="00C30450" w:rsidRPr="00C30450">
          <w:rPr>
            <w:rStyle w:val="af0"/>
            <w:rFonts w:ascii="宋体" w:hAnsi="宋体"/>
            <w:noProof/>
            <w:sz w:val="24"/>
          </w:rPr>
          <w:instrText xml:space="preserve"> PAGEREF _Toc147840629 \h </w:instrText>
        </w:r>
        <w:r w:rsidR="00C30450" w:rsidRPr="00C30450">
          <w:rPr>
            <w:rStyle w:val="af0"/>
            <w:rFonts w:ascii="宋体" w:hAnsi="宋体"/>
            <w:noProof/>
            <w:sz w:val="24"/>
          </w:rPr>
        </w:r>
        <w:r w:rsidR="00C30450" w:rsidRPr="00C30450">
          <w:rPr>
            <w:rStyle w:val="af0"/>
            <w:rFonts w:ascii="宋体" w:hAnsi="宋体"/>
            <w:noProof/>
            <w:sz w:val="24"/>
          </w:rPr>
          <w:fldChar w:fldCharType="separate"/>
        </w:r>
        <w:r w:rsidR="0014768F">
          <w:rPr>
            <w:rStyle w:val="af0"/>
            <w:rFonts w:ascii="宋体" w:hAnsi="宋体"/>
            <w:noProof/>
            <w:sz w:val="24"/>
          </w:rPr>
          <w:t>53</w:t>
        </w:r>
        <w:r w:rsidR="00C30450" w:rsidRPr="00C30450">
          <w:rPr>
            <w:rStyle w:val="af0"/>
            <w:rFonts w:ascii="宋体" w:hAnsi="宋体"/>
            <w:noProof/>
            <w:sz w:val="24"/>
          </w:rPr>
          <w:fldChar w:fldCharType="end"/>
        </w:r>
      </w:hyperlink>
    </w:p>
    <w:p w14:paraId="2B3BDF05" w14:textId="494858D6" w:rsidR="00C30450" w:rsidRPr="00C30450" w:rsidRDefault="00B00B45" w:rsidP="00C30450">
      <w:pPr>
        <w:pStyle w:val="11"/>
        <w:tabs>
          <w:tab w:val="right" w:leader="dot" w:pos="8550"/>
        </w:tabs>
        <w:spacing w:line="360" w:lineRule="auto"/>
        <w:rPr>
          <w:rStyle w:val="af0"/>
          <w:rFonts w:ascii="宋体" w:hAnsi="宋体"/>
          <w:noProof/>
          <w:sz w:val="24"/>
        </w:rPr>
      </w:pPr>
      <w:hyperlink w:anchor="_Toc147840630" w:history="1">
        <w:r w:rsidR="00C30450" w:rsidRPr="00C30450">
          <w:rPr>
            <w:rStyle w:val="af0"/>
            <w:rFonts w:ascii="宋体" w:hAnsi="宋体"/>
            <w:noProof/>
            <w:sz w:val="24"/>
          </w:rPr>
          <w:t>十二、基金收益与分配</w:t>
        </w:r>
        <w:r w:rsidR="00C30450" w:rsidRPr="00C30450">
          <w:rPr>
            <w:rStyle w:val="af0"/>
            <w:rFonts w:ascii="宋体" w:hAnsi="宋体"/>
            <w:noProof/>
            <w:sz w:val="24"/>
          </w:rPr>
          <w:tab/>
        </w:r>
        <w:r w:rsidR="00C30450" w:rsidRPr="00C30450">
          <w:rPr>
            <w:rStyle w:val="af0"/>
            <w:rFonts w:ascii="宋体" w:hAnsi="宋体"/>
            <w:noProof/>
            <w:sz w:val="24"/>
          </w:rPr>
          <w:fldChar w:fldCharType="begin"/>
        </w:r>
        <w:r w:rsidR="00C30450" w:rsidRPr="00C30450">
          <w:rPr>
            <w:rStyle w:val="af0"/>
            <w:rFonts w:ascii="宋体" w:hAnsi="宋体"/>
            <w:noProof/>
            <w:sz w:val="24"/>
          </w:rPr>
          <w:instrText xml:space="preserve"> PAGEREF _Toc147840630 \h </w:instrText>
        </w:r>
        <w:r w:rsidR="00C30450" w:rsidRPr="00C30450">
          <w:rPr>
            <w:rStyle w:val="af0"/>
            <w:rFonts w:ascii="宋体" w:hAnsi="宋体"/>
            <w:noProof/>
            <w:sz w:val="24"/>
          </w:rPr>
        </w:r>
        <w:r w:rsidR="00C30450" w:rsidRPr="00C30450">
          <w:rPr>
            <w:rStyle w:val="af0"/>
            <w:rFonts w:ascii="宋体" w:hAnsi="宋体"/>
            <w:noProof/>
            <w:sz w:val="24"/>
          </w:rPr>
          <w:fldChar w:fldCharType="separate"/>
        </w:r>
        <w:r w:rsidR="0014768F">
          <w:rPr>
            <w:rStyle w:val="af0"/>
            <w:rFonts w:ascii="宋体" w:hAnsi="宋体"/>
            <w:noProof/>
            <w:sz w:val="24"/>
          </w:rPr>
          <w:t>59</w:t>
        </w:r>
        <w:r w:rsidR="00C30450" w:rsidRPr="00C30450">
          <w:rPr>
            <w:rStyle w:val="af0"/>
            <w:rFonts w:ascii="宋体" w:hAnsi="宋体"/>
            <w:noProof/>
            <w:sz w:val="24"/>
          </w:rPr>
          <w:fldChar w:fldCharType="end"/>
        </w:r>
      </w:hyperlink>
    </w:p>
    <w:p w14:paraId="32E786C7" w14:textId="44F25DBF" w:rsidR="00C30450" w:rsidRPr="00C30450" w:rsidRDefault="00B00B45" w:rsidP="00C30450">
      <w:pPr>
        <w:pStyle w:val="11"/>
        <w:tabs>
          <w:tab w:val="right" w:leader="dot" w:pos="8550"/>
        </w:tabs>
        <w:spacing w:line="360" w:lineRule="auto"/>
        <w:rPr>
          <w:rStyle w:val="af0"/>
          <w:rFonts w:ascii="宋体" w:hAnsi="宋体"/>
          <w:noProof/>
          <w:sz w:val="24"/>
        </w:rPr>
      </w:pPr>
      <w:hyperlink w:anchor="_Toc147840631" w:history="1">
        <w:r w:rsidR="00C30450" w:rsidRPr="00C30450">
          <w:rPr>
            <w:rStyle w:val="af0"/>
            <w:rFonts w:ascii="宋体" w:hAnsi="宋体"/>
            <w:noProof/>
            <w:sz w:val="24"/>
          </w:rPr>
          <w:t>十三、基金的费用与税收</w:t>
        </w:r>
        <w:r w:rsidR="00C30450" w:rsidRPr="00C30450">
          <w:rPr>
            <w:rStyle w:val="af0"/>
            <w:rFonts w:ascii="宋体" w:hAnsi="宋体"/>
            <w:noProof/>
            <w:sz w:val="24"/>
          </w:rPr>
          <w:tab/>
        </w:r>
        <w:r w:rsidR="00C30450" w:rsidRPr="00C30450">
          <w:rPr>
            <w:rStyle w:val="af0"/>
            <w:rFonts w:ascii="宋体" w:hAnsi="宋体"/>
            <w:noProof/>
            <w:sz w:val="24"/>
          </w:rPr>
          <w:fldChar w:fldCharType="begin"/>
        </w:r>
        <w:r w:rsidR="00C30450" w:rsidRPr="00C30450">
          <w:rPr>
            <w:rStyle w:val="af0"/>
            <w:rFonts w:ascii="宋体" w:hAnsi="宋体"/>
            <w:noProof/>
            <w:sz w:val="24"/>
          </w:rPr>
          <w:instrText xml:space="preserve"> PAGEREF _Toc147840631 \h </w:instrText>
        </w:r>
        <w:r w:rsidR="00C30450" w:rsidRPr="00C30450">
          <w:rPr>
            <w:rStyle w:val="af0"/>
            <w:rFonts w:ascii="宋体" w:hAnsi="宋体"/>
            <w:noProof/>
            <w:sz w:val="24"/>
          </w:rPr>
        </w:r>
        <w:r w:rsidR="00C30450" w:rsidRPr="00C30450">
          <w:rPr>
            <w:rStyle w:val="af0"/>
            <w:rFonts w:ascii="宋体" w:hAnsi="宋体"/>
            <w:noProof/>
            <w:sz w:val="24"/>
          </w:rPr>
          <w:fldChar w:fldCharType="separate"/>
        </w:r>
        <w:r w:rsidR="0014768F">
          <w:rPr>
            <w:rStyle w:val="af0"/>
            <w:rFonts w:ascii="宋体" w:hAnsi="宋体"/>
            <w:noProof/>
            <w:sz w:val="24"/>
          </w:rPr>
          <w:t>61</w:t>
        </w:r>
        <w:r w:rsidR="00C30450" w:rsidRPr="00C30450">
          <w:rPr>
            <w:rStyle w:val="af0"/>
            <w:rFonts w:ascii="宋体" w:hAnsi="宋体"/>
            <w:noProof/>
            <w:sz w:val="24"/>
          </w:rPr>
          <w:fldChar w:fldCharType="end"/>
        </w:r>
      </w:hyperlink>
    </w:p>
    <w:p w14:paraId="772A5077" w14:textId="7562B356" w:rsidR="00C30450" w:rsidRPr="00C30450" w:rsidRDefault="00B00B45" w:rsidP="00C30450">
      <w:pPr>
        <w:pStyle w:val="11"/>
        <w:tabs>
          <w:tab w:val="right" w:leader="dot" w:pos="8550"/>
        </w:tabs>
        <w:spacing w:line="360" w:lineRule="auto"/>
        <w:rPr>
          <w:rStyle w:val="af0"/>
          <w:rFonts w:ascii="宋体" w:hAnsi="宋体"/>
          <w:noProof/>
          <w:sz w:val="24"/>
        </w:rPr>
      </w:pPr>
      <w:hyperlink w:anchor="_Toc147840632" w:history="1">
        <w:r w:rsidR="00C30450" w:rsidRPr="00C30450">
          <w:rPr>
            <w:rStyle w:val="af0"/>
            <w:rFonts w:ascii="宋体" w:hAnsi="宋体"/>
            <w:noProof/>
            <w:sz w:val="24"/>
          </w:rPr>
          <w:t>十四、基金的会计与审计</w:t>
        </w:r>
        <w:r w:rsidR="00C30450" w:rsidRPr="00C30450">
          <w:rPr>
            <w:rStyle w:val="af0"/>
            <w:rFonts w:ascii="宋体" w:hAnsi="宋体"/>
            <w:noProof/>
            <w:sz w:val="24"/>
          </w:rPr>
          <w:tab/>
        </w:r>
        <w:r w:rsidR="00C30450" w:rsidRPr="00C30450">
          <w:rPr>
            <w:rStyle w:val="af0"/>
            <w:rFonts w:ascii="宋体" w:hAnsi="宋体"/>
            <w:noProof/>
            <w:sz w:val="24"/>
          </w:rPr>
          <w:fldChar w:fldCharType="begin"/>
        </w:r>
        <w:r w:rsidR="00C30450" w:rsidRPr="00C30450">
          <w:rPr>
            <w:rStyle w:val="af0"/>
            <w:rFonts w:ascii="宋体" w:hAnsi="宋体"/>
            <w:noProof/>
            <w:sz w:val="24"/>
          </w:rPr>
          <w:instrText xml:space="preserve"> PAGEREF _Toc147840632 \h </w:instrText>
        </w:r>
        <w:r w:rsidR="00C30450" w:rsidRPr="00C30450">
          <w:rPr>
            <w:rStyle w:val="af0"/>
            <w:rFonts w:ascii="宋体" w:hAnsi="宋体"/>
            <w:noProof/>
            <w:sz w:val="24"/>
          </w:rPr>
        </w:r>
        <w:r w:rsidR="00C30450" w:rsidRPr="00C30450">
          <w:rPr>
            <w:rStyle w:val="af0"/>
            <w:rFonts w:ascii="宋体" w:hAnsi="宋体"/>
            <w:noProof/>
            <w:sz w:val="24"/>
          </w:rPr>
          <w:fldChar w:fldCharType="separate"/>
        </w:r>
        <w:r w:rsidR="0014768F">
          <w:rPr>
            <w:rStyle w:val="af0"/>
            <w:rFonts w:ascii="宋体" w:hAnsi="宋体"/>
            <w:noProof/>
            <w:sz w:val="24"/>
          </w:rPr>
          <w:t>64</w:t>
        </w:r>
        <w:r w:rsidR="00C30450" w:rsidRPr="00C30450">
          <w:rPr>
            <w:rStyle w:val="af0"/>
            <w:rFonts w:ascii="宋体" w:hAnsi="宋体"/>
            <w:noProof/>
            <w:sz w:val="24"/>
          </w:rPr>
          <w:fldChar w:fldCharType="end"/>
        </w:r>
      </w:hyperlink>
    </w:p>
    <w:p w14:paraId="2D5DCCB5" w14:textId="08996DCF" w:rsidR="00C30450" w:rsidRPr="00C30450" w:rsidRDefault="00B00B45" w:rsidP="00C30450">
      <w:pPr>
        <w:pStyle w:val="11"/>
        <w:tabs>
          <w:tab w:val="right" w:leader="dot" w:pos="8550"/>
        </w:tabs>
        <w:spacing w:line="360" w:lineRule="auto"/>
        <w:rPr>
          <w:rStyle w:val="af0"/>
          <w:rFonts w:ascii="宋体" w:hAnsi="宋体"/>
          <w:noProof/>
          <w:sz w:val="24"/>
        </w:rPr>
      </w:pPr>
      <w:hyperlink w:anchor="_Toc147840633" w:history="1">
        <w:r w:rsidR="00C30450" w:rsidRPr="00C30450">
          <w:rPr>
            <w:rStyle w:val="af0"/>
            <w:rFonts w:ascii="宋体" w:hAnsi="宋体"/>
            <w:noProof/>
            <w:sz w:val="24"/>
          </w:rPr>
          <w:t>十五、基金的信息披露</w:t>
        </w:r>
        <w:r w:rsidR="00C30450" w:rsidRPr="00C30450">
          <w:rPr>
            <w:rStyle w:val="af0"/>
            <w:rFonts w:ascii="宋体" w:hAnsi="宋体"/>
            <w:noProof/>
            <w:sz w:val="24"/>
          </w:rPr>
          <w:tab/>
        </w:r>
        <w:r w:rsidR="00C30450" w:rsidRPr="00C30450">
          <w:rPr>
            <w:rStyle w:val="af0"/>
            <w:rFonts w:ascii="宋体" w:hAnsi="宋体"/>
            <w:noProof/>
            <w:sz w:val="24"/>
          </w:rPr>
          <w:fldChar w:fldCharType="begin"/>
        </w:r>
        <w:r w:rsidR="00C30450" w:rsidRPr="00C30450">
          <w:rPr>
            <w:rStyle w:val="af0"/>
            <w:rFonts w:ascii="宋体" w:hAnsi="宋体"/>
            <w:noProof/>
            <w:sz w:val="24"/>
          </w:rPr>
          <w:instrText xml:space="preserve"> PAGEREF _Toc147840633 \h </w:instrText>
        </w:r>
        <w:r w:rsidR="00C30450" w:rsidRPr="00C30450">
          <w:rPr>
            <w:rStyle w:val="af0"/>
            <w:rFonts w:ascii="宋体" w:hAnsi="宋体"/>
            <w:noProof/>
            <w:sz w:val="24"/>
          </w:rPr>
        </w:r>
        <w:r w:rsidR="00C30450" w:rsidRPr="00C30450">
          <w:rPr>
            <w:rStyle w:val="af0"/>
            <w:rFonts w:ascii="宋体" w:hAnsi="宋体"/>
            <w:noProof/>
            <w:sz w:val="24"/>
          </w:rPr>
          <w:fldChar w:fldCharType="separate"/>
        </w:r>
        <w:r w:rsidR="0014768F">
          <w:rPr>
            <w:rStyle w:val="af0"/>
            <w:rFonts w:ascii="宋体" w:hAnsi="宋体"/>
            <w:noProof/>
            <w:sz w:val="24"/>
          </w:rPr>
          <w:t>65</w:t>
        </w:r>
        <w:r w:rsidR="00C30450" w:rsidRPr="00C30450">
          <w:rPr>
            <w:rStyle w:val="af0"/>
            <w:rFonts w:ascii="宋体" w:hAnsi="宋体"/>
            <w:noProof/>
            <w:sz w:val="24"/>
          </w:rPr>
          <w:fldChar w:fldCharType="end"/>
        </w:r>
      </w:hyperlink>
    </w:p>
    <w:p w14:paraId="02830FC1" w14:textId="69E1B37D" w:rsidR="00C30450" w:rsidRPr="00C30450" w:rsidRDefault="00B00B45" w:rsidP="00C30450">
      <w:pPr>
        <w:pStyle w:val="11"/>
        <w:tabs>
          <w:tab w:val="right" w:leader="dot" w:pos="8550"/>
        </w:tabs>
        <w:spacing w:line="360" w:lineRule="auto"/>
        <w:rPr>
          <w:rStyle w:val="af0"/>
          <w:rFonts w:ascii="宋体" w:hAnsi="宋体"/>
          <w:noProof/>
          <w:sz w:val="24"/>
        </w:rPr>
      </w:pPr>
      <w:hyperlink w:anchor="_Toc147840634" w:history="1">
        <w:r w:rsidR="00C30450" w:rsidRPr="00C30450">
          <w:rPr>
            <w:rStyle w:val="af0"/>
            <w:rFonts w:ascii="宋体" w:hAnsi="宋体"/>
            <w:noProof/>
            <w:sz w:val="24"/>
          </w:rPr>
          <w:t>十六、侧袋机制</w:t>
        </w:r>
        <w:r w:rsidR="00C30450" w:rsidRPr="00C30450">
          <w:rPr>
            <w:rStyle w:val="af0"/>
            <w:rFonts w:ascii="宋体" w:hAnsi="宋体"/>
            <w:noProof/>
            <w:sz w:val="24"/>
          </w:rPr>
          <w:tab/>
        </w:r>
        <w:r w:rsidR="00C30450" w:rsidRPr="00C30450">
          <w:rPr>
            <w:rStyle w:val="af0"/>
            <w:rFonts w:ascii="宋体" w:hAnsi="宋体"/>
            <w:noProof/>
            <w:sz w:val="24"/>
          </w:rPr>
          <w:fldChar w:fldCharType="begin"/>
        </w:r>
        <w:r w:rsidR="00C30450" w:rsidRPr="00C30450">
          <w:rPr>
            <w:rStyle w:val="af0"/>
            <w:rFonts w:ascii="宋体" w:hAnsi="宋体"/>
            <w:noProof/>
            <w:sz w:val="24"/>
          </w:rPr>
          <w:instrText xml:space="preserve"> PAGEREF _Toc147840634 \h </w:instrText>
        </w:r>
        <w:r w:rsidR="00C30450" w:rsidRPr="00C30450">
          <w:rPr>
            <w:rStyle w:val="af0"/>
            <w:rFonts w:ascii="宋体" w:hAnsi="宋体"/>
            <w:noProof/>
            <w:sz w:val="24"/>
          </w:rPr>
        </w:r>
        <w:r w:rsidR="00C30450" w:rsidRPr="00C30450">
          <w:rPr>
            <w:rStyle w:val="af0"/>
            <w:rFonts w:ascii="宋体" w:hAnsi="宋体"/>
            <w:noProof/>
            <w:sz w:val="24"/>
          </w:rPr>
          <w:fldChar w:fldCharType="separate"/>
        </w:r>
        <w:r w:rsidR="0014768F">
          <w:rPr>
            <w:rStyle w:val="af0"/>
            <w:rFonts w:ascii="宋体" w:hAnsi="宋体"/>
            <w:noProof/>
            <w:sz w:val="24"/>
          </w:rPr>
          <w:t>72</w:t>
        </w:r>
        <w:r w:rsidR="00C30450" w:rsidRPr="00C30450">
          <w:rPr>
            <w:rStyle w:val="af0"/>
            <w:rFonts w:ascii="宋体" w:hAnsi="宋体"/>
            <w:noProof/>
            <w:sz w:val="24"/>
          </w:rPr>
          <w:fldChar w:fldCharType="end"/>
        </w:r>
      </w:hyperlink>
    </w:p>
    <w:p w14:paraId="790003FA" w14:textId="46092743" w:rsidR="00C30450" w:rsidRPr="00C30450" w:rsidRDefault="00B00B45" w:rsidP="00C30450">
      <w:pPr>
        <w:pStyle w:val="11"/>
        <w:tabs>
          <w:tab w:val="right" w:leader="dot" w:pos="8550"/>
        </w:tabs>
        <w:spacing w:line="360" w:lineRule="auto"/>
        <w:rPr>
          <w:rStyle w:val="af0"/>
          <w:rFonts w:ascii="宋体" w:hAnsi="宋体"/>
          <w:noProof/>
          <w:sz w:val="24"/>
        </w:rPr>
      </w:pPr>
      <w:hyperlink w:anchor="_Toc147840635" w:history="1">
        <w:r w:rsidR="00C30450" w:rsidRPr="00C30450">
          <w:rPr>
            <w:rStyle w:val="af0"/>
            <w:rFonts w:ascii="宋体" w:hAnsi="宋体"/>
            <w:noProof/>
            <w:sz w:val="24"/>
          </w:rPr>
          <w:t>十七、风险揭示</w:t>
        </w:r>
        <w:r w:rsidR="00C30450" w:rsidRPr="00C30450">
          <w:rPr>
            <w:rStyle w:val="af0"/>
            <w:rFonts w:ascii="宋体" w:hAnsi="宋体"/>
            <w:noProof/>
            <w:sz w:val="24"/>
          </w:rPr>
          <w:tab/>
        </w:r>
        <w:r w:rsidR="00C30450" w:rsidRPr="00C30450">
          <w:rPr>
            <w:rStyle w:val="af0"/>
            <w:rFonts w:ascii="宋体" w:hAnsi="宋体"/>
            <w:noProof/>
            <w:sz w:val="24"/>
          </w:rPr>
          <w:fldChar w:fldCharType="begin"/>
        </w:r>
        <w:r w:rsidR="00C30450" w:rsidRPr="00C30450">
          <w:rPr>
            <w:rStyle w:val="af0"/>
            <w:rFonts w:ascii="宋体" w:hAnsi="宋体"/>
            <w:noProof/>
            <w:sz w:val="24"/>
          </w:rPr>
          <w:instrText xml:space="preserve"> PAGEREF _Toc147840635 \h </w:instrText>
        </w:r>
        <w:r w:rsidR="00C30450" w:rsidRPr="00C30450">
          <w:rPr>
            <w:rStyle w:val="af0"/>
            <w:rFonts w:ascii="宋体" w:hAnsi="宋体"/>
            <w:noProof/>
            <w:sz w:val="24"/>
          </w:rPr>
        </w:r>
        <w:r w:rsidR="00C30450" w:rsidRPr="00C30450">
          <w:rPr>
            <w:rStyle w:val="af0"/>
            <w:rFonts w:ascii="宋体" w:hAnsi="宋体"/>
            <w:noProof/>
            <w:sz w:val="24"/>
          </w:rPr>
          <w:fldChar w:fldCharType="separate"/>
        </w:r>
        <w:r w:rsidR="0014768F">
          <w:rPr>
            <w:rStyle w:val="af0"/>
            <w:rFonts w:ascii="宋体" w:hAnsi="宋体"/>
            <w:noProof/>
            <w:sz w:val="24"/>
          </w:rPr>
          <w:t>74</w:t>
        </w:r>
        <w:r w:rsidR="00C30450" w:rsidRPr="00C30450">
          <w:rPr>
            <w:rStyle w:val="af0"/>
            <w:rFonts w:ascii="宋体" w:hAnsi="宋体"/>
            <w:noProof/>
            <w:sz w:val="24"/>
          </w:rPr>
          <w:fldChar w:fldCharType="end"/>
        </w:r>
      </w:hyperlink>
    </w:p>
    <w:p w14:paraId="10A575C0" w14:textId="457ABF75" w:rsidR="00C30450" w:rsidRPr="00C30450" w:rsidRDefault="00B00B45" w:rsidP="00C30450">
      <w:pPr>
        <w:pStyle w:val="11"/>
        <w:tabs>
          <w:tab w:val="right" w:leader="dot" w:pos="8550"/>
        </w:tabs>
        <w:spacing w:line="360" w:lineRule="auto"/>
        <w:rPr>
          <w:rStyle w:val="af0"/>
          <w:rFonts w:ascii="宋体" w:hAnsi="宋体"/>
          <w:noProof/>
          <w:sz w:val="24"/>
        </w:rPr>
      </w:pPr>
      <w:hyperlink w:anchor="_Toc147840636" w:history="1">
        <w:r w:rsidR="00C30450" w:rsidRPr="00C30450">
          <w:rPr>
            <w:rStyle w:val="af0"/>
            <w:rFonts w:ascii="宋体" w:hAnsi="宋体"/>
            <w:noProof/>
            <w:sz w:val="24"/>
          </w:rPr>
          <w:t>十八、基金合同的变更、终止与基金财产的清算</w:t>
        </w:r>
        <w:r w:rsidR="00C30450" w:rsidRPr="00C30450">
          <w:rPr>
            <w:rStyle w:val="af0"/>
            <w:rFonts w:ascii="宋体" w:hAnsi="宋体"/>
            <w:noProof/>
            <w:sz w:val="24"/>
          </w:rPr>
          <w:tab/>
        </w:r>
        <w:r w:rsidR="00C30450" w:rsidRPr="00C30450">
          <w:rPr>
            <w:rStyle w:val="af0"/>
            <w:rFonts w:ascii="宋体" w:hAnsi="宋体"/>
            <w:noProof/>
            <w:sz w:val="24"/>
          </w:rPr>
          <w:fldChar w:fldCharType="begin"/>
        </w:r>
        <w:r w:rsidR="00C30450" w:rsidRPr="00C30450">
          <w:rPr>
            <w:rStyle w:val="af0"/>
            <w:rFonts w:ascii="宋体" w:hAnsi="宋体"/>
            <w:noProof/>
            <w:sz w:val="24"/>
          </w:rPr>
          <w:instrText xml:space="preserve"> PAGEREF _Toc147840636 \h </w:instrText>
        </w:r>
        <w:r w:rsidR="00C30450" w:rsidRPr="00C30450">
          <w:rPr>
            <w:rStyle w:val="af0"/>
            <w:rFonts w:ascii="宋体" w:hAnsi="宋体"/>
            <w:noProof/>
            <w:sz w:val="24"/>
          </w:rPr>
        </w:r>
        <w:r w:rsidR="00C30450" w:rsidRPr="00C30450">
          <w:rPr>
            <w:rStyle w:val="af0"/>
            <w:rFonts w:ascii="宋体" w:hAnsi="宋体"/>
            <w:noProof/>
            <w:sz w:val="24"/>
          </w:rPr>
          <w:fldChar w:fldCharType="separate"/>
        </w:r>
        <w:r w:rsidR="0014768F">
          <w:rPr>
            <w:rStyle w:val="af0"/>
            <w:rFonts w:ascii="宋体" w:hAnsi="宋体"/>
            <w:noProof/>
            <w:sz w:val="24"/>
          </w:rPr>
          <w:t>85</w:t>
        </w:r>
        <w:r w:rsidR="00C30450" w:rsidRPr="00C30450">
          <w:rPr>
            <w:rStyle w:val="af0"/>
            <w:rFonts w:ascii="宋体" w:hAnsi="宋体"/>
            <w:noProof/>
            <w:sz w:val="24"/>
          </w:rPr>
          <w:fldChar w:fldCharType="end"/>
        </w:r>
      </w:hyperlink>
    </w:p>
    <w:p w14:paraId="36A30EC2" w14:textId="6BFEB944" w:rsidR="00C30450" w:rsidRPr="00C30450" w:rsidRDefault="00B00B45" w:rsidP="00C30450">
      <w:pPr>
        <w:pStyle w:val="11"/>
        <w:tabs>
          <w:tab w:val="right" w:leader="dot" w:pos="8550"/>
        </w:tabs>
        <w:spacing w:line="360" w:lineRule="auto"/>
        <w:rPr>
          <w:rStyle w:val="af0"/>
          <w:rFonts w:ascii="宋体" w:hAnsi="宋体"/>
          <w:noProof/>
          <w:sz w:val="24"/>
        </w:rPr>
      </w:pPr>
      <w:hyperlink w:anchor="_Toc147840637" w:history="1">
        <w:r w:rsidR="00C30450" w:rsidRPr="00C30450">
          <w:rPr>
            <w:rStyle w:val="af0"/>
            <w:rFonts w:ascii="宋体" w:hAnsi="宋体"/>
            <w:noProof/>
            <w:sz w:val="24"/>
          </w:rPr>
          <w:t>十九、基金合同内容摘要</w:t>
        </w:r>
        <w:r w:rsidR="00C30450" w:rsidRPr="00C30450">
          <w:rPr>
            <w:rStyle w:val="af0"/>
            <w:rFonts w:ascii="宋体" w:hAnsi="宋体"/>
            <w:noProof/>
            <w:sz w:val="24"/>
          </w:rPr>
          <w:tab/>
        </w:r>
        <w:r w:rsidR="00C30450" w:rsidRPr="00C30450">
          <w:rPr>
            <w:rStyle w:val="af0"/>
            <w:rFonts w:ascii="宋体" w:hAnsi="宋体"/>
            <w:noProof/>
            <w:sz w:val="24"/>
          </w:rPr>
          <w:fldChar w:fldCharType="begin"/>
        </w:r>
        <w:r w:rsidR="00C30450" w:rsidRPr="00C30450">
          <w:rPr>
            <w:rStyle w:val="af0"/>
            <w:rFonts w:ascii="宋体" w:hAnsi="宋体"/>
            <w:noProof/>
            <w:sz w:val="24"/>
          </w:rPr>
          <w:instrText xml:space="preserve"> PAGEREF _Toc147840637 \h </w:instrText>
        </w:r>
        <w:r w:rsidR="00C30450" w:rsidRPr="00C30450">
          <w:rPr>
            <w:rStyle w:val="af0"/>
            <w:rFonts w:ascii="宋体" w:hAnsi="宋体"/>
            <w:noProof/>
            <w:sz w:val="24"/>
          </w:rPr>
        </w:r>
        <w:r w:rsidR="00C30450" w:rsidRPr="00C30450">
          <w:rPr>
            <w:rStyle w:val="af0"/>
            <w:rFonts w:ascii="宋体" w:hAnsi="宋体"/>
            <w:noProof/>
            <w:sz w:val="24"/>
          </w:rPr>
          <w:fldChar w:fldCharType="separate"/>
        </w:r>
        <w:r w:rsidR="0014768F">
          <w:rPr>
            <w:rStyle w:val="af0"/>
            <w:rFonts w:ascii="宋体" w:hAnsi="宋体"/>
            <w:noProof/>
            <w:sz w:val="24"/>
          </w:rPr>
          <w:t>87</w:t>
        </w:r>
        <w:r w:rsidR="00C30450" w:rsidRPr="00C30450">
          <w:rPr>
            <w:rStyle w:val="af0"/>
            <w:rFonts w:ascii="宋体" w:hAnsi="宋体"/>
            <w:noProof/>
            <w:sz w:val="24"/>
          </w:rPr>
          <w:fldChar w:fldCharType="end"/>
        </w:r>
      </w:hyperlink>
    </w:p>
    <w:p w14:paraId="2879F14F" w14:textId="7A731E54" w:rsidR="00C30450" w:rsidRPr="00C30450" w:rsidRDefault="00B00B45" w:rsidP="00C30450">
      <w:pPr>
        <w:pStyle w:val="11"/>
        <w:tabs>
          <w:tab w:val="right" w:leader="dot" w:pos="8550"/>
        </w:tabs>
        <w:spacing w:line="360" w:lineRule="auto"/>
        <w:rPr>
          <w:rStyle w:val="af0"/>
          <w:rFonts w:ascii="宋体" w:hAnsi="宋体"/>
          <w:noProof/>
          <w:sz w:val="24"/>
        </w:rPr>
      </w:pPr>
      <w:hyperlink w:anchor="_Toc147840638" w:history="1">
        <w:r w:rsidR="00C30450" w:rsidRPr="00C30450">
          <w:rPr>
            <w:rStyle w:val="af0"/>
            <w:rFonts w:ascii="宋体" w:hAnsi="宋体"/>
            <w:noProof/>
            <w:sz w:val="24"/>
          </w:rPr>
          <w:t>二十、托管协议的内容摘要</w:t>
        </w:r>
        <w:r w:rsidR="00C30450" w:rsidRPr="00C30450">
          <w:rPr>
            <w:rStyle w:val="af0"/>
            <w:rFonts w:ascii="宋体" w:hAnsi="宋体"/>
            <w:noProof/>
            <w:sz w:val="24"/>
          </w:rPr>
          <w:tab/>
        </w:r>
        <w:r w:rsidR="00C30450" w:rsidRPr="00C30450">
          <w:rPr>
            <w:rStyle w:val="af0"/>
            <w:rFonts w:ascii="宋体" w:hAnsi="宋体"/>
            <w:noProof/>
            <w:sz w:val="24"/>
          </w:rPr>
          <w:fldChar w:fldCharType="begin"/>
        </w:r>
        <w:r w:rsidR="00C30450" w:rsidRPr="00C30450">
          <w:rPr>
            <w:rStyle w:val="af0"/>
            <w:rFonts w:ascii="宋体" w:hAnsi="宋体"/>
            <w:noProof/>
            <w:sz w:val="24"/>
          </w:rPr>
          <w:instrText xml:space="preserve"> PAGEREF _Toc147840638 \h </w:instrText>
        </w:r>
        <w:r w:rsidR="00C30450" w:rsidRPr="00C30450">
          <w:rPr>
            <w:rStyle w:val="af0"/>
            <w:rFonts w:ascii="宋体" w:hAnsi="宋体"/>
            <w:noProof/>
            <w:sz w:val="24"/>
          </w:rPr>
        </w:r>
        <w:r w:rsidR="00C30450" w:rsidRPr="00C30450">
          <w:rPr>
            <w:rStyle w:val="af0"/>
            <w:rFonts w:ascii="宋体" w:hAnsi="宋体"/>
            <w:noProof/>
            <w:sz w:val="24"/>
          </w:rPr>
          <w:fldChar w:fldCharType="separate"/>
        </w:r>
        <w:r w:rsidR="0014768F">
          <w:rPr>
            <w:rStyle w:val="af0"/>
            <w:rFonts w:ascii="宋体" w:hAnsi="宋体"/>
            <w:noProof/>
            <w:sz w:val="24"/>
          </w:rPr>
          <w:t>104</w:t>
        </w:r>
        <w:r w:rsidR="00C30450" w:rsidRPr="00C30450">
          <w:rPr>
            <w:rStyle w:val="af0"/>
            <w:rFonts w:ascii="宋体" w:hAnsi="宋体"/>
            <w:noProof/>
            <w:sz w:val="24"/>
          </w:rPr>
          <w:fldChar w:fldCharType="end"/>
        </w:r>
      </w:hyperlink>
    </w:p>
    <w:p w14:paraId="692B2C74" w14:textId="7087E45F" w:rsidR="00C30450" w:rsidRPr="00C30450" w:rsidRDefault="00B00B45" w:rsidP="00C30450">
      <w:pPr>
        <w:pStyle w:val="11"/>
        <w:tabs>
          <w:tab w:val="right" w:leader="dot" w:pos="8550"/>
        </w:tabs>
        <w:spacing w:line="360" w:lineRule="auto"/>
        <w:rPr>
          <w:rStyle w:val="af0"/>
          <w:rFonts w:ascii="宋体" w:hAnsi="宋体"/>
          <w:noProof/>
          <w:sz w:val="24"/>
        </w:rPr>
      </w:pPr>
      <w:hyperlink w:anchor="_Toc147840639" w:history="1">
        <w:r w:rsidR="00C30450" w:rsidRPr="00C30450">
          <w:rPr>
            <w:rStyle w:val="af0"/>
            <w:rFonts w:ascii="宋体" w:hAnsi="宋体"/>
            <w:noProof/>
            <w:sz w:val="24"/>
          </w:rPr>
          <w:t>二十一、对基金份额持有人的服务</w:t>
        </w:r>
        <w:r w:rsidR="00C30450" w:rsidRPr="00C30450">
          <w:rPr>
            <w:rStyle w:val="af0"/>
            <w:rFonts w:ascii="宋体" w:hAnsi="宋体"/>
            <w:noProof/>
            <w:sz w:val="24"/>
          </w:rPr>
          <w:tab/>
        </w:r>
        <w:r w:rsidR="00C30450" w:rsidRPr="00C30450">
          <w:rPr>
            <w:rStyle w:val="af0"/>
            <w:rFonts w:ascii="宋体" w:hAnsi="宋体"/>
            <w:noProof/>
            <w:sz w:val="24"/>
          </w:rPr>
          <w:fldChar w:fldCharType="begin"/>
        </w:r>
        <w:r w:rsidR="00C30450" w:rsidRPr="00C30450">
          <w:rPr>
            <w:rStyle w:val="af0"/>
            <w:rFonts w:ascii="宋体" w:hAnsi="宋体"/>
            <w:noProof/>
            <w:sz w:val="24"/>
          </w:rPr>
          <w:instrText xml:space="preserve"> PAGEREF _Toc147840639 \h </w:instrText>
        </w:r>
        <w:r w:rsidR="00C30450" w:rsidRPr="00C30450">
          <w:rPr>
            <w:rStyle w:val="af0"/>
            <w:rFonts w:ascii="宋体" w:hAnsi="宋体"/>
            <w:noProof/>
            <w:sz w:val="24"/>
          </w:rPr>
        </w:r>
        <w:r w:rsidR="00C30450" w:rsidRPr="00C30450">
          <w:rPr>
            <w:rStyle w:val="af0"/>
            <w:rFonts w:ascii="宋体" w:hAnsi="宋体"/>
            <w:noProof/>
            <w:sz w:val="24"/>
          </w:rPr>
          <w:fldChar w:fldCharType="separate"/>
        </w:r>
        <w:r w:rsidR="0014768F">
          <w:rPr>
            <w:rStyle w:val="af0"/>
            <w:rFonts w:ascii="宋体" w:hAnsi="宋体"/>
            <w:noProof/>
            <w:sz w:val="24"/>
          </w:rPr>
          <w:t>117</w:t>
        </w:r>
        <w:r w:rsidR="00C30450" w:rsidRPr="00C30450">
          <w:rPr>
            <w:rStyle w:val="af0"/>
            <w:rFonts w:ascii="宋体" w:hAnsi="宋体"/>
            <w:noProof/>
            <w:sz w:val="24"/>
          </w:rPr>
          <w:fldChar w:fldCharType="end"/>
        </w:r>
      </w:hyperlink>
    </w:p>
    <w:p w14:paraId="3855464B" w14:textId="0F91822F" w:rsidR="00C30450" w:rsidRPr="00C30450" w:rsidRDefault="00B00B45" w:rsidP="00C30450">
      <w:pPr>
        <w:pStyle w:val="11"/>
        <w:tabs>
          <w:tab w:val="right" w:leader="dot" w:pos="8550"/>
        </w:tabs>
        <w:spacing w:line="360" w:lineRule="auto"/>
        <w:rPr>
          <w:rStyle w:val="af0"/>
          <w:rFonts w:ascii="宋体" w:hAnsi="宋体"/>
          <w:noProof/>
          <w:sz w:val="24"/>
        </w:rPr>
      </w:pPr>
      <w:hyperlink w:anchor="_Toc147840640" w:history="1">
        <w:r w:rsidR="00C30450" w:rsidRPr="00C30450">
          <w:rPr>
            <w:rStyle w:val="af0"/>
            <w:rFonts w:ascii="宋体" w:hAnsi="宋体"/>
            <w:noProof/>
            <w:sz w:val="24"/>
          </w:rPr>
          <w:t>二十二、其他应披露事项</w:t>
        </w:r>
        <w:r w:rsidR="00C30450" w:rsidRPr="00C30450">
          <w:rPr>
            <w:rStyle w:val="af0"/>
            <w:rFonts w:ascii="宋体" w:hAnsi="宋体"/>
            <w:noProof/>
            <w:sz w:val="24"/>
          </w:rPr>
          <w:tab/>
        </w:r>
        <w:r w:rsidR="00C30450" w:rsidRPr="00C30450">
          <w:rPr>
            <w:rStyle w:val="af0"/>
            <w:rFonts w:ascii="宋体" w:hAnsi="宋体"/>
            <w:noProof/>
            <w:sz w:val="24"/>
          </w:rPr>
          <w:fldChar w:fldCharType="begin"/>
        </w:r>
        <w:r w:rsidR="00C30450" w:rsidRPr="00C30450">
          <w:rPr>
            <w:rStyle w:val="af0"/>
            <w:rFonts w:ascii="宋体" w:hAnsi="宋体"/>
            <w:noProof/>
            <w:sz w:val="24"/>
          </w:rPr>
          <w:instrText xml:space="preserve"> PAGEREF _Toc147840640 \h </w:instrText>
        </w:r>
        <w:r w:rsidR="00C30450" w:rsidRPr="00C30450">
          <w:rPr>
            <w:rStyle w:val="af0"/>
            <w:rFonts w:ascii="宋体" w:hAnsi="宋体"/>
            <w:noProof/>
            <w:sz w:val="24"/>
          </w:rPr>
        </w:r>
        <w:r w:rsidR="00C30450" w:rsidRPr="00C30450">
          <w:rPr>
            <w:rStyle w:val="af0"/>
            <w:rFonts w:ascii="宋体" w:hAnsi="宋体"/>
            <w:noProof/>
            <w:sz w:val="24"/>
          </w:rPr>
          <w:fldChar w:fldCharType="separate"/>
        </w:r>
        <w:r w:rsidR="0014768F">
          <w:rPr>
            <w:rStyle w:val="af0"/>
            <w:rFonts w:ascii="宋体" w:hAnsi="宋体"/>
            <w:noProof/>
            <w:sz w:val="24"/>
          </w:rPr>
          <w:t>119</w:t>
        </w:r>
        <w:r w:rsidR="00C30450" w:rsidRPr="00C30450">
          <w:rPr>
            <w:rStyle w:val="af0"/>
            <w:rFonts w:ascii="宋体" w:hAnsi="宋体"/>
            <w:noProof/>
            <w:sz w:val="24"/>
          </w:rPr>
          <w:fldChar w:fldCharType="end"/>
        </w:r>
      </w:hyperlink>
    </w:p>
    <w:p w14:paraId="3A767128" w14:textId="25DE354D" w:rsidR="00C30450" w:rsidRPr="00C30450" w:rsidRDefault="00B00B45" w:rsidP="00C30450">
      <w:pPr>
        <w:pStyle w:val="11"/>
        <w:tabs>
          <w:tab w:val="right" w:leader="dot" w:pos="8550"/>
        </w:tabs>
        <w:spacing w:line="360" w:lineRule="auto"/>
        <w:rPr>
          <w:rStyle w:val="af0"/>
          <w:rFonts w:ascii="宋体" w:hAnsi="宋体"/>
          <w:noProof/>
          <w:sz w:val="24"/>
        </w:rPr>
      </w:pPr>
      <w:hyperlink w:anchor="_Toc147840641" w:history="1">
        <w:r w:rsidR="00C30450" w:rsidRPr="00C30450">
          <w:rPr>
            <w:rStyle w:val="af0"/>
            <w:rFonts w:ascii="宋体" w:hAnsi="宋体"/>
            <w:noProof/>
            <w:sz w:val="24"/>
          </w:rPr>
          <w:t>二十三、招募说明书的存放及查阅方式</w:t>
        </w:r>
        <w:r w:rsidR="00C30450" w:rsidRPr="00C30450">
          <w:rPr>
            <w:rStyle w:val="af0"/>
            <w:rFonts w:ascii="宋体" w:hAnsi="宋体"/>
            <w:noProof/>
            <w:sz w:val="24"/>
          </w:rPr>
          <w:tab/>
        </w:r>
        <w:r w:rsidR="00C30450" w:rsidRPr="00C30450">
          <w:rPr>
            <w:rStyle w:val="af0"/>
            <w:rFonts w:ascii="宋体" w:hAnsi="宋体"/>
            <w:noProof/>
            <w:sz w:val="24"/>
          </w:rPr>
          <w:fldChar w:fldCharType="begin"/>
        </w:r>
        <w:r w:rsidR="00C30450" w:rsidRPr="00C30450">
          <w:rPr>
            <w:rStyle w:val="af0"/>
            <w:rFonts w:ascii="宋体" w:hAnsi="宋体"/>
            <w:noProof/>
            <w:sz w:val="24"/>
          </w:rPr>
          <w:instrText xml:space="preserve"> PAGEREF _Toc147840641 \h </w:instrText>
        </w:r>
        <w:r w:rsidR="00C30450" w:rsidRPr="00C30450">
          <w:rPr>
            <w:rStyle w:val="af0"/>
            <w:rFonts w:ascii="宋体" w:hAnsi="宋体"/>
            <w:noProof/>
            <w:sz w:val="24"/>
          </w:rPr>
        </w:r>
        <w:r w:rsidR="00C30450" w:rsidRPr="00C30450">
          <w:rPr>
            <w:rStyle w:val="af0"/>
            <w:rFonts w:ascii="宋体" w:hAnsi="宋体"/>
            <w:noProof/>
            <w:sz w:val="24"/>
          </w:rPr>
          <w:fldChar w:fldCharType="separate"/>
        </w:r>
        <w:r w:rsidR="0014768F">
          <w:rPr>
            <w:rStyle w:val="af0"/>
            <w:rFonts w:ascii="宋体" w:hAnsi="宋体"/>
            <w:noProof/>
            <w:sz w:val="24"/>
          </w:rPr>
          <w:t>120</w:t>
        </w:r>
        <w:r w:rsidR="00C30450" w:rsidRPr="00C30450">
          <w:rPr>
            <w:rStyle w:val="af0"/>
            <w:rFonts w:ascii="宋体" w:hAnsi="宋体"/>
            <w:noProof/>
            <w:sz w:val="24"/>
          </w:rPr>
          <w:fldChar w:fldCharType="end"/>
        </w:r>
      </w:hyperlink>
    </w:p>
    <w:p w14:paraId="6CDFD110" w14:textId="043A72BD" w:rsidR="00C30450" w:rsidRPr="00C30450" w:rsidRDefault="00B00B45" w:rsidP="00C30450">
      <w:pPr>
        <w:pStyle w:val="11"/>
        <w:tabs>
          <w:tab w:val="right" w:leader="dot" w:pos="8550"/>
        </w:tabs>
        <w:spacing w:line="360" w:lineRule="auto"/>
        <w:rPr>
          <w:rStyle w:val="af0"/>
          <w:rFonts w:ascii="宋体" w:hAnsi="宋体"/>
          <w:noProof/>
          <w:sz w:val="24"/>
        </w:rPr>
      </w:pPr>
      <w:hyperlink w:anchor="_Toc147840642" w:history="1">
        <w:r w:rsidR="00C30450" w:rsidRPr="00C30450">
          <w:rPr>
            <w:rStyle w:val="af0"/>
            <w:rFonts w:ascii="宋体" w:hAnsi="宋体"/>
            <w:noProof/>
            <w:sz w:val="24"/>
          </w:rPr>
          <w:t>二十四、备查文件</w:t>
        </w:r>
        <w:r w:rsidR="00C30450" w:rsidRPr="00C30450">
          <w:rPr>
            <w:rStyle w:val="af0"/>
            <w:rFonts w:ascii="宋体" w:hAnsi="宋体"/>
            <w:noProof/>
            <w:sz w:val="24"/>
          </w:rPr>
          <w:tab/>
        </w:r>
        <w:r w:rsidR="00C30450" w:rsidRPr="00C30450">
          <w:rPr>
            <w:rStyle w:val="af0"/>
            <w:rFonts w:ascii="宋体" w:hAnsi="宋体"/>
            <w:noProof/>
            <w:sz w:val="24"/>
          </w:rPr>
          <w:fldChar w:fldCharType="begin"/>
        </w:r>
        <w:r w:rsidR="00C30450" w:rsidRPr="00C30450">
          <w:rPr>
            <w:rStyle w:val="af0"/>
            <w:rFonts w:ascii="宋体" w:hAnsi="宋体"/>
            <w:noProof/>
            <w:sz w:val="24"/>
          </w:rPr>
          <w:instrText xml:space="preserve"> PAGEREF _Toc147840642 \h </w:instrText>
        </w:r>
        <w:r w:rsidR="00C30450" w:rsidRPr="00C30450">
          <w:rPr>
            <w:rStyle w:val="af0"/>
            <w:rFonts w:ascii="宋体" w:hAnsi="宋体"/>
            <w:noProof/>
            <w:sz w:val="24"/>
          </w:rPr>
        </w:r>
        <w:r w:rsidR="00C30450" w:rsidRPr="00C30450">
          <w:rPr>
            <w:rStyle w:val="af0"/>
            <w:rFonts w:ascii="宋体" w:hAnsi="宋体"/>
            <w:noProof/>
            <w:sz w:val="24"/>
          </w:rPr>
          <w:fldChar w:fldCharType="separate"/>
        </w:r>
        <w:r w:rsidR="0014768F">
          <w:rPr>
            <w:rStyle w:val="af0"/>
            <w:rFonts w:ascii="宋体" w:hAnsi="宋体"/>
            <w:noProof/>
            <w:sz w:val="24"/>
          </w:rPr>
          <w:t>121</w:t>
        </w:r>
        <w:r w:rsidR="00C30450" w:rsidRPr="00C30450">
          <w:rPr>
            <w:rStyle w:val="af0"/>
            <w:rFonts w:ascii="宋体" w:hAnsi="宋体"/>
            <w:noProof/>
            <w:sz w:val="24"/>
          </w:rPr>
          <w:fldChar w:fldCharType="end"/>
        </w:r>
      </w:hyperlink>
    </w:p>
    <w:p w14:paraId="225004BE" w14:textId="0A5AC397" w:rsidR="00FD086C" w:rsidRPr="00C30450" w:rsidRDefault="009B19C1" w:rsidP="00C30450">
      <w:pPr>
        <w:pStyle w:val="11"/>
        <w:tabs>
          <w:tab w:val="right" w:leader="dot" w:pos="8550"/>
        </w:tabs>
        <w:spacing w:line="360" w:lineRule="auto"/>
        <w:rPr>
          <w:rStyle w:val="af0"/>
          <w:rFonts w:ascii="宋体" w:hAnsi="宋体"/>
          <w:noProof/>
          <w:sz w:val="24"/>
        </w:rPr>
        <w:sectPr w:rsidR="00FD086C" w:rsidRPr="00C30450">
          <w:pgSz w:w="11920" w:h="16840"/>
          <w:pgMar w:top="1480" w:right="1680" w:bottom="280" w:left="1680" w:header="0" w:footer="1073" w:gutter="0"/>
          <w:cols w:space="720"/>
        </w:sectPr>
      </w:pPr>
      <w:r w:rsidRPr="00C30450">
        <w:rPr>
          <w:rStyle w:val="af0"/>
          <w:noProof/>
        </w:rPr>
        <w:fldChar w:fldCharType="end"/>
      </w:r>
    </w:p>
    <w:p w14:paraId="72D2B46D" w14:textId="77777777" w:rsidR="00FD086C" w:rsidRDefault="004B071E">
      <w:pPr>
        <w:pStyle w:val="1"/>
        <w:snapToGrid w:val="0"/>
        <w:spacing w:beforeLines="0" w:before="240" w:after="240"/>
        <w:rPr>
          <w:rFonts w:ascii="宋体" w:hAnsi="宋体"/>
          <w:szCs w:val="30"/>
        </w:rPr>
      </w:pPr>
      <w:bookmarkStart w:id="4" w:name="_Toc147840619"/>
      <w:r>
        <w:rPr>
          <w:rFonts w:ascii="Times New Roman" w:hAnsi="Times New Roman"/>
          <w:sz w:val="30"/>
        </w:rPr>
        <w:lastRenderedPageBreak/>
        <w:t>一、绪言</w:t>
      </w:r>
      <w:bookmarkEnd w:id="4"/>
    </w:p>
    <w:p w14:paraId="1860BDC6" w14:textId="4C388728"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《交银施罗德</w:t>
      </w:r>
      <w:r w:rsidR="00CC5C02">
        <w:rPr>
          <w:rFonts w:ascii="宋体" w:hAnsi="宋体"/>
          <w:sz w:val="24"/>
        </w:rPr>
        <w:t>中证红利低波动100指数型</w:t>
      </w:r>
      <w:r>
        <w:rPr>
          <w:rFonts w:ascii="宋体" w:hAnsi="宋体"/>
          <w:sz w:val="24"/>
        </w:rPr>
        <w:t>证券投资基金招募说明书》（以下简称“本招募说明书”）依据《中华人民共和国证券投资基金法》（以下简称“《基金法》”）、《公开募集证券投资基金运作管理办法》（以下简称“《运作办法》”）、《</w:t>
      </w:r>
      <w:r w:rsidR="00BB30C0">
        <w:rPr>
          <w:rFonts w:ascii="宋体" w:hAnsi="宋体"/>
          <w:kern w:val="0"/>
          <w:sz w:val="24"/>
        </w:rPr>
        <w:t>公开募集证券投资基金销售机构监督管理办法</w:t>
      </w:r>
      <w:r>
        <w:rPr>
          <w:rFonts w:ascii="宋体" w:hAnsi="宋体"/>
          <w:sz w:val="24"/>
        </w:rPr>
        <w:t>》（以下简称“《销售办法》”）、《公开募集证券投资基金信息披露管理办法》（以下简称“《信息披露办法》”）、《公开募集开放式证券投资基金流动性风险管理规定》（以下简称“《流动性风险管理规定》”）、《公开募集证券投资基金运作指引第3号——指数基金指引》和其他相关法律法规的规定以及《交银施罗德</w:t>
      </w:r>
      <w:r w:rsidR="00CC5C02">
        <w:rPr>
          <w:rFonts w:ascii="宋体" w:hAnsi="宋体"/>
          <w:sz w:val="24"/>
        </w:rPr>
        <w:t>中证红利低波动100指数型</w:t>
      </w:r>
      <w:r>
        <w:rPr>
          <w:rFonts w:ascii="宋体" w:hAnsi="宋体"/>
          <w:sz w:val="24"/>
        </w:rPr>
        <w:t>证券投资基金基金合同》（以下简称“基金合同”）编写。</w:t>
      </w:r>
    </w:p>
    <w:p w14:paraId="525D184A"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14:paraId="5879B409"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招募说明书根据本基金的基金合同编写，并经中国证监会注册。基金合同是约定基金合同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14:paraId="4FFC9F5A" w14:textId="77777777" w:rsidR="00A37EB9" w:rsidRDefault="004B071E" w:rsidP="00A37EB9">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297A109F" w14:textId="77777777" w:rsidR="00FD086C" w:rsidRDefault="004B071E">
      <w:pPr>
        <w:pStyle w:val="1"/>
        <w:snapToGrid w:val="0"/>
        <w:spacing w:beforeLines="0" w:before="240" w:after="240"/>
        <w:rPr>
          <w:rFonts w:ascii="宋体" w:hAnsi="宋体"/>
          <w:szCs w:val="30"/>
        </w:rPr>
      </w:pPr>
      <w:bookmarkStart w:id="5" w:name="_Toc147840620"/>
      <w:r>
        <w:rPr>
          <w:rFonts w:ascii="Times New Roman" w:hAnsi="Times New Roman"/>
          <w:sz w:val="30"/>
        </w:rPr>
        <w:lastRenderedPageBreak/>
        <w:t>二、释义</w:t>
      </w:r>
      <w:bookmarkEnd w:id="5"/>
    </w:p>
    <w:p w14:paraId="4ADC5DD5"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在本招募说明书中，除非文意另有所指，下列词语或简称具有如下含义：</w:t>
      </w:r>
    </w:p>
    <w:p w14:paraId="03088575" w14:textId="3287F8E9"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1、基金或本基金：指交银施罗德</w:t>
      </w:r>
      <w:r w:rsidR="00CC5C02">
        <w:rPr>
          <w:rFonts w:ascii="宋体" w:hAnsi="宋体"/>
          <w:sz w:val="24"/>
        </w:rPr>
        <w:t>中证红利低波动100指数型</w:t>
      </w:r>
      <w:r>
        <w:rPr>
          <w:rFonts w:ascii="宋体" w:hAnsi="宋体"/>
          <w:sz w:val="24"/>
        </w:rPr>
        <w:t>证券投资基金</w:t>
      </w:r>
    </w:p>
    <w:p w14:paraId="78F47B25" w14:textId="2564CA94"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2、基金管理人：指交银施罗德基金管理有限公司</w:t>
      </w:r>
    </w:p>
    <w:p w14:paraId="562529A3" w14:textId="26BC51A1"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3、基金托管人：指</w:t>
      </w:r>
      <w:r w:rsidR="007A02EA">
        <w:rPr>
          <w:rFonts w:ascii="宋体" w:hAnsi="宋体"/>
          <w:sz w:val="24"/>
        </w:rPr>
        <w:t>中国农业银行</w:t>
      </w:r>
      <w:r>
        <w:rPr>
          <w:rFonts w:ascii="宋体" w:hAnsi="宋体"/>
          <w:sz w:val="24"/>
        </w:rPr>
        <w:t>股份有限公司</w:t>
      </w:r>
    </w:p>
    <w:p w14:paraId="6ABB320C" w14:textId="79B922BD"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4、基金合同或《基金合同》：指《交银施罗德</w:t>
      </w:r>
      <w:r w:rsidR="00CC5C02">
        <w:rPr>
          <w:rFonts w:ascii="宋体" w:hAnsi="宋体"/>
          <w:sz w:val="24"/>
        </w:rPr>
        <w:t>中证红利低波动100指数型</w:t>
      </w:r>
      <w:r>
        <w:rPr>
          <w:rFonts w:ascii="宋体" w:hAnsi="宋体"/>
          <w:sz w:val="24"/>
        </w:rPr>
        <w:t>证券投资基金基金合同》及对基金合同的任何有效修订和补充</w:t>
      </w:r>
    </w:p>
    <w:p w14:paraId="2A7BDC6A" w14:textId="11A0F6D4"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5、托管协议：指基金管理人与基金托管人就本基金签订之《交银施罗德</w:t>
      </w:r>
      <w:r w:rsidR="00CC5C02">
        <w:rPr>
          <w:rFonts w:ascii="宋体" w:hAnsi="宋体"/>
          <w:sz w:val="24"/>
        </w:rPr>
        <w:t>中证红利低波动100指数型</w:t>
      </w:r>
      <w:r>
        <w:rPr>
          <w:rFonts w:ascii="宋体" w:hAnsi="宋体"/>
          <w:sz w:val="24"/>
        </w:rPr>
        <w:t>证券投资基金托管协议》及对该托管协议的任何有效修订和补充</w:t>
      </w:r>
    </w:p>
    <w:p w14:paraId="6CC3911E" w14:textId="63D80288"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6、招募说明书、</w:t>
      </w:r>
      <w:r w:rsidR="00CB7D21">
        <w:rPr>
          <w:rFonts w:ascii="宋体" w:hAnsi="宋体"/>
          <w:sz w:val="24"/>
        </w:rPr>
        <w:t>《招募说明书》</w:t>
      </w:r>
      <w:r>
        <w:rPr>
          <w:rFonts w:ascii="宋体" w:hAnsi="宋体"/>
          <w:sz w:val="24"/>
        </w:rPr>
        <w:t>或</w:t>
      </w:r>
      <w:r w:rsidR="00CB7D21">
        <w:rPr>
          <w:rFonts w:ascii="宋体" w:hAnsi="宋体"/>
          <w:sz w:val="24"/>
        </w:rPr>
        <w:t>本招募说明书</w:t>
      </w:r>
      <w:r>
        <w:rPr>
          <w:rFonts w:ascii="宋体" w:hAnsi="宋体"/>
          <w:sz w:val="24"/>
        </w:rPr>
        <w:t>：指《交银施罗德</w:t>
      </w:r>
      <w:r w:rsidR="00CC5C02">
        <w:rPr>
          <w:rFonts w:ascii="宋体" w:hAnsi="宋体"/>
          <w:sz w:val="24"/>
        </w:rPr>
        <w:t>中证红利低波动100指数型</w:t>
      </w:r>
      <w:r>
        <w:rPr>
          <w:rFonts w:ascii="宋体" w:hAnsi="宋体"/>
          <w:sz w:val="24"/>
        </w:rPr>
        <w:t>证券投资基金招募说明书》及其更新</w:t>
      </w:r>
    </w:p>
    <w:p w14:paraId="25A31819" w14:textId="16DFC9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7、基金份额发售公告：指《交银施罗德</w:t>
      </w:r>
      <w:r w:rsidR="00CC5C02">
        <w:rPr>
          <w:rFonts w:ascii="宋体" w:hAnsi="宋体"/>
          <w:sz w:val="24"/>
        </w:rPr>
        <w:t>中证红利低波动100指数型</w:t>
      </w:r>
      <w:r>
        <w:rPr>
          <w:rFonts w:ascii="宋体" w:hAnsi="宋体"/>
          <w:sz w:val="24"/>
        </w:rPr>
        <w:t>证券投资基金基金份额发售公告》</w:t>
      </w:r>
    </w:p>
    <w:p w14:paraId="7CE035A5" w14:textId="1841A302"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8、基金产品资料概要：指《交银施罗德</w:t>
      </w:r>
      <w:r w:rsidR="00CC5C02">
        <w:rPr>
          <w:rFonts w:ascii="宋体" w:hAnsi="宋体"/>
          <w:sz w:val="24"/>
        </w:rPr>
        <w:t>中证红利低波动100指数型</w:t>
      </w:r>
      <w:r>
        <w:rPr>
          <w:rFonts w:ascii="宋体" w:hAnsi="宋体"/>
          <w:sz w:val="24"/>
        </w:rPr>
        <w:t>证券投资基金基金产品资料概要》及其更新</w:t>
      </w:r>
    </w:p>
    <w:p w14:paraId="4076EE7B"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9、法律法规：指中国现行有效并公布实施的法律、行政法规、规范性文件、司法解释、行政规章以及其他对基金合同当事人有约束力的决定、决议、通知等</w:t>
      </w:r>
    </w:p>
    <w:p w14:paraId="2DA7C21F" w14:textId="77777777" w:rsidR="00BB30C0" w:rsidRPr="00BB30C0" w:rsidRDefault="00BB30C0" w:rsidP="00BB30C0">
      <w:pPr>
        <w:autoSpaceDE w:val="0"/>
        <w:autoSpaceDN w:val="0"/>
        <w:adjustRightInd w:val="0"/>
        <w:snapToGrid w:val="0"/>
        <w:spacing w:line="360" w:lineRule="auto"/>
        <w:ind w:firstLineChars="200" w:firstLine="480"/>
        <w:jc w:val="left"/>
        <w:rPr>
          <w:rFonts w:ascii="宋体" w:hAnsi="宋体"/>
          <w:sz w:val="24"/>
        </w:rPr>
      </w:pPr>
      <w:r w:rsidRPr="00BB30C0">
        <w:rPr>
          <w:rFonts w:ascii="宋体" w:hAnsi="宋体" w:hint="eastAsia"/>
          <w:sz w:val="24"/>
        </w:rPr>
        <w:t>10、《基金法》：指《中华人民共和国证券投资基金法》及颁布机关对其不时做出的修订</w:t>
      </w:r>
    </w:p>
    <w:p w14:paraId="17CEE626" w14:textId="77777777" w:rsidR="00BB30C0" w:rsidRPr="00BB30C0" w:rsidRDefault="00BB30C0" w:rsidP="00BB30C0">
      <w:pPr>
        <w:autoSpaceDE w:val="0"/>
        <w:autoSpaceDN w:val="0"/>
        <w:adjustRightInd w:val="0"/>
        <w:snapToGrid w:val="0"/>
        <w:spacing w:line="360" w:lineRule="auto"/>
        <w:ind w:firstLineChars="200" w:firstLine="480"/>
        <w:jc w:val="left"/>
        <w:rPr>
          <w:rFonts w:ascii="宋体" w:hAnsi="宋体"/>
          <w:sz w:val="24"/>
        </w:rPr>
      </w:pPr>
      <w:r w:rsidRPr="00BB30C0">
        <w:rPr>
          <w:rFonts w:ascii="宋体" w:hAnsi="宋体" w:hint="eastAsia"/>
          <w:sz w:val="24"/>
        </w:rPr>
        <w:t>11、《销售办法》：指《公开募集证券投资基金销售机构监督管理办法》及颁布机关对其不时做出的修订</w:t>
      </w:r>
    </w:p>
    <w:p w14:paraId="775FECD5" w14:textId="77777777" w:rsidR="00BB30C0" w:rsidRPr="00BB30C0" w:rsidRDefault="00BB30C0" w:rsidP="00BB30C0">
      <w:pPr>
        <w:autoSpaceDE w:val="0"/>
        <w:autoSpaceDN w:val="0"/>
        <w:adjustRightInd w:val="0"/>
        <w:snapToGrid w:val="0"/>
        <w:spacing w:line="360" w:lineRule="auto"/>
        <w:ind w:firstLineChars="200" w:firstLine="480"/>
        <w:jc w:val="left"/>
        <w:rPr>
          <w:rFonts w:ascii="宋体" w:hAnsi="宋体"/>
          <w:sz w:val="24"/>
        </w:rPr>
      </w:pPr>
      <w:r w:rsidRPr="00BB30C0">
        <w:rPr>
          <w:rFonts w:ascii="宋体" w:hAnsi="宋体" w:hint="eastAsia"/>
          <w:sz w:val="24"/>
        </w:rPr>
        <w:t>12、《信息披露办法》：指《公开募集证券投资基金信息披露管理办法》及颁布机关对其不时做出的修订</w:t>
      </w:r>
    </w:p>
    <w:p w14:paraId="360DADF3" w14:textId="77777777" w:rsidR="00BB30C0" w:rsidRPr="00BB30C0" w:rsidRDefault="00BB30C0" w:rsidP="00BB30C0">
      <w:pPr>
        <w:autoSpaceDE w:val="0"/>
        <w:autoSpaceDN w:val="0"/>
        <w:adjustRightInd w:val="0"/>
        <w:snapToGrid w:val="0"/>
        <w:spacing w:line="360" w:lineRule="auto"/>
        <w:ind w:firstLineChars="200" w:firstLine="480"/>
        <w:jc w:val="left"/>
        <w:rPr>
          <w:rFonts w:ascii="宋体" w:hAnsi="宋体"/>
          <w:sz w:val="24"/>
        </w:rPr>
      </w:pPr>
      <w:r w:rsidRPr="00BB30C0">
        <w:rPr>
          <w:rFonts w:ascii="宋体" w:hAnsi="宋体" w:hint="eastAsia"/>
          <w:sz w:val="24"/>
        </w:rPr>
        <w:t>13、《运作办法》：指《公开募集证券投资基金运作管理办法》及颁布机关对其不时做出的修订</w:t>
      </w:r>
    </w:p>
    <w:p w14:paraId="45D725CF" w14:textId="77777777" w:rsidR="00BB30C0" w:rsidRDefault="00BB30C0">
      <w:pPr>
        <w:autoSpaceDE w:val="0"/>
        <w:autoSpaceDN w:val="0"/>
        <w:adjustRightInd w:val="0"/>
        <w:snapToGrid w:val="0"/>
        <w:spacing w:line="360" w:lineRule="auto"/>
        <w:ind w:firstLineChars="200" w:firstLine="480"/>
        <w:jc w:val="left"/>
        <w:rPr>
          <w:rFonts w:ascii="宋体" w:hAnsi="宋体"/>
          <w:sz w:val="24"/>
        </w:rPr>
      </w:pPr>
      <w:r w:rsidRPr="00BB30C0">
        <w:rPr>
          <w:rFonts w:ascii="宋体" w:hAnsi="宋体" w:hint="eastAsia"/>
          <w:sz w:val="24"/>
        </w:rPr>
        <w:t>14、《流动性风险管理规定》：指《公开募集开放式证券投资基金流动性风险管理规定》及颁布机关对其不时做出的修订</w:t>
      </w:r>
    </w:p>
    <w:p w14:paraId="137A5218" w14:textId="4273EE8B"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15、《指数基金指引》：指《公开募集证券投资基金运作指引第3号——指数基</w:t>
      </w:r>
      <w:r>
        <w:rPr>
          <w:rFonts w:ascii="宋体" w:hAnsi="宋体"/>
          <w:sz w:val="24"/>
        </w:rPr>
        <w:lastRenderedPageBreak/>
        <w:t>金指引》及颁布机关对其不时做出的修订</w:t>
      </w:r>
    </w:p>
    <w:p w14:paraId="56AC2DF2"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16、中国证监会：指中国证券监督管理委员会</w:t>
      </w:r>
    </w:p>
    <w:p w14:paraId="266B84D7" w14:textId="77777777" w:rsidR="00BB30C0" w:rsidRDefault="004B071E">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17、银行业监督管理机构：指中国人民银行和/或</w:t>
      </w:r>
      <w:r w:rsidR="00BB30C0" w:rsidRPr="00BB30C0">
        <w:rPr>
          <w:rFonts w:ascii="宋体" w:hAnsi="宋体" w:hint="eastAsia"/>
          <w:sz w:val="24"/>
        </w:rPr>
        <w:t>国家金融监督管理总局</w:t>
      </w:r>
    </w:p>
    <w:p w14:paraId="31960ADB"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18、基金合同当事人：指受基金合同约束，根据基金合同享有权利并承担义务的法律主体，包括基金管理人、基金托管人和基金份额持有人</w:t>
      </w:r>
    </w:p>
    <w:p w14:paraId="642B3B7D"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19、个人投资者：指依据有关法律法规规定可投资于证券投资基金的自然人</w:t>
      </w:r>
    </w:p>
    <w:p w14:paraId="699612A2"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20、机构投资者：指依法可以投资证券投资基金的、在中华人民共和国境内合法登记并存续或经有关政府部门批准设立并存续的企业法人、事业法人、社会团体或其他组织</w:t>
      </w:r>
    </w:p>
    <w:p w14:paraId="3D55C417" w14:textId="77777777" w:rsidR="00BB30C0" w:rsidRDefault="004B071E" w:rsidP="00BB30C0">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21、</w:t>
      </w:r>
      <w:r w:rsidR="00BB30C0" w:rsidRPr="00BB30C0">
        <w:rPr>
          <w:rFonts w:ascii="宋体" w:hAnsi="宋体" w:hint="eastAsia"/>
          <w:sz w:val="24"/>
        </w:rPr>
        <w:t>合格境外投资者：指符合《合格境外机构投资者和人民币合格境外机构投资者境内证券期货投资管理办法》（包括其不时修订）及相关法律法规规定使用来自境外的资金进行境内证券期货投资的境外机构投资者，包括合格境外机构投资者和人民币合格境外机构投资者</w:t>
      </w:r>
    </w:p>
    <w:p w14:paraId="50250DCB" w14:textId="2B3646E7" w:rsidR="00FD086C" w:rsidRDefault="004B071E" w:rsidP="00BB30C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w:t>
      </w:r>
      <w:r w:rsidR="00BB30C0">
        <w:rPr>
          <w:rFonts w:ascii="宋体" w:hAnsi="宋体"/>
          <w:sz w:val="24"/>
        </w:rPr>
        <w:t>2</w:t>
      </w:r>
      <w:r>
        <w:rPr>
          <w:rFonts w:ascii="宋体" w:hAnsi="宋体"/>
          <w:sz w:val="24"/>
        </w:rPr>
        <w:t>、投资人、投资者：指个人投资者、机构投资者、合格境外投资者以及法律法规或中国证监会允许购买证券投资基金的其他投资人的合称</w:t>
      </w:r>
    </w:p>
    <w:p w14:paraId="388F124B" w14:textId="5C4AD9C4"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w:t>
      </w:r>
      <w:r w:rsidR="00BB30C0">
        <w:rPr>
          <w:rFonts w:ascii="宋体" w:hAnsi="宋体"/>
          <w:sz w:val="24"/>
        </w:rPr>
        <w:t>3</w:t>
      </w:r>
      <w:r>
        <w:rPr>
          <w:rFonts w:ascii="宋体" w:hAnsi="宋体"/>
          <w:sz w:val="24"/>
        </w:rPr>
        <w:t>、基金份额持有人：指依基金合同和招募说明书合法取得基金份额的投资人</w:t>
      </w:r>
    </w:p>
    <w:p w14:paraId="63BD9026" w14:textId="3E9129D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w:t>
      </w:r>
      <w:r w:rsidR="00BB30C0">
        <w:rPr>
          <w:rFonts w:ascii="宋体" w:hAnsi="宋体"/>
          <w:sz w:val="24"/>
        </w:rPr>
        <w:t>4</w:t>
      </w:r>
      <w:r>
        <w:rPr>
          <w:rFonts w:ascii="宋体" w:hAnsi="宋体"/>
          <w:sz w:val="24"/>
        </w:rPr>
        <w:t>、基金销售业务：指基金管理人或销售机构宣传推介基金，发售基金份额，办理基金份额的申购、赎回、转换、转托管及定期定额投资等业务</w:t>
      </w:r>
    </w:p>
    <w:p w14:paraId="7A4FF7E3" w14:textId="61FEFDB0"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w:t>
      </w:r>
      <w:r w:rsidR="00BB30C0">
        <w:rPr>
          <w:rFonts w:ascii="宋体" w:hAnsi="宋体"/>
          <w:sz w:val="24"/>
        </w:rPr>
        <w:t>5</w:t>
      </w:r>
      <w:r>
        <w:rPr>
          <w:rFonts w:ascii="宋体" w:hAnsi="宋体"/>
          <w:sz w:val="24"/>
        </w:rPr>
        <w:t>、销售机构：指交银施罗德基金管理有限公司以及符合《销售办法》和中国证监会规定的其他条件，取得基金销售业务资格并与基金管理人签订了基金销售服务协议，办理基金销售业务的机构</w:t>
      </w:r>
    </w:p>
    <w:p w14:paraId="68E5C9DB" w14:textId="0E5727F3"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w:t>
      </w:r>
      <w:r w:rsidR="00BB30C0">
        <w:rPr>
          <w:rFonts w:ascii="宋体" w:hAnsi="宋体"/>
          <w:sz w:val="24"/>
        </w:rPr>
        <w:t>6</w:t>
      </w:r>
      <w:r>
        <w:rPr>
          <w:rFonts w:ascii="宋体" w:hAnsi="宋体"/>
          <w:sz w:val="24"/>
        </w:rPr>
        <w:t>、登记业务：指基金登记、存管、过户、清算和结算业务，具体内容包括投资人基金账户的建立和管理、基金份额登记、基金销售业务的确认、清算和结算、代理发放红利、建立并保管基金份额持有人名册和办理非交易过户等</w:t>
      </w:r>
    </w:p>
    <w:p w14:paraId="527DC347" w14:textId="40A4550B" w:rsidR="00FD086C" w:rsidRDefault="00BB30C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27</w:t>
      </w:r>
      <w:r w:rsidR="004B071E">
        <w:rPr>
          <w:rFonts w:ascii="宋体" w:hAnsi="宋体"/>
          <w:sz w:val="24"/>
        </w:rPr>
        <w:t>、登记机构：指办理登记业务的机构。基金的登记机构为交银施罗德基金管理有限公司或接受交银施罗德基金管理有限公司委托代为办理登记业务的机构</w:t>
      </w:r>
    </w:p>
    <w:p w14:paraId="3DB96A23" w14:textId="7B5F5093"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w:t>
      </w:r>
      <w:r w:rsidR="00BB30C0">
        <w:rPr>
          <w:rFonts w:ascii="宋体" w:hAnsi="宋体"/>
          <w:sz w:val="24"/>
        </w:rPr>
        <w:t>8</w:t>
      </w:r>
      <w:r>
        <w:rPr>
          <w:rFonts w:ascii="宋体" w:hAnsi="宋体"/>
          <w:sz w:val="24"/>
        </w:rPr>
        <w:t>、基金账户：指登记机构为投资人开立的、记录其持有的、基金管理人所管理的基金份额余额及其变动情况的账户</w:t>
      </w:r>
    </w:p>
    <w:p w14:paraId="0D299769" w14:textId="12A2FF7B" w:rsidR="00FD086C" w:rsidRDefault="00BB30C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29</w:t>
      </w:r>
      <w:r w:rsidR="004B071E">
        <w:rPr>
          <w:rFonts w:ascii="宋体" w:hAnsi="宋体"/>
          <w:sz w:val="24"/>
        </w:rPr>
        <w:t>、基金交易账户：指销售机构为投资人开立的、记录投资人通过该销售机构办理认购、申购、赎回、转换及转托管等业务而引起的基金份额变动及结余情况的</w:t>
      </w:r>
      <w:r w:rsidR="004B071E">
        <w:rPr>
          <w:rFonts w:ascii="宋体" w:hAnsi="宋体"/>
          <w:sz w:val="24"/>
        </w:rPr>
        <w:lastRenderedPageBreak/>
        <w:t>账户</w:t>
      </w:r>
    </w:p>
    <w:p w14:paraId="0FA250B1" w14:textId="122FD0B4"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w:t>
      </w:r>
      <w:r w:rsidR="00BB30C0">
        <w:rPr>
          <w:rFonts w:ascii="宋体" w:hAnsi="宋体"/>
          <w:sz w:val="24"/>
        </w:rPr>
        <w:t>0</w:t>
      </w:r>
      <w:r>
        <w:rPr>
          <w:rFonts w:ascii="宋体" w:hAnsi="宋体"/>
          <w:sz w:val="24"/>
        </w:rPr>
        <w:t>、基金合同生效日：指基金募集达到法律法规规定及基金合同规定的条件，基金管理人向中国证监会办理基金备案手续完毕，并获得中国证监会书面确认的日期</w:t>
      </w:r>
    </w:p>
    <w:p w14:paraId="60FE5CF5" w14:textId="4F6633A6" w:rsidR="00FD086C" w:rsidRDefault="00BB30C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31</w:t>
      </w:r>
      <w:r w:rsidR="004B071E">
        <w:rPr>
          <w:rFonts w:ascii="宋体" w:hAnsi="宋体"/>
          <w:sz w:val="24"/>
        </w:rPr>
        <w:t>、基金合同终止日：指基金合同规定的基金合同终止事由出现后，基金财产清算完毕，清算结果报中国证监会备案并予以公告的日期</w:t>
      </w:r>
    </w:p>
    <w:p w14:paraId="194107DC" w14:textId="1ED8523B" w:rsidR="00FD086C" w:rsidRDefault="00BB30C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32</w:t>
      </w:r>
      <w:r w:rsidR="004B071E">
        <w:rPr>
          <w:rFonts w:ascii="宋体" w:hAnsi="宋体"/>
          <w:sz w:val="24"/>
        </w:rPr>
        <w:t>、基金募集期：指自基金份额发售之日起至发售结束之日止的期间，最长不得超过3个月</w:t>
      </w:r>
    </w:p>
    <w:p w14:paraId="6ED74921" w14:textId="6BD75CA0"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w:t>
      </w:r>
      <w:r w:rsidR="00BB30C0">
        <w:rPr>
          <w:rFonts w:ascii="宋体" w:hAnsi="宋体"/>
          <w:sz w:val="24"/>
        </w:rPr>
        <w:t>3</w:t>
      </w:r>
      <w:r>
        <w:rPr>
          <w:rFonts w:ascii="宋体" w:hAnsi="宋体"/>
          <w:sz w:val="24"/>
        </w:rPr>
        <w:t>、存续期：指基金合同生效至终止之间的不定期期限</w:t>
      </w:r>
    </w:p>
    <w:p w14:paraId="541D5865" w14:textId="400952FF"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w:t>
      </w:r>
      <w:r w:rsidR="00BB30C0">
        <w:rPr>
          <w:rFonts w:ascii="宋体" w:hAnsi="宋体"/>
          <w:sz w:val="24"/>
        </w:rPr>
        <w:t>4</w:t>
      </w:r>
      <w:r>
        <w:rPr>
          <w:rFonts w:ascii="宋体" w:hAnsi="宋体"/>
          <w:sz w:val="24"/>
        </w:rPr>
        <w:t>、工作日：指上海证券交易所、深圳证券交易所的正常交易日</w:t>
      </w:r>
    </w:p>
    <w:p w14:paraId="04D4F9A1" w14:textId="40C1D7A1"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w:t>
      </w:r>
      <w:r w:rsidR="00BB30C0">
        <w:rPr>
          <w:rFonts w:ascii="宋体" w:hAnsi="宋体"/>
          <w:sz w:val="24"/>
        </w:rPr>
        <w:t>5</w:t>
      </w:r>
      <w:r>
        <w:rPr>
          <w:rFonts w:ascii="宋体" w:hAnsi="宋体"/>
          <w:sz w:val="24"/>
        </w:rPr>
        <w:t>、T日：指销售机构在规定时间受理投资人申购、赎回或其他业务申请的开放日</w:t>
      </w:r>
    </w:p>
    <w:p w14:paraId="79794E48" w14:textId="677A10E8"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w:t>
      </w:r>
      <w:r w:rsidR="00BB30C0">
        <w:rPr>
          <w:rFonts w:ascii="宋体" w:hAnsi="宋体"/>
          <w:sz w:val="24"/>
        </w:rPr>
        <w:t>6</w:t>
      </w:r>
      <w:r>
        <w:rPr>
          <w:rFonts w:ascii="宋体" w:hAnsi="宋体"/>
          <w:sz w:val="24"/>
        </w:rPr>
        <w:t>、T+n日：指自T日起第n个工作日（不包含T日）</w:t>
      </w:r>
    </w:p>
    <w:p w14:paraId="3DBD1438" w14:textId="50E770D1"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w:t>
      </w:r>
      <w:r w:rsidR="00BB30C0">
        <w:rPr>
          <w:rFonts w:ascii="宋体" w:hAnsi="宋体"/>
          <w:sz w:val="24"/>
        </w:rPr>
        <w:t>7</w:t>
      </w:r>
      <w:r>
        <w:rPr>
          <w:rFonts w:ascii="宋体" w:hAnsi="宋体"/>
          <w:sz w:val="24"/>
        </w:rPr>
        <w:t>、开放日：指为投资人办理基金份额申购、赎回或其他业务的工作日</w:t>
      </w:r>
    </w:p>
    <w:p w14:paraId="19BD901F" w14:textId="59DFE84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w:t>
      </w:r>
      <w:r w:rsidR="00BB30C0">
        <w:rPr>
          <w:rFonts w:ascii="宋体" w:hAnsi="宋体"/>
          <w:sz w:val="24"/>
        </w:rPr>
        <w:t>8</w:t>
      </w:r>
      <w:r>
        <w:rPr>
          <w:rFonts w:ascii="宋体" w:hAnsi="宋体"/>
          <w:sz w:val="24"/>
        </w:rPr>
        <w:t>、开放时间：指开放日基金接受申购、赎回或其他交易的时间段</w:t>
      </w:r>
    </w:p>
    <w:p w14:paraId="184EBEB2" w14:textId="7DDECA46" w:rsidR="00FD086C" w:rsidRDefault="00BB30C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39</w:t>
      </w:r>
      <w:r w:rsidR="004B071E">
        <w:rPr>
          <w:rFonts w:ascii="宋体" w:hAnsi="宋体"/>
          <w:sz w:val="24"/>
        </w:rPr>
        <w:t>、《业务规则》：指中国证券登记结算有限责任公司相关业务规则及其不时做出的修订</w:t>
      </w:r>
    </w:p>
    <w:p w14:paraId="1FF66671" w14:textId="6702E181"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w:t>
      </w:r>
      <w:r w:rsidR="00BB30C0">
        <w:rPr>
          <w:rFonts w:ascii="宋体" w:hAnsi="宋体"/>
          <w:sz w:val="24"/>
        </w:rPr>
        <w:t>0</w:t>
      </w:r>
      <w:r>
        <w:rPr>
          <w:rFonts w:ascii="宋体" w:hAnsi="宋体"/>
          <w:sz w:val="24"/>
        </w:rPr>
        <w:t>、认购：指在基金募集期内，投资人根据基金合同和招募说明书的规定申请购买基金份额的行为</w:t>
      </w:r>
    </w:p>
    <w:p w14:paraId="4AC4C43B" w14:textId="7491F84A"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w:t>
      </w:r>
      <w:r w:rsidR="00BB30C0">
        <w:rPr>
          <w:rFonts w:ascii="宋体" w:hAnsi="宋体"/>
          <w:sz w:val="24"/>
        </w:rPr>
        <w:t>1</w:t>
      </w:r>
      <w:r>
        <w:rPr>
          <w:rFonts w:ascii="宋体" w:hAnsi="宋体"/>
          <w:sz w:val="24"/>
        </w:rPr>
        <w:t>、申购：指基金合同生效后，投资人根据基金合同和招募说明书的规定申请购买基金份额的行为</w:t>
      </w:r>
    </w:p>
    <w:p w14:paraId="79A8FAB3" w14:textId="1EEF145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w:t>
      </w:r>
      <w:r w:rsidR="00BB30C0">
        <w:rPr>
          <w:rFonts w:ascii="宋体" w:hAnsi="宋体"/>
          <w:sz w:val="24"/>
        </w:rPr>
        <w:t>2</w:t>
      </w:r>
      <w:r>
        <w:rPr>
          <w:rFonts w:ascii="宋体" w:hAnsi="宋体"/>
          <w:sz w:val="24"/>
        </w:rPr>
        <w:t>、赎回：指基金合同生效后，基金份额持有人按基金合同和招募说明书规定的条件要求将基金份额兑换为现金的行为</w:t>
      </w:r>
    </w:p>
    <w:p w14:paraId="62A69B1D" w14:textId="54EBFEFB"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w:t>
      </w:r>
      <w:r w:rsidR="00BB30C0">
        <w:rPr>
          <w:rFonts w:ascii="宋体" w:hAnsi="宋体"/>
          <w:sz w:val="24"/>
        </w:rPr>
        <w:t>3</w:t>
      </w:r>
      <w:r>
        <w:rPr>
          <w:rFonts w:ascii="宋体" w:hAnsi="宋体"/>
          <w:sz w:val="24"/>
        </w:rPr>
        <w:t>、基金转换：指基金份额持有人按照基金合同和基金管理人届时有效公告规定的条件，申请将其持有基金管理人管理的、某一基金的基金份额转换为基金管理人管理的其他基金基金份额的行为</w:t>
      </w:r>
    </w:p>
    <w:p w14:paraId="2C998B91" w14:textId="7CA1D7EB"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w:t>
      </w:r>
      <w:r w:rsidR="00BB30C0">
        <w:rPr>
          <w:rFonts w:ascii="宋体" w:hAnsi="宋体"/>
          <w:sz w:val="24"/>
        </w:rPr>
        <w:t>4</w:t>
      </w:r>
      <w:r>
        <w:rPr>
          <w:rFonts w:ascii="宋体" w:hAnsi="宋体"/>
          <w:sz w:val="24"/>
        </w:rPr>
        <w:t>、转托管：指基金份额持有人在本基金的不同销售机构之间实施的变更所持基金份额销售机构的操作</w:t>
      </w:r>
    </w:p>
    <w:p w14:paraId="198BFFF6" w14:textId="67E5526C"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w:t>
      </w:r>
      <w:r w:rsidR="00BB30C0">
        <w:rPr>
          <w:rFonts w:ascii="宋体" w:hAnsi="宋体"/>
          <w:sz w:val="24"/>
        </w:rPr>
        <w:t>5</w:t>
      </w:r>
      <w:r>
        <w:rPr>
          <w:rFonts w:ascii="宋体" w:hAnsi="宋体"/>
          <w:sz w:val="24"/>
        </w:rPr>
        <w:t>、定期定额投资计划：指投资人通过有关销售机构提出申请，约定每期申购日、扣款金额及扣款方式，由指定的销售机构在投资人指定银行账户内自动完成扣</w:t>
      </w:r>
      <w:r>
        <w:rPr>
          <w:rFonts w:ascii="宋体" w:hAnsi="宋体"/>
          <w:sz w:val="24"/>
        </w:rPr>
        <w:lastRenderedPageBreak/>
        <w:t>款并于每期约定的申购日受理基金申购申请的一种投资方式</w:t>
      </w:r>
    </w:p>
    <w:p w14:paraId="2AE74261" w14:textId="6397E368"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w:t>
      </w:r>
      <w:r w:rsidR="00BB30C0">
        <w:rPr>
          <w:rFonts w:ascii="宋体" w:hAnsi="宋体"/>
          <w:sz w:val="24"/>
        </w:rPr>
        <w:t>6</w:t>
      </w:r>
      <w:r>
        <w:rPr>
          <w:rFonts w:ascii="宋体" w:hAnsi="宋体"/>
          <w:sz w:val="24"/>
        </w:rPr>
        <w:t>、巨额赎回：指本基金单个开放日，基金净赎回申请（赎回申请份额总数加上基金转换中转出申请份额总数后扣除申购申请份额总数及基金转换中转入申请份额总数后的余额）超过上一开放日基金总份额的10%的情形</w:t>
      </w:r>
    </w:p>
    <w:p w14:paraId="04EA5E0E" w14:textId="54FBF561"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w:t>
      </w:r>
      <w:r w:rsidR="00BB30C0">
        <w:rPr>
          <w:rFonts w:ascii="宋体" w:hAnsi="宋体"/>
          <w:sz w:val="24"/>
        </w:rPr>
        <w:t>7</w:t>
      </w:r>
      <w:r>
        <w:rPr>
          <w:rFonts w:ascii="宋体" w:hAnsi="宋体"/>
          <w:sz w:val="24"/>
        </w:rPr>
        <w:t>、元：指人民币元</w:t>
      </w:r>
    </w:p>
    <w:p w14:paraId="2E26F842" w14:textId="610179F4"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w:t>
      </w:r>
      <w:r w:rsidR="00BB30C0">
        <w:rPr>
          <w:rFonts w:ascii="宋体" w:hAnsi="宋体"/>
          <w:sz w:val="24"/>
        </w:rPr>
        <w:t>8</w:t>
      </w:r>
      <w:r>
        <w:rPr>
          <w:rFonts w:ascii="宋体" w:hAnsi="宋体"/>
          <w:sz w:val="24"/>
        </w:rPr>
        <w:t>、基金收益：指基金投资所得红利、股息、债券利息、买卖证券价差、银行存款利息、已实现的其他合法收入及因运用基金财产带来的成本和费用的节约</w:t>
      </w:r>
    </w:p>
    <w:p w14:paraId="280EC628" w14:textId="5E0BACA6" w:rsidR="00FD086C" w:rsidRDefault="00BB30C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49</w:t>
      </w:r>
      <w:r w:rsidR="004B071E">
        <w:rPr>
          <w:rFonts w:ascii="宋体" w:hAnsi="宋体"/>
          <w:sz w:val="24"/>
        </w:rPr>
        <w:t>、基金资产总值：</w:t>
      </w:r>
      <w:r w:rsidRPr="00BB30C0">
        <w:rPr>
          <w:rFonts w:ascii="宋体" w:hAnsi="宋体" w:hint="eastAsia"/>
          <w:sz w:val="24"/>
        </w:rPr>
        <w:t>指基金拥有的各类有价证券、股指期货合约、银行存款本息、基金应收款项及其他资产的价值总和</w:t>
      </w:r>
    </w:p>
    <w:p w14:paraId="59D4BFA0" w14:textId="00EB4B34"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w:t>
      </w:r>
      <w:r w:rsidR="00BB30C0">
        <w:rPr>
          <w:rFonts w:ascii="宋体" w:hAnsi="宋体"/>
          <w:sz w:val="24"/>
        </w:rPr>
        <w:t>0</w:t>
      </w:r>
      <w:r>
        <w:rPr>
          <w:rFonts w:ascii="宋体" w:hAnsi="宋体"/>
          <w:sz w:val="24"/>
        </w:rPr>
        <w:t>、基金资产净值：指基金资产总值减去基金负债后的价值</w:t>
      </w:r>
    </w:p>
    <w:p w14:paraId="51C847D2" w14:textId="5DB0B6C5"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w:t>
      </w:r>
      <w:r w:rsidR="00BB30C0">
        <w:rPr>
          <w:rFonts w:ascii="宋体" w:hAnsi="宋体"/>
          <w:sz w:val="24"/>
        </w:rPr>
        <w:t>1</w:t>
      </w:r>
      <w:r>
        <w:rPr>
          <w:rFonts w:ascii="宋体" w:hAnsi="宋体"/>
          <w:sz w:val="24"/>
        </w:rPr>
        <w:t>、基金份额净值：指计算日基金资产净值除以计算日基金份额总数</w:t>
      </w:r>
    </w:p>
    <w:p w14:paraId="0B78364F" w14:textId="5F609C33"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w:t>
      </w:r>
      <w:r w:rsidR="00BB30C0">
        <w:rPr>
          <w:rFonts w:ascii="宋体" w:hAnsi="宋体"/>
          <w:sz w:val="24"/>
        </w:rPr>
        <w:t>2</w:t>
      </w:r>
      <w:r>
        <w:rPr>
          <w:rFonts w:ascii="宋体" w:hAnsi="宋体"/>
          <w:sz w:val="24"/>
        </w:rPr>
        <w:t>、基金资产估值：指计算评估基金资产和负债的价值，以确定基金资产净值和基金份额净值的过程</w:t>
      </w:r>
    </w:p>
    <w:p w14:paraId="1DC82136" w14:textId="185546C4"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w:t>
      </w:r>
      <w:r w:rsidR="00BB30C0">
        <w:rPr>
          <w:rFonts w:ascii="宋体" w:hAnsi="宋体"/>
          <w:sz w:val="24"/>
        </w:rPr>
        <w:t>3</w:t>
      </w:r>
      <w:r>
        <w:rPr>
          <w:rFonts w:ascii="宋体" w:hAnsi="宋体"/>
          <w:sz w:val="24"/>
        </w:rPr>
        <w:t>、规定媒介：指符合中国证监会规定条件的用以进行信息披露的全国性报刊及《信息披露办法》规定的互联网网站（包括基金管理人网站、基金托管人网站、中国证监会基金电子披露网站）等媒介</w:t>
      </w:r>
    </w:p>
    <w:p w14:paraId="21AEC40D" w14:textId="1A8898CF"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w:t>
      </w:r>
      <w:r w:rsidR="00A7455C">
        <w:rPr>
          <w:rFonts w:ascii="宋体" w:hAnsi="宋体"/>
          <w:sz w:val="24"/>
        </w:rPr>
        <w:t>4</w:t>
      </w:r>
      <w:r>
        <w:rPr>
          <w:rFonts w:ascii="宋体" w:hAnsi="宋体"/>
          <w:sz w:val="24"/>
        </w:rPr>
        <w:t>、销售服务费：指从基金财产中计提的，用于本基金市场推广、销售以及基金份额持有人服务的费用</w:t>
      </w:r>
    </w:p>
    <w:p w14:paraId="48A3D960" w14:textId="0E653C4A"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w:t>
      </w:r>
      <w:r w:rsidR="00A7455C">
        <w:rPr>
          <w:rFonts w:ascii="宋体" w:hAnsi="宋体"/>
          <w:sz w:val="24"/>
        </w:rPr>
        <w:t>5</w:t>
      </w:r>
      <w:r>
        <w:rPr>
          <w:rFonts w:ascii="宋体" w:hAnsi="宋体"/>
          <w:sz w:val="24"/>
        </w:rPr>
        <w:t>、A类基金份额：指在投资人认购/申购时收取认购/申购费用、不从本类别基金资产中计提销售服务费的基金份额</w:t>
      </w:r>
    </w:p>
    <w:p w14:paraId="50D7099F" w14:textId="611F05F6"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w:t>
      </w:r>
      <w:r w:rsidR="00A7455C">
        <w:rPr>
          <w:rFonts w:ascii="宋体" w:hAnsi="宋体"/>
          <w:sz w:val="24"/>
        </w:rPr>
        <w:t>6</w:t>
      </w:r>
      <w:r>
        <w:rPr>
          <w:rFonts w:ascii="宋体" w:hAnsi="宋体"/>
          <w:sz w:val="24"/>
        </w:rPr>
        <w:t>、C类基金份额：指在投资人认购/申购时不收取认购/申购费用、从本类别基金资产中计提销售服务费的基金份额</w:t>
      </w:r>
    </w:p>
    <w:p w14:paraId="6498F91E" w14:textId="11A36A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w:t>
      </w:r>
      <w:r w:rsidR="00A7455C">
        <w:rPr>
          <w:rFonts w:ascii="宋体" w:hAnsi="宋体"/>
          <w:sz w:val="24"/>
        </w:rPr>
        <w:t>7</w:t>
      </w:r>
      <w:r>
        <w:rPr>
          <w:rFonts w:ascii="宋体" w:hAnsi="宋体"/>
          <w:sz w:val="24"/>
        </w:rPr>
        <w:t>、标的指数：指</w:t>
      </w:r>
      <w:r w:rsidR="00257DED" w:rsidRPr="00004FCD">
        <w:rPr>
          <w:rFonts w:hint="eastAsia"/>
          <w:bCs/>
          <w:sz w:val="24"/>
        </w:rPr>
        <w:t>中证红利低波动</w:t>
      </w:r>
      <w:r w:rsidR="00257DED" w:rsidRPr="00004FCD">
        <w:rPr>
          <w:rFonts w:hint="eastAsia"/>
          <w:bCs/>
          <w:sz w:val="24"/>
        </w:rPr>
        <w:t>100</w:t>
      </w:r>
      <w:r w:rsidR="00257DED" w:rsidRPr="00004FCD">
        <w:rPr>
          <w:rFonts w:hint="eastAsia"/>
          <w:bCs/>
          <w:sz w:val="24"/>
        </w:rPr>
        <w:t>指数</w:t>
      </w:r>
    </w:p>
    <w:p w14:paraId="5B99E45D" w14:textId="453803F6"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w:t>
      </w:r>
      <w:r w:rsidR="00E657C7">
        <w:rPr>
          <w:rFonts w:ascii="宋体" w:hAnsi="宋体"/>
          <w:sz w:val="24"/>
        </w:rPr>
        <w:t>8</w:t>
      </w:r>
      <w:r>
        <w:rPr>
          <w:rFonts w:ascii="宋体" w:hAnsi="宋体"/>
          <w:sz w:val="24"/>
        </w:rPr>
        <w:t>、流动性受限资产：指由于法律法规、监管、合同或操作障碍等原因无法以合理价格予以变现的资产，包括但不限于到期日在10个交易日以上的逆回购与银行定期存款（含协议约定有条件提前支取的银行存款）、停牌股票、流通受限的新股及非公开发行股票、资产支持证券、因发行人债务违约无法进行转让或交易的债券等</w:t>
      </w:r>
    </w:p>
    <w:p w14:paraId="39DAB647" w14:textId="10FCDF11" w:rsidR="00FD086C" w:rsidRDefault="0033284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59</w:t>
      </w:r>
      <w:r w:rsidR="004B071E">
        <w:rPr>
          <w:rFonts w:ascii="宋体" w:hAnsi="宋体"/>
          <w:sz w:val="24"/>
        </w:rPr>
        <w:t>、摆动定价机制：指当开放式基金遭遇大额申购赎回时，通过调整基金份额净值的方式，将基金调整投资组合的市场冲击成本分配给实际申购、赎回的投资</w:t>
      </w:r>
      <w:r w:rsidR="004B071E">
        <w:rPr>
          <w:rFonts w:ascii="宋体" w:hAnsi="宋体"/>
          <w:sz w:val="24"/>
        </w:rPr>
        <w:lastRenderedPageBreak/>
        <w:t>者，从而减少对存量基金份额持有人利益的不利影响，确保投资人的合法权益不受损害并得到公平对待</w:t>
      </w:r>
    </w:p>
    <w:p w14:paraId="168F8A40" w14:textId="77777777" w:rsidR="00332840" w:rsidRPr="00332840" w:rsidRDefault="00332840" w:rsidP="00332840">
      <w:pPr>
        <w:autoSpaceDE w:val="0"/>
        <w:autoSpaceDN w:val="0"/>
        <w:adjustRightInd w:val="0"/>
        <w:snapToGrid w:val="0"/>
        <w:spacing w:line="360" w:lineRule="auto"/>
        <w:ind w:firstLineChars="200" w:firstLine="480"/>
        <w:jc w:val="left"/>
        <w:rPr>
          <w:rFonts w:ascii="宋体" w:hAnsi="宋体"/>
          <w:sz w:val="24"/>
        </w:rPr>
      </w:pPr>
      <w:r w:rsidRPr="00332840">
        <w:rPr>
          <w:rFonts w:ascii="宋体" w:hAnsi="宋体" w:hint="eastAsia"/>
          <w:sz w:val="24"/>
        </w:rPr>
        <w:t>60、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14:paraId="1BB78588" w14:textId="77777777" w:rsidR="00332840" w:rsidRPr="00332840" w:rsidRDefault="00332840" w:rsidP="00332840">
      <w:pPr>
        <w:autoSpaceDE w:val="0"/>
        <w:autoSpaceDN w:val="0"/>
        <w:adjustRightInd w:val="0"/>
        <w:snapToGrid w:val="0"/>
        <w:spacing w:line="360" w:lineRule="auto"/>
        <w:ind w:firstLineChars="200" w:firstLine="480"/>
        <w:jc w:val="left"/>
        <w:rPr>
          <w:rFonts w:ascii="宋体" w:hAnsi="宋体"/>
          <w:sz w:val="24"/>
        </w:rPr>
      </w:pPr>
      <w:r w:rsidRPr="00332840">
        <w:rPr>
          <w:rFonts w:ascii="宋体" w:hAnsi="宋体" w:hint="eastAsia"/>
          <w:sz w:val="24"/>
        </w:rPr>
        <w:t>61、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14:paraId="6A8A626F" w14:textId="1EFDA6E3" w:rsidR="00FD086C" w:rsidRDefault="00332840" w:rsidP="00332840">
      <w:pPr>
        <w:autoSpaceDE w:val="0"/>
        <w:autoSpaceDN w:val="0"/>
        <w:adjustRightInd w:val="0"/>
        <w:snapToGrid w:val="0"/>
        <w:spacing w:line="360" w:lineRule="auto"/>
        <w:ind w:firstLineChars="200" w:firstLine="480"/>
        <w:jc w:val="left"/>
        <w:rPr>
          <w:rFonts w:ascii="宋体" w:hAnsi="宋体"/>
          <w:szCs w:val="24"/>
        </w:rPr>
      </w:pPr>
      <w:r w:rsidRPr="00332840">
        <w:rPr>
          <w:rFonts w:ascii="宋体" w:hAnsi="宋体" w:hint="eastAsia"/>
          <w:sz w:val="24"/>
        </w:rPr>
        <w:t>62、</w:t>
      </w:r>
      <w:r w:rsidR="004B071E">
        <w:rPr>
          <w:rFonts w:ascii="宋体" w:hAnsi="宋体"/>
          <w:sz w:val="24"/>
        </w:rPr>
        <w:t>不可抗力：指基金合同当事人不能预见、不能避免且不能克服的客观事件</w:t>
      </w:r>
    </w:p>
    <w:p w14:paraId="59EF26B9" w14:textId="03F82843" w:rsidR="00A37EB9" w:rsidRDefault="00A37EB9" w:rsidP="00040D5C">
      <w:pPr>
        <w:autoSpaceDE w:val="0"/>
        <w:autoSpaceDN w:val="0"/>
        <w:adjustRightInd w:val="0"/>
        <w:spacing w:line="360" w:lineRule="auto"/>
        <w:rPr>
          <w:rFonts w:ascii="宋体" w:hAnsi="宋体"/>
          <w:szCs w:val="24"/>
        </w:rPr>
      </w:pPr>
    </w:p>
    <w:p w14:paraId="46AD5E59" w14:textId="77777777" w:rsidR="00FD086C" w:rsidRDefault="00A66FBE">
      <w:pPr>
        <w:pStyle w:val="1"/>
        <w:snapToGrid w:val="0"/>
        <w:spacing w:beforeLines="0" w:before="240" w:after="240"/>
        <w:rPr>
          <w:rFonts w:ascii="宋体" w:hAnsi="宋体"/>
          <w:szCs w:val="30"/>
        </w:rPr>
      </w:pPr>
      <w:r>
        <w:rPr>
          <w:rFonts w:ascii="Times New Roman" w:hAnsi="Times New Roman"/>
          <w:sz w:val="30"/>
        </w:rPr>
        <w:br w:type="page"/>
      </w:r>
      <w:bookmarkStart w:id="6" w:name="_Toc147840621"/>
      <w:r w:rsidR="004B071E">
        <w:rPr>
          <w:rFonts w:ascii="Times New Roman" w:hAnsi="Times New Roman"/>
          <w:sz w:val="30"/>
        </w:rPr>
        <w:lastRenderedPageBreak/>
        <w:t>三、基金管理人</w:t>
      </w:r>
      <w:bookmarkEnd w:id="6"/>
    </w:p>
    <w:p w14:paraId="04095FB1"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（一）基金管理人概况</w:t>
      </w:r>
    </w:p>
    <w:p w14:paraId="76A8B73B"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名称：交银施罗德基金管理有限公司</w:t>
      </w:r>
    </w:p>
    <w:p w14:paraId="418A3989"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住所：中国(上海)自由贸易试验区银城中路188号交通银行大楼二层（裙）</w:t>
      </w:r>
    </w:p>
    <w:p w14:paraId="6ECE1435"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办公地址：上海市浦东新区世纪大道8号国金中心二期21-22楼</w:t>
      </w:r>
    </w:p>
    <w:p w14:paraId="72EA347B"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邮政编码：200120</w:t>
      </w:r>
    </w:p>
    <w:p w14:paraId="1DEC3D02"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法定代表人：阮红</w:t>
      </w:r>
    </w:p>
    <w:p w14:paraId="0AED45FA"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成立时间：2005年8月4日</w:t>
      </w:r>
    </w:p>
    <w:p w14:paraId="4BA24FE7"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注册资本：2亿元人民币</w:t>
      </w:r>
    </w:p>
    <w:p w14:paraId="2CE020B8"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存续期间：持续经营</w:t>
      </w:r>
    </w:p>
    <w:p w14:paraId="2D53F77B"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联系人：郭佳敏</w:t>
      </w:r>
    </w:p>
    <w:p w14:paraId="0949EBD9"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电话：（021）61055050</w:t>
      </w:r>
    </w:p>
    <w:p w14:paraId="73E9A637"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传真：（021）61055034</w:t>
      </w:r>
    </w:p>
    <w:p w14:paraId="659A89A2"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交银施罗德基金管理有限公司（以下简称“公司”）经中国证监会证监基金字[2005]128号文批准设立。公司股权结构如下：</w:t>
      </w:r>
    </w:p>
    <w:tbl>
      <w:tblPr>
        <w:tblW w:w="5000" w:type="pct"/>
        <w:tblCellMar>
          <w:left w:w="0" w:type="dxa"/>
          <w:right w:w="0" w:type="dxa"/>
        </w:tblCellMar>
        <w:tblLook w:val="0000" w:firstRow="0" w:lastRow="0" w:firstColumn="0" w:lastColumn="0" w:noHBand="0" w:noVBand="0"/>
      </w:tblPr>
      <w:tblGrid>
        <w:gridCol w:w="4325"/>
        <w:gridCol w:w="4325"/>
      </w:tblGrid>
      <w:tr w:rsidR="00FD086C" w14:paraId="4C977384"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749EFD37" w14:textId="77777777" w:rsidR="00FD086C" w:rsidRDefault="004B071E">
            <w:pPr>
              <w:widowControl/>
              <w:snapToGrid w:val="0"/>
              <w:jc w:val="center"/>
              <w:rPr>
                <w:rFonts w:ascii="宋体" w:hAnsi="宋体"/>
                <w:color w:val="000000"/>
                <w:kern w:val="0"/>
                <w:sz w:val="25"/>
                <w:szCs w:val="24"/>
              </w:rPr>
            </w:pPr>
            <w:r>
              <w:rPr>
                <w:rFonts w:ascii="Times New Roman" w:hAnsi="Times New Roman"/>
                <w:color w:val="000000"/>
                <w:kern w:val="0"/>
                <w:sz w:val="25"/>
                <w:szCs w:val="24"/>
              </w:rPr>
              <w:t>股东名称</w:t>
            </w:r>
          </w:p>
        </w:tc>
        <w:tc>
          <w:tcPr>
            <w:tcW w:w="750" w:type="pct"/>
            <w:tcBorders>
              <w:top w:val="single" w:sz="4" w:space="0" w:color="auto"/>
              <w:left w:val="single" w:sz="4" w:space="0" w:color="auto"/>
              <w:bottom w:val="single" w:sz="4" w:space="0" w:color="auto"/>
              <w:right w:val="single" w:sz="4" w:space="0" w:color="auto"/>
            </w:tcBorders>
            <w:vAlign w:val="center"/>
          </w:tcPr>
          <w:p w14:paraId="1265205E" w14:textId="77777777" w:rsidR="00FD086C" w:rsidRDefault="004B071E">
            <w:pPr>
              <w:widowControl/>
              <w:snapToGrid w:val="0"/>
              <w:jc w:val="center"/>
              <w:rPr>
                <w:rFonts w:ascii="宋体" w:hAnsi="宋体"/>
                <w:color w:val="000000"/>
                <w:kern w:val="0"/>
                <w:sz w:val="25"/>
                <w:szCs w:val="24"/>
              </w:rPr>
            </w:pPr>
            <w:r>
              <w:rPr>
                <w:rFonts w:ascii="Times New Roman" w:hAnsi="Times New Roman"/>
                <w:color w:val="000000"/>
                <w:kern w:val="0"/>
                <w:sz w:val="25"/>
                <w:szCs w:val="24"/>
              </w:rPr>
              <w:t>股权比例</w:t>
            </w:r>
          </w:p>
        </w:tc>
      </w:tr>
      <w:tr w:rsidR="00FD086C" w14:paraId="61E0A67D"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69375FB9" w14:textId="77777777" w:rsidR="00FD086C" w:rsidRDefault="004B071E">
            <w:pPr>
              <w:widowControl/>
              <w:snapToGrid w:val="0"/>
              <w:jc w:val="left"/>
              <w:rPr>
                <w:rFonts w:ascii="宋体" w:hAnsi="宋体"/>
                <w:color w:val="000000"/>
                <w:kern w:val="0"/>
                <w:sz w:val="25"/>
                <w:szCs w:val="24"/>
              </w:rPr>
            </w:pPr>
            <w:r>
              <w:rPr>
                <w:rFonts w:ascii="Times New Roman" w:hAnsi="Times New Roman"/>
                <w:color w:val="000000"/>
                <w:kern w:val="0"/>
                <w:sz w:val="25"/>
                <w:szCs w:val="24"/>
              </w:rPr>
              <w:t>交通银行股份有限公司（以下使用全称或其简称</w:t>
            </w:r>
            <w:r>
              <w:rPr>
                <w:rFonts w:ascii="Times New Roman" w:hAnsi="Times New Roman"/>
                <w:color w:val="000000"/>
                <w:kern w:val="0"/>
                <w:sz w:val="25"/>
                <w:szCs w:val="24"/>
              </w:rPr>
              <w:t>“</w:t>
            </w:r>
            <w:r>
              <w:rPr>
                <w:rFonts w:ascii="Times New Roman" w:hAnsi="Times New Roman"/>
                <w:color w:val="000000"/>
                <w:kern w:val="0"/>
                <w:sz w:val="25"/>
                <w:szCs w:val="24"/>
              </w:rPr>
              <w:t>交通银行</w:t>
            </w:r>
            <w:r>
              <w:rPr>
                <w:rFonts w:ascii="Times New Roman" w:hAnsi="Times New Roman"/>
                <w:color w:val="000000"/>
                <w:kern w:val="0"/>
                <w:sz w:val="25"/>
                <w:szCs w:val="24"/>
              </w:rPr>
              <w:t>”</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14:paraId="0C603512" w14:textId="77777777" w:rsidR="00FD086C" w:rsidRDefault="004B071E">
            <w:pPr>
              <w:widowControl/>
              <w:snapToGrid w:val="0"/>
              <w:jc w:val="center"/>
              <w:rPr>
                <w:rFonts w:ascii="宋体" w:hAnsi="宋体"/>
                <w:color w:val="000000"/>
                <w:kern w:val="0"/>
                <w:sz w:val="25"/>
                <w:szCs w:val="24"/>
              </w:rPr>
            </w:pPr>
            <w:r>
              <w:rPr>
                <w:rFonts w:ascii="Times New Roman" w:hAnsi="Times New Roman"/>
                <w:color w:val="000000"/>
                <w:kern w:val="0"/>
                <w:sz w:val="25"/>
                <w:szCs w:val="24"/>
              </w:rPr>
              <w:t>65%</w:t>
            </w:r>
          </w:p>
        </w:tc>
      </w:tr>
      <w:tr w:rsidR="00FD086C" w14:paraId="03416D44"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025FF709" w14:textId="77777777" w:rsidR="00FD086C" w:rsidRDefault="004B071E">
            <w:pPr>
              <w:widowControl/>
              <w:snapToGrid w:val="0"/>
              <w:jc w:val="left"/>
              <w:rPr>
                <w:rFonts w:ascii="宋体" w:hAnsi="宋体"/>
                <w:color w:val="000000"/>
                <w:kern w:val="0"/>
                <w:sz w:val="25"/>
                <w:szCs w:val="24"/>
              </w:rPr>
            </w:pPr>
            <w:r>
              <w:rPr>
                <w:rFonts w:ascii="Times New Roman" w:hAnsi="Times New Roman"/>
                <w:color w:val="000000"/>
                <w:kern w:val="0"/>
                <w:sz w:val="25"/>
                <w:szCs w:val="24"/>
              </w:rPr>
              <w:t>施罗德投资管理有限公司</w:t>
            </w:r>
          </w:p>
        </w:tc>
        <w:tc>
          <w:tcPr>
            <w:tcW w:w="750" w:type="pct"/>
            <w:tcBorders>
              <w:top w:val="single" w:sz="4" w:space="0" w:color="auto"/>
              <w:left w:val="single" w:sz="4" w:space="0" w:color="auto"/>
              <w:bottom w:val="single" w:sz="4" w:space="0" w:color="auto"/>
              <w:right w:val="single" w:sz="4" w:space="0" w:color="auto"/>
            </w:tcBorders>
            <w:vAlign w:val="center"/>
          </w:tcPr>
          <w:p w14:paraId="3694BDC8" w14:textId="77777777" w:rsidR="00FD086C" w:rsidRDefault="004B071E">
            <w:pPr>
              <w:widowControl/>
              <w:snapToGrid w:val="0"/>
              <w:jc w:val="center"/>
              <w:rPr>
                <w:rFonts w:ascii="宋体" w:hAnsi="宋体"/>
                <w:color w:val="000000"/>
                <w:kern w:val="0"/>
                <w:sz w:val="25"/>
                <w:szCs w:val="24"/>
              </w:rPr>
            </w:pPr>
            <w:r>
              <w:rPr>
                <w:rFonts w:ascii="Times New Roman" w:hAnsi="Times New Roman"/>
                <w:color w:val="000000"/>
                <w:kern w:val="0"/>
                <w:sz w:val="25"/>
                <w:szCs w:val="24"/>
              </w:rPr>
              <w:t>30%</w:t>
            </w:r>
          </w:p>
        </w:tc>
      </w:tr>
      <w:tr w:rsidR="00FD086C" w14:paraId="186A69FD"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00097863" w14:textId="77777777" w:rsidR="00FD086C" w:rsidRDefault="004B071E">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中国国际海运集装箱（集团）股份有限公司</w:t>
            </w:r>
          </w:p>
        </w:tc>
        <w:tc>
          <w:tcPr>
            <w:tcW w:w="750" w:type="pct"/>
            <w:tcBorders>
              <w:top w:val="single" w:sz="4" w:space="0" w:color="auto"/>
              <w:left w:val="single" w:sz="4" w:space="0" w:color="auto"/>
              <w:bottom w:val="single" w:sz="4" w:space="0" w:color="auto"/>
              <w:right w:val="single" w:sz="4" w:space="0" w:color="auto"/>
            </w:tcBorders>
            <w:vAlign w:val="center"/>
          </w:tcPr>
          <w:p w14:paraId="065C27AA" w14:textId="77777777" w:rsidR="00FD086C" w:rsidRDefault="004B071E">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r>
    </w:tbl>
    <w:p w14:paraId="4570D17C"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（二）主要成员情况</w:t>
      </w:r>
    </w:p>
    <w:p w14:paraId="14215795" w14:textId="77777777" w:rsidR="00A66FBE" w:rsidRPr="00A66FBE" w:rsidRDefault="00A66FBE" w:rsidP="00A66FBE">
      <w:pPr>
        <w:autoSpaceDE w:val="0"/>
        <w:autoSpaceDN w:val="0"/>
        <w:adjustRightInd w:val="0"/>
        <w:snapToGrid w:val="0"/>
        <w:spacing w:line="360" w:lineRule="auto"/>
        <w:ind w:firstLineChars="200" w:firstLine="480"/>
        <w:jc w:val="left"/>
        <w:rPr>
          <w:rFonts w:ascii="宋体" w:hAnsi="宋体"/>
          <w:sz w:val="24"/>
        </w:rPr>
      </w:pPr>
      <w:r w:rsidRPr="00A66FBE">
        <w:rPr>
          <w:rFonts w:ascii="宋体" w:hAnsi="宋体" w:hint="eastAsia"/>
          <w:sz w:val="24"/>
        </w:rPr>
        <w:t>1、基金管理人董事会成员</w:t>
      </w:r>
    </w:p>
    <w:p w14:paraId="7FB2CE8E" w14:textId="77777777" w:rsidR="0053342A" w:rsidRPr="00EB17D2" w:rsidRDefault="0053342A" w:rsidP="0053342A">
      <w:pPr>
        <w:autoSpaceDE w:val="0"/>
        <w:autoSpaceDN w:val="0"/>
        <w:adjustRightInd w:val="0"/>
        <w:snapToGrid w:val="0"/>
        <w:spacing w:line="360" w:lineRule="auto"/>
        <w:ind w:firstLineChars="200" w:firstLine="480"/>
        <w:jc w:val="left"/>
        <w:rPr>
          <w:rFonts w:ascii="宋体" w:hAnsi="宋体"/>
          <w:sz w:val="24"/>
        </w:rPr>
      </w:pPr>
      <w:r w:rsidRPr="00EB17D2">
        <w:rPr>
          <w:rFonts w:ascii="宋体" w:hAnsi="宋体" w:hint="eastAsia"/>
          <w:sz w:val="24"/>
        </w:rPr>
        <w:t>阮红女士，董事长，博士。历任交通银行办公室副处长、处长，交通银行海外机构管理部副总经理、总经理，交通银行上海分行副行长，交通银行资产托管部总经理，交通银行投资管理部总经理，交银施罗德基金管理有限公司总经理。</w:t>
      </w:r>
    </w:p>
    <w:p w14:paraId="09AB207D" w14:textId="77777777" w:rsidR="0053342A" w:rsidRPr="00EB17D2" w:rsidRDefault="0053342A" w:rsidP="0053342A">
      <w:pPr>
        <w:autoSpaceDE w:val="0"/>
        <w:autoSpaceDN w:val="0"/>
        <w:adjustRightInd w:val="0"/>
        <w:snapToGrid w:val="0"/>
        <w:spacing w:line="360" w:lineRule="auto"/>
        <w:ind w:firstLineChars="200" w:firstLine="480"/>
        <w:jc w:val="left"/>
        <w:rPr>
          <w:rFonts w:ascii="宋体" w:hAnsi="宋体"/>
          <w:sz w:val="24"/>
        </w:rPr>
      </w:pPr>
      <w:r w:rsidRPr="00EB17D2">
        <w:rPr>
          <w:rFonts w:ascii="宋体" w:hAnsi="宋体" w:hint="eastAsia"/>
          <w:sz w:val="24"/>
        </w:rPr>
        <w:t>童洁萍女士，董事，硕士。现任交通银行总行个人金融业务部副总经理。历任交通银行南京分行个人金融业务部副高级经理、江苏省分行个人金融业务部副总经理、总经理、玄武支行行长。</w:t>
      </w:r>
    </w:p>
    <w:p w14:paraId="050A1B7A" w14:textId="77777777" w:rsidR="0053342A" w:rsidRDefault="0053342A" w:rsidP="0053342A">
      <w:pPr>
        <w:autoSpaceDE w:val="0"/>
        <w:autoSpaceDN w:val="0"/>
        <w:adjustRightInd w:val="0"/>
        <w:snapToGrid w:val="0"/>
        <w:spacing w:line="360" w:lineRule="auto"/>
        <w:ind w:firstLineChars="200" w:firstLine="480"/>
        <w:jc w:val="left"/>
        <w:rPr>
          <w:rFonts w:ascii="宋体" w:hAnsi="宋体"/>
          <w:sz w:val="24"/>
        </w:rPr>
      </w:pPr>
      <w:r w:rsidRPr="00723197">
        <w:rPr>
          <w:rFonts w:ascii="宋体" w:hAnsi="宋体" w:hint="eastAsia"/>
          <w:sz w:val="24"/>
        </w:rPr>
        <w:t>王贤家先生，董事，学士。现任交银国际控股有限公司执行董事、副行政总裁、首席风险官。历任交通银行总行国际业务部外汇资金处交易员、澳门分行资金</w:t>
      </w:r>
      <w:r w:rsidRPr="00723197">
        <w:rPr>
          <w:rFonts w:ascii="宋体" w:hAnsi="宋体" w:hint="eastAsia"/>
          <w:sz w:val="24"/>
        </w:rPr>
        <w:lastRenderedPageBreak/>
        <w:t>部主管、总行金融市场部债券投资部副高级经理、外汇交易部高级经理、风险管理部/内控案防办副总经理。</w:t>
      </w:r>
    </w:p>
    <w:p w14:paraId="6FCCD668" w14:textId="406AE515" w:rsidR="0053342A" w:rsidRPr="00EB17D2" w:rsidRDefault="0053342A" w:rsidP="0053342A">
      <w:pPr>
        <w:autoSpaceDE w:val="0"/>
        <w:autoSpaceDN w:val="0"/>
        <w:adjustRightInd w:val="0"/>
        <w:snapToGrid w:val="0"/>
        <w:spacing w:line="360" w:lineRule="auto"/>
        <w:ind w:firstLineChars="200" w:firstLine="480"/>
        <w:jc w:val="left"/>
        <w:rPr>
          <w:rFonts w:ascii="宋体" w:hAnsi="宋体"/>
          <w:sz w:val="24"/>
        </w:rPr>
      </w:pPr>
      <w:r w:rsidRPr="00EB17D2">
        <w:rPr>
          <w:rFonts w:ascii="宋体" w:hAnsi="宋体" w:hint="eastAsia"/>
          <w:sz w:val="24"/>
        </w:rPr>
        <w:t>谢卫先生，董事，总经理，博士，高级经济师，第十、十一、十二届民盟中央委员、第十一、十二、十三届全国政协委员。现任交银施罗德基金管理有限公司总经理，兼任交银施罗德资产管理有限公司董事长。历任中央财经大学教师，中国社会科学院财贸所助理研究员，中国电力信托投资公司基金部副总经理，中国人保信托投资公司证券部副总经理、总经理，北京证券营业部总经理、证券总部副总经理兼北方部总经理，富国基金管理有限公司副总经理，交银施罗德基金管理有限公司副总经理。</w:t>
      </w:r>
    </w:p>
    <w:p w14:paraId="204A51BD" w14:textId="77777777" w:rsidR="0053342A" w:rsidRPr="00EB17D2" w:rsidRDefault="0053342A" w:rsidP="0053342A">
      <w:pPr>
        <w:autoSpaceDE w:val="0"/>
        <w:autoSpaceDN w:val="0"/>
        <w:adjustRightInd w:val="0"/>
        <w:snapToGrid w:val="0"/>
        <w:spacing w:line="360" w:lineRule="auto"/>
        <w:ind w:firstLineChars="200" w:firstLine="480"/>
        <w:jc w:val="left"/>
        <w:rPr>
          <w:rFonts w:ascii="宋体" w:hAnsi="宋体"/>
          <w:sz w:val="24"/>
        </w:rPr>
      </w:pPr>
      <w:r w:rsidRPr="00EB17D2">
        <w:rPr>
          <w:rFonts w:ascii="宋体" w:hAnsi="宋体" w:hint="eastAsia"/>
          <w:sz w:val="24"/>
        </w:rPr>
        <w:t>杜伟麒（Chris Durack）先生，董事，硕士。现任施罗德投资亚太区行政总裁。历任施罗德投资澳大利亚董事兼产品及分销主管、香港行政总裁兼亚太区机构业务主管、澳大利亚行政总裁兼亚太区联席主管等职。</w:t>
      </w:r>
    </w:p>
    <w:p w14:paraId="5E2E802C" w14:textId="77777777" w:rsidR="0053342A" w:rsidRPr="00EB17D2" w:rsidRDefault="0053342A" w:rsidP="0053342A">
      <w:pPr>
        <w:autoSpaceDE w:val="0"/>
        <w:autoSpaceDN w:val="0"/>
        <w:adjustRightInd w:val="0"/>
        <w:snapToGrid w:val="0"/>
        <w:spacing w:line="360" w:lineRule="auto"/>
        <w:ind w:firstLineChars="200" w:firstLine="480"/>
        <w:jc w:val="left"/>
        <w:rPr>
          <w:rFonts w:ascii="宋体" w:hAnsi="宋体"/>
          <w:sz w:val="24"/>
        </w:rPr>
      </w:pPr>
      <w:r w:rsidRPr="00EB17D2">
        <w:rPr>
          <w:rFonts w:ascii="宋体" w:hAnsi="宋体" w:hint="eastAsia"/>
          <w:sz w:val="24"/>
        </w:rPr>
        <w:t>章骏翔先生，副董事长，硕士，美国特许金融分析师(CFA)持证人。现任施罗德投资管理(香港)有限公司亚洲投资风险主管。历任渣打银行（香港）交易风险监控，华宝兴业基金管理有限公司风险管理部总经理，法国安盛投资管理（香港）有限公司亚洲风险经理等职。</w:t>
      </w:r>
    </w:p>
    <w:p w14:paraId="38F800E2" w14:textId="77777777" w:rsidR="0053342A" w:rsidRPr="00EB17D2" w:rsidRDefault="0053342A" w:rsidP="0053342A">
      <w:pPr>
        <w:autoSpaceDE w:val="0"/>
        <w:autoSpaceDN w:val="0"/>
        <w:adjustRightInd w:val="0"/>
        <w:snapToGrid w:val="0"/>
        <w:spacing w:line="360" w:lineRule="auto"/>
        <w:ind w:firstLineChars="200" w:firstLine="480"/>
        <w:jc w:val="left"/>
        <w:rPr>
          <w:rFonts w:ascii="宋体" w:hAnsi="宋体"/>
          <w:sz w:val="24"/>
        </w:rPr>
      </w:pPr>
      <w:r w:rsidRPr="00EB17D2">
        <w:rPr>
          <w:rFonts w:ascii="宋体" w:hAnsi="宋体" w:hint="eastAsia"/>
          <w:sz w:val="24"/>
        </w:rPr>
        <w:t>郝爱群女士，独立董事，学士。历任人民银行稽核司副处长、处长，合作司调研员，非银司副巡视员、副司长，银监会非银部副主任，银行监管一部副主任、巡视员，汇金公司派出董事。</w:t>
      </w:r>
    </w:p>
    <w:p w14:paraId="1D46C355" w14:textId="77777777" w:rsidR="0053342A" w:rsidRPr="00EB17D2" w:rsidRDefault="0053342A" w:rsidP="0053342A">
      <w:pPr>
        <w:autoSpaceDE w:val="0"/>
        <w:autoSpaceDN w:val="0"/>
        <w:adjustRightInd w:val="0"/>
        <w:snapToGrid w:val="0"/>
        <w:spacing w:line="360" w:lineRule="auto"/>
        <w:ind w:firstLineChars="200" w:firstLine="480"/>
        <w:jc w:val="left"/>
        <w:rPr>
          <w:rFonts w:ascii="宋体" w:hAnsi="宋体"/>
          <w:sz w:val="24"/>
        </w:rPr>
      </w:pPr>
      <w:r w:rsidRPr="00EB17D2">
        <w:rPr>
          <w:rFonts w:ascii="宋体" w:hAnsi="宋体" w:hint="eastAsia"/>
          <w:sz w:val="24"/>
        </w:rPr>
        <w:t>张子学先生，独立董事，博士。现任中国政法大学民商经济法学院教授，兼任基金业协会自律监察委员会委员。历任证监会办公厅副处长、上市公司监管部处长、行政处罚委员会专职委员、副主任审理员，兼任证监会上市公司并购重组审核委员会委员、行政复议委员会委员。</w:t>
      </w:r>
    </w:p>
    <w:p w14:paraId="3EC05691" w14:textId="77777777" w:rsidR="0053342A" w:rsidRPr="00EB17D2" w:rsidRDefault="0053342A" w:rsidP="0053342A">
      <w:pPr>
        <w:autoSpaceDE w:val="0"/>
        <w:autoSpaceDN w:val="0"/>
        <w:adjustRightInd w:val="0"/>
        <w:snapToGrid w:val="0"/>
        <w:spacing w:line="360" w:lineRule="auto"/>
        <w:ind w:firstLineChars="200" w:firstLine="480"/>
        <w:jc w:val="left"/>
        <w:rPr>
          <w:rFonts w:ascii="宋体" w:hAnsi="宋体"/>
          <w:sz w:val="24"/>
        </w:rPr>
      </w:pPr>
      <w:r w:rsidRPr="00EB17D2">
        <w:rPr>
          <w:rFonts w:ascii="宋体" w:hAnsi="宋体" w:hint="eastAsia"/>
          <w:sz w:val="24"/>
        </w:rPr>
        <w:t>黎建强先生，独立董事，博士，教育部长江学者讲座教授。现任香港大学工业工程系荣誉教授，亚洲风险及危机管理协会主席，兼任深交所上市的中联重科集团独立非执行董事。历任香港城市大学管理科学讲座教授，湖南省政协委员并兼任湖南大学工商管理学院院长。</w:t>
      </w:r>
    </w:p>
    <w:p w14:paraId="73C5C579" w14:textId="77777777" w:rsidR="0053342A" w:rsidRPr="00EB17D2" w:rsidRDefault="0053342A" w:rsidP="0053342A">
      <w:pPr>
        <w:autoSpaceDE w:val="0"/>
        <w:autoSpaceDN w:val="0"/>
        <w:adjustRightInd w:val="0"/>
        <w:snapToGrid w:val="0"/>
        <w:spacing w:line="360" w:lineRule="auto"/>
        <w:ind w:firstLineChars="200" w:firstLine="480"/>
        <w:jc w:val="left"/>
        <w:rPr>
          <w:rFonts w:ascii="宋体" w:hAnsi="宋体"/>
          <w:sz w:val="24"/>
        </w:rPr>
      </w:pPr>
      <w:r w:rsidRPr="00EB17D2">
        <w:rPr>
          <w:rFonts w:ascii="宋体" w:hAnsi="宋体" w:hint="eastAsia"/>
          <w:sz w:val="24"/>
        </w:rPr>
        <w:t>2、基金管理人监事会成员</w:t>
      </w:r>
    </w:p>
    <w:p w14:paraId="0535BA22" w14:textId="77777777" w:rsidR="0053342A" w:rsidRPr="00EB17D2" w:rsidRDefault="0053342A" w:rsidP="0053342A">
      <w:pPr>
        <w:autoSpaceDE w:val="0"/>
        <w:autoSpaceDN w:val="0"/>
        <w:adjustRightInd w:val="0"/>
        <w:snapToGrid w:val="0"/>
        <w:spacing w:line="360" w:lineRule="auto"/>
        <w:ind w:firstLineChars="200" w:firstLine="480"/>
        <w:jc w:val="left"/>
        <w:rPr>
          <w:rFonts w:ascii="宋体" w:hAnsi="宋体"/>
          <w:sz w:val="24"/>
        </w:rPr>
      </w:pPr>
      <w:r w:rsidRPr="00EB17D2">
        <w:rPr>
          <w:rFonts w:ascii="宋体" w:hAnsi="宋体" w:hint="eastAsia"/>
          <w:sz w:val="24"/>
        </w:rPr>
        <w:t>梅津芝女士，监事长，学士。高级经济师、审计师。现任交通银行工会办公室主任。历任交通银行山西省分行个人金融业务部高级经理，交通银行山西省分行副</w:t>
      </w:r>
      <w:r w:rsidRPr="00EB17D2">
        <w:rPr>
          <w:rFonts w:ascii="宋体" w:hAnsi="宋体" w:hint="eastAsia"/>
          <w:sz w:val="24"/>
        </w:rPr>
        <w:lastRenderedPageBreak/>
        <w:t>行长，交通银行个人金融业务部副总经理、私人银行部总经理。</w:t>
      </w:r>
    </w:p>
    <w:p w14:paraId="79325189" w14:textId="77777777" w:rsidR="0053342A" w:rsidRPr="00EB17D2" w:rsidRDefault="0053342A" w:rsidP="0053342A">
      <w:pPr>
        <w:autoSpaceDE w:val="0"/>
        <w:autoSpaceDN w:val="0"/>
        <w:adjustRightInd w:val="0"/>
        <w:snapToGrid w:val="0"/>
        <w:spacing w:line="360" w:lineRule="auto"/>
        <w:ind w:firstLineChars="200" w:firstLine="480"/>
        <w:jc w:val="left"/>
        <w:rPr>
          <w:rFonts w:ascii="宋体" w:hAnsi="宋体"/>
          <w:sz w:val="24"/>
        </w:rPr>
      </w:pPr>
      <w:r w:rsidRPr="00EB17D2">
        <w:rPr>
          <w:rFonts w:ascii="宋体" w:hAnsi="宋体" w:hint="eastAsia"/>
          <w:sz w:val="24"/>
        </w:rPr>
        <w:t>林凯珊女士，监事，硕士。现任施罗德投资管理（香港）有限公司中国内地及中国香港法律部主管。历任香港证券及期货事务监察委员会发牌科经理、的近律师行律师。</w:t>
      </w:r>
    </w:p>
    <w:p w14:paraId="1A6EF4E6" w14:textId="77777777" w:rsidR="0053342A" w:rsidRPr="00EB17D2" w:rsidRDefault="0053342A" w:rsidP="0053342A">
      <w:pPr>
        <w:autoSpaceDE w:val="0"/>
        <w:autoSpaceDN w:val="0"/>
        <w:adjustRightInd w:val="0"/>
        <w:snapToGrid w:val="0"/>
        <w:spacing w:line="360" w:lineRule="auto"/>
        <w:ind w:firstLineChars="200" w:firstLine="480"/>
        <w:jc w:val="left"/>
        <w:rPr>
          <w:rFonts w:ascii="宋体" w:hAnsi="宋体"/>
          <w:sz w:val="24"/>
        </w:rPr>
      </w:pPr>
      <w:r w:rsidRPr="00EB17D2">
        <w:rPr>
          <w:rFonts w:ascii="宋体" w:hAnsi="宋体" w:hint="eastAsia"/>
          <w:sz w:val="24"/>
        </w:rPr>
        <w:t>刘峥先生，监事，硕士。现任交银施罗德基金管理有限公司综合管理部总经理。历任交通银行上海市分行管理培训生，交通银行总行战略投资部高级投资并购经理，交银施罗德基金管理有限公司总裁办公室高级综合管理经理、副总经理。</w:t>
      </w:r>
    </w:p>
    <w:p w14:paraId="2DB5E669" w14:textId="77777777" w:rsidR="0053342A" w:rsidRPr="00EB17D2" w:rsidRDefault="0053342A" w:rsidP="0053342A">
      <w:pPr>
        <w:autoSpaceDE w:val="0"/>
        <w:autoSpaceDN w:val="0"/>
        <w:adjustRightInd w:val="0"/>
        <w:snapToGrid w:val="0"/>
        <w:spacing w:line="360" w:lineRule="auto"/>
        <w:ind w:firstLineChars="200" w:firstLine="480"/>
        <w:jc w:val="left"/>
        <w:rPr>
          <w:rFonts w:ascii="宋体" w:hAnsi="宋体"/>
          <w:sz w:val="24"/>
        </w:rPr>
      </w:pPr>
      <w:r w:rsidRPr="00EB17D2">
        <w:rPr>
          <w:rFonts w:ascii="宋体" w:hAnsi="宋体" w:hint="eastAsia"/>
          <w:sz w:val="24"/>
        </w:rPr>
        <w:t>黄伟峰先生，监事，硕士。现任交银施罗德基金管理有限公司高级专家、市场总监。历任平安人寿保险公司上海分公司行政督导、营销管理经理，交银施罗德基金管理有限公司行政部总经理助理、西部营销中心总经理、机构理财部（上海）总经理兼产品开发部总经理。</w:t>
      </w:r>
    </w:p>
    <w:p w14:paraId="36550F3B" w14:textId="77777777" w:rsidR="0053342A" w:rsidRPr="00EB17D2" w:rsidRDefault="0053342A" w:rsidP="0053342A">
      <w:pPr>
        <w:autoSpaceDE w:val="0"/>
        <w:autoSpaceDN w:val="0"/>
        <w:adjustRightInd w:val="0"/>
        <w:snapToGrid w:val="0"/>
        <w:spacing w:line="360" w:lineRule="auto"/>
        <w:ind w:firstLineChars="200" w:firstLine="480"/>
        <w:jc w:val="left"/>
        <w:rPr>
          <w:rFonts w:ascii="宋体" w:hAnsi="宋体"/>
          <w:sz w:val="24"/>
        </w:rPr>
      </w:pPr>
      <w:r w:rsidRPr="00EB17D2">
        <w:rPr>
          <w:rFonts w:ascii="宋体" w:hAnsi="宋体" w:hint="eastAsia"/>
          <w:sz w:val="24"/>
        </w:rPr>
        <w:t>3、基金管理人高级管理人员</w:t>
      </w:r>
    </w:p>
    <w:p w14:paraId="7836100A" w14:textId="77777777" w:rsidR="0053342A" w:rsidRPr="00EB17D2" w:rsidRDefault="0053342A" w:rsidP="0053342A">
      <w:pPr>
        <w:autoSpaceDE w:val="0"/>
        <w:autoSpaceDN w:val="0"/>
        <w:adjustRightInd w:val="0"/>
        <w:snapToGrid w:val="0"/>
        <w:spacing w:line="360" w:lineRule="auto"/>
        <w:ind w:firstLineChars="200" w:firstLine="480"/>
        <w:jc w:val="left"/>
        <w:rPr>
          <w:rFonts w:ascii="宋体" w:hAnsi="宋体"/>
          <w:sz w:val="24"/>
        </w:rPr>
      </w:pPr>
      <w:r w:rsidRPr="00EB17D2">
        <w:rPr>
          <w:rFonts w:ascii="宋体" w:hAnsi="宋体" w:hint="eastAsia"/>
          <w:sz w:val="24"/>
        </w:rPr>
        <w:t>谢卫先生，总经理。简历同上。</w:t>
      </w:r>
    </w:p>
    <w:p w14:paraId="4D124605" w14:textId="77777777" w:rsidR="0053342A" w:rsidRPr="00EB17D2" w:rsidRDefault="0053342A" w:rsidP="0053342A">
      <w:pPr>
        <w:autoSpaceDE w:val="0"/>
        <w:autoSpaceDN w:val="0"/>
        <w:adjustRightInd w:val="0"/>
        <w:snapToGrid w:val="0"/>
        <w:spacing w:line="360" w:lineRule="auto"/>
        <w:ind w:firstLineChars="200" w:firstLine="480"/>
        <w:jc w:val="left"/>
        <w:rPr>
          <w:rFonts w:ascii="宋体" w:hAnsi="宋体"/>
          <w:sz w:val="24"/>
        </w:rPr>
      </w:pPr>
      <w:r w:rsidRPr="00EB17D2">
        <w:rPr>
          <w:rFonts w:ascii="宋体" w:hAnsi="宋体" w:hint="eastAsia"/>
          <w:sz w:val="24"/>
        </w:rPr>
        <w:t>印皓女士，副总经理，硕士。历任交通银行研究开发部副主管体改规划员，交通银行市场营销部副主管市场规划员、主管市场规划员，交通银行公司业务部副高级经理、高级经理，交通银行机构业务部高级经理、总经理助理、副总经理，交银施罗德资产管理有限公司董事长。</w:t>
      </w:r>
    </w:p>
    <w:p w14:paraId="5115075B" w14:textId="77777777" w:rsidR="0053342A" w:rsidRPr="00EB17D2" w:rsidRDefault="0053342A" w:rsidP="0053342A">
      <w:pPr>
        <w:autoSpaceDE w:val="0"/>
        <w:autoSpaceDN w:val="0"/>
        <w:adjustRightInd w:val="0"/>
        <w:snapToGrid w:val="0"/>
        <w:spacing w:line="360" w:lineRule="auto"/>
        <w:ind w:firstLineChars="200" w:firstLine="480"/>
        <w:jc w:val="left"/>
        <w:rPr>
          <w:rFonts w:ascii="宋体" w:hAnsi="宋体"/>
          <w:sz w:val="24"/>
        </w:rPr>
      </w:pPr>
      <w:r w:rsidRPr="00EB17D2">
        <w:rPr>
          <w:rFonts w:ascii="宋体" w:hAnsi="宋体" w:hint="eastAsia"/>
          <w:sz w:val="24"/>
        </w:rPr>
        <w:t>佘川女士，督察长，硕士，兼任交银施罗德资产管理有限公司董事。历任华泰证券有限责任公司综合发展部高级经理、投资银行部项目经理，银河基金管理有限公司监察部总监，交银施罗德基金管理有限公司监察稽核部总经理、监察风控副总监、投资运营总监。</w:t>
      </w:r>
    </w:p>
    <w:p w14:paraId="2EC80A39" w14:textId="77777777" w:rsidR="0053342A" w:rsidRDefault="0053342A" w:rsidP="0053342A">
      <w:pPr>
        <w:autoSpaceDE w:val="0"/>
        <w:autoSpaceDN w:val="0"/>
        <w:adjustRightInd w:val="0"/>
        <w:snapToGrid w:val="0"/>
        <w:spacing w:line="360" w:lineRule="auto"/>
        <w:ind w:firstLineChars="200" w:firstLine="480"/>
        <w:jc w:val="left"/>
        <w:rPr>
          <w:rFonts w:ascii="宋体" w:hAnsi="宋体"/>
          <w:sz w:val="24"/>
        </w:rPr>
      </w:pPr>
      <w:r w:rsidRPr="00EB17D2">
        <w:rPr>
          <w:rFonts w:ascii="宋体" w:hAnsi="宋体" w:hint="eastAsia"/>
          <w:sz w:val="24"/>
        </w:rPr>
        <w:t>马俊先生，副总经理，硕士。历任交通银行总行投资管理部高级投资分析、副高级经理，交银施罗德基金管理有限公司总裁办公室总经理、研究部副总经理、研究总监、综合管理部总经理。</w:t>
      </w:r>
    </w:p>
    <w:p w14:paraId="4D772BA3"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4、本基金基金经理</w:t>
      </w:r>
    </w:p>
    <w:p w14:paraId="6FD1FD94" w14:textId="1353CB36"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邵文婷女士:基金经理。英国诺丁汉大学金融与投资硕士、西南财经大学数学与经济学双学士。</w:t>
      </w:r>
      <w:r w:rsidR="00E41E29">
        <w:rPr>
          <w:rFonts w:ascii="宋体" w:hAnsi="宋体"/>
          <w:sz w:val="24"/>
        </w:rPr>
        <w:t>8</w:t>
      </w:r>
      <w:r>
        <w:rPr>
          <w:rFonts w:ascii="宋体" w:hAnsi="宋体"/>
          <w:sz w:val="24"/>
        </w:rPr>
        <w:t>年证券投资行业从业经验。2016年加入交银施罗德基金管理有限公司，曾任量化投资部研究员、投资经理，现任量化投资部基金经理。现任交银施罗德深证300价值交易型开放式指数证券投资基金联接基金(2021年04月30日至今)、交银施罗德上证180公司治理交易型开放式指数证券投资基金联接基金(2021</w:t>
      </w:r>
      <w:r>
        <w:rPr>
          <w:rFonts w:ascii="宋体" w:hAnsi="宋体"/>
          <w:sz w:val="24"/>
        </w:rPr>
        <w:lastRenderedPageBreak/>
        <w:t>年04月30日至今)、深证300价值交易型开放式指数证券投资基金(2021年04月30日至今)、交银施罗德中证海外中国互联网指数型证券投资基金(LOF)(2021年04月30日至今)、交银施罗德国证新能源指数证券投资基金（LOF）(2021年04月30日至今)、上证180公司治理交易型开放式指数证券投资基金(2021年04月30日至今)、交银施罗德创业板50指数型证券投资基金(2021年04月30日至今)、交银施罗德中证环境治理指数型证券投资基金(LOF)(2021年04月30日至今)</w:t>
      </w:r>
      <w:r w:rsidR="00A66FBE">
        <w:rPr>
          <w:rFonts w:ascii="宋体" w:hAnsi="宋体" w:hint="eastAsia"/>
          <w:sz w:val="24"/>
        </w:rPr>
        <w:t>、</w:t>
      </w:r>
      <w:r w:rsidR="00A66FBE" w:rsidRPr="00A66FBE">
        <w:rPr>
          <w:rFonts w:ascii="宋体" w:hAnsi="宋体" w:hint="eastAsia"/>
          <w:sz w:val="24"/>
        </w:rPr>
        <w:t>交银施罗德定期支付月月丰债券型证券投资基金</w:t>
      </w:r>
      <w:r w:rsidR="00A66FBE">
        <w:rPr>
          <w:rFonts w:ascii="宋体" w:hAnsi="宋体"/>
          <w:sz w:val="24"/>
        </w:rPr>
        <w:t>(2022年11月30日至今)</w:t>
      </w:r>
      <w:r>
        <w:rPr>
          <w:rFonts w:ascii="宋体" w:hAnsi="宋体"/>
          <w:sz w:val="24"/>
        </w:rPr>
        <w:t>的基金经理。</w:t>
      </w:r>
    </w:p>
    <w:p w14:paraId="5226098B"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5、投资决策委员会成员</w:t>
      </w:r>
    </w:p>
    <w:p w14:paraId="1848EBFF"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委员：谢卫（总经理）</w:t>
      </w:r>
    </w:p>
    <w:p w14:paraId="40924897" w14:textId="10A78A3F"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马俊（副总经理）</w:t>
      </w:r>
    </w:p>
    <w:p w14:paraId="46F7901D"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王少成（权益投资总监、基金经理）</w:t>
      </w:r>
    </w:p>
    <w:p w14:paraId="22607869"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于海颖（固定收益（公募）投资总监、基金经理）</w:t>
      </w:r>
    </w:p>
    <w:p w14:paraId="69F81FBF"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王崇（权益投资副总监、权益部一级专家、基金经理）</w:t>
      </w:r>
    </w:p>
    <w:p w14:paraId="6EE6C6CA" w14:textId="49E87EF4"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上述人员之间不存在近亲属关系。</w:t>
      </w:r>
    </w:p>
    <w:p w14:paraId="26651C82"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（三）基金管理人的职责</w:t>
      </w:r>
    </w:p>
    <w:p w14:paraId="10037B13"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1、依法募集资金，办理或者委托经中国证监会认定的其他机构办理基金份额的发售、申购、赎回和登记事宜；</w:t>
      </w:r>
    </w:p>
    <w:p w14:paraId="70954531"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2、办理基金备案手续；</w:t>
      </w:r>
    </w:p>
    <w:p w14:paraId="298C58F8"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3、对所管理的不同基金财产分别管理、分别记账，进行证券投资；</w:t>
      </w:r>
    </w:p>
    <w:p w14:paraId="083DF8CA"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4、按照基金合同的约定确定基金收益分配方案，及时向基金份额持有人分配收益；</w:t>
      </w:r>
    </w:p>
    <w:p w14:paraId="4C7E16ED"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5、进行基金会计核算并编制基金财务会计报告；</w:t>
      </w:r>
    </w:p>
    <w:p w14:paraId="1C426F1F"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6、编制季度报告、中期报告和年度报告；</w:t>
      </w:r>
    </w:p>
    <w:p w14:paraId="3BADB6C1"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7、计算并公告基金净值信息，确定基金份额申购、赎回价格；</w:t>
      </w:r>
    </w:p>
    <w:p w14:paraId="1248D053"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8、办理与基金财产管理业务活动有关的信息披露事项；</w:t>
      </w:r>
    </w:p>
    <w:p w14:paraId="0E6CBB33"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9、按照规定召集基金份额持有人大会；</w:t>
      </w:r>
    </w:p>
    <w:p w14:paraId="7C564C18"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10、保存基金财产管理业务活动的记录、账册、报表和其他相关资料；</w:t>
      </w:r>
    </w:p>
    <w:p w14:paraId="15B23A3E"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11、以基金管理人名义，代表基金份额持有人利益行使诉讼权利或者实施其他法律行为；</w:t>
      </w:r>
    </w:p>
    <w:p w14:paraId="71712A5F"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12、有关法律法规和中国证监会规定的其他职责。</w:t>
      </w:r>
    </w:p>
    <w:p w14:paraId="1D737427"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（四）基金管理人的承诺</w:t>
      </w:r>
    </w:p>
    <w:p w14:paraId="713BB689"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1、基金管理人承诺不从事违反《中华人民共和国证券法》的行为，并承诺建立健全内部控制制度，采取有效措施，防止违反《中华人民共和国证券法》行为的发生；</w:t>
      </w:r>
    </w:p>
    <w:p w14:paraId="1AD692B8"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2、基金管理人承诺不从事违反《基金法》的行为，并承诺建立健全内部风险控制制度，采取有效措施，防止下列行为的发生：</w:t>
      </w:r>
    </w:p>
    <w:p w14:paraId="34C75484"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（1）将基金管理人固有财产或者他人财产混同于基金财产从事证券投资；</w:t>
      </w:r>
    </w:p>
    <w:p w14:paraId="5E022438"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（2）不公平地对待管理的不同基金财产；</w:t>
      </w:r>
    </w:p>
    <w:p w14:paraId="13345123"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（3）利用基金财产为基金份额持有人以外的第三人牟取利益；</w:t>
      </w:r>
    </w:p>
    <w:p w14:paraId="5919688E"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（4）向基金份额持有人违规承诺收益或者承担损失；</w:t>
      </w:r>
    </w:p>
    <w:p w14:paraId="3ECCFC4F"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（5）侵占、挪用基金财产；</w:t>
      </w:r>
    </w:p>
    <w:p w14:paraId="58F82BAE"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（6）法律、行政法规和中国证监会禁止的其他行为。</w:t>
      </w:r>
    </w:p>
    <w:p w14:paraId="43B088E7"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3、基金管理人承诺严格遵守基金合同，并承诺建立健全内部控制制度，采取有效措施，防止违反基金合同行为的发生；</w:t>
      </w:r>
    </w:p>
    <w:p w14:paraId="6680E5D3"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4、基金管理人承诺加强人员管理，强化职业操守，督促和约束员工遵守国家有关法律法规及行业规范，诚实信用、勤勉尽责；</w:t>
      </w:r>
    </w:p>
    <w:p w14:paraId="79FDBCAB"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5、基金管理人承诺不从事其他法规规定禁止从事的行为。</w:t>
      </w:r>
    </w:p>
    <w:p w14:paraId="163BF757"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（五）基金经理承诺</w:t>
      </w:r>
    </w:p>
    <w:p w14:paraId="158C8AF7"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1、依照有关法律法规和基金合同的规定，本着谨慎的原则为基金份额持有人谋取最大利益；</w:t>
      </w:r>
    </w:p>
    <w:p w14:paraId="4BBBEEB6"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2、不利用职务之便为自己、受雇人或任何第三者谋取利益；</w:t>
      </w:r>
    </w:p>
    <w:p w14:paraId="03C192D0"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3、不泄露在任职期间知悉的有关证券、基金的商业秘密，尚未依法公开的基金投资内容、基金投资计划等信息，或利用该信息从事或者明示、暗示他人从事相关的交易活动；</w:t>
      </w:r>
    </w:p>
    <w:p w14:paraId="3429EF1C"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4、不以任何形式为其他组织或个人进行证券交易。</w:t>
      </w:r>
    </w:p>
    <w:p w14:paraId="47C6CBD4"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（六）基金管理人的内部控制制度</w:t>
      </w:r>
    </w:p>
    <w:p w14:paraId="308668DF"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1、风险管理的原则</w:t>
      </w:r>
    </w:p>
    <w:p w14:paraId="2F71F939"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 全面性原则</w:t>
      </w:r>
    </w:p>
    <w:p w14:paraId="4272BAC0"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公司风险管理必须覆盖公司的所有部门和岗位，渗透各项业务过程和业务环节。</w:t>
      </w:r>
    </w:p>
    <w:p w14:paraId="467336AF"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（2） 独立性原则</w:t>
      </w:r>
    </w:p>
    <w:p w14:paraId="4D05B6BC"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公司设立独立的风险管理部，风险管理部保持高度的独立性和权威性，负责对公司各部门风险控制工作进行监督和检查。</w:t>
      </w:r>
    </w:p>
    <w:p w14:paraId="6F4017FF"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 相互制约原则</w:t>
      </w:r>
    </w:p>
    <w:p w14:paraId="08E57957"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公司及各部门在内部组织结构的设计上要形成一种相互制约的机制，建立不同岗位之间的制衡体系。</w:t>
      </w:r>
    </w:p>
    <w:p w14:paraId="666CC111"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 定性和定量相结合原则</w:t>
      </w:r>
    </w:p>
    <w:p w14:paraId="7537876F"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建立完备的风险管理指标体系，使风险管理更具客观性和操作性。</w:t>
      </w:r>
    </w:p>
    <w:p w14:paraId="6E539A7E"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2、风险管理和内部风险控制体系结构</w:t>
      </w:r>
    </w:p>
    <w:p w14:paraId="185AC6A4"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p>
    <w:p w14:paraId="6D834696"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（1）董事会</w:t>
      </w:r>
    </w:p>
    <w:p w14:paraId="6037CD7E"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负责制定公司的风险管理政策，对风险管理负完全的和最终的责任。</w:t>
      </w:r>
    </w:p>
    <w:p w14:paraId="57D35548"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（2）监事会</w:t>
      </w:r>
    </w:p>
    <w:p w14:paraId="617B8452"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是公司常设的监事机构，对股东会负责。监事会对公司财务、公司董事、总经理及其他高级管理人员进行监督。</w:t>
      </w:r>
    </w:p>
    <w:p w14:paraId="5A901D79"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（3）合规审核及风险管理委员会</w:t>
      </w:r>
    </w:p>
    <w:p w14:paraId="65C78312"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作为董事会下的专业委员会之一，对公司内部控制制度、监察稽核制度进行检查评估；审查公司财务，对公司内部管理制度、投资决策程序和运作流程进行合规性审议；对公司资产与基金资产的经营进行评估。</w:t>
      </w:r>
    </w:p>
    <w:p w14:paraId="31FC3AC2"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（4）风险控制委员会</w:t>
      </w:r>
    </w:p>
    <w:p w14:paraId="3466E990"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p>
    <w:p w14:paraId="6B1AFEEB"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（5）督察长</w:t>
      </w:r>
    </w:p>
    <w:p w14:paraId="05B273C3"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独立行使督察权利；直接对董事会负责；就内部控制制度和执行情况独立地履行检查、评价、报告、建议职能；定期和不定期地向董事会报告公司内部控制执行情况。</w:t>
      </w:r>
    </w:p>
    <w:p w14:paraId="2A0FB304"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（6）风险管理部</w:t>
      </w:r>
    </w:p>
    <w:p w14:paraId="37537C9E"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w:t>
      </w:r>
    </w:p>
    <w:p w14:paraId="18E07CE9"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（7）审计部</w:t>
      </w:r>
    </w:p>
    <w:p w14:paraId="7724C35E"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审计部负责按照公司要求，根据国家法律法规及行业规范，结合公司战略发展及管理目标，对公司内部控制体系的适当性及运行的效果和效率进行独立评价，协助促进公司风险管理、控制和治理过程的完善，实现合规经营目标。</w:t>
      </w:r>
    </w:p>
    <w:p w14:paraId="5867ED59"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（8）法律合规部</w:t>
      </w:r>
    </w:p>
    <w:p w14:paraId="26096772"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法律合规部负责公司的法律、合规事务及协调实施信息披露事务，依法维护公司合法权益，评估并处理公司运营中发生的法律、合规及信息披露相关问题，及时向公司管理层及全体员工传达法规及监管要求。</w:t>
      </w:r>
    </w:p>
    <w:p w14:paraId="51D23A68"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（9）业务部门</w:t>
      </w:r>
    </w:p>
    <w:p w14:paraId="09179841"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风险管理是每一个业务部门首要的责任。部门经理对本部门的风险负全部责任，负责履行公司的风险管理程序，负责本部门的风险管理系统的开发、执行和维护，用于识别、监控和降低风险。</w:t>
      </w:r>
    </w:p>
    <w:p w14:paraId="69389B60"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3、风险管理和内部风险控制的措施</w:t>
      </w:r>
    </w:p>
    <w:p w14:paraId="3BADA0B2"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（1）建立内控体系，完善内控制度</w:t>
      </w:r>
    </w:p>
    <w:p w14:paraId="0EFA98F2"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公司建立、健全了内控体系，通过高管人员关于内控的明确分工，确保各项业务活动有恰当的组织和授权，确保监察活动独立，并得到高管人员的支持，同时置备操作手册，并定期更新。</w:t>
      </w:r>
    </w:p>
    <w:p w14:paraId="3ECA2BF2"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（2）建立相互分离、相互制衡的内控机制</w:t>
      </w:r>
    </w:p>
    <w:p w14:paraId="6D04A6F2"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建立、健全了各项制度，做到基金经理分开，投资决策分开，基金交易集中，形成不同部门、不同岗位之间的制衡机制，从制度上减少和防范风险。</w:t>
      </w:r>
    </w:p>
    <w:p w14:paraId="66858F6B"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（3）建立、健全岗位责任制</w:t>
      </w:r>
    </w:p>
    <w:p w14:paraId="2CDBDF4D"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建立、健全了岗位责任制，使每个员工都明确自己的任务、职责，并及时将各自工作领域中的风险隐患上报，以防范和减少风险。</w:t>
      </w:r>
    </w:p>
    <w:p w14:paraId="0A12683D"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（4）建立风险分类、识别、评估、报告、提示程序</w:t>
      </w:r>
    </w:p>
    <w:p w14:paraId="7F35A8C6"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建立了风险评估机制，通过适合的程序，确认和评估与公司运作有关的风险；公司建立了自下而上的风险报告程序，对风险隐患进行层层汇报，使各个层次的人</w:t>
      </w:r>
      <w:r>
        <w:rPr>
          <w:rFonts w:ascii="宋体" w:hAnsi="宋体"/>
          <w:sz w:val="24"/>
        </w:rPr>
        <w:lastRenderedPageBreak/>
        <w:t>员及时掌握风险状况，从而以最快速度作出决策。</w:t>
      </w:r>
    </w:p>
    <w:p w14:paraId="4898B21C"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（5）建立有效的内部监控系统</w:t>
      </w:r>
    </w:p>
    <w:p w14:paraId="24F5B184"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建立了足够、有效的内部监控系统，如电脑预警系统、投资监控系统，对可能出现的各种风险进行全面和实时的监控。</w:t>
      </w:r>
    </w:p>
    <w:p w14:paraId="00A7EA87"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（6）使用数量化的风险管理手段</w:t>
      </w:r>
    </w:p>
    <w:p w14:paraId="44DCDACA"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采取数量化、技术化的风险控制手段，建立数量化的风险管理模型，用以提示指数趋势、行业及个股的风险，以便公司及时采取有效的措施，对风险进行分散、控制和规避，尽可能地减少损失。</w:t>
      </w:r>
    </w:p>
    <w:p w14:paraId="67C2557E"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（7）提供足够的培训</w:t>
      </w:r>
    </w:p>
    <w:p w14:paraId="2556AD79"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制定了完整的培训计划，为所有员工提供足够和适当的培训，使员工明确其职责所在，控制风险。</w:t>
      </w:r>
    </w:p>
    <w:p w14:paraId="0949C79D" w14:textId="77777777" w:rsidR="00A37EB9" w:rsidRDefault="004B071E" w:rsidP="00A37EB9">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6E7B7E8A" w14:textId="77777777" w:rsidR="00FD086C" w:rsidRDefault="004B071E">
      <w:pPr>
        <w:pStyle w:val="1"/>
        <w:snapToGrid w:val="0"/>
        <w:spacing w:beforeLines="0" w:before="240" w:after="240"/>
        <w:rPr>
          <w:rFonts w:ascii="宋体" w:hAnsi="宋体"/>
          <w:szCs w:val="30"/>
        </w:rPr>
      </w:pPr>
      <w:bookmarkStart w:id="7" w:name="_Toc147840622"/>
      <w:r>
        <w:rPr>
          <w:rFonts w:ascii="Times New Roman" w:hAnsi="Times New Roman"/>
          <w:sz w:val="30"/>
        </w:rPr>
        <w:lastRenderedPageBreak/>
        <w:t>四、基金托管人</w:t>
      </w:r>
      <w:bookmarkEnd w:id="7"/>
    </w:p>
    <w:p w14:paraId="12B2704B" w14:textId="77777777" w:rsidR="00FD086C" w:rsidRPr="00040D5C" w:rsidRDefault="004B071E">
      <w:pPr>
        <w:autoSpaceDE w:val="0"/>
        <w:autoSpaceDN w:val="0"/>
        <w:adjustRightInd w:val="0"/>
        <w:snapToGrid w:val="0"/>
        <w:spacing w:line="360" w:lineRule="auto"/>
        <w:ind w:firstLineChars="200" w:firstLine="482"/>
        <w:jc w:val="left"/>
        <w:rPr>
          <w:rFonts w:ascii="Times New Roman" w:hAnsi="Times New Roman"/>
          <w:szCs w:val="24"/>
        </w:rPr>
      </w:pPr>
      <w:r w:rsidRPr="00040D5C">
        <w:rPr>
          <w:rFonts w:ascii="Times New Roman" w:hAnsi="Times New Roman" w:hint="eastAsia"/>
          <w:b/>
          <w:kern w:val="0"/>
          <w:sz w:val="24"/>
        </w:rPr>
        <w:t>（一）基金托管人情况</w:t>
      </w:r>
    </w:p>
    <w:p w14:paraId="23B29053" w14:textId="77777777" w:rsidR="00367ED1" w:rsidRPr="00367ED1" w:rsidRDefault="00367ED1" w:rsidP="00367ED1">
      <w:pPr>
        <w:widowControl/>
        <w:adjustRightInd w:val="0"/>
        <w:snapToGrid w:val="0"/>
        <w:spacing w:line="360" w:lineRule="auto"/>
        <w:ind w:firstLineChars="200" w:firstLine="480"/>
        <w:rPr>
          <w:rFonts w:ascii="Times New Roman" w:hAnsi="Times New Roman"/>
          <w:kern w:val="0"/>
          <w:sz w:val="24"/>
          <w:szCs w:val="24"/>
        </w:rPr>
      </w:pPr>
      <w:r w:rsidRPr="00367ED1">
        <w:rPr>
          <w:rFonts w:ascii="Times New Roman" w:hAnsi="Times New Roman" w:hint="eastAsia"/>
          <w:kern w:val="0"/>
          <w:sz w:val="24"/>
          <w:szCs w:val="24"/>
        </w:rPr>
        <w:t>1</w:t>
      </w:r>
      <w:r w:rsidRPr="00367ED1">
        <w:rPr>
          <w:rFonts w:ascii="Times New Roman" w:hAnsi="Times New Roman" w:hint="eastAsia"/>
          <w:kern w:val="0"/>
          <w:sz w:val="24"/>
          <w:szCs w:val="24"/>
        </w:rPr>
        <w:t>、基本情况</w:t>
      </w:r>
    </w:p>
    <w:p w14:paraId="14577415" w14:textId="77777777" w:rsidR="00367ED1" w:rsidRPr="00367ED1" w:rsidRDefault="00367ED1" w:rsidP="00367ED1">
      <w:pPr>
        <w:widowControl/>
        <w:adjustRightInd w:val="0"/>
        <w:snapToGrid w:val="0"/>
        <w:spacing w:line="360" w:lineRule="auto"/>
        <w:ind w:firstLineChars="200" w:firstLine="480"/>
        <w:rPr>
          <w:rFonts w:ascii="Times New Roman" w:hAnsi="Times New Roman"/>
          <w:kern w:val="0"/>
          <w:sz w:val="24"/>
          <w:szCs w:val="24"/>
        </w:rPr>
      </w:pPr>
      <w:r w:rsidRPr="00367ED1">
        <w:rPr>
          <w:rFonts w:ascii="Times New Roman" w:hAnsi="Times New Roman" w:hint="eastAsia"/>
          <w:kern w:val="0"/>
          <w:sz w:val="24"/>
          <w:szCs w:val="24"/>
        </w:rPr>
        <w:t>名称：中国农业银行股份有限公司（简称中国农业银行）</w:t>
      </w:r>
    </w:p>
    <w:p w14:paraId="7A0CF862" w14:textId="77777777" w:rsidR="00367ED1" w:rsidRPr="00367ED1" w:rsidRDefault="00367ED1" w:rsidP="00367ED1">
      <w:pPr>
        <w:widowControl/>
        <w:adjustRightInd w:val="0"/>
        <w:snapToGrid w:val="0"/>
        <w:spacing w:line="360" w:lineRule="auto"/>
        <w:ind w:firstLineChars="200" w:firstLine="480"/>
        <w:rPr>
          <w:rFonts w:ascii="Times New Roman" w:hAnsi="Times New Roman"/>
          <w:kern w:val="0"/>
          <w:sz w:val="24"/>
          <w:szCs w:val="24"/>
        </w:rPr>
      </w:pPr>
      <w:r w:rsidRPr="00367ED1">
        <w:rPr>
          <w:rFonts w:ascii="Times New Roman" w:hAnsi="Times New Roman" w:hint="eastAsia"/>
          <w:kern w:val="0"/>
          <w:sz w:val="24"/>
          <w:szCs w:val="24"/>
        </w:rPr>
        <w:t>住所：北京市东城区建国门内大街</w:t>
      </w:r>
      <w:r w:rsidRPr="00367ED1">
        <w:rPr>
          <w:rFonts w:ascii="Times New Roman" w:hAnsi="Times New Roman" w:hint="eastAsia"/>
          <w:kern w:val="0"/>
          <w:sz w:val="24"/>
          <w:szCs w:val="24"/>
        </w:rPr>
        <w:t>69</w:t>
      </w:r>
      <w:r w:rsidRPr="00367ED1">
        <w:rPr>
          <w:rFonts w:ascii="Times New Roman" w:hAnsi="Times New Roman" w:hint="eastAsia"/>
          <w:kern w:val="0"/>
          <w:sz w:val="24"/>
          <w:szCs w:val="24"/>
        </w:rPr>
        <w:t>号</w:t>
      </w:r>
    </w:p>
    <w:p w14:paraId="5EA1AEA0" w14:textId="77777777" w:rsidR="00367ED1" w:rsidRPr="00367ED1" w:rsidRDefault="00367ED1" w:rsidP="00367ED1">
      <w:pPr>
        <w:widowControl/>
        <w:adjustRightInd w:val="0"/>
        <w:snapToGrid w:val="0"/>
        <w:spacing w:line="360" w:lineRule="auto"/>
        <w:ind w:firstLineChars="200" w:firstLine="480"/>
        <w:rPr>
          <w:rFonts w:ascii="Times New Roman" w:hAnsi="Times New Roman"/>
          <w:kern w:val="0"/>
          <w:sz w:val="24"/>
          <w:szCs w:val="24"/>
        </w:rPr>
      </w:pPr>
      <w:r w:rsidRPr="00367ED1">
        <w:rPr>
          <w:rFonts w:ascii="Times New Roman" w:hAnsi="Times New Roman" w:hint="eastAsia"/>
          <w:kern w:val="0"/>
          <w:sz w:val="24"/>
          <w:szCs w:val="24"/>
        </w:rPr>
        <w:t>办公地址：北京市西城区复兴门内大街</w:t>
      </w:r>
      <w:r w:rsidRPr="00367ED1">
        <w:rPr>
          <w:rFonts w:ascii="Times New Roman" w:hAnsi="Times New Roman" w:hint="eastAsia"/>
          <w:kern w:val="0"/>
          <w:sz w:val="24"/>
          <w:szCs w:val="24"/>
        </w:rPr>
        <w:t>28</w:t>
      </w:r>
      <w:r w:rsidRPr="00367ED1">
        <w:rPr>
          <w:rFonts w:ascii="Times New Roman" w:hAnsi="Times New Roman" w:hint="eastAsia"/>
          <w:kern w:val="0"/>
          <w:sz w:val="24"/>
          <w:szCs w:val="24"/>
        </w:rPr>
        <w:t>号凯晨世贸中心东座</w:t>
      </w:r>
    </w:p>
    <w:p w14:paraId="7BB52708" w14:textId="77777777" w:rsidR="00367ED1" w:rsidRPr="00367ED1" w:rsidRDefault="00367ED1" w:rsidP="00367ED1">
      <w:pPr>
        <w:widowControl/>
        <w:adjustRightInd w:val="0"/>
        <w:snapToGrid w:val="0"/>
        <w:spacing w:line="360" w:lineRule="auto"/>
        <w:ind w:firstLineChars="200" w:firstLine="480"/>
        <w:rPr>
          <w:rFonts w:ascii="Times New Roman" w:hAnsi="Times New Roman"/>
          <w:kern w:val="0"/>
          <w:sz w:val="24"/>
          <w:szCs w:val="24"/>
        </w:rPr>
      </w:pPr>
      <w:r w:rsidRPr="00367ED1">
        <w:rPr>
          <w:rFonts w:ascii="Times New Roman" w:hAnsi="Times New Roman" w:hint="eastAsia"/>
          <w:kern w:val="0"/>
          <w:sz w:val="24"/>
          <w:szCs w:val="24"/>
        </w:rPr>
        <w:t>法定代表人：谷澍</w:t>
      </w:r>
    </w:p>
    <w:p w14:paraId="6FA76839" w14:textId="77777777" w:rsidR="00367ED1" w:rsidRPr="00367ED1" w:rsidRDefault="00367ED1" w:rsidP="00367ED1">
      <w:pPr>
        <w:widowControl/>
        <w:adjustRightInd w:val="0"/>
        <w:snapToGrid w:val="0"/>
        <w:spacing w:line="360" w:lineRule="auto"/>
        <w:ind w:firstLineChars="200" w:firstLine="480"/>
        <w:rPr>
          <w:rFonts w:ascii="Times New Roman" w:hAnsi="Times New Roman"/>
          <w:kern w:val="0"/>
          <w:sz w:val="24"/>
          <w:szCs w:val="24"/>
        </w:rPr>
      </w:pPr>
      <w:r w:rsidRPr="00367ED1">
        <w:rPr>
          <w:rFonts w:ascii="Times New Roman" w:hAnsi="Times New Roman" w:hint="eastAsia"/>
          <w:kern w:val="0"/>
          <w:sz w:val="24"/>
          <w:szCs w:val="24"/>
        </w:rPr>
        <w:t>成立日期：</w:t>
      </w:r>
      <w:r w:rsidRPr="00367ED1">
        <w:rPr>
          <w:rFonts w:ascii="Times New Roman" w:hAnsi="Times New Roman" w:hint="eastAsia"/>
          <w:kern w:val="0"/>
          <w:sz w:val="24"/>
          <w:szCs w:val="24"/>
        </w:rPr>
        <w:t>2009</w:t>
      </w:r>
      <w:r w:rsidRPr="00367ED1">
        <w:rPr>
          <w:rFonts w:ascii="Times New Roman" w:hAnsi="Times New Roman" w:hint="eastAsia"/>
          <w:kern w:val="0"/>
          <w:sz w:val="24"/>
          <w:szCs w:val="24"/>
        </w:rPr>
        <w:t>年</w:t>
      </w:r>
      <w:r w:rsidRPr="00367ED1">
        <w:rPr>
          <w:rFonts w:ascii="Times New Roman" w:hAnsi="Times New Roman" w:hint="eastAsia"/>
          <w:kern w:val="0"/>
          <w:sz w:val="24"/>
          <w:szCs w:val="24"/>
        </w:rPr>
        <w:t>1</w:t>
      </w:r>
      <w:r w:rsidRPr="00367ED1">
        <w:rPr>
          <w:rFonts w:ascii="Times New Roman" w:hAnsi="Times New Roman" w:hint="eastAsia"/>
          <w:kern w:val="0"/>
          <w:sz w:val="24"/>
          <w:szCs w:val="24"/>
        </w:rPr>
        <w:t>月</w:t>
      </w:r>
      <w:r w:rsidRPr="00367ED1">
        <w:rPr>
          <w:rFonts w:ascii="Times New Roman" w:hAnsi="Times New Roman" w:hint="eastAsia"/>
          <w:kern w:val="0"/>
          <w:sz w:val="24"/>
          <w:szCs w:val="24"/>
        </w:rPr>
        <w:t>15</w:t>
      </w:r>
      <w:r w:rsidRPr="00367ED1">
        <w:rPr>
          <w:rFonts w:ascii="Times New Roman" w:hAnsi="Times New Roman" w:hint="eastAsia"/>
          <w:kern w:val="0"/>
          <w:sz w:val="24"/>
          <w:szCs w:val="24"/>
        </w:rPr>
        <w:t>日</w:t>
      </w:r>
    </w:p>
    <w:p w14:paraId="0456388A" w14:textId="77777777" w:rsidR="00367ED1" w:rsidRPr="00367ED1" w:rsidRDefault="00367ED1" w:rsidP="00367ED1">
      <w:pPr>
        <w:widowControl/>
        <w:adjustRightInd w:val="0"/>
        <w:snapToGrid w:val="0"/>
        <w:spacing w:line="360" w:lineRule="auto"/>
        <w:ind w:firstLineChars="200" w:firstLine="480"/>
        <w:rPr>
          <w:rFonts w:ascii="Times New Roman" w:hAnsi="Times New Roman"/>
          <w:kern w:val="0"/>
          <w:sz w:val="24"/>
          <w:szCs w:val="24"/>
        </w:rPr>
      </w:pPr>
      <w:r w:rsidRPr="00367ED1">
        <w:rPr>
          <w:rFonts w:ascii="Times New Roman" w:hAnsi="Times New Roman" w:hint="eastAsia"/>
          <w:kern w:val="0"/>
          <w:sz w:val="24"/>
          <w:szCs w:val="24"/>
        </w:rPr>
        <w:t>批准设立机关和批准设立文号：中国银监会银监复</w:t>
      </w:r>
      <w:r w:rsidRPr="00367ED1">
        <w:rPr>
          <w:rFonts w:ascii="Times New Roman" w:hAnsi="Times New Roman" w:hint="eastAsia"/>
          <w:kern w:val="0"/>
          <w:sz w:val="24"/>
          <w:szCs w:val="24"/>
        </w:rPr>
        <w:t>[2009]13</w:t>
      </w:r>
      <w:r w:rsidRPr="00367ED1">
        <w:rPr>
          <w:rFonts w:ascii="Times New Roman" w:hAnsi="Times New Roman" w:hint="eastAsia"/>
          <w:kern w:val="0"/>
          <w:sz w:val="24"/>
          <w:szCs w:val="24"/>
        </w:rPr>
        <w:t>号</w:t>
      </w:r>
    </w:p>
    <w:p w14:paraId="7AC3B3E9" w14:textId="77777777" w:rsidR="00367ED1" w:rsidRPr="00367ED1" w:rsidRDefault="00367ED1" w:rsidP="00367ED1">
      <w:pPr>
        <w:widowControl/>
        <w:adjustRightInd w:val="0"/>
        <w:snapToGrid w:val="0"/>
        <w:spacing w:line="360" w:lineRule="auto"/>
        <w:ind w:firstLineChars="200" w:firstLine="480"/>
        <w:rPr>
          <w:rFonts w:ascii="Times New Roman" w:hAnsi="Times New Roman"/>
          <w:kern w:val="0"/>
          <w:sz w:val="24"/>
          <w:szCs w:val="24"/>
        </w:rPr>
      </w:pPr>
      <w:r w:rsidRPr="00367ED1">
        <w:rPr>
          <w:rFonts w:ascii="Times New Roman" w:hAnsi="Times New Roman" w:hint="eastAsia"/>
          <w:kern w:val="0"/>
          <w:sz w:val="24"/>
          <w:szCs w:val="24"/>
        </w:rPr>
        <w:t>基金托管资格批文及文号：中国证监会证监基字</w:t>
      </w:r>
      <w:r w:rsidRPr="00367ED1">
        <w:rPr>
          <w:rFonts w:ascii="Times New Roman" w:hAnsi="Times New Roman" w:hint="eastAsia"/>
          <w:kern w:val="0"/>
          <w:sz w:val="24"/>
          <w:szCs w:val="24"/>
        </w:rPr>
        <w:t>[1998]23</w:t>
      </w:r>
      <w:r w:rsidRPr="00367ED1">
        <w:rPr>
          <w:rFonts w:ascii="Times New Roman" w:hAnsi="Times New Roman" w:hint="eastAsia"/>
          <w:kern w:val="0"/>
          <w:sz w:val="24"/>
          <w:szCs w:val="24"/>
        </w:rPr>
        <w:t>号</w:t>
      </w:r>
    </w:p>
    <w:p w14:paraId="40D9F12C" w14:textId="77777777" w:rsidR="00367ED1" w:rsidRPr="00367ED1" w:rsidRDefault="00367ED1" w:rsidP="00367ED1">
      <w:pPr>
        <w:widowControl/>
        <w:adjustRightInd w:val="0"/>
        <w:snapToGrid w:val="0"/>
        <w:spacing w:line="360" w:lineRule="auto"/>
        <w:ind w:firstLineChars="200" w:firstLine="480"/>
        <w:rPr>
          <w:rFonts w:ascii="Times New Roman" w:hAnsi="Times New Roman"/>
          <w:kern w:val="0"/>
          <w:sz w:val="24"/>
          <w:szCs w:val="24"/>
        </w:rPr>
      </w:pPr>
      <w:r w:rsidRPr="00367ED1">
        <w:rPr>
          <w:rFonts w:ascii="Times New Roman" w:hAnsi="Times New Roman" w:hint="eastAsia"/>
          <w:kern w:val="0"/>
          <w:sz w:val="24"/>
          <w:szCs w:val="24"/>
        </w:rPr>
        <w:t>注册资本：</w:t>
      </w:r>
      <w:r w:rsidRPr="00367ED1">
        <w:rPr>
          <w:rFonts w:ascii="Times New Roman" w:hAnsi="Times New Roman" w:hint="eastAsia"/>
          <w:kern w:val="0"/>
          <w:sz w:val="24"/>
          <w:szCs w:val="24"/>
        </w:rPr>
        <w:t>34,998,303.4</w:t>
      </w:r>
      <w:r w:rsidRPr="00367ED1">
        <w:rPr>
          <w:rFonts w:ascii="Times New Roman" w:hAnsi="Times New Roman" w:hint="eastAsia"/>
          <w:kern w:val="0"/>
          <w:sz w:val="24"/>
          <w:szCs w:val="24"/>
        </w:rPr>
        <w:t>万元人民币</w:t>
      </w:r>
    </w:p>
    <w:p w14:paraId="040604D2" w14:textId="77777777" w:rsidR="00367ED1" w:rsidRPr="00367ED1" w:rsidRDefault="00367ED1" w:rsidP="00367ED1">
      <w:pPr>
        <w:widowControl/>
        <w:adjustRightInd w:val="0"/>
        <w:snapToGrid w:val="0"/>
        <w:spacing w:line="360" w:lineRule="auto"/>
        <w:ind w:firstLineChars="200" w:firstLine="480"/>
        <w:rPr>
          <w:rFonts w:ascii="Times New Roman" w:hAnsi="Times New Roman"/>
          <w:kern w:val="0"/>
          <w:sz w:val="24"/>
          <w:szCs w:val="24"/>
        </w:rPr>
      </w:pPr>
      <w:r w:rsidRPr="00367ED1">
        <w:rPr>
          <w:rFonts w:ascii="Times New Roman" w:hAnsi="Times New Roman" w:hint="eastAsia"/>
          <w:kern w:val="0"/>
          <w:sz w:val="24"/>
          <w:szCs w:val="24"/>
        </w:rPr>
        <w:t>存续期间：持续经营</w:t>
      </w:r>
    </w:p>
    <w:p w14:paraId="75F3ABFA" w14:textId="77777777" w:rsidR="00367ED1" w:rsidRPr="00367ED1" w:rsidRDefault="00367ED1" w:rsidP="00367ED1">
      <w:pPr>
        <w:widowControl/>
        <w:adjustRightInd w:val="0"/>
        <w:snapToGrid w:val="0"/>
        <w:spacing w:line="360" w:lineRule="auto"/>
        <w:ind w:firstLineChars="200" w:firstLine="480"/>
        <w:rPr>
          <w:rFonts w:ascii="Times New Roman" w:hAnsi="Times New Roman"/>
          <w:kern w:val="0"/>
          <w:sz w:val="24"/>
          <w:szCs w:val="24"/>
        </w:rPr>
      </w:pPr>
      <w:r w:rsidRPr="00367ED1">
        <w:rPr>
          <w:rFonts w:ascii="Times New Roman" w:hAnsi="Times New Roman" w:hint="eastAsia"/>
          <w:kern w:val="0"/>
          <w:sz w:val="24"/>
          <w:szCs w:val="24"/>
        </w:rPr>
        <w:t>联系电话：</w:t>
      </w:r>
      <w:r w:rsidRPr="00367ED1">
        <w:rPr>
          <w:rFonts w:ascii="Times New Roman" w:hAnsi="Times New Roman" w:hint="eastAsia"/>
          <w:kern w:val="0"/>
          <w:sz w:val="24"/>
          <w:szCs w:val="24"/>
        </w:rPr>
        <w:t>010-66060069</w:t>
      </w:r>
    </w:p>
    <w:p w14:paraId="20197ECC" w14:textId="77777777" w:rsidR="00367ED1" w:rsidRPr="00367ED1" w:rsidRDefault="00367ED1" w:rsidP="00367ED1">
      <w:pPr>
        <w:widowControl/>
        <w:adjustRightInd w:val="0"/>
        <w:snapToGrid w:val="0"/>
        <w:spacing w:line="360" w:lineRule="auto"/>
        <w:ind w:firstLineChars="200" w:firstLine="480"/>
        <w:rPr>
          <w:rFonts w:ascii="Times New Roman" w:hAnsi="Times New Roman"/>
          <w:kern w:val="0"/>
          <w:sz w:val="24"/>
          <w:szCs w:val="24"/>
        </w:rPr>
      </w:pPr>
      <w:r w:rsidRPr="00367ED1">
        <w:rPr>
          <w:rFonts w:ascii="Times New Roman" w:hAnsi="Times New Roman" w:hint="eastAsia"/>
          <w:kern w:val="0"/>
          <w:sz w:val="24"/>
          <w:szCs w:val="24"/>
        </w:rPr>
        <w:t>传真：</w:t>
      </w:r>
      <w:r w:rsidRPr="00367ED1">
        <w:rPr>
          <w:rFonts w:ascii="Times New Roman" w:hAnsi="Times New Roman" w:hint="eastAsia"/>
          <w:kern w:val="0"/>
          <w:sz w:val="24"/>
          <w:szCs w:val="24"/>
        </w:rPr>
        <w:t>010-68121816</w:t>
      </w:r>
    </w:p>
    <w:p w14:paraId="0D221E05" w14:textId="77777777" w:rsidR="00367ED1" w:rsidRPr="00367ED1" w:rsidRDefault="00367ED1" w:rsidP="00367ED1">
      <w:pPr>
        <w:widowControl/>
        <w:adjustRightInd w:val="0"/>
        <w:snapToGrid w:val="0"/>
        <w:spacing w:line="360" w:lineRule="auto"/>
        <w:ind w:firstLineChars="200" w:firstLine="480"/>
        <w:rPr>
          <w:rFonts w:ascii="Times New Roman" w:hAnsi="Times New Roman"/>
          <w:kern w:val="0"/>
          <w:sz w:val="24"/>
          <w:szCs w:val="24"/>
        </w:rPr>
      </w:pPr>
      <w:r w:rsidRPr="00367ED1">
        <w:rPr>
          <w:rFonts w:ascii="Times New Roman" w:hAnsi="Times New Roman" w:hint="eastAsia"/>
          <w:kern w:val="0"/>
          <w:sz w:val="24"/>
          <w:szCs w:val="24"/>
        </w:rPr>
        <w:t>联系人：任航</w:t>
      </w:r>
    </w:p>
    <w:p w14:paraId="70E66B59" w14:textId="77777777" w:rsidR="00367ED1" w:rsidRPr="00367ED1" w:rsidRDefault="00367ED1" w:rsidP="00367ED1">
      <w:pPr>
        <w:widowControl/>
        <w:adjustRightInd w:val="0"/>
        <w:snapToGrid w:val="0"/>
        <w:spacing w:line="360" w:lineRule="auto"/>
        <w:ind w:firstLineChars="200" w:firstLine="480"/>
        <w:rPr>
          <w:rFonts w:ascii="Times New Roman" w:hAnsi="Times New Roman"/>
          <w:kern w:val="0"/>
          <w:sz w:val="24"/>
          <w:szCs w:val="24"/>
        </w:rPr>
      </w:pPr>
      <w:r w:rsidRPr="00367ED1">
        <w:rPr>
          <w:rFonts w:ascii="Times New Roman" w:hAnsi="Times New Roman" w:hint="eastAsia"/>
          <w:kern w:val="0"/>
          <w:sz w:val="24"/>
          <w:szCs w:val="24"/>
        </w:rPr>
        <w:t>中国农业银行股份有限公司是中国金融体系的重要组成部分</w:t>
      </w:r>
      <w:r w:rsidRPr="00367ED1">
        <w:rPr>
          <w:rFonts w:ascii="Times New Roman" w:hAnsi="Times New Roman" w:hint="eastAsia"/>
          <w:kern w:val="0"/>
          <w:sz w:val="24"/>
          <w:szCs w:val="24"/>
        </w:rPr>
        <w:t>,</w:t>
      </w:r>
      <w:r w:rsidRPr="00367ED1">
        <w:rPr>
          <w:rFonts w:ascii="Times New Roman" w:hAnsi="Times New Roman" w:hint="eastAsia"/>
          <w:kern w:val="0"/>
          <w:sz w:val="24"/>
          <w:szCs w:val="24"/>
        </w:rPr>
        <w:t>总行设在北京。经国务院批准，中国农业银行整体改制为中国农业银行股份有限公司并于</w:t>
      </w:r>
      <w:r w:rsidRPr="00367ED1">
        <w:rPr>
          <w:rFonts w:ascii="Times New Roman" w:hAnsi="Times New Roman" w:hint="eastAsia"/>
          <w:kern w:val="0"/>
          <w:sz w:val="24"/>
          <w:szCs w:val="24"/>
        </w:rPr>
        <w:t>2009</w:t>
      </w:r>
      <w:r w:rsidRPr="00367ED1">
        <w:rPr>
          <w:rFonts w:ascii="Times New Roman" w:hAnsi="Times New Roman" w:hint="eastAsia"/>
          <w:kern w:val="0"/>
          <w:sz w:val="24"/>
          <w:szCs w:val="24"/>
        </w:rPr>
        <w:t>年</w:t>
      </w:r>
      <w:r w:rsidRPr="00367ED1">
        <w:rPr>
          <w:rFonts w:ascii="Times New Roman" w:hAnsi="Times New Roman" w:hint="eastAsia"/>
          <w:kern w:val="0"/>
          <w:sz w:val="24"/>
          <w:szCs w:val="24"/>
        </w:rPr>
        <w:t>1</w:t>
      </w:r>
      <w:r w:rsidRPr="00367ED1">
        <w:rPr>
          <w:rFonts w:ascii="Times New Roman" w:hAnsi="Times New Roman" w:hint="eastAsia"/>
          <w:kern w:val="0"/>
          <w:sz w:val="24"/>
          <w:szCs w:val="24"/>
        </w:rPr>
        <w:t>月</w:t>
      </w:r>
      <w:r w:rsidRPr="00367ED1">
        <w:rPr>
          <w:rFonts w:ascii="Times New Roman" w:hAnsi="Times New Roman" w:hint="eastAsia"/>
          <w:kern w:val="0"/>
          <w:sz w:val="24"/>
          <w:szCs w:val="24"/>
        </w:rPr>
        <w:t>15</w:t>
      </w:r>
      <w:r w:rsidRPr="00367ED1">
        <w:rPr>
          <w:rFonts w:ascii="Times New Roman" w:hAnsi="Times New Roman" w:hint="eastAsia"/>
          <w:kern w:val="0"/>
          <w:sz w:val="24"/>
          <w:szCs w:val="24"/>
        </w:rPr>
        <w:t>日依法成立。中国农业银行股份有限公司承继原中国农业银行全部资产、负债、业务、机构网点和员工。中国农业银行网点遍布中国城乡，成为国内网点最多、业务辐射范围最广，服务领域最广，服务对象最多，业务功能齐全的大型国有商业银行之一。在海外，中国农业银行同样通过自己的努力赢得了良好的信誉，每年位居《财富》世界</w:t>
      </w:r>
      <w:r w:rsidRPr="00367ED1">
        <w:rPr>
          <w:rFonts w:ascii="Times New Roman" w:hAnsi="Times New Roman" w:hint="eastAsia"/>
          <w:kern w:val="0"/>
          <w:sz w:val="24"/>
          <w:szCs w:val="24"/>
        </w:rPr>
        <w:t>500</w:t>
      </w:r>
      <w:r w:rsidRPr="00367ED1">
        <w:rPr>
          <w:rFonts w:ascii="Times New Roman" w:hAnsi="Times New Roman" w:hint="eastAsia"/>
          <w:kern w:val="0"/>
          <w:sz w:val="24"/>
          <w:szCs w:val="24"/>
        </w:rPr>
        <w:t>强企业之列。作为一家城乡并举、联通国际、功能齐备的大型国有商业银行，中国农业银行一贯秉承以客户为中心的经营理念，坚持审慎稳健经营、可持续发展，立足县域和城市两大市场，实施差异化竞争策略，着力打造“伴你成长”服务品牌，依托覆盖全国的分支机构、庞大的电子化网络和多元化的金融产品，致力为广大客户提供优质的金融服务，与广大客户共创价值、共同成长。</w:t>
      </w:r>
    </w:p>
    <w:p w14:paraId="52B124C0" w14:textId="77777777" w:rsidR="00367ED1" w:rsidRPr="00367ED1" w:rsidRDefault="00367ED1" w:rsidP="00367ED1">
      <w:pPr>
        <w:widowControl/>
        <w:adjustRightInd w:val="0"/>
        <w:snapToGrid w:val="0"/>
        <w:spacing w:line="360" w:lineRule="auto"/>
        <w:ind w:firstLineChars="200" w:firstLine="480"/>
        <w:rPr>
          <w:rFonts w:ascii="Times New Roman" w:hAnsi="Times New Roman"/>
          <w:kern w:val="0"/>
          <w:sz w:val="24"/>
          <w:szCs w:val="24"/>
        </w:rPr>
      </w:pPr>
      <w:r w:rsidRPr="00367ED1">
        <w:rPr>
          <w:rFonts w:ascii="Times New Roman" w:hAnsi="Times New Roman" w:hint="eastAsia"/>
          <w:kern w:val="0"/>
          <w:sz w:val="24"/>
          <w:szCs w:val="24"/>
        </w:rPr>
        <w:t>中国农业银行是中国第一批开展托管业务的国内商业银行，经验丰富，服务优质，业绩突出，</w:t>
      </w:r>
      <w:r w:rsidRPr="00367ED1">
        <w:rPr>
          <w:rFonts w:ascii="Times New Roman" w:hAnsi="Times New Roman" w:hint="eastAsia"/>
          <w:kern w:val="0"/>
          <w:sz w:val="24"/>
          <w:szCs w:val="24"/>
        </w:rPr>
        <w:t>2004</w:t>
      </w:r>
      <w:r w:rsidRPr="00367ED1">
        <w:rPr>
          <w:rFonts w:ascii="Times New Roman" w:hAnsi="Times New Roman" w:hint="eastAsia"/>
          <w:kern w:val="0"/>
          <w:sz w:val="24"/>
          <w:szCs w:val="24"/>
        </w:rPr>
        <w:t>年被英国《全球托管人》评为中国“最佳托管银行”。</w:t>
      </w:r>
      <w:r w:rsidRPr="00367ED1">
        <w:rPr>
          <w:rFonts w:ascii="Times New Roman" w:hAnsi="Times New Roman" w:hint="eastAsia"/>
          <w:kern w:val="0"/>
          <w:sz w:val="24"/>
          <w:szCs w:val="24"/>
        </w:rPr>
        <w:t>2007</w:t>
      </w:r>
      <w:r w:rsidRPr="00367ED1">
        <w:rPr>
          <w:rFonts w:ascii="Times New Roman" w:hAnsi="Times New Roman" w:hint="eastAsia"/>
          <w:kern w:val="0"/>
          <w:sz w:val="24"/>
          <w:szCs w:val="24"/>
        </w:rPr>
        <w:t>年中国农业银行通过了美国</w:t>
      </w:r>
      <w:r w:rsidRPr="00367ED1">
        <w:rPr>
          <w:rFonts w:ascii="Times New Roman" w:hAnsi="Times New Roman" w:hint="eastAsia"/>
          <w:kern w:val="0"/>
          <w:sz w:val="24"/>
          <w:szCs w:val="24"/>
        </w:rPr>
        <w:t>SAS70</w:t>
      </w:r>
      <w:r w:rsidRPr="00367ED1">
        <w:rPr>
          <w:rFonts w:ascii="Times New Roman" w:hAnsi="Times New Roman" w:hint="eastAsia"/>
          <w:kern w:val="0"/>
          <w:sz w:val="24"/>
          <w:szCs w:val="24"/>
        </w:rPr>
        <w:t>内部控制审计，并获得无保留意见的</w:t>
      </w:r>
      <w:r w:rsidRPr="00367ED1">
        <w:rPr>
          <w:rFonts w:ascii="Times New Roman" w:hAnsi="Times New Roman" w:hint="eastAsia"/>
          <w:kern w:val="0"/>
          <w:sz w:val="24"/>
          <w:szCs w:val="24"/>
        </w:rPr>
        <w:t>SAS70</w:t>
      </w:r>
      <w:r w:rsidRPr="00367ED1">
        <w:rPr>
          <w:rFonts w:ascii="Times New Roman" w:hAnsi="Times New Roman" w:hint="eastAsia"/>
          <w:kern w:val="0"/>
          <w:sz w:val="24"/>
          <w:szCs w:val="24"/>
        </w:rPr>
        <w:t>审</w:t>
      </w:r>
      <w:r w:rsidRPr="00367ED1">
        <w:rPr>
          <w:rFonts w:ascii="Times New Roman" w:hAnsi="Times New Roman" w:hint="eastAsia"/>
          <w:kern w:val="0"/>
          <w:sz w:val="24"/>
          <w:szCs w:val="24"/>
        </w:rPr>
        <w:lastRenderedPageBreak/>
        <w:t>计报告。自</w:t>
      </w:r>
      <w:r w:rsidRPr="00367ED1">
        <w:rPr>
          <w:rFonts w:ascii="Times New Roman" w:hAnsi="Times New Roman" w:hint="eastAsia"/>
          <w:kern w:val="0"/>
          <w:sz w:val="24"/>
          <w:szCs w:val="24"/>
        </w:rPr>
        <w:t>2010</w:t>
      </w:r>
      <w:r w:rsidRPr="00367ED1">
        <w:rPr>
          <w:rFonts w:ascii="Times New Roman" w:hAnsi="Times New Roman" w:hint="eastAsia"/>
          <w:kern w:val="0"/>
          <w:sz w:val="24"/>
          <w:szCs w:val="24"/>
        </w:rPr>
        <w:t>年起中国农业银行连续通过托管业务国际内控标准（</w:t>
      </w:r>
      <w:r w:rsidRPr="00367ED1">
        <w:rPr>
          <w:rFonts w:ascii="Times New Roman" w:hAnsi="Times New Roman" w:hint="eastAsia"/>
          <w:kern w:val="0"/>
          <w:sz w:val="24"/>
          <w:szCs w:val="24"/>
        </w:rPr>
        <w:t>ISAE3402</w:t>
      </w:r>
      <w:r w:rsidRPr="00367ED1">
        <w:rPr>
          <w:rFonts w:ascii="Times New Roman" w:hAnsi="Times New Roman" w:hint="eastAsia"/>
          <w:kern w:val="0"/>
          <w:sz w:val="24"/>
          <w:szCs w:val="24"/>
        </w:rPr>
        <w:t>）认证，表明了独立公正第三方对中国农业银行托管服务运作流程的风险管理、内部控制的健全有效性的全面认可。中国农业银行着力加强能力建设，品牌声誉进一步提升，在</w:t>
      </w:r>
      <w:r w:rsidRPr="00367ED1">
        <w:rPr>
          <w:rFonts w:ascii="Times New Roman" w:hAnsi="Times New Roman" w:hint="eastAsia"/>
          <w:kern w:val="0"/>
          <w:sz w:val="24"/>
          <w:szCs w:val="24"/>
        </w:rPr>
        <w:t>2010</w:t>
      </w:r>
      <w:r w:rsidRPr="00367ED1">
        <w:rPr>
          <w:rFonts w:ascii="Times New Roman" w:hAnsi="Times New Roman" w:hint="eastAsia"/>
          <w:kern w:val="0"/>
          <w:sz w:val="24"/>
          <w:szCs w:val="24"/>
        </w:rPr>
        <w:t>年首届“‘金牌理财’</w:t>
      </w:r>
      <w:r w:rsidRPr="00367ED1">
        <w:rPr>
          <w:rFonts w:ascii="Times New Roman" w:hAnsi="Times New Roman" w:hint="eastAsia"/>
          <w:kern w:val="0"/>
          <w:sz w:val="24"/>
          <w:szCs w:val="24"/>
        </w:rPr>
        <w:t>TOP10</w:t>
      </w:r>
      <w:r w:rsidRPr="00367ED1">
        <w:rPr>
          <w:rFonts w:ascii="Times New Roman" w:hAnsi="Times New Roman" w:hint="eastAsia"/>
          <w:kern w:val="0"/>
          <w:sz w:val="24"/>
          <w:szCs w:val="24"/>
        </w:rPr>
        <w:t>颁奖盛典”中成绩突出，获“最佳托管银行”奖。</w:t>
      </w:r>
      <w:r w:rsidRPr="00367ED1">
        <w:rPr>
          <w:rFonts w:ascii="Times New Roman" w:hAnsi="Times New Roman" w:hint="eastAsia"/>
          <w:kern w:val="0"/>
          <w:sz w:val="24"/>
          <w:szCs w:val="24"/>
        </w:rPr>
        <w:t>2010</w:t>
      </w:r>
      <w:r w:rsidRPr="00367ED1">
        <w:rPr>
          <w:rFonts w:ascii="Times New Roman" w:hAnsi="Times New Roman" w:hint="eastAsia"/>
          <w:kern w:val="0"/>
          <w:sz w:val="24"/>
          <w:szCs w:val="24"/>
        </w:rPr>
        <w:t>年再次荣获《首席财务官》杂志颁发的“最佳资产托管奖”。</w:t>
      </w:r>
      <w:r w:rsidRPr="00367ED1">
        <w:rPr>
          <w:rFonts w:ascii="Times New Roman" w:hAnsi="Times New Roman" w:hint="eastAsia"/>
          <w:kern w:val="0"/>
          <w:sz w:val="24"/>
          <w:szCs w:val="24"/>
        </w:rPr>
        <w:t>2012</w:t>
      </w:r>
      <w:r w:rsidRPr="00367ED1">
        <w:rPr>
          <w:rFonts w:ascii="Times New Roman" w:hAnsi="Times New Roman" w:hint="eastAsia"/>
          <w:kern w:val="0"/>
          <w:sz w:val="24"/>
          <w:szCs w:val="24"/>
        </w:rPr>
        <w:t>年荣获第十届中国财经风云榜“最佳资产托管银行”称号；</w:t>
      </w:r>
      <w:r w:rsidRPr="00367ED1">
        <w:rPr>
          <w:rFonts w:ascii="Times New Roman" w:hAnsi="Times New Roman" w:hint="eastAsia"/>
          <w:kern w:val="0"/>
          <w:sz w:val="24"/>
          <w:szCs w:val="24"/>
        </w:rPr>
        <w:t>2013</w:t>
      </w:r>
      <w:r w:rsidRPr="00367ED1">
        <w:rPr>
          <w:rFonts w:ascii="Times New Roman" w:hAnsi="Times New Roman" w:hint="eastAsia"/>
          <w:kern w:val="0"/>
          <w:sz w:val="24"/>
          <w:szCs w:val="24"/>
        </w:rPr>
        <w:t>年至</w:t>
      </w:r>
      <w:r w:rsidRPr="00367ED1">
        <w:rPr>
          <w:rFonts w:ascii="Times New Roman" w:hAnsi="Times New Roman" w:hint="eastAsia"/>
          <w:kern w:val="0"/>
          <w:sz w:val="24"/>
          <w:szCs w:val="24"/>
        </w:rPr>
        <w:t>2017</w:t>
      </w:r>
      <w:r w:rsidRPr="00367ED1">
        <w:rPr>
          <w:rFonts w:ascii="Times New Roman" w:hAnsi="Times New Roman" w:hint="eastAsia"/>
          <w:kern w:val="0"/>
          <w:sz w:val="24"/>
          <w:szCs w:val="24"/>
        </w:rPr>
        <w:t>年连续荣获上海清算所授予的“托管银行优秀奖”和中央国债登记结算有限责任公司授予的“优秀托管机构奖”称号；</w:t>
      </w:r>
      <w:r w:rsidRPr="00367ED1">
        <w:rPr>
          <w:rFonts w:ascii="Times New Roman" w:hAnsi="Times New Roman" w:hint="eastAsia"/>
          <w:kern w:val="0"/>
          <w:sz w:val="24"/>
          <w:szCs w:val="24"/>
        </w:rPr>
        <w:t>2015</w:t>
      </w:r>
      <w:r w:rsidRPr="00367ED1">
        <w:rPr>
          <w:rFonts w:ascii="Times New Roman" w:hAnsi="Times New Roman" w:hint="eastAsia"/>
          <w:kern w:val="0"/>
          <w:sz w:val="24"/>
          <w:szCs w:val="24"/>
        </w:rPr>
        <w:t>年、</w:t>
      </w:r>
      <w:r w:rsidRPr="00367ED1">
        <w:rPr>
          <w:rFonts w:ascii="Times New Roman" w:hAnsi="Times New Roman" w:hint="eastAsia"/>
          <w:kern w:val="0"/>
          <w:sz w:val="24"/>
          <w:szCs w:val="24"/>
        </w:rPr>
        <w:t>2016</w:t>
      </w:r>
      <w:r w:rsidRPr="00367ED1">
        <w:rPr>
          <w:rFonts w:ascii="Times New Roman" w:hAnsi="Times New Roman" w:hint="eastAsia"/>
          <w:kern w:val="0"/>
          <w:sz w:val="24"/>
          <w:szCs w:val="24"/>
        </w:rPr>
        <w:t>年荣获中国银行业协会授予的“养老金业务最佳发展奖”称号；</w:t>
      </w:r>
      <w:r w:rsidRPr="00367ED1">
        <w:rPr>
          <w:rFonts w:ascii="Times New Roman" w:hAnsi="Times New Roman" w:hint="eastAsia"/>
          <w:kern w:val="0"/>
          <w:sz w:val="24"/>
          <w:szCs w:val="24"/>
        </w:rPr>
        <w:t>2018</w:t>
      </w:r>
      <w:r w:rsidRPr="00367ED1">
        <w:rPr>
          <w:rFonts w:ascii="Times New Roman" w:hAnsi="Times New Roman" w:hint="eastAsia"/>
          <w:kern w:val="0"/>
          <w:sz w:val="24"/>
          <w:szCs w:val="24"/>
        </w:rPr>
        <w:t>年荣获中国基金报授予的公募基金</w:t>
      </w:r>
      <w:r w:rsidRPr="00367ED1">
        <w:rPr>
          <w:rFonts w:ascii="Times New Roman" w:hAnsi="Times New Roman" w:hint="eastAsia"/>
          <w:kern w:val="0"/>
          <w:sz w:val="24"/>
          <w:szCs w:val="24"/>
        </w:rPr>
        <w:t>20</w:t>
      </w:r>
      <w:r w:rsidRPr="00367ED1">
        <w:rPr>
          <w:rFonts w:ascii="Times New Roman" w:hAnsi="Times New Roman" w:hint="eastAsia"/>
          <w:kern w:val="0"/>
          <w:sz w:val="24"/>
          <w:szCs w:val="24"/>
        </w:rPr>
        <w:t>年“最佳基金托管银行”奖；</w:t>
      </w:r>
      <w:r w:rsidRPr="00367ED1">
        <w:rPr>
          <w:rFonts w:ascii="Times New Roman" w:hAnsi="Times New Roman" w:hint="eastAsia"/>
          <w:kern w:val="0"/>
          <w:sz w:val="24"/>
          <w:szCs w:val="24"/>
        </w:rPr>
        <w:t>2019</w:t>
      </w:r>
      <w:r w:rsidRPr="00367ED1">
        <w:rPr>
          <w:rFonts w:ascii="Times New Roman" w:hAnsi="Times New Roman" w:hint="eastAsia"/>
          <w:kern w:val="0"/>
          <w:sz w:val="24"/>
          <w:szCs w:val="24"/>
        </w:rPr>
        <w:t>年荣获证券时报授予的“</w:t>
      </w:r>
      <w:r w:rsidRPr="00367ED1">
        <w:rPr>
          <w:rFonts w:ascii="Times New Roman" w:hAnsi="Times New Roman" w:hint="eastAsia"/>
          <w:kern w:val="0"/>
          <w:sz w:val="24"/>
          <w:szCs w:val="24"/>
        </w:rPr>
        <w:t>2019</w:t>
      </w:r>
      <w:r w:rsidRPr="00367ED1">
        <w:rPr>
          <w:rFonts w:ascii="Times New Roman" w:hAnsi="Times New Roman" w:hint="eastAsia"/>
          <w:kern w:val="0"/>
          <w:sz w:val="24"/>
          <w:szCs w:val="24"/>
        </w:rPr>
        <w:t>年度资产托管银行天玑奖”称号；</w:t>
      </w:r>
      <w:r w:rsidRPr="00367ED1">
        <w:rPr>
          <w:rFonts w:ascii="Times New Roman" w:hAnsi="Times New Roman" w:hint="eastAsia"/>
          <w:kern w:val="0"/>
          <w:sz w:val="24"/>
          <w:szCs w:val="24"/>
        </w:rPr>
        <w:t>2020</w:t>
      </w:r>
      <w:r w:rsidRPr="00367ED1">
        <w:rPr>
          <w:rFonts w:ascii="Times New Roman" w:hAnsi="Times New Roman" w:hint="eastAsia"/>
          <w:kern w:val="0"/>
          <w:sz w:val="24"/>
          <w:szCs w:val="24"/>
        </w:rPr>
        <w:t>年被美国《环球金融》评为中国“最佳托管银行”；</w:t>
      </w:r>
      <w:r w:rsidRPr="00367ED1">
        <w:rPr>
          <w:rFonts w:ascii="Times New Roman" w:hAnsi="Times New Roman" w:hint="eastAsia"/>
          <w:kern w:val="0"/>
          <w:sz w:val="24"/>
          <w:szCs w:val="24"/>
        </w:rPr>
        <w:t>2021</w:t>
      </w:r>
      <w:r w:rsidRPr="00367ED1">
        <w:rPr>
          <w:rFonts w:ascii="Times New Roman" w:hAnsi="Times New Roman" w:hint="eastAsia"/>
          <w:kern w:val="0"/>
          <w:sz w:val="24"/>
          <w:szCs w:val="24"/>
        </w:rPr>
        <w:t>年荣获全国银行间同业拆借中心首次设立的“银行间本币市场优秀托管行”奖；</w:t>
      </w:r>
      <w:r w:rsidRPr="00367ED1">
        <w:rPr>
          <w:rFonts w:ascii="Times New Roman" w:hAnsi="Times New Roman" w:hint="eastAsia"/>
          <w:kern w:val="0"/>
          <w:sz w:val="24"/>
          <w:szCs w:val="24"/>
        </w:rPr>
        <w:t>2022</w:t>
      </w:r>
      <w:r w:rsidRPr="00367ED1">
        <w:rPr>
          <w:rFonts w:ascii="Times New Roman" w:hAnsi="Times New Roman" w:hint="eastAsia"/>
          <w:kern w:val="0"/>
          <w:sz w:val="24"/>
          <w:szCs w:val="24"/>
        </w:rPr>
        <w:t>年在权威杂志《财资》年度评选中首次荣获“中国最佳保险托管银行”。</w:t>
      </w:r>
    </w:p>
    <w:p w14:paraId="70DBB77C" w14:textId="77777777" w:rsidR="00367ED1" w:rsidRPr="00367ED1" w:rsidRDefault="00367ED1" w:rsidP="00367ED1">
      <w:pPr>
        <w:widowControl/>
        <w:adjustRightInd w:val="0"/>
        <w:snapToGrid w:val="0"/>
        <w:spacing w:line="360" w:lineRule="auto"/>
        <w:ind w:firstLineChars="200" w:firstLine="480"/>
        <w:rPr>
          <w:rFonts w:ascii="Times New Roman" w:hAnsi="Times New Roman"/>
          <w:kern w:val="0"/>
          <w:sz w:val="24"/>
          <w:szCs w:val="24"/>
        </w:rPr>
      </w:pPr>
      <w:r w:rsidRPr="00367ED1">
        <w:rPr>
          <w:rFonts w:ascii="Times New Roman" w:hAnsi="Times New Roman" w:hint="eastAsia"/>
          <w:kern w:val="0"/>
          <w:sz w:val="24"/>
          <w:szCs w:val="24"/>
        </w:rPr>
        <w:t>中国农业银行证券投资基金托管部于</w:t>
      </w:r>
      <w:r w:rsidRPr="00367ED1">
        <w:rPr>
          <w:rFonts w:ascii="Times New Roman" w:hAnsi="Times New Roman" w:hint="eastAsia"/>
          <w:kern w:val="0"/>
          <w:sz w:val="24"/>
          <w:szCs w:val="24"/>
        </w:rPr>
        <w:t>1998</w:t>
      </w:r>
      <w:r w:rsidRPr="00367ED1">
        <w:rPr>
          <w:rFonts w:ascii="Times New Roman" w:hAnsi="Times New Roman" w:hint="eastAsia"/>
          <w:kern w:val="0"/>
          <w:sz w:val="24"/>
          <w:szCs w:val="24"/>
        </w:rPr>
        <w:t>年</w:t>
      </w:r>
      <w:r w:rsidRPr="00367ED1">
        <w:rPr>
          <w:rFonts w:ascii="Times New Roman" w:hAnsi="Times New Roman" w:hint="eastAsia"/>
          <w:kern w:val="0"/>
          <w:sz w:val="24"/>
          <w:szCs w:val="24"/>
        </w:rPr>
        <w:t>5</w:t>
      </w:r>
      <w:r w:rsidRPr="00367ED1">
        <w:rPr>
          <w:rFonts w:ascii="Times New Roman" w:hAnsi="Times New Roman" w:hint="eastAsia"/>
          <w:kern w:val="0"/>
          <w:sz w:val="24"/>
          <w:szCs w:val="24"/>
        </w:rPr>
        <w:t>月经中国证监会和中国人民银行批准成立，</w:t>
      </w:r>
      <w:r w:rsidRPr="00367ED1">
        <w:rPr>
          <w:rFonts w:ascii="Times New Roman" w:hAnsi="Times New Roman" w:hint="eastAsia"/>
          <w:kern w:val="0"/>
          <w:sz w:val="24"/>
          <w:szCs w:val="24"/>
        </w:rPr>
        <w:t>2004</w:t>
      </w:r>
      <w:r w:rsidRPr="00367ED1">
        <w:rPr>
          <w:rFonts w:ascii="Times New Roman" w:hAnsi="Times New Roman" w:hint="eastAsia"/>
          <w:kern w:val="0"/>
          <w:sz w:val="24"/>
          <w:szCs w:val="24"/>
        </w:rPr>
        <w:t>年更名为中国农业银行托管业务部。目前内设风险合规部</w:t>
      </w:r>
      <w:r w:rsidRPr="00367ED1">
        <w:rPr>
          <w:rFonts w:ascii="Times New Roman" w:hAnsi="Times New Roman" w:hint="eastAsia"/>
          <w:kern w:val="0"/>
          <w:sz w:val="24"/>
          <w:szCs w:val="24"/>
        </w:rPr>
        <w:t>/</w:t>
      </w:r>
      <w:r w:rsidRPr="00367ED1">
        <w:rPr>
          <w:rFonts w:ascii="Times New Roman" w:hAnsi="Times New Roman" w:hint="eastAsia"/>
          <w:kern w:val="0"/>
          <w:sz w:val="24"/>
          <w:szCs w:val="24"/>
        </w:rPr>
        <w:t>综合管理部、业务管理部、客户一部、客户二部、客户三部、客户四部、系统与信息管理部、营运管理部、营运一部、营运二部，拥有先进的安全防范设施和基金托管业务系统。</w:t>
      </w:r>
    </w:p>
    <w:p w14:paraId="381AF2CE" w14:textId="77777777" w:rsidR="00367ED1" w:rsidRPr="00367ED1" w:rsidRDefault="00367ED1" w:rsidP="00367ED1">
      <w:pPr>
        <w:widowControl/>
        <w:adjustRightInd w:val="0"/>
        <w:snapToGrid w:val="0"/>
        <w:spacing w:line="360" w:lineRule="auto"/>
        <w:ind w:firstLineChars="200" w:firstLine="480"/>
        <w:rPr>
          <w:rFonts w:ascii="Times New Roman" w:hAnsi="Times New Roman"/>
          <w:kern w:val="0"/>
          <w:sz w:val="24"/>
          <w:szCs w:val="24"/>
        </w:rPr>
      </w:pPr>
      <w:r w:rsidRPr="00367ED1">
        <w:rPr>
          <w:rFonts w:ascii="Times New Roman" w:hAnsi="Times New Roman" w:hint="eastAsia"/>
          <w:kern w:val="0"/>
          <w:sz w:val="24"/>
          <w:szCs w:val="24"/>
        </w:rPr>
        <w:t>2</w:t>
      </w:r>
      <w:r w:rsidRPr="00367ED1">
        <w:rPr>
          <w:rFonts w:ascii="Times New Roman" w:hAnsi="Times New Roman" w:hint="eastAsia"/>
          <w:kern w:val="0"/>
          <w:sz w:val="24"/>
          <w:szCs w:val="24"/>
        </w:rPr>
        <w:t>、主要人员情况</w:t>
      </w:r>
    </w:p>
    <w:p w14:paraId="7CE18BE5" w14:textId="77777777" w:rsidR="00367ED1" w:rsidRPr="00367ED1" w:rsidRDefault="00367ED1" w:rsidP="00367ED1">
      <w:pPr>
        <w:widowControl/>
        <w:adjustRightInd w:val="0"/>
        <w:snapToGrid w:val="0"/>
        <w:spacing w:line="360" w:lineRule="auto"/>
        <w:ind w:firstLineChars="200" w:firstLine="480"/>
        <w:rPr>
          <w:rFonts w:ascii="Times New Roman" w:hAnsi="Times New Roman"/>
          <w:kern w:val="0"/>
          <w:sz w:val="24"/>
          <w:szCs w:val="24"/>
        </w:rPr>
      </w:pPr>
      <w:r w:rsidRPr="00367ED1">
        <w:rPr>
          <w:rFonts w:ascii="Times New Roman" w:hAnsi="Times New Roman" w:hint="eastAsia"/>
          <w:kern w:val="0"/>
          <w:sz w:val="24"/>
          <w:szCs w:val="24"/>
        </w:rPr>
        <w:t>中国农业银行托管业务部现有员工</w:t>
      </w:r>
      <w:r w:rsidRPr="00367ED1">
        <w:rPr>
          <w:rFonts w:ascii="Times New Roman" w:hAnsi="Times New Roman" w:hint="eastAsia"/>
          <w:kern w:val="0"/>
          <w:sz w:val="24"/>
          <w:szCs w:val="24"/>
        </w:rPr>
        <w:t>302</w:t>
      </w:r>
      <w:r w:rsidRPr="00367ED1">
        <w:rPr>
          <w:rFonts w:ascii="Times New Roman" w:hAnsi="Times New Roman" w:hint="eastAsia"/>
          <w:kern w:val="0"/>
          <w:sz w:val="24"/>
          <w:szCs w:val="24"/>
        </w:rPr>
        <w:t>名，其中具有高级职称的专家</w:t>
      </w:r>
      <w:r w:rsidRPr="00367ED1">
        <w:rPr>
          <w:rFonts w:ascii="Times New Roman" w:hAnsi="Times New Roman" w:hint="eastAsia"/>
          <w:kern w:val="0"/>
          <w:sz w:val="24"/>
          <w:szCs w:val="24"/>
        </w:rPr>
        <w:t>60</w:t>
      </w:r>
      <w:r w:rsidRPr="00367ED1">
        <w:rPr>
          <w:rFonts w:ascii="Times New Roman" w:hAnsi="Times New Roman" w:hint="eastAsia"/>
          <w:kern w:val="0"/>
          <w:sz w:val="24"/>
          <w:szCs w:val="24"/>
        </w:rPr>
        <w:t>名，服务团队成员专业水平高、业务素质好、服务能力强，高级管理层均有</w:t>
      </w:r>
      <w:r w:rsidRPr="00367ED1">
        <w:rPr>
          <w:rFonts w:ascii="Times New Roman" w:hAnsi="Times New Roman" w:hint="eastAsia"/>
          <w:kern w:val="0"/>
          <w:sz w:val="24"/>
          <w:szCs w:val="24"/>
        </w:rPr>
        <w:t>20</w:t>
      </w:r>
      <w:r w:rsidRPr="00367ED1">
        <w:rPr>
          <w:rFonts w:ascii="Times New Roman" w:hAnsi="Times New Roman" w:hint="eastAsia"/>
          <w:kern w:val="0"/>
          <w:sz w:val="24"/>
          <w:szCs w:val="24"/>
        </w:rPr>
        <w:t>年以上金融从业经验和高级技术职称，精通国内外证券市场的运作。</w:t>
      </w:r>
    </w:p>
    <w:p w14:paraId="73C0BFD5" w14:textId="77777777" w:rsidR="00367ED1" w:rsidRPr="00367ED1" w:rsidRDefault="00367ED1" w:rsidP="00367ED1">
      <w:pPr>
        <w:widowControl/>
        <w:adjustRightInd w:val="0"/>
        <w:snapToGrid w:val="0"/>
        <w:spacing w:line="360" w:lineRule="auto"/>
        <w:ind w:firstLineChars="200" w:firstLine="480"/>
        <w:rPr>
          <w:rFonts w:ascii="Times New Roman" w:hAnsi="Times New Roman"/>
          <w:kern w:val="0"/>
          <w:sz w:val="24"/>
          <w:szCs w:val="24"/>
        </w:rPr>
      </w:pPr>
      <w:r w:rsidRPr="00367ED1">
        <w:rPr>
          <w:rFonts w:ascii="Times New Roman" w:hAnsi="Times New Roman" w:hint="eastAsia"/>
          <w:kern w:val="0"/>
          <w:sz w:val="24"/>
          <w:szCs w:val="24"/>
        </w:rPr>
        <w:t>3</w:t>
      </w:r>
      <w:r w:rsidRPr="00367ED1">
        <w:rPr>
          <w:rFonts w:ascii="Times New Roman" w:hAnsi="Times New Roman" w:hint="eastAsia"/>
          <w:kern w:val="0"/>
          <w:sz w:val="24"/>
          <w:szCs w:val="24"/>
        </w:rPr>
        <w:t>、基金托管业务经营情况</w:t>
      </w:r>
    </w:p>
    <w:p w14:paraId="5BCEA19C" w14:textId="63F0BAF8" w:rsidR="007C398E" w:rsidRPr="00040D5C" w:rsidRDefault="00367ED1" w:rsidP="00367ED1">
      <w:pPr>
        <w:widowControl/>
        <w:adjustRightInd w:val="0"/>
        <w:snapToGrid w:val="0"/>
        <w:spacing w:line="360" w:lineRule="auto"/>
        <w:ind w:firstLineChars="200" w:firstLine="480"/>
        <w:rPr>
          <w:rFonts w:ascii="Times New Roman" w:hAnsi="Times New Roman"/>
          <w:bCs/>
          <w:kern w:val="0"/>
          <w:sz w:val="24"/>
          <w:szCs w:val="24"/>
        </w:rPr>
      </w:pPr>
      <w:r w:rsidRPr="00367ED1">
        <w:rPr>
          <w:rFonts w:ascii="Times New Roman" w:hAnsi="Times New Roman" w:hint="eastAsia"/>
          <w:kern w:val="0"/>
          <w:sz w:val="24"/>
          <w:szCs w:val="24"/>
        </w:rPr>
        <w:t>截止到</w:t>
      </w:r>
      <w:r w:rsidRPr="00367ED1">
        <w:rPr>
          <w:rFonts w:ascii="Times New Roman" w:hAnsi="Times New Roman" w:hint="eastAsia"/>
          <w:kern w:val="0"/>
          <w:sz w:val="24"/>
          <w:szCs w:val="24"/>
        </w:rPr>
        <w:t>2023</w:t>
      </w:r>
      <w:r w:rsidRPr="00367ED1">
        <w:rPr>
          <w:rFonts w:ascii="Times New Roman" w:hAnsi="Times New Roman" w:hint="eastAsia"/>
          <w:kern w:val="0"/>
          <w:sz w:val="24"/>
          <w:szCs w:val="24"/>
        </w:rPr>
        <w:t>年</w:t>
      </w:r>
      <w:r w:rsidRPr="00367ED1">
        <w:rPr>
          <w:rFonts w:ascii="Times New Roman" w:hAnsi="Times New Roman" w:hint="eastAsia"/>
          <w:kern w:val="0"/>
          <w:sz w:val="24"/>
          <w:szCs w:val="24"/>
        </w:rPr>
        <w:t>12</w:t>
      </w:r>
      <w:r w:rsidRPr="00367ED1">
        <w:rPr>
          <w:rFonts w:ascii="Times New Roman" w:hAnsi="Times New Roman" w:hint="eastAsia"/>
          <w:kern w:val="0"/>
          <w:sz w:val="24"/>
          <w:szCs w:val="24"/>
        </w:rPr>
        <w:t>月</w:t>
      </w:r>
      <w:r w:rsidRPr="00367ED1">
        <w:rPr>
          <w:rFonts w:ascii="Times New Roman" w:hAnsi="Times New Roman" w:hint="eastAsia"/>
          <w:kern w:val="0"/>
          <w:sz w:val="24"/>
          <w:szCs w:val="24"/>
        </w:rPr>
        <w:t>31</w:t>
      </w:r>
      <w:r w:rsidRPr="00367ED1">
        <w:rPr>
          <w:rFonts w:ascii="Times New Roman" w:hAnsi="Times New Roman" w:hint="eastAsia"/>
          <w:kern w:val="0"/>
          <w:sz w:val="24"/>
          <w:szCs w:val="24"/>
        </w:rPr>
        <w:t>日，中国农业银行托管的封闭式证券投资基金和开放式证券投资基金共</w:t>
      </w:r>
      <w:r w:rsidRPr="00367ED1">
        <w:rPr>
          <w:rFonts w:ascii="Times New Roman" w:hAnsi="Times New Roman" w:hint="eastAsia"/>
          <w:kern w:val="0"/>
          <w:sz w:val="24"/>
          <w:szCs w:val="24"/>
        </w:rPr>
        <w:t>845</w:t>
      </w:r>
      <w:r w:rsidRPr="00367ED1">
        <w:rPr>
          <w:rFonts w:ascii="Times New Roman" w:hAnsi="Times New Roman" w:hint="eastAsia"/>
          <w:kern w:val="0"/>
          <w:sz w:val="24"/>
          <w:szCs w:val="24"/>
        </w:rPr>
        <w:t>只。</w:t>
      </w:r>
    </w:p>
    <w:p w14:paraId="211ACAEB" w14:textId="77777777" w:rsidR="007C398E" w:rsidRPr="00040D5C" w:rsidRDefault="007C398E" w:rsidP="007C398E">
      <w:pPr>
        <w:spacing w:line="360" w:lineRule="auto"/>
        <w:ind w:firstLineChars="200" w:firstLine="482"/>
        <w:rPr>
          <w:rFonts w:ascii="Times New Roman" w:hAnsi="Times New Roman" w:cs="宋体"/>
          <w:b/>
          <w:kern w:val="0"/>
          <w:sz w:val="24"/>
          <w:szCs w:val="24"/>
        </w:rPr>
      </w:pPr>
      <w:r w:rsidRPr="00040D5C">
        <w:rPr>
          <w:rFonts w:ascii="Times New Roman" w:hAnsi="Times New Roman" w:cs="宋体" w:hint="eastAsia"/>
          <w:b/>
          <w:kern w:val="0"/>
          <w:sz w:val="24"/>
          <w:szCs w:val="24"/>
        </w:rPr>
        <w:t>（二）基金托管人的内部风险控制制度说明</w:t>
      </w:r>
    </w:p>
    <w:p w14:paraId="1BE76CC5" w14:textId="77777777" w:rsidR="007C398E" w:rsidRPr="00040D5C" w:rsidRDefault="007C398E" w:rsidP="007C398E">
      <w:pPr>
        <w:snapToGrid w:val="0"/>
        <w:spacing w:line="360" w:lineRule="auto"/>
        <w:ind w:firstLine="540"/>
        <w:rPr>
          <w:rFonts w:ascii="Times New Roman" w:hAnsi="Times New Roman" w:cs="宋体"/>
          <w:sz w:val="24"/>
          <w:szCs w:val="24"/>
        </w:rPr>
      </w:pPr>
      <w:r w:rsidRPr="00040D5C">
        <w:rPr>
          <w:rFonts w:ascii="Times New Roman" w:hAnsi="Times New Roman" w:cs="宋体"/>
          <w:sz w:val="24"/>
          <w:szCs w:val="24"/>
        </w:rPr>
        <w:t>1</w:t>
      </w:r>
      <w:r w:rsidRPr="00040D5C">
        <w:rPr>
          <w:rFonts w:ascii="Times New Roman" w:hAnsi="Times New Roman" w:cs="宋体" w:hint="eastAsia"/>
          <w:sz w:val="24"/>
          <w:szCs w:val="24"/>
        </w:rPr>
        <w:t>、内部控制目标</w:t>
      </w:r>
    </w:p>
    <w:p w14:paraId="18447B6A" w14:textId="77777777" w:rsidR="007C398E" w:rsidRPr="00040D5C" w:rsidRDefault="007C398E" w:rsidP="007C398E">
      <w:pPr>
        <w:snapToGrid w:val="0"/>
        <w:spacing w:line="360" w:lineRule="auto"/>
        <w:ind w:firstLine="540"/>
        <w:rPr>
          <w:rFonts w:ascii="Times New Roman" w:hAnsi="Times New Roman" w:cs="宋体"/>
          <w:sz w:val="24"/>
          <w:szCs w:val="24"/>
        </w:rPr>
      </w:pPr>
      <w:r w:rsidRPr="00040D5C">
        <w:rPr>
          <w:rFonts w:ascii="Times New Roman" w:hAnsi="Times New Roman" w:cs="宋体" w:hint="eastAsia"/>
          <w:sz w:val="24"/>
          <w:szCs w:val="24"/>
        </w:rPr>
        <w:t>严格遵守国家有关托管业务的法律法规、行业监管规章和行内有关管理规定</w:t>
      </w:r>
      <w:r w:rsidRPr="00040D5C">
        <w:rPr>
          <w:rFonts w:ascii="Times New Roman" w:hAnsi="Times New Roman" w:cs="宋体"/>
          <w:sz w:val="24"/>
          <w:szCs w:val="24"/>
        </w:rPr>
        <w:t>,</w:t>
      </w:r>
      <w:r w:rsidRPr="00040D5C">
        <w:rPr>
          <w:rFonts w:ascii="Times New Roman" w:hAnsi="Times New Roman" w:cs="宋体" w:hint="eastAsia"/>
          <w:sz w:val="24"/>
          <w:szCs w:val="24"/>
        </w:rPr>
        <w:t>守法经营、规范运作、严格监察</w:t>
      </w:r>
      <w:r w:rsidRPr="00040D5C">
        <w:rPr>
          <w:rFonts w:ascii="Times New Roman" w:hAnsi="Times New Roman" w:cs="宋体"/>
          <w:sz w:val="24"/>
          <w:szCs w:val="24"/>
        </w:rPr>
        <w:t>,</w:t>
      </w:r>
      <w:r w:rsidRPr="00040D5C">
        <w:rPr>
          <w:rFonts w:ascii="Times New Roman" w:hAnsi="Times New Roman" w:cs="宋体" w:hint="eastAsia"/>
          <w:sz w:val="24"/>
          <w:szCs w:val="24"/>
        </w:rPr>
        <w:t>确保业务的稳健运行</w:t>
      </w:r>
      <w:r w:rsidRPr="00040D5C">
        <w:rPr>
          <w:rFonts w:ascii="Times New Roman" w:hAnsi="Times New Roman" w:cs="宋体"/>
          <w:sz w:val="24"/>
          <w:szCs w:val="24"/>
        </w:rPr>
        <w:t>,</w:t>
      </w:r>
      <w:r w:rsidRPr="00040D5C">
        <w:rPr>
          <w:rFonts w:ascii="Times New Roman" w:hAnsi="Times New Roman" w:cs="宋体" w:hint="eastAsia"/>
          <w:sz w:val="24"/>
          <w:szCs w:val="24"/>
        </w:rPr>
        <w:t>保证基金财产的安全完整</w:t>
      </w:r>
      <w:r w:rsidRPr="00040D5C">
        <w:rPr>
          <w:rFonts w:ascii="Times New Roman" w:hAnsi="Times New Roman" w:cs="宋体"/>
          <w:sz w:val="24"/>
          <w:szCs w:val="24"/>
        </w:rPr>
        <w:t>,</w:t>
      </w:r>
      <w:r w:rsidRPr="00040D5C">
        <w:rPr>
          <w:rFonts w:ascii="Times New Roman" w:hAnsi="Times New Roman" w:cs="宋体" w:hint="eastAsia"/>
          <w:sz w:val="24"/>
          <w:szCs w:val="24"/>
        </w:rPr>
        <w:t>确保有关信息的真实、准确、完整、及时</w:t>
      </w:r>
      <w:r w:rsidRPr="00040D5C">
        <w:rPr>
          <w:rFonts w:ascii="Times New Roman" w:hAnsi="Times New Roman" w:cs="宋体"/>
          <w:sz w:val="24"/>
          <w:szCs w:val="24"/>
        </w:rPr>
        <w:t>,</w:t>
      </w:r>
      <w:r w:rsidRPr="00040D5C">
        <w:rPr>
          <w:rFonts w:ascii="Times New Roman" w:hAnsi="Times New Roman" w:cs="宋体" w:hint="eastAsia"/>
          <w:sz w:val="24"/>
          <w:szCs w:val="24"/>
        </w:rPr>
        <w:t>保护基金份额持有人的合法权益。</w:t>
      </w:r>
    </w:p>
    <w:p w14:paraId="163F4DAE" w14:textId="77777777" w:rsidR="007C398E" w:rsidRPr="00040D5C" w:rsidRDefault="007C398E" w:rsidP="007C398E">
      <w:pPr>
        <w:snapToGrid w:val="0"/>
        <w:spacing w:line="360" w:lineRule="auto"/>
        <w:ind w:firstLine="540"/>
        <w:rPr>
          <w:rFonts w:ascii="Times New Roman" w:hAnsi="Times New Roman" w:cs="宋体"/>
          <w:sz w:val="24"/>
          <w:szCs w:val="24"/>
        </w:rPr>
      </w:pPr>
      <w:r w:rsidRPr="00040D5C">
        <w:rPr>
          <w:rFonts w:ascii="Times New Roman" w:hAnsi="Times New Roman" w:cs="宋体"/>
          <w:sz w:val="24"/>
          <w:szCs w:val="24"/>
        </w:rPr>
        <w:lastRenderedPageBreak/>
        <w:t>2</w:t>
      </w:r>
      <w:r w:rsidRPr="00040D5C">
        <w:rPr>
          <w:rFonts w:ascii="Times New Roman" w:hAnsi="Times New Roman" w:cs="宋体" w:hint="eastAsia"/>
          <w:sz w:val="24"/>
          <w:szCs w:val="24"/>
        </w:rPr>
        <w:t>、内部控制组织结构</w:t>
      </w:r>
    </w:p>
    <w:p w14:paraId="1593BA38" w14:textId="77777777" w:rsidR="007C398E" w:rsidRPr="00040D5C" w:rsidRDefault="007C398E" w:rsidP="007C398E">
      <w:pPr>
        <w:snapToGrid w:val="0"/>
        <w:spacing w:line="360" w:lineRule="auto"/>
        <w:ind w:firstLine="540"/>
        <w:rPr>
          <w:rFonts w:ascii="Times New Roman" w:hAnsi="Times New Roman" w:cs="宋体"/>
          <w:sz w:val="24"/>
          <w:szCs w:val="24"/>
        </w:rPr>
      </w:pPr>
      <w:r w:rsidRPr="00040D5C">
        <w:rPr>
          <w:rFonts w:ascii="Times New Roman" w:hAnsi="Times New Roman" w:cs="宋体" w:hint="eastAsia"/>
          <w:sz w:val="24"/>
          <w:szCs w:val="24"/>
        </w:rPr>
        <w:t>风险管理委员会总体负责中国农业银行的风险管理与内部控制工作</w:t>
      </w:r>
      <w:r w:rsidRPr="00040D5C">
        <w:rPr>
          <w:rFonts w:ascii="Times New Roman" w:hAnsi="Times New Roman" w:cs="宋体"/>
          <w:sz w:val="24"/>
          <w:szCs w:val="24"/>
        </w:rPr>
        <w:t>,</w:t>
      </w:r>
      <w:r w:rsidRPr="00040D5C">
        <w:rPr>
          <w:rFonts w:ascii="Times New Roman" w:hAnsi="Times New Roman" w:cs="宋体" w:hint="eastAsia"/>
          <w:sz w:val="24"/>
          <w:szCs w:val="24"/>
        </w:rPr>
        <w:t>对托管业务风险管理和内部控制工作进行监督和评价。托管业务部专门设置了风险管理处</w:t>
      </w:r>
      <w:r w:rsidRPr="00040D5C">
        <w:rPr>
          <w:rFonts w:ascii="Times New Roman" w:hAnsi="Times New Roman" w:cs="宋体"/>
          <w:sz w:val="24"/>
          <w:szCs w:val="24"/>
        </w:rPr>
        <w:t>,</w:t>
      </w:r>
      <w:r w:rsidRPr="00040D5C">
        <w:rPr>
          <w:rFonts w:ascii="Times New Roman" w:hAnsi="Times New Roman" w:cs="宋体" w:hint="eastAsia"/>
          <w:sz w:val="24"/>
          <w:szCs w:val="24"/>
        </w:rPr>
        <w:t>配备了专职内控监督人员负责托管业务的内控监督工作</w:t>
      </w:r>
      <w:r w:rsidRPr="00040D5C">
        <w:rPr>
          <w:rFonts w:ascii="Times New Roman" w:hAnsi="Times New Roman" w:cs="宋体"/>
          <w:sz w:val="24"/>
          <w:szCs w:val="24"/>
        </w:rPr>
        <w:t>,</w:t>
      </w:r>
      <w:r w:rsidRPr="00040D5C">
        <w:rPr>
          <w:rFonts w:ascii="Times New Roman" w:hAnsi="Times New Roman" w:cs="宋体" w:hint="eastAsia"/>
          <w:sz w:val="24"/>
          <w:szCs w:val="24"/>
        </w:rPr>
        <w:t>独立行使监督稽核职权。</w:t>
      </w:r>
    </w:p>
    <w:p w14:paraId="5F5BBE0C" w14:textId="77777777" w:rsidR="007C398E" w:rsidRPr="00040D5C" w:rsidRDefault="007C398E" w:rsidP="007C398E">
      <w:pPr>
        <w:snapToGrid w:val="0"/>
        <w:spacing w:line="360" w:lineRule="auto"/>
        <w:ind w:firstLine="540"/>
        <w:rPr>
          <w:rFonts w:ascii="Times New Roman" w:hAnsi="Times New Roman" w:cs="宋体"/>
          <w:sz w:val="24"/>
          <w:szCs w:val="24"/>
        </w:rPr>
      </w:pPr>
      <w:r w:rsidRPr="00040D5C">
        <w:rPr>
          <w:rFonts w:ascii="Times New Roman" w:hAnsi="Times New Roman" w:cs="宋体"/>
          <w:sz w:val="24"/>
          <w:szCs w:val="24"/>
        </w:rPr>
        <w:t>3</w:t>
      </w:r>
      <w:r w:rsidRPr="00040D5C">
        <w:rPr>
          <w:rFonts w:ascii="Times New Roman" w:hAnsi="Times New Roman" w:cs="宋体" w:hint="eastAsia"/>
          <w:sz w:val="24"/>
          <w:szCs w:val="24"/>
        </w:rPr>
        <w:t>、内部控制制度及措施</w:t>
      </w:r>
    </w:p>
    <w:p w14:paraId="5D96CC0B" w14:textId="014885E2" w:rsidR="007C398E" w:rsidRPr="00040D5C" w:rsidRDefault="007C398E" w:rsidP="007C398E">
      <w:pPr>
        <w:snapToGrid w:val="0"/>
        <w:spacing w:line="360" w:lineRule="auto"/>
        <w:ind w:firstLine="540"/>
        <w:rPr>
          <w:rFonts w:ascii="Times New Roman" w:hAnsi="Times New Roman" w:cs="宋体"/>
          <w:sz w:val="24"/>
          <w:szCs w:val="24"/>
        </w:rPr>
      </w:pPr>
      <w:r w:rsidRPr="00040D5C">
        <w:rPr>
          <w:rFonts w:ascii="Times New Roman" w:hAnsi="Times New Roman" w:cs="宋体" w:hint="eastAsia"/>
          <w:sz w:val="24"/>
          <w:szCs w:val="24"/>
        </w:rPr>
        <w:t>具备系统、完善的制度控制体系，建立了管理制度、控制制度、岗位职责、业务操作流程，可以保证托管业务的规范操作和顺利进行；业务人员具备从业资格；业务管理实行严格的复核、审核、检查制度，授权工作实行集中控制，业务印章按规程保管、存放、使用，账户资料严格保管，制约机制严格有效；业务操作区专门设置，封闭管理</w:t>
      </w:r>
      <w:r w:rsidRPr="00040D5C">
        <w:rPr>
          <w:rFonts w:ascii="Times New Roman" w:hAnsi="Times New Roman" w:cs="宋体"/>
          <w:sz w:val="24"/>
          <w:szCs w:val="24"/>
        </w:rPr>
        <w:t>,</w:t>
      </w:r>
      <w:r w:rsidRPr="00040D5C">
        <w:rPr>
          <w:rFonts w:ascii="Times New Roman" w:hAnsi="Times New Roman" w:cs="宋体" w:hint="eastAsia"/>
          <w:sz w:val="24"/>
          <w:szCs w:val="24"/>
        </w:rPr>
        <w:t>实施音像监控；业务信息由专职信息披露人负责</w:t>
      </w:r>
      <w:r w:rsidRPr="00040D5C">
        <w:rPr>
          <w:rFonts w:ascii="Times New Roman" w:hAnsi="Times New Roman" w:cs="宋体"/>
          <w:sz w:val="24"/>
          <w:szCs w:val="24"/>
        </w:rPr>
        <w:t>,</w:t>
      </w:r>
      <w:r w:rsidRPr="00040D5C">
        <w:rPr>
          <w:rFonts w:ascii="Times New Roman" w:hAnsi="Times New Roman" w:cs="宋体" w:hint="eastAsia"/>
          <w:sz w:val="24"/>
          <w:szCs w:val="24"/>
        </w:rPr>
        <w:t>防止泄密；业务实现自动化操作，防止人为事故的发生，技术系统完整、独立。</w:t>
      </w:r>
    </w:p>
    <w:p w14:paraId="7D1E9B3B" w14:textId="77777777" w:rsidR="007C398E" w:rsidRPr="00040D5C" w:rsidRDefault="007C398E" w:rsidP="007C398E">
      <w:pPr>
        <w:widowControl/>
        <w:spacing w:line="360" w:lineRule="auto"/>
        <w:ind w:rightChars="-85" w:right="-178" w:firstLineChars="200" w:firstLine="482"/>
        <w:rPr>
          <w:rFonts w:ascii="Times New Roman" w:hAnsi="Times New Roman" w:cs="宋体"/>
          <w:b/>
          <w:kern w:val="0"/>
          <w:sz w:val="24"/>
          <w:szCs w:val="24"/>
        </w:rPr>
      </w:pPr>
      <w:r w:rsidRPr="00040D5C">
        <w:rPr>
          <w:rFonts w:ascii="Times New Roman" w:hAnsi="Times New Roman" w:cs="宋体" w:hint="eastAsia"/>
          <w:b/>
          <w:kern w:val="0"/>
          <w:sz w:val="24"/>
          <w:szCs w:val="24"/>
        </w:rPr>
        <w:t>（三）基金托管人对基金管理人运作基金进行监督的方法和程序</w:t>
      </w:r>
    </w:p>
    <w:p w14:paraId="1A363374" w14:textId="77777777" w:rsidR="007C398E" w:rsidRPr="00040D5C" w:rsidRDefault="007C398E" w:rsidP="007C398E">
      <w:pPr>
        <w:snapToGrid w:val="0"/>
        <w:spacing w:line="360" w:lineRule="auto"/>
        <w:ind w:firstLine="540"/>
        <w:rPr>
          <w:rFonts w:ascii="Times New Roman" w:hAnsi="Times New Roman" w:cs="宋体"/>
          <w:sz w:val="24"/>
          <w:szCs w:val="24"/>
        </w:rPr>
      </w:pPr>
      <w:r w:rsidRPr="00040D5C">
        <w:rPr>
          <w:rFonts w:ascii="Times New Roman" w:hAnsi="Times New Roman" w:cs="宋体" w:hint="eastAsia"/>
          <w:sz w:val="24"/>
          <w:szCs w:val="24"/>
        </w:rPr>
        <w:t>基金托管人通过参数设置将《基金法》、《运作办法》、基金合同、托管协议规定的投资比例和禁止投资品种输入监控系统，每日登录监控系统监督基金管理人的投资运作，并通过基金资金账户、基金管理人的投资指令等监督基金管理人的其他行为。</w:t>
      </w:r>
    </w:p>
    <w:p w14:paraId="2C6096EC" w14:textId="77777777" w:rsidR="007C398E" w:rsidRPr="00040D5C" w:rsidRDefault="007C398E" w:rsidP="007C398E">
      <w:pPr>
        <w:snapToGrid w:val="0"/>
        <w:spacing w:line="360" w:lineRule="auto"/>
        <w:ind w:firstLine="540"/>
        <w:rPr>
          <w:rFonts w:ascii="Times New Roman" w:hAnsi="Times New Roman" w:cs="宋体"/>
          <w:sz w:val="24"/>
          <w:szCs w:val="24"/>
        </w:rPr>
      </w:pPr>
      <w:r w:rsidRPr="00040D5C">
        <w:rPr>
          <w:rFonts w:ascii="Times New Roman" w:hAnsi="Times New Roman" w:cs="宋体" w:hint="eastAsia"/>
          <w:sz w:val="24"/>
          <w:szCs w:val="24"/>
        </w:rPr>
        <w:t>当基金出现异常交易行为时，基金托管人应当针对不同情况进行以下方式的处理：</w:t>
      </w:r>
    </w:p>
    <w:p w14:paraId="108AB4E7" w14:textId="77777777" w:rsidR="007C398E" w:rsidRPr="00040D5C" w:rsidRDefault="007C398E" w:rsidP="007C398E">
      <w:pPr>
        <w:snapToGrid w:val="0"/>
        <w:spacing w:line="360" w:lineRule="auto"/>
        <w:ind w:firstLine="540"/>
        <w:rPr>
          <w:rFonts w:ascii="Times New Roman" w:hAnsi="Times New Roman" w:cs="宋体"/>
          <w:sz w:val="24"/>
          <w:szCs w:val="24"/>
        </w:rPr>
      </w:pPr>
      <w:r w:rsidRPr="00040D5C">
        <w:rPr>
          <w:rFonts w:ascii="Times New Roman" w:hAnsi="Times New Roman" w:cs="宋体"/>
          <w:sz w:val="24"/>
          <w:szCs w:val="24"/>
        </w:rPr>
        <w:t>1</w:t>
      </w:r>
      <w:r w:rsidRPr="00040D5C">
        <w:rPr>
          <w:rFonts w:ascii="Times New Roman" w:hAnsi="Times New Roman" w:cs="宋体"/>
          <w:sz w:val="24"/>
          <w:szCs w:val="24"/>
        </w:rPr>
        <w:t>、电话提示。对媒体和舆论反映集中的问题，电话提示基金管理人；</w:t>
      </w:r>
    </w:p>
    <w:p w14:paraId="344ABB3D" w14:textId="77777777" w:rsidR="007C398E" w:rsidRPr="00040D5C" w:rsidRDefault="007C398E" w:rsidP="007C398E">
      <w:pPr>
        <w:snapToGrid w:val="0"/>
        <w:spacing w:line="360" w:lineRule="auto"/>
        <w:ind w:firstLine="540"/>
        <w:rPr>
          <w:rFonts w:ascii="Times New Roman" w:hAnsi="Times New Roman" w:cs="宋体"/>
          <w:sz w:val="24"/>
          <w:szCs w:val="24"/>
        </w:rPr>
      </w:pPr>
      <w:r w:rsidRPr="00040D5C">
        <w:rPr>
          <w:rFonts w:ascii="Times New Roman" w:hAnsi="Times New Roman" w:cs="宋体"/>
          <w:sz w:val="24"/>
          <w:szCs w:val="24"/>
        </w:rPr>
        <w:t>2</w:t>
      </w:r>
      <w:r w:rsidRPr="00040D5C">
        <w:rPr>
          <w:rFonts w:ascii="Times New Roman" w:hAnsi="Times New Roman" w:cs="宋体"/>
          <w:sz w:val="24"/>
          <w:szCs w:val="24"/>
        </w:rPr>
        <w:t>、书面警示。对本基金投资比例接近超标、资金头寸不足等问题，以书面方式对基金管理人进行提示；</w:t>
      </w:r>
    </w:p>
    <w:p w14:paraId="31FDEB47" w14:textId="77777777" w:rsidR="007C398E" w:rsidRPr="00040D5C" w:rsidRDefault="007C398E" w:rsidP="007C398E">
      <w:pPr>
        <w:autoSpaceDE w:val="0"/>
        <w:autoSpaceDN w:val="0"/>
        <w:adjustRightInd w:val="0"/>
        <w:snapToGrid w:val="0"/>
        <w:spacing w:line="360" w:lineRule="auto"/>
        <w:ind w:firstLineChars="200" w:firstLine="480"/>
        <w:jc w:val="left"/>
        <w:rPr>
          <w:rFonts w:ascii="Times New Roman" w:hAnsi="Times New Roman"/>
          <w:szCs w:val="24"/>
        </w:rPr>
      </w:pPr>
      <w:r w:rsidRPr="00040D5C">
        <w:rPr>
          <w:rFonts w:ascii="Times New Roman" w:hAnsi="Times New Roman"/>
          <w:kern w:val="0"/>
          <w:sz w:val="24"/>
          <w:szCs w:val="24"/>
        </w:rPr>
        <w:t>3</w:t>
      </w:r>
      <w:r w:rsidRPr="00040D5C">
        <w:rPr>
          <w:rFonts w:ascii="Times New Roman" w:hAnsi="Times New Roman" w:hint="eastAsia"/>
          <w:kern w:val="0"/>
          <w:sz w:val="24"/>
          <w:szCs w:val="24"/>
        </w:rPr>
        <w:t>、书面报告。对投资比例超标、清算资金透支以及其他涉嫌违规交易等行为，书面提示有关基金管理人并报中国证监会。</w:t>
      </w:r>
    </w:p>
    <w:p w14:paraId="6CB69BCE" w14:textId="5B883DBA" w:rsidR="00A37EB9" w:rsidRDefault="00A37EB9" w:rsidP="00040D5C">
      <w:pPr>
        <w:autoSpaceDE w:val="0"/>
        <w:autoSpaceDN w:val="0"/>
        <w:adjustRightInd w:val="0"/>
        <w:spacing w:line="360" w:lineRule="auto"/>
        <w:rPr>
          <w:rFonts w:ascii="宋体" w:hAnsi="宋体"/>
          <w:szCs w:val="24"/>
        </w:rPr>
      </w:pPr>
    </w:p>
    <w:p w14:paraId="34843190" w14:textId="77777777" w:rsidR="00FD086C" w:rsidRDefault="007C398E">
      <w:pPr>
        <w:pStyle w:val="1"/>
        <w:snapToGrid w:val="0"/>
        <w:spacing w:beforeLines="0" w:before="240" w:after="240"/>
        <w:rPr>
          <w:rFonts w:ascii="宋体" w:hAnsi="宋体"/>
          <w:szCs w:val="30"/>
        </w:rPr>
      </w:pPr>
      <w:r>
        <w:rPr>
          <w:rFonts w:ascii="Times New Roman" w:hAnsi="Times New Roman"/>
          <w:sz w:val="30"/>
        </w:rPr>
        <w:br w:type="page"/>
      </w:r>
      <w:bookmarkStart w:id="8" w:name="_Toc147840623"/>
      <w:r w:rsidR="004B071E">
        <w:rPr>
          <w:rFonts w:ascii="Times New Roman" w:hAnsi="Times New Roman"/>
          <w:sz w:val="30"/>
        </w:rPr>
        <w:lastRenderedPageBreak/>
        <w:t>五、相关服务机构</w:t>
      </w:r>
      <w:bookmarkEnd w:id="8"/>
    </w:p>
    <w:p w14:paraId="4E6E2160" w14:textId="77777777" w:rsidR="00FD086C" w:rsidRPr="00040D5C" w:rsidRDefault="004B071E">
      <w:pPr>
        <w:autoSpaceDE w:val="0"/>
        <w:autoSpaceDN w:val="0"/>
        <w:adjustRightInd w:val="0"/>
        <w:snapToGrid w:val="0"/>
        <w:spacing w:line="360" w:lineRule="auto"/>
        <w:ind w:firstLineChars="200" w:firstLine="482"/>
        <w:jc w:val="left"/>
        <w:rPr>
          <w:rFonts w:ascii="宋体" w:hAnsi="宋体"/>
          <w:b/>
          <w:szCs w:val="24"/>
        </w:rPr>
      </w:pPr>
      <w:r w:rsidRPr="00040D5C">
        <w:rPr>
          <w:rFonts w:ascii="宋体" w:hAnsi="宋体"/>
          <w:b/>
          <w:sz w:val="24"/>
        </w:rPr>
        <w:t>（一）基金份额销售机构</w:t>
      </w:r>
    </w:p>
    <w:p w14:paraId="72034553"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1、直销机构</w:t>
      </w:r>
    </w:p>
    <w:p w14:paraId="02877F1C"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本基金直销机构为基金管理人直销柜台以及基金管理人的网上直销交易平台（网站及手机APP，下同）。</w:t>
      </w:r>
    </w:p>
    <w:p w14:paraId="232415B0"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机构名称：交银施罗德基金管理有限公司</w:t>
      </w:r>
    </w:p>
    <w:p w14:paraId="3A60C37A"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住所：中国(上海)自由贸易试验区银城中路188号交通银行大楼二层（裙）</w:t>
      </w:r>
    </w:p>
    <w:p w14:paraId="2D37F531"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办公地址：上海市浦东新区世纪大道8号国金中心二期21-22楼</w:t>
      </w:r>
    </w:p>
    <w:p w14:paraId="56C6126B"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法定代表人：阮红</w:t>
      </w:r>
    </w:p>
    <w:p w14:paraId="07BD86DD"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成立时间：2005年8月4日</w:t>
      </w:r>
    </w:p>
    <w:p w14:paraId="0CEB86A8"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电话：（021）61055724</w:t>
      </w:r>
    </w:p>
    <w:p w14:paraId="4299A19D"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传真：（021）61055054</w:t>
      </w:r>
    </w:p>
    <w:p w14:paraId="1AD9E1EC"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联系人：傅鲸</w:t>
      </w:r>
    </w:p>
    <w:p w14:paraId="33BCE510"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客户服务电话：400-700-5000（免长途话费），（021）61055000</w:t>
      </w:r>
    </w:p>
    <w:p w14:paraId="70AC77D8"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网址：www.fund001.com</w:t>
      </w:r>
    </w:p>
    <w:p w14:paraId="237E7BED" w14:textId="7FC3710D"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个人投资者可以通过基金管理人网上直销交易平台办理开户、本基金的</w:t>
      </w:r>
      <w:r w:rsidR="001F1869">
        <w:rPr>
          <w:rFonts w:ascii="宋体" w:hAnsi="宋体" w:hint="eastAsia"/>
          <w:sz w:val="24"/>
        </w:rPr>
        <w:t>认购、</w:t>
      </w:r>
      <w:r>
        <w:rPr>
          <w:rFonts w:ascii="宋体" w:hAnsi="宋体"/>
          <w:sz w:val="24"/>
        </w:rPr>
        <w:t>申购、赎回等业务，具体交易细则请参阅</w:t>
      </w:r>
      <w:r w:rsidR="00CB773B">
        <w:rPr>
          <w:rFonts w:ascii="宋体" w:hAnsi="宋体"/>
          <w:sz w:val="24"/>
        </w:rPr>
        <w:t>基金管理人</w:t>
      </w:r>
      <w:r>
        <w:rPr>
          <w:rFonts w:ascii="宋体" w:hAnsi="宋体"/>
          <w:sz w:val="24"/>
        </w:rPr>
        <w:t>网站。</w:t>
      </w:r>
    </w:p>
    <w:p w14:paraId="466500A6"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网上直销交易平台网址：www.fund001.com。</w:t>
      </w:r>
    </w:p>
    <w:p w14:paraId="2BD6BA12" w14:textId="07D4F60A" w:rsidR="00FD086C" w:rsidRPr="00040D5C"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040D5C">
        <w:rPr>
          <w:rFonts w:ascii="Times New Roman" w:hAnsi="Times New Roman"/>
          <w:sz w:val="24"/>
        </w:rPr>
        <w:t>2</w:t>
      </w:r>
      <w:r w:rsidRPr="00040D5C">
        <w:rPr>
          <w:rFonts w:ascii="Times New Roman" w:hAnsi="Times New Roman"/>
          <w:sz w:val="24"/>
        </w:rPr>
        <w:t>、</w:t>
      </w:r>
      <w:r w:rsidR="00532989" w:rsidRPr="00532989">
        <w:rPr>
          <w:rFonts w:ascii="Times New Roman" w:hAnsi="Times New Roman" w:hint="eastAsia"/>
          <w:sz w:val="24"/>
        </w:rPr>
        <w:t>除</w:t>
      </w:r>
      <w:r w:rsidR="00532989" w:rsidRPr="00532989">
        <w:rPr>
          <w:rFonts w:ascii="Times New Roman" w:hAnsi="Times New Roman"/>
          <w:sz w:val="24"/>
        </w:rPr>
        <w:t>基金管理人之外的其他销售</w:t>
      </w:r>
      <w:r w:rsidRPr="00040D5C">
        <w:rPr>
          <w:rFonts w:ascii="Times New Roman" w:hAnsi="Times New Roman"/>
          <w:sz w:val="24"/>
        </w:rPr>
        <w:t>机构</w:t>
      </w:r>
    </w:p>
    <w:p w14:paraId="67AD0F3E" w14:textId="3F398C02" w:rsidR="00252AA7" w:rsidRPr="00040D5C" w:rsidRDefault="00252AA7" w:rsidP="00252AA7">
      <w:pPr>
        <w:adjustRightInd w:val="0"/>
        <w:snapToGrid w:val="0"/>
        <w:spacing w:line="360" w:lineRule="auto"/>
        <w:ind w:firstLineChars="200" w:firstLine="480"/>
        <w:rPr>
          <w:rFonts w:ascii="Times New Roman" w:hAnsi="Times New Roman"/>
          <w:kern w:val="0"/>
          <w:sz w:val="24"/>
        </w:rPr>
      </w:pPr>
      <w:r w:rsidRPr="00040D5C">
        <w:rPr>
          <w:rFonts w:ascii="Times New Roman" w:hAnsi="Times New Roman" w:hint="eastAsia"/>
          <w:kern w:val="0"/>
          <w:sz w:val="24"/>
        </w:rPr>
        <w:t>（</w:t>
      </w:r>
      <w:r w:rsidRPr="00040D5C">
        <w:rPr>
          <w:rFonts w:ascii="Times New Roman" w:hAnsi="Times New Roman"/>
          <w:kern w:val="0"/>
          <w:sz w:val="24"/>
        </w:rPr>
        <w:t>1</w:t>
      </w:r>
      <w:r w:rsidRPr="00040D5C">
        <w:rPr>
          <w:rFonts w:ascii="Times New Roman" w:hAnsi="Times New Roman" w:hint="eastAsia"/>
          <w:kern w:val="0"/>
          <w:sz w:val="24"/>
        </w:rPr>
        <w:t>）</w:t>
      </w:r>
      <w:r w:rsidR="00C85D03">
        <w:rPr>
          <w:rFonts w:ascii="Times New Roman" w:hAnsi="Times New Roman" w:hint="eastAsia"/>
          <w:kern w:val="0"/>
          <w:sz w:val="24"/>
        </w:rPr>
        <w:t>名称：</w:t>
      </w:r>
      <w:r w:rsidRPr="00040D5C">
        <w:rPr>
          <w:rFonts w:ascii="Times New Roman" w:hAnsi="Times New Roman" w:hint="eastAsia"/>
          <w:kern w:val="0"/>
          <w:sz w:val="24"/>
        </w:rPr>
        <w:t>中国农业银行股份有限公司</w:t>
      </w:r>
    </w:p>
    <w:p w14:paraId="752E9B08" w14:textId="77777777" w:rsidR="00252AA7" w:rsidRPr="00040D5C" w:rsidRDefault="00252AA7" w:rsidP="00252AA7">
      <w:pPr>
        <w:adjustRightInd w:val="0"/>
        <w:snapToGrid w:val="0"/>
        <w:spacing w:line="360" w:lineRule="auto"/>
        <w:ind w:firstLineChars="200" w:firstLine="480"/>
        <w:rPr>
          <w:rFonts w:ascii="Times New Roman" w:hAnsi="Times New Roman"/>
          <w:kern w:val="0"/>
          <w:sz w:val="24"/>
        </w:rPr>
      </w:pPr>
      <w:r w:rsidRPr="00040D5C">
        <w:rPr>
          <w:rFonts w:ascii="Times New Roman" w:hAnsi="Times New Roman" w:hint="eastAsia"/>
          <w:kern w:val="0"/>
          <w:sz w:val="24"/>
        </w:rPr>
        <w:t>住所：北京市东城区建国门内大街</w:t>
      </w:r>
      <w:r w:rsidRPr="00040D5C">
        <w:rPr>
          <w:rFonts w:ascii="Times New Roman" w:hAnsi="Times New Roman"/>
          <w:kern w:val="0"/>
          <w:sz w:val="24"/>
        </w:rPr>
        <w:t>69</w:t>
      </w:r>
      <w:r w:rsidRPr="00040D5C">
        <w:rPr>
          <w:rFonts w:ascii="Times New Roman" w:hAnsi="Times New Roman" w:hint="eastAsia"/>
          <w:kern w:val="0"/>
          <w:sz w:val="24"/>
        </w:rPr>
        <w:t>号</w:t>
      </w:r>
    </w:p>
    <w:p w14:paraId="17FE761F" w14:textId="0D8E37A7" w:rsidR="00252AA7" w:rsidRPr="00040D5C" w:rsidRDefault="00252AA7" w:rsidP="00252AA7">
      <w:pPr>
        <w:adjustRightInd w:val="0"/>
        <w:snapToGrid w:val="0"/>
        <w:spacing w:line="360" w:lineRule="auto"/>
        <w:ind w:firstLineChars="200" w:firstLine="480"/>
        <w:rPr>
          <w:rFonts w:ascii="Times New Roman" w:hAnsi="Times New Roman"/>
          <w:kern w:val="0"/>
          <w:sz w:val="24"/>
        </w:rPr>
      </w:pPr>
      <w:r w:rsidRPr="00040D5C">
        <w:rPr>
          <w:rFonts w:ascii="Times New Roman" w:hAnsi="Times New Roman" w:hint="eastAsia"/>
          <w:kern w:val="0"/>
          <w:sz w:val="24"/>
        </w:rPr>
        <w:t>办公地址：北京市西城区复兴门内大街</w:t>
      </w:r>
      <w:r w:rsidRPr="00040D5C">
        <w:rPr>
          <w:rFonts w:ascii="Times New Roman" w:hAnsi="Times New Roman"/>
          <w:kern w:val="0"/>
          <w:sz w:val="24"/>
        </w:rPr>
        <w:t>28</w:t>
      </w:r>
      <w:r w:rsidRPr="00040D5C">
        <w:rPr>
          <w:rFonts w:ascii="Times New Roman" w:hAnsi="Times New Roman" w:hint="eastAsia"/>
          <w:kern w:val="0"/>
          <w:sz w:val="24"/>
        </w:rPr>
        <w:t>号凯晨世贸中心东座</w:t>
      </w:r>
      <w:r w:rsidR="00C85D03">
        <w:rPr>
          <w:rFonts w:ascii="Times New Roman" w:hAnsi="Times New Roman" w:hint="eastAsia"/>
          <w:kern w:val="0"/>
          <w:sz w:val="24"/>
        </w:rPr>
        <w:t>九层</w:t>
      </w:r>
    </w:p>
    <w:p w14:paraId="1806529D" w14:textId="77777777" w:rsidR="00252AA7" w:rsidRPr="00040D5C" w:rsidRDefault="00252AA7" w:rsidP="00252AA7">
      <w:pPr>
        <w:adjustRightInd w:val="0"/>
        <w:snapToGrid w:val="0"/>
        <w:spacing w:line="360" w:lineRule="auto"/>
        <w:ind w:firstLineChars="200" w:firstLine="480"/>
        <w:rPr>
          <w:rFonts w:ascii="Times New Roman" w:hAnsi="Times New Roman"/>
          <w:kern w:val="0"/>
          <w:sz w:val="24"/>
        </w:rPr>
      </w:pPr>
      <w:r w:rsidRPr="00040D5C">
        <w:rPr>
          <w:rFonts w:ascii="Times New Roman" w:hAnsi="Times New Roman" w:hint="eastAsia"/>
          <w:kern w:val="0"/>
          <w:sz w:val="24"/>
        </w:rPr>
        <w:t>法定代表人：谷澍</w:t>
      </w:r>
    </w:p>
    <w:p w14:paraId="459C1239" w14:textId="77777777" w:rsidR="00252AA7" w:rsidRPr="00040D5C" w:rsidRDefault="00252AA7" w:rsidP="00252AA7">
      <w:pPr>
        <w:adjustRightInd w:val="0"/>
        <w:snapToGrid w:val="0"/>
        <w:spacing w:line="360" w:lineRule="auto"/>
        <w:ind w:firstLineChars="200" w:firstLine="480"/>
        <w:rPr>
          <w:rFonts w:ascii="Times New Roman" w:hAnsi="Times New Roman"/>
          <w:kern w:val="0"/>
          <w:sz w:val="24"/>
        </w:rPr>
      </w:pPr>
      <w:r w:rsidRPr="00040D5C">
        <w:rPr>
          <w:rFonts w:ascii="Times New Roman" w:hAnsi="Times New Roman" w:hint="eastAsia"/>
          <w:kern w:val="0"/>
          <w:sz w:val="24"/>
        </w:rPr>
        <w:t>联系电话：</w:t>
      </w:r>
      <w:r w:rsidRPr="00040D5C">
        <w:rPr>
          <w:rFonts w:ascii="Times New Roman" w:hAnsi="Times New Roman"/>
          <w:kern w:val="0"/>
          <w:sz w:val="24"/>
        </w:rPr>
        <w:t>010-66060069</w:t>
      </w:r>
    </w:p>
    <w:p w14:paraId="0F73EF99" w14:textId="77777777" w:rsidR="00252AA7" w:rsidRPr="00040D5C" w:rsidRDefault="00252AA7" w:rsidP="00252AA7">
      <w:pPr>
        <w:adjustRightInd w:val="0"/>
        <w:snapToGrid w:val="0"/>
        <w:spacing w:line="360" w:lineRule="auto"/>
        <w:ind w:firstLineChars="200" w:firstLine="480"/>
        <w:rPr>
          <w:rFonts w:ascii="Times New Roman" w:hAnsi="Times New Roman"/>
          <w:kern w:val="0"/>
          <w:sz w:val="24"/>
        </w:rPr>
      </w:pPr>
      <w:r w:rsidRPr="00040D5C">
        <w:rPr>
          <w:rFonts w:ascii="Times New Roman" w:hAnsi="Times New Roman" w:hint="eastAsia"/>
          <w:kern w:val="0"/>
          <w:sz w:val="24"/>
        </w:rPr>
        <w:t>传真：</w:t>
      </w:r>
      <w:r w:rsidRPr="00040D5C">
        <w:rPr>
          <w:rFonts w:ascii="Times New Roman" w:hAnsi="Times New Roman"/>
          <w:kern w:val="0"/>
          <w:sz w:val="24"/>
        </w:rPr>
        <w:t>010-68121816</w:t>
      </w:r>
    </w:p>
    <w:p w14:paraId="6DBB80B8" w14:textId="77777777" w:rsidR="00252AA7" w:rsidRPr="00040D5C" w:rsidRDefault="00252AA7" w:rsidP="00252AA7">
      <w:pPr>
        <w:adjustRightInd w:val="0"/>
        <w:snapToGrid w:val="0"/>
        <w:spacing w:line="360" w:lineRule="auto"/>
        <w:ind w:firstLineChars="200" w:firstLine="480"/>
        <w:rPr>
          <w:rFonts w:ascii="Times New Roman" w:hAnsi="Times New Roman"/>
          <w:kern w:val="0"/>
          <w:sz w:val="24"/>
        </w:rPr>
      </w:pPr>
      <w:r w:rsidRPr="00040D5C">
        <w:rPr>
          <w:rFonts w:ascii="Times New Roman" w:hAnsi="Times New Roman" w:hint="eastAsia"/>
          <w:kern w:val="0"/>
          <w:sz w:val="24"/>
        </w:rPr>
        <w:t>联系人：秦一楠</w:t>
      </w:r>
    </w:p>
    <w:p w14:paraId="4D45FF44" w14:textId="77777777" w:rsidR="00252AA7" w:rsidRPr="00040D5C" w:rsidRDefault="00252AA7" w:rsidP="00252AA7">
      <w:pPr>
        <w:adjustRightInd w:val="0"/>
        <w:snapToGrid w:val="0"/>
        <w:spacing w:line="360" w:lineRule="auto"/>
        <w:ind w:firstLineChars="200" w:firstLine="480"/>
        <w:rPr>
          <w:rFonts w:ascii="Times New Roman" w:hAnsi="Times New Roman"/>
          <w:kern w:val="0"/>
          <w:sz w:val="24"/>
        </w:rPr>
      </w:pPr>
      <w:r w:rsidRPr="00040D5C">
        <w:rPr>
          <w:rFonts w:ascii="Times New Roman" w:hAnsi="Times New Roman" w:hint="eastAsia"/>
          <w:kern w:val="0"/>
          <w:sz w:val="24"/>
        </w:rPr>
        <w:t>客户服务电话：</w:t>
      </w:r>
      <w:r w:rsidRPr="00040D5C">
        <w:rPr>
          <w:rFonts w:ascii="Times New Roman" w:hAnsi="Times New Roman"/>
          <w:kern w:val="0"/>
          <w:sz w:val="24"/>
        </w:rPr>
        <w:t>95599</w:t>
      </w:r>
    </w:p>
    <w:p w14:paraId="115EA740" w14:textId="77777777" w:rsidR="00252AA7" w:rsidRPr="00040D5C" w:rsidRDefault="00252AA7" w:rsidP="00252AA7">
      <w:pPr>
        <w:adjustRightInd w:val="0"/>
        <w:snapToGrid w:val="0"/>
        <w:spacing w:line="360" w:lineRule="auto"/>
        <w:ind w:firstLineChars="200" w:firstLine="480"/>
        <w:rPr>
          <w:rFonts w:ascii="Times New Roman" w:hAnsi="Times New Roman"/>
          <w:kern w:val="0"/>
          <w:sz w:val="24"/>
        </w:rPr>
      </w:pPr>
      <w:r w:rsidRPr="00040D5C">
        <w:rPr>
          <w:rFonts w:ascii="Times New Roman" w:hAnsi="Times New Roman" w:hint="eastAsia"/>
          <w:kern w:val="0"/>
          <w:sz w:val="24"/>
        </w:rPr>
        <w:t>网址：</w:t>
      </w:r>
      <w:r w:rsidRPr="00040D5C">
        <w:rPr>
          <w:rFonts w:ascii="Times New Roman" w:hAnsi="Times New Roman"/>
          <w:kern w:val="0"/>
          <w:sz w:val="24"/>
        </w:rPr>
        <w:t>www.abchina.com</w:t>
      </w:r>
    </w:p>
    <w:p w14:paraId="77430A07" w14:textId="77777777" w:rsidR="00252AA7" w:rsidRPr="00040D5C" w:rsidRDefault="00252AA7" w:rsidP="00252AA7">
      <w:pPr>
        <w:autoSpaceDE w:val="0"/>
        <w:autoSpaceDN w:val="0"/>
        <w:adjustRightInd w:val="0"/>
        <w:snapToGrid w:val="0"/>
        <w:spacing w:line="360" w:lineRule="auto"/>
        <w:ind w:firstLineChars="200" w:firstLine="480"/>
        <w:jc w:val="left"/>
        <w:rPr>
          <w:rFonts w:ascii="Times New Roman" w:hAnsi="Times New Roman"/>
          <w:szCs w:val="24"/>
        </w:rPr>
      </w:pPr>
      <w:r w:rsidRPr="00040D5C">
        <w:rPr>
          <w:rFonts w:ascii="Times New Roman" w:hAnsi="Times New Roman"/>
          <w:sz w:val="24"/>
        </w:rPr>
        <w:t>（</w:t>
      </w:r>
      <w:r w:rsidRPr="00040D5C">
        <w:rPr>
          <w:rFonts w:ascii="Times New Roman" w:hAnsi="Times New Roman"/>
          <w:sz w:val="24"/>
        </w:rPr>
        <w:t>2</w:t>
      </w:r>
      <w:r w:rsidRPr="00040D5C">
        <w:rPr>
          <w:rFonts w:ascii="Times New Roman" w:hAnsi="Times New Roman"/>
          <w:sz w:val="24"/>
        </w:rPr>
        <w:t>）名称：交通银行股份有限公司</w:t>
      </w:r>
    </w:p>
    <w:p w14:paraId="61E4AF31" w14:textId="77777777" w:rsidR="00252AA7" w:rsidRPr="00040D5C" w:rsidRDefault="00252AA7" w:rsidP="00252AA7">
      <w:pPr>
        <w:autoSpaceDE w:val="0"/>
        <w:autoSpaceDN w:val="0"/>
        <w:adjustRightInd w:val="0"/>
        <w:snapToGrid w:val="0"/>
        <w:spacing w:line="360" w:lineRule="auto"/>
        <w:ind w:firstLineChars="200" w:firstLine="480"/>
        <w:jc w:val="left"/>
        <w:rPr>
          <w:rFonts w:ascii="Times New Roman" w:hAnsi="Times New Roman"/>
          <w:szCs w:val="24"/>
        </w:rPr>
      </w:pPr>
      <w:r w:rsidRPr="00040D5C">
        <w:rPr>
          <w:rFonts w:ascii="Times New Roman" w:hAnsi="Times New Roman"/>
          <w:sz w:val="24"/>
        </w:rPr>
        <w:lastRenderedPageBreak/>
        <w:t>住所：上海市浦东新区银城中路</w:t>
      </w:r>
      <w:r w:rsidRPr="00040D5C">
        <w:rPr>
          <w:rFonts w:ascii="Times New Roman" w:hAnsi="Times New Roman"/>
          <w:sz w:val="24"/>
        </w:rPr>
        <w:t>188</w:t>
      </w:r>
      <w:r w:rsidRPr="00040D5C">
        <w:rPr>
          <w:rFonts w:ascii="Times New Roman" w:hAnsi="Times New Roman"/>
          <w:sz w:val="24"/>
        </w:rPr>
        <w:t>号</w:t>
      </w:r>
    </w:p>
    <w:p w14:paraId="1D21E65C" w14:textId="77777777" w:rsidR="00252AA7" w:rsidRPr="00040D5C" w:rsidRDefault="00252AA7" w:rsidP="00252AA7">
      <w:pPr>
        <w:autoSpaceDE w:val="0"/>
        <w:autoSpaceDN w:val="0"/>
        <w:adjustRightInd w:val="0"/>
        <w:snapToGrid w:val="0"/>
        <w:spacing w:line="360" w:lineRule="auto"/>
        <w:ind w:firstLineChars="200" w:firstLine="480"/>
        <w:jc w:val="left"/>
        <w:rPr>
          <w:rFonts w:ascii="Times New Roman" w:hAnsi="Times New Roman"/>
          <w:szCs w:val="24"/>
        </w:rPr>
      </w:pPr>
      <w:r w:rsidRPr="00040D5C">
        <w:rPr>
          <w:rFonts w:ascii="Times New Roman" w:hAnsi="Times New Roman"/>
          <w:sz w:val="24"/>
        </w:rPr>
        <w:t>办公地址：上海市浦东新区银城中路</w:t>
      </w:r>
      <w:r w:rsidRPr="00040D5C">
        <w:rPr>
          <w:rFonts w:ascii="Times New Roman" w:hAnsi="Times New Roman"/>
          <w:sz w:val="24"/>
        </w:rPr>
        <w:t>188</w:t>
      </w:r>
      <w:r w:rsidRPr="00040D5C">
        <w:rPr>
          <w:rFonts w:ascii="Times New Roman" w:hAnsi="Times New Roman"/>
          <w:sz w:val="24"/>
        </w:rPr>
        <w:t>号</w:t>
      </w:r>
    </w:p>
    <w:p w14:paraId="388F1F0E" w14:textId="77777777" w:rsidR="00252AA7" w:rsidRPr="00040D5C" w:rsidRDefault="00252AA7" w:rsidP="00252AA7">
      <w:pPr>
        <w:autoSpaceDE w:val="0"/>
        <w:autoSpaceDN w:val="0"/>
        <w:adjustRightInd w:val="0"/>
        <w:snapToGrid w:val="0"/>
        <w:spacing w:line="360" w:lineRule="auto"/>
        <w:ind w:firstLineChars="200" w:firstLine="480"/>
        <w:jc w:val="left"/>
        <w:rPr>
          <w:rFonts w:ascii="Times New Roman" w:hAnsi="Times New Roman"/>
          <w:szCs w:val="24"/>
        </w:rPr>
      </w:pPr>
      <w:r w:rsidRPr="00040D5C">
        <w:rPr>
          <w:rFonts w:ascii="Times New Roman" w:hAnsi="Times New Roman"/>
          <w:sz w:val="24"/>
        </w:rPr>
        <w:t>法定代表人：任德奇</w:t>
      </w:r>
    </w:p>
    <w:p w14:paraId="65A72870" w14:textId="77777777" w:rsidR="00252AA7" w:rsidRPr="00040D5C" w:rsidRDefault="00252AA7" w:rsidP="00252AA7">
      <w:pPr>
        <w:autoSpaceDE w:val="0"/>
        <w:autoSpaceDN w:val="0"/>
        <w:adjustRightInd w:val="0"/>
        <w:snapToGrid w:val="0"/>
        <w:spacing w:line="360" w:lineRule="auto"/>
        <w:ind w:firstLineChars="200" w:firstLine="480"/>
        <w:jc w:val="left"/>
        <w:rPr>
          <w:rFonts w:ascii="Times New Roman" w:hAnsi="Times New Roman"/>
          <w:szCs w:val="24"/>
        </w:rPr>
      </w:pPr>
      <w:r w:rsidRPr="00040D5C">
        <w:rPr>
          <w:rFonts w:ascii="Times New Roman" w:hAnsi="Times New Roman"/>
          <w:sz w:val="24"/>
        </w:rPr>
        <w:t>电话：（</w:t>
      </w:r>
      <w:r w:rsidRPr="00040D5C">
        <w:rPr>
          <w:rFonts w:ascii="Times New Roman" w:hAnsi="Times New Roman"/>
          <w:sz w:val="24"/>
        </w:rPr>
        <w:t>021</w:t>
      </w:r>
      <w:r w:rsidRPr="00040D5C">
        <w:rPr>
          <w:rFonts w:ascii="Times New Roman" w:hAnsi="Times New Roman"/>
          <w:sz w:val="24"/>
        </w:rPr>
        <w:t>）</w:t>
      </w:r>
      <w:r w:rsidRPr="00040D5C">
        <w:rPr>
          <w:rFonts w:ascii="Times New Roman" w:hAnsi="Times New Roman"/>
          <w:sz w:val="24"/>
        </w:rPr>
        <w:t>58781234</w:t>
      </w:r>
    </w:p>
    <w:p w14:paraId="58C72E0C" w14:textId="77777777" w:rsidR="00252AA7" w:rsidRPr="00040D5C" w:rsidRDefault="00252AA7" w:rsidP="00252AA7">
      <w:pPr>
        <w:autoSpaceDE w:val="0"/>
        <w:autoSpaceDN w:val="0"/>
        <w:adjustRightInd w:val="0"/>
        <w:snapToGrid w:val="0"/>
        <w:spacing w:line="360" w:lineRule="auto"/>
        <w:ind w:firstLineChars="200" w:firstLine="480"/>
        <w:jc w:val="left"/>
        <w:rPr>
          <w:rFonts w:ascii="Times New Roman" w:hAnsi="Times New Roman"/>
          <w:szCs w:val="24"/>
        </w:rPr>
      </w:pPr>
      <w:r w:rsidRPr="00040D5C">
        <w:rPr>
          <w:rFonts w:ascii="Times New Roman" w:hAnsi="Times New Roman"/>
          <w:sz w:val="24"/>
        </w:rPr>
        <w:t>传真：（</w:t>
      </w:r>
      <w:r w:rsidRPr="00040D5C">
        <w:rPr>
          <w:rFonts w:ascii="Times New Roman" w:hAnsi="Times New Roman"/>
          <w:sz w:val="24"/>
        </w:rPr>
        <w:t>021</w:t>
      </w:r>
      <w:r w:rsidRPr="00040D5C">
        <w:rPr>
          <w:rFonts w:ascii="Times New Roman" w:hAnsi="Times New Roman"/>
          <w:sz w:val="24"/>
        </w:rPr>
        <w:t>）</w:t>
      </w:r>
      <w:r w:rsidRPr="00040D5C">
        <w:rPr>
          <w:rFonts w:ascii="Times New Roman" w:hAnsi="Times New Roman"/>
          <w:sz w:val="24"/>
        </w:rPr>
        <w:t>58408483</w:t>
      </w:r>
    </w:p>
    <w:p w14:paraId="6C3E68A2" w14:textId="77777777" w:rsidR="00252AA7" w:rsidRPr="00040D5C" w:rsidRDefault="00252AA7" w:rsidP="00252AA7">
      <w:pPr>
        <w:autoSpaceDE w:val="0"/>
        <w:autoSpaceDN w:val="0"/>
        <w:adjustRightInd w:val="0"/>
        <w:snapToGrid w:val="0"/>
        <w:spacing w:line="360" w:lineRule="auto"/>
        <w:ind w:firstLineChars="200" w:firstLine="480"/>
        <w:jc w:val="left"/>
        <w:rPr>
          <w:rFonts w:ascii="Times New Roman" w:hAnsi="Times New Roman"/>
          <w:szCs w:val="24"/>
        </w:rPr>
      </w:pPr>
      <w:r w:rsidRPr="00040D5C">
        <w:rPr>
          <w:rFonts w:ascii="Times New Roman" w:hAnsi="Times New Roman"/>
          <w:sz w:val="24"/>
        </w:rPr>
        <w:t>联系人：范瑞波</w:t>
      </w:r>
    </w:p>
    <w:p w14:paraId="31410CBB" w14:textId="77777777" w:rsidR="00252AA7" w:rsidRPr="00040D5C" w:rsidRDefault="00252AA7" w:rsidP="00252AA7">
      <w:pPr>
        <w:autoSpaceDE w:val="0"/>
        <w:autoSpaceDN w:val="0"/>
        <w:adjustRightInd w:val="0"/>
        <w:snapToGrid w:val="0"/>
        <w:spacing w:line="360" w:lineRule="auto"/>
        <w:ind w:firstLineChars="200" w:firstLine="480"/>
        <w:jc w:val="left"/>
        <w:rPr>
          <w:rFonts w:ascii="Times New Roman" w:hAnsi="Times New Roman"/>
          <w:szCs w:val="24"/>
        </w:rPr>
      </w:pPr>
      <w:r w:rsidRPr="00040D5C">
        <w:rPr>
          <w:rFonts w:ascii="Times New Roman" w:hAnsi="Times New Roman"/>
          <w:sz w:val="24"/>
        </w:rPr>
        <w:t>客户服务电话：</w:t>
      </w:r>
      <w:r w:rsidRPr="00040D5C">
        <w:rPr>
          <w:rFonts w:ascii="Times New Roman" w:hAnsi="Times New Roman"/>
          <w:sz w:val="24"/>
        </w:rPr>
        <w:t>95559</w:t>
      </w:r>
    </w:p>
    <w:p w14:paraId="279241C5" w14:textId="77777777" w:rsidR="00252AA7" w:rsidRPr="00040D5C" w:rsidRDefault="00252AA7" w:rsidP="00252AA7">
      <w:pPr>
        <w:autoSpaceDE w:val="0"/>
        <w:autoSpaceDN w:val="0"/>
        <w:adjustRightInd w:val="0"/>
        <w:snapToGrid w:val="0"/>
        <w:spacing w:line="360" w:lineRule="auto"/>
        <w:ind w:firstLineChars="200" w:firstLine="480"/>
        <w:jc w:val="left"/>
        <w:rPr>
          <w:rFonts w:ascii="Times New Roman" w:hAnsi="Times New Roman"/>
          <w:szCs w:val="24"/>
        </w:rPr>
      </w:pPr>
      <w:r w:rsidRPr="00040D5C">
        <w:rPr>
          <w:rFonts w:ascii="Times New Roman" w:hAnsi="Times New Roman"/>
          <w:sz w:val="24"/>
        </w:rPr>
        <w:t>网址：</w:t>
      </w:r>
      <w:r w:rsidRPr="00040D5C">
        <w:rPr>
          <w:rFonts w:ascii="Times New Roman" w:hAnsi="Times New Roman"/>
          <w:sz w:val="24"/>
        </w:rPr>
        <w:t>www.bankcomm.com</w:t>
      </w:r>
    </w:p>
    <w:p w14:paraId="6260E45A" w14:textId="338A45BF"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基金管理人可根据有关法律法规的要求，选择其它符合要求的机构销售本基金</w:t>
      </w:r>
      <w:r w:rsidR="00532989" w:rsidRPr="00532989">
        <w:rPr>
          <w:rFonts w:ascii="宋体" w:hAnsi="宋体" w:hint="eastAsia"/>
          <w:sz w:val="24"/>
        </w:rPr>
        <w:t>，并在基金管理人网站公示</w:t>
      </w:r>
      <w:r>
        <w:rPr>
          <w:rFonts w:ascii="宋体" w:hAnsi="宋体"/>
          <w:sz w:val="24"/>
        </w:rPr>
        <w:t>。</w:t>
      </w:r>
    </w:p>
    <w:p w14:paraId="3A25327A" w14:textId="77777777" w:rsidR="00FD086C" w:rsidRPr="00040D5C" w:rsidRDefault="004B071E">
      <w:pPr>
        <w:autoSpaceDE w:val="0"/>
        <w:autoSpaceDN w:val="0"/>
        <w:adjustRightInd w:val="0"/>
        <w:snapToGrid w:val="0"/>
        <w:spacing w:line="360" w:lineRule="auto"/>
        <w:ind w:firstLineChars="200" w:firstLine="482"/>
        <w:jc w:val="left"/>
        <w:rPr>
          <w:rFonts w:ascii="宋体" w:hAnsi="宋体"/>
          <w:b/>
          <w:szCs w:val="24"/>
        </w:rPr>
      </w:pPr>
      <w:r w:rsidRPr="00040D5C">
        <w:rPr>
          <w:rFonts w:ascii="宋体" w:hAnsi="宋体"/>
          <w:b/>
          <w:sz w:val="24"/>
        </w:rPr>
        <w:t>（二）登记机构</w:t>
      </w:r>
    </w:p>
    <w:p w14:paraId="400E4DBC"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名称：中国证券登记结算有限责任公司</w:t>
      </w:r>
    </w:p>
    <w:p w14:paraId="7FC8EFD9"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住所：北京市西城区太平桥大街17号</w:t>
      </w:r>
    </w:p>
    <w:p w14:paraId="5AA64DC5"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办公地址：北京市西城区太平桥大街17号</w:t>
      </w:r>
    </w:p>
    <w:p w14:paraId="390254CF"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法定代表人：于文强</w:t>
      </w:r>
    </w:p>
    <w:p w14:paraId="297C65AA"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电话：（010）50938782</w:t>
      </w:r>
    </w:p>
    <w:p w14:paraId="2454E3C8"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传真：（010）50938907</w:t>
      </w:r>
    </w:p>
    <w:p w14:paraId="67B32BE6"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联系人：赵亦清</w:t>
      </w:r>
    </w:p>
    <w:p w14:paraId="5FA7F1E4" w14:textId="77777777" w:rsidR="00FD086C" w:rsidRPr="00040D5C" w:rsidRDefault="004B071E">
      <w:pPr>
        <w:autoSpaceDE w:val="0"/>
        <w:autoSpaceDN w:val="0"/>
        <w:adjustRightInd w:val="0"/>
        <w:snapToGrid w:val="0"/>
        <w:spacing w:line="360" w:lineRule="auto"/>
        <w:ind w:firstLineChars="200" w:firstLine="482"/>
        <w:jc w:val="left"/>
        <w:rPr>
          <w:rFonts w:ascii="宋体" w:hAnsi="宋体"/>
          <w:b/>
          <w:szCs w:val="24"/>
        </w:rPr>
      </w:pPr>
      <w:r w:rsidRPr="00040D5C">
        <w:rPr>
          <w:rFonts w:ascii="宋体" w:hAnsi="宋体"/>
          <w:b/>
          <w:sz w:val="24"/>
        </w:rPr>
        <w:t>（三）出具法律意见书的律师事务所</w:t>
      </w:r>
    </w:p>
    <w:p w14:paraId="48F7A1C7"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名称：上海市通力律师事务所</w:t>
      </w:r>
    </w:p>
    <w:p w14:paraId="5F0622FC"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住所：上海市银城中路68号时代金融中心19楼</w:t>
      </w:r>
    </w:p>
    <w:p w14:paraId="097919A2" w14:textId="77FB6270"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办公地址：上海市银城中路68号时代金融中心</w:t>
      </w:r>
      <w:r w:rsidR="008678C7">
        <w:rPr>
          <w:rFonts w:ascii="宋体" w:hAnsi="宋体"/>
          <w:sz w:val="24"/>
        </w:rPr>
        <w:t>18-20</w:t>
      </w:r>
      <w:r>
        <w:rPr>
          <w:rFonts w:ascii="宋体" w:hAnsi="宋体"/>
          <w:sz w:val="24"/>
        </w:rPr>
        <w:t>楼</w:t>
      </w:r>
    </w:p>
    <w:p w14:paraId="05D9078A"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负责人：韩炯</w:t>
      </w:r>
    </w:p>
    <w:p w14:paraId="7202E8A2"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电话：（021）31358666</w:t>
      </w:r>
    </w:p>
    <w:p w14:paraId="74A39532"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传真：（021）31358600</w:t>
      </w:r>
    </w:p>
    <w:p w14:paraId="429F933A"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联系人：丁媛</w:t>
      </w:r>
    </w:p>
    <w:p w14:paraId="7EDFFFD8"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经办律师：黎明、丁媛</w:t>
      </w:r>
    </w:p>
    <w:p w14:paraId="7266F142" w14:textId="77777777" w:rsidR="00FD086C" w:rsidRPr="00040D5C" w:rsidRDefault="004B071E">
      <w:pPr>
        <w:autoSpaceDE w:val="0"/>
        <w:autoSpaceDN w:val="0"/>
        <w:adjustRightInd w:val="0"/>
        <w:snapToGrid w:val="0"/>
        <w:spacing w:line="360" w:lineRule="auto"/>
        <w:ind w:firstLineChars="200" w:firstLine="482"/>
        <w:jc w:val="left"/>
        <w:rPr>
          <w:rFonts w:ascii="宋体" w:hAnsi="宋体"/>
          <w:b/>
          <w:szCs w:val="24"/>
        </w:rPr>
      </w:pPr>
      <w:r w:rsidRPr="00040D5C">
        <w:rPr>
          <w:rFonts w:ascii="宋体" w:hAnsi="宋体"/>
          <w:b/>
          <w:sz w:val="24"/>
        </w:rPr>
        <w:t>（四）审计基金财产的会计师事务所</w:t>
      </w:r>
    </w:p>
    <w:p w14:paraId="7242717A"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名称：普华永道中天会计师事务所（特殊普通合伙）</w:t>
      </w:r>
    </w:p>
    <w:p w14:paraId="7A0842F0"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住所：中国(上海)自由贸易试验区陆家嘴环路1318号星展银行大厦507单元01</w:t>
      </w:r>
      <w:r>
        <w:rPr>
          <w:rFonts w:ascii="宋体" w:hAnsi="宋体"/>
          <w:sz w:val="24"/>
        </w:rPr>
        <w:lastRenderedPageBreak/>
        <w:t>室</w:t>
      </w:r>
    </w:p>
    <w:p w14:paraId="29FCE780"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办公地址：中国上海市浦东新区东育路588号前滩中心42楼</w:t>
      </w:r>
    </w:p>
    <w:p w14:paraId="6649EC25"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执行事务合伙人：李丹</w:t>
      </w:r>
    </w:p>
    <w:p w14:paraId="3CF52EB1"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电话：（021）23238888</w:t>
      </w:r>
    </w:p>
    <w:p w14:paraId="250D21AE"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传真：（021）23238800</w:t>
      </w:r>
    </w:p>
    <w:p w14:paraId="03D1E0D6"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联系人：金诗涛</w:t>
      </w:r>
    </w:p>
    <w:p w14:paraId="25AB364E" w14:textId="01FC4C91"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经办注册会计师：</w:t>
      </w:r>
      <w:r w:rsidR="00F336FB" w:rsidRPr="005B731A">
        <w:rPr>
          <w:rFonts w:hAnsi="宋体" w:hint="eastAsia"/>
          <w:kern w:val="0"/>
          <w:sz w:val="24"/>
        </w:rPr>
        <w:t>沈兆杰</w:t>
      </w:r>
      <w:r>
        <w:rPr>
          <w:rFonts w:ascii="宋体" w:hAnsi="宋体"/>
          <w:sz w:val="24"/>
        </w:rPr>
        <w:t>、金诗涛</w:t>
      </w:r>
    </w:p>
    <w:p w14:paraId="344F0988" w14:textId="77777777" w:rsidR="00A37EB9" w:rsidRDefault="004B071E" w:rsidP="00A37EB9">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572D6CEA" w14:textId="77777777" w:rsidR="00FD086C" w:rsidRDefault="004B071E">
      <w:pPr>
        <w:pStyle w:val="1"/>
        <w:snapToGrid w:val="0"/>
        <w:spacing w:beforeLines="0" w:before="240" w:after="240"/>
        <w:rPr>
          <w:rFonts w:ascii="宋体" w:hAnsi="宋体"/>
          <w:szCs w:val="30"/>
        </w:rPr>
      </w:pPr>
      <w:bookmarkStart w:id="9" w:name="_Toc147840624"/>
      <w:r>
        <w:rPr>
          <w:rFonts w:ascii="Times New Roman" w:hAnsi="Times New Roman"/>
          <w:sz w:val="30"/>
        </w:rPr>
        <w:lastRenderedPageBreak/>
        <w:t>六、基金的募集</w:t>
      </w:r>
      <w:bookmarkEnd w:id="9"/>
    </w:p>
    <w:p w14:paraId="04B823EE" w14:textId="77777777" w:rsidR="005D2825" w:rsidRPr="00040D5C" w:rsidRDefault="005D2825" w:rsidP="005D2825">
      <w:pPr>
        <w:adjustRightInd w:val="0"/>
        <w:snapToGrid w:val="0"/>
        <w:spacing w:line="360" w:lineRule="auto"/>
        <w:ind w:firstLineChars="200" w:firstLine="482"/>
        <w:outlineLvl w:val="1"/>
        <w:rPr>
          <w:rFonts w:ascii="Times New Roman" w:hAnsi="Times New Roman"/>
          <w:b/>
          <w:sz w:val="24"/>
          <w:szCs w:val="24"/>
        </w:rPr>
      </w:pPr>
      <w:r w:rsidRPr="00040D5C">
        <w:rPr>
          <w:rFonts w:ascii="Times New Roman" w:hAnsi="Times New Roman" w:hint="eastAsia"/>
          <w:b/>
          <w:sz w:val="24"/>
          <w:szCs w:val="24"/>
        </w:rPr>
        <w:t>（一）基金募集的依据</w:t>
      </w:r>
    </w:p>
    <w:p w14:paraId="2747098D" w14:textId="70050A2D" w:rsidR="005D2825" w:rsidRPr="00040D5C" w:rsidRDefault="005D2825" w:rsidP="005D2825">
      <w:pPr>
        <w:widowControl/>
        <w:adjustRightInd w:val="0"/>
        <w:snapToGrid w:val="0"/>
        <w:spacing w:line="360" w:lineRule="auto"/>
        <w:ind w:firstLineChars="200" w:firstLine="480"/>
        <w:rPr>
          <w:rFonts w:ascii="Times New Roman" w:hAnsi="Times New Roman"/>
          <w:kern w:val="0"/>
          <w:sz w:val="24"/>
        </w:rPr>
      </w:pPr>
      <w:r w:rsidRPr="00040D5C">
        <w:rPr>
          <w:rFonts w:ascii="Times New Roman" w:hAnsi="Times New Roman" w:hint="eastAsia"/>
          <w:kern w:val="0"/>
          <w:sz w:val="24"/>
        </w:rPr>
        <w:t>本基金由基金管理人依照《基金法》、《运作办法》、《销售办法》、基金合同及其他有关规定，并经中国证监会</w:t>
      </w:r>
      <w:r w:rsidRPr="00040D5C">
        <w:rPr>
          <w:rFonts w:ascii="Times New Roman" w:hAnsi="Times New Roman"/>
          <w:kern w:val="0"/>
          <w:sz w:val="24"/>
        </w:rPr>
        <w:t>202</w:t>
      </w:r>
      <w:r w:rsidR="00AD33C1">
        <w:rPr>
          <w:rFonts w:ascii="Times New Roman" w:hAnsi="Times New Roman"/>
          <w:kern w:val="0"/>
          <w:sz w:val="24"/>
        </w:rPr>
        <w:t>3</w:t>
      </w:r>
      <w:r w:rsidRPr="00040D5C">
        <w:rPr>
          <w:rFonts w:ascii="Times New Roman" w:hAnsi="Times New Roman"/>
          <w:kern w:val="0"/>
          <w:sz w:val="24"/>
        </w:rPr>
        <w:t>年</w:t>
      </w:r>
      <w:r w:rsidR="00AD33C1">
        <w:rPr>
          <w:rFonts w:ascii="Times New Roman" w:hAnsi="Times New Roman"/>
          <w:kern w:val="0"/>
          <w:sz w:val="24"/>
        </w:rPr>
        <w:t>11</w:t>
      </w:r>
      <w:r w:rsidRPr="00040D5C">
        <w:rPr>
          <w:rFonts w:ascii="Times New Roman" w:hAnsi="Times New Roman"/>
          <w:kern w:val="0"/>
          <w:sz w:val="24"/>
        </w:rPr>
        <w:t>月</w:t>
      </w:r>
      <w:r w:rsidR="00AD33C1">
        <w:rPr>
          <w:rFonts w:ascii="Times New Roman" w:hAnsi="Times New Roman"/>
          <w:kern w:val="0"/>
          <w:sz w:val="24"/>
        </w:rPr>
        <w:t>9</w:t>
      </w:r>
      <w:r w:rsidRPr="00040D5C">
        <w:rPr>
          <w:rFonts w:ascii="Times New Roman" w:hAnsi="Times New Roman"/>
          <w:kern w:val="0"/>
          <w:sz w:val="24"/>
        </w:rPr>
        <w:t>日</w:t>
      </w:r>
      <w:r w:rsidRPr="00040D5C">
        <w:rPr>
          <w:rFonts w:ascii="Times New Roman" w:hAnsi="Times New Roman" w:hint="eastAsia"/>
          <w:kern w:val="0"/>
          <w:sz w:val="24"/>
        </w:rPr>
        <w:t>证监许可【</w:t>
      </w:r>
      <w:r w:rsidRPr="00040D5C">
        <w:rPr>
          <w:rFonts w:ascii="Times New Roman" w:hAnsi="Times New Roman"/>
          <w:kern w:val="0"/>
          <w:sz w:val="24"/>
        </w:rPr>
        <w:t>202</w:t>
      </w:r>
      <w:r w:rsidR="00AD33C1">
        <w:rPr>
          <w:rFonts w:ascii="Times New Roman" w:hAnsi="Times New Roman"/>
          <w:kern w:val="0"/>
          <w:sz w:val="24"/>
        </w:rPr>
        <w:t>3</w:t>
      </w:r>
      <w:r w:rsidRPr="00040D5C">
        <w:rPr>
          <w:rFonts w:ascii="Times New Roman" w:hAnsi="Times New Roman"/>
          <w:kern w:val="0"/>
          <w:sz w:val="24"/>
        </w:rPr>
        <w:t>】</w:t>
      </w:r>
      <w:r w:rsidR="00AD33C1">
        <w:rPr>
          <w:rFonts w:ascii="Times New Roman" w:hAnsi="Times New Roman" w:hint="eastAsia"/>
          <w:kern w:val="0"/>
          <w:sz w:val="24"/>
        </w:rPr>
        <w:t>2</w:t>
      </w:r>
      <w:r w:rsidR="00AD33C1">
        <w:rPr>
          <w:rFonts w:ascii="Times New Roman" w:hAnsi="Times New Roman"/>
          <w:kern w:val="0"/>
          <w:sz w:val="24"/>
        </w:rPr>
        <w:t>549</w:t>
      </w:r>
      <w:r w:rsidRPr="00040D5C">
        <w:rPr>
          <w:rFonts w:ascii="Times New Roman" w:hAnsi="Times New Roman" w:hint="eastAsia"/>
          <w:kern w:val="0"/>
          <w:sz w:val="24"/>
        </w:rPr>
        <w:t>号文准予募集注册。</w:t>
      </w:r>
    </w:p>
    <w:p w14:paraId="6B462084" w14:textId="77777777" w:rsidR="005D2825" w:rsidRPr="00040D5C" w:rsidRDefault="005D2825" w:rsidP="005D2825">
      <w:pPr>
        <w:adjustRightInd w:val="0"/>
        <w:snapToGrid w:val="0"/>
        <w:spacing w:line="360" w:lineRule="auto"/>
        <w:ind w:firstLineChars="200" w:firstLine="482"/>
        <w:outlineLvl w:val="1"/>
        <w:rPr>
          <w:rFonts w:ascii="Times New Roman" w:hAnsi="Times New Roman"/>
          <w:b/>
          <w:sz w:val="24"/>
          <w:szCs w:val="24"/>
        </w:rPr>
      </w:pPr>
      <w:r w:rsidRPr="00040D5C">
        <w:rPr>
          <w:rFonts w:ascii="Times New Roman" w:hAnsi="Times New Roman" w:hint="eastAsia"/>
          <w:b/>
          <w:sz w:val="24"/>
          <w:szCs w:val="24"/>
        </w:rPr>
        <w:t>（二）基金类别</w:t>
      </w:r>
    </w:p>
    <w:p w14:paraId="7C5A4DED" w14:textId="77777777" w:rsidR="005D2825" w:rsidRPr="00040D5C" w:rsidRDefault="00F44659" w:rsidP="005D2825">
      <w:pPr>
        <w:widowControl/>
        <w:adjustRightInd w:val="0"/>
        <w:snapToGrid w:val="0"/>
        <w:spacing w:line="360" w:lineRule="auto"/>
        <w:ind w:firstLineChars="200" w:firstLine="480"/>
        <w:rPr>
          <w:rFonts w:ascii="Times New Roman" w:hAnsi="Times New Roman"/>
          <w:kern w:val="0"/>
          <w:sz w:val="24"/>
        </w:rPr>
      </w:pPr>
      <w:r>
        <w:rPr>
          <w:rFonts w:ascii="Times New Roman" w:hAnsi="Times New Roman" w:hint="eastAsia"/>
          <w:kern w:val="0"/>
          <w:sz w:val="24"/>
        </w:rPr>
        <w:t>股票</w:t>
      </w:r>
      <w:r w:rsidR="005D2825" w:rsidRPr="00040D5C">
        <w:rPr>
          <w:rFonts w:ascii="Times New Roman" w:hAnsi="Times New Roman" w:hint="eastAsia"/>
          <w:kern w:val="0"/>
          <w:sz w:val="24"/>
        </w:rPr>
        <w:t>型证券投资基金</w:t>
      </w:r>
    </w:p>
    <w:p w14:paraId="2F6C858B" w14:textId="77777777" w:rsidR="005D2825" w:rsidRPr="00040D5C" w:rsidRDefault="005D2825" w:rsidP="005D2825">
      <w:pPr>
        <w:adjustRightInd w:val="0"/>
        <w:snapToGrid w:val="0"/>
        <w:spacing w:line="360" w:lineRule="auto"/>
        <w:ind w:firstLineChars="200" w:firstLine="482"/>
        <w:outlineLvl w:val="1"/>
        <w:rPr>
          <w:rFonts w:ascii="Times New Roman" w:hAnsi="Times New Roman"/>
          <w:b/>
          <w:sz w:val="24"/>
          <w:szCs w:val="24"/>
        </w:rPr>
      </w:pPr>
      <w:r w:rsidRPr="00040D5C">
        <w:rPr>
          <w:rFonts w:ascii="Times New Roman" w:hAnsi="Times New Roman" w:hint="eastAsia"/>
          <w:b/>
          <w:sz w:val="24"/>
          <w:szCs w:val="24"/>
        </w:rPr>
        <w:t>（三）基金运作方式</w:t>
      </w:r>
    </w:p>
    <w:p w14:paraId="714BF67E" w14:textId="77777777" w:rsidR="005D2825" w:rsidRPr="00040D5C" w:rsidRDefault="005D2825" w:rsidP="005D2825">
      <w:pPr>
        <w:adjustRightInd w:val="0"/>
        <w:snapToGrid w:val="0"/>
        <w:spacing w:line="360" w:lineRule="auto"/>
        <w:ind w:firstLineChars="200" w:firstLine="480"/>
        <w:rPr>
          <w:rFonts w:ascii="Times New Roman" w:hAnsi="Times New Roman"/>
          <w:sz w:val="24"/>
        </w:rPr>
      </w:pPr>
      <w:r w:rsidRPr="00040D5C">
        <w:rPr>
          <w:rFonts w:ascii="Times New Roman" w:hAnsi="Times New Roman" w:hint="eastAsia"/>
          <w:sz w:val="24"/>
        </w:rPr>
        <w:t>契约型开放式</w:t>
      </w:r>
    </w:p>
    <w:p w14:paraId="0A3C272E" w14:textId="77777777" w:rsidR="005D2825" w:rsidRPr="00040D5C" w:rsidRDefault="005D2825" w:rsidP="005D2825">
      <w:pPr>
        <w:adjustRightInd w:val="0"/>
        <w:snapToGrid w:val="0"/>
        <w:spacing w:line="360" w:lineRule="auto"/>
        <w:ind w:firstLineChars="200" w:firstLine="482"/>
        <w:outlineLvl w:val="1"/>
        <w:rPr>
          <w:rFonts w:ascii="Times New Roman" w:hAnsi="Times New Roman"/>
          <w:b/>
          <w:sz w:val="24"/>
          <w:szCs w:val="24"/>
        </w:rPr>
      </w:pPr>
      <w:bookmarkStart w:id="10" w:name="_Hlk49341725"/>
      <w:r w:rsidRPr="00040D5C">
        <w:rPr>
          <w:rFonts w:ascii="Times New Roman" w:hAnsi="Times New Roman" w:hint="eastAsia"/>
          <w:b/>
          <w:sz w:val="24"/>
          <w:szCs w:val="24"/>
        </w:rPr>
        <w:t>（四）基金存续期限</w:t>
      </w:r>
    </w:p>
    <w:p w14:paraId="40B7B64D" w14:textId="77777777" w:rsidR="005D2825" w:rsidRPr="00040D5C" w:rsidRDefault="005D2825" w:rsidP="005D2825">
      <w:pPr>
        <w:adjustRightInd w:val="0"/>
        <w:snapToGrid w:val="0"/>
        <w:spacing w:line="360" w:lineRule="auto"/>
        <w:ind w:firstLineChars="200" w:firstLine="480"/>
        <w:rPr>
          <w:rFonts w:ascii="Times New Roman" w:hAnsi="Times New Roman"/>
          <w:sz w:val="24"/>
        </w:rPr>
      </w:pPr>
      <w:r w:rsidRPr="00040D5C">
        <w:rPr>
          <w:rFonts w:ascii="Times New Roman" w:hAnsi="Times New Roman" w:hint="eastAsia"/>
          <w:sz w:val="24"/>
        </w:rPr>
        <w:t>不定期</w:t>
      </w:r>
    </w:p>
    <w:p w14:paraId="62D9705A" w14:textId="77777777" w:rsidR="005D2825" w:rsidRPr="00040D5C" w:rsidRDefault="005D2825" w:rsidP="005D2825">
      <w:pPr>
        <w:adjustRightInd w:val="0"/>
        <w:snapToGrid w:val="0"/>
        <w:spacing w:line="360" w:lineRule="auto"/>
        <w:ind w:firstLineChars="200" w:firstLine="482"/>
        <w:outlineLvl w:val="1"/>
        <w:rPr>
          <w:rFonts w:ascii="Times New Roman" w:hAnsi="Times New Roman"/>
          <w:b/>
          <w:bCs/>
          <w:sz w:val="24"/>
        </w:rPr>
      </w:pPr>
      <w:r w:rsidRPr="00040D5C">
        <w:rPr>
          <w:rFonts w:ascii="Times New Roman" w:hAnsi="Times New Roman" w:hint="eastAsia"/>
          <w:b/>
          <w:bCs/>
          <w:sz w:val="24"/>
        </w:rPr>
        <w:t>（五）基金份额类别</w:t>
      </w:r>
    </w:p>
    <w:p w14:paraId="4AB8185E" w14:textId="77777777" w:rsidR="005D2825" w:rsidRPr="00040D5C" w:rsidRDefault="005D2825" w:rsidP="005D2825">
      <w:pPr>
        <w:adjustRightInd w:val="0"/>
        <w:snapToGrid w:val="0"/>
        <w:spacing w:line="360" w:lineRule="auto"/>
        <w:ind w:firstLineChars="200" w:firstLine="480"/>
        <w:rPr>
          <w:rFonts w:ascii="Times New Roman" w:hAnsi="Times New Roman"/>
          <w:sz w:val="24"/>
        </w:rPr>
      </w:pPr>
      <w:r w:rsidRPr="00040D5C">
        <w:rPr>
          <w:rFonts w:ascii="Times New Roman" w:hAnsi="Times New Roman" w:hint="eastAsia"/>
          <w:sz w:val="24"/>
        </w:rPr>
        <w:t>本基金根据认购</w:t>
      </w:r>
      <w:r w:rsidRPr="00040D5C">
        <w:rPr>
          <w:rFonts w:ascii="Times New Roman" w:hAnsi="Times New Roman"/>
          <w:sz w:val="24"/>
        </w:rPr>
        <w:t>/</w:t>
      </w:r>
      <w:r w:rsidRPr="00040D5C">
        <w:rPr>
          <w:rFonts w:ascii="Times New Roman" w:hAnsi="Times New Roman" w:hint="eastAsia"/>
          <w:sz w:val="24"/>
        </w:rPr>
        <w:t>申购费用、销售服务费收取方式的不同，将基金份额分为不同的类别。在投资人认购</w:t>
      </w:r>
      <w:r w:rsidRPr="00040D5C">
        <w:rPr>
          <w:rFonts w:ascii="Times New Roman" w:hAnsi="Times New Roman"/>
          <w:sz w:val="24"/>
        </w:rPr>
        <w:t>/</w:t>
      </w:r>
      <w:r w:rsidRPr="00040D5C">
        <w:rPr>
          <w:rFonts w:ascii="Times New Roman" w:hAnsi="Times New Roman" w:hint="eastAsia"/>
          <w:sz w:val="24"/>
        </w:rPr>
        <w:t>申购时收取认购</w:t>
      </w:r>
      <w:r w:rsidRPr="00040D5C">
        <w:rPr>
          <w:rFonts w:ascii="Times New Roman" w:hAnsi="Times New Roman"/>
          <w:sz w:val="24"/>
        </w:rPr>
        <w:t>/</w:t>
      </w:r>
      <w:r w:rsidRPr="00040D5C">
        <w:rPr>
          <w:rFonts w:ascii="Times New Roman" w:hAnsi="Times New Roman" w:hint="eastAsia"/>
          <w:sz w:val="24"/>
        </w:rPr>
        <w:t>申购费用</w:t>
      </w:r>
      <w:r w:rsidRPr="00040D5C">
        <w:rPr>
          <w:rFonts w:ascii="Times New Roman" w:hAnsi="Times New Roman" w:hint="eastAsia"/>
          <w:bCs/>
          <w:sz w:val="24"/>
        </w:rPr>
        <w:t>、</w:t>
      </w:r>
      <w:r w:rsidRPr="00040D5C">
        <w:rPr>
          <w:rFonts w:ascii="Times New Roman" w:hAnsi="Times New Roman" w:hint="eastAsia"/>
          <w:sz w:val="24"/>
        </w:rPr>
        <w:t>不从本类别基金资产中计提销售服务费的，称为</w:t>
      </w:r>
      <w:r w:rsidRPr="00040D5C">
        <w:rPr>
          <w:rFonts w:ascii="Times New Roman" w:hAnsi="Times New Roman"/>
          <w:sz w:val="24"/>
        </w:rPr>
        <w:t>A</w:t>
      </w:r>
      <w:r w:rsidRPr="00040D5C">
        <w:rPr>
          <w:rFonts w:ascii="Times New Roman" w:hAnsi="Times New Roman" w:hint="eastAsia"/>
          <w:sz w:val="24"/>
        </w:rPr>
        <w:t>类基金份额；在投资人认购</w:t>
      </w:r>
      <w:r w:rsidRPr="00040D5C">
        <w:rPr>
          <w:rFonts w:ascii="Times New Roman" w:hAnsi="Times New Roman"/>
          <w:sz w:val="24"/>
        </w:rPr>
        <w:t>/</w:t>
      </w:r>
      <w:r w:rsidRPr="00040D5C">
        <w:rPr>
          <w:rFonts w:ascii="Times New Roman" w:hAnsi="Times New Roman" w:hint="eastAsia"/>
          <w:sz w:val="24"/>
        </w:rPr>
        <w:t>申购时不收取认购</w:t>
      </w:r>
      <w:r w:rsidRPr="00040D5C">
        <w:rPr>
          <w:rFonts w:ascii="Times New Roman" w:hAnsi="Times New Roman"/>
          <w:sz w:val="24"/>
        </w:rPr>
        <w:t>/</w:t>
      </w:r>
      <w:r w:rsidRPr="00040D5C">
        <w:rPr>
          <w:rFonts w:ascii="Times New Roman" w:hAnsi="Times New Roman" w:hint="eastAsia"/>
          <w:sz w:val="24"/>
        </w:rPr>
        <w:t>申购</w:t>
      </w:r>
      <w:r w:rsidRPr="00040D5C">
        <w:rPr>
          <w:rFonts w:ascii="Times New Roman" w:hAnsi="Times New Roman" w:hint="eastAsia"/>
          <w:bCs/>
          <w:sz w:val="24"/>
        </w:rPr>
        <w:t>费用、</w:t>
      </w:r>
      <w:r w:rsidRPr="00040D5C">
        <w:rPr>
          <w:rFonts w:ascii="Times New Roman" w:hAnsi="Times New Roman" w:hint="eastAsia"/>
          <w:sz w:val="24"/>
        </w:rPr>
        <w:t>从本类别基金资产中计提销售服务费的，称为</w:t>
      </w:r>
      <w:r w:rsidRPr="00040D5C">
        <w:rPr>
          <w:rFonts w:ascii="Times New Roman" w:hAnsi="Times New Roman"/>
          <w:sz w:val="24"/>
        </w:rPr>
        <w:t>C</w:t>
      </w:r>
      <w:r w:rsidRPr="00040D5C">
        <w:rPr>
          <w:rFonts w:ascii="Times New Roman" w:hAnsi="Times New Roman" w:hint="eastAsia"/>
          <w:sz w:val="24"/>
        </w:rPr>
        <w:t>类基金份额。</w:t>
      </w:r>
    </w:p>
    <w:p w14:paraId="138BA8AA" w14:textId="77777777" w:rsidR="005D2825" w:rsidRPr="00040D5C" w:rsidRDefault="005D2825" w:rsidP="005D2825">
      <w:pPr>
        <w:adjustRightInd w:val="0"/>
        <w:snapToGrid w:val="0"/>
        <w:spacing w:line="360" w:lineRule="auto"/>
        <w:ind w:firstLineChars="200" w:firstLine="480"/>
        <w:rPr>
          <w:rFonts w:ascii="Times New Roman" w:hAnsi="Times New Roman"/>
          <w:sz w:val="24"/>
        </w:rPr>
      </w:pPr>
      <w:r w:rsidRPr="00040D5C">
        <w:rPr>
          <w:rFonts w:ascii="Times New Roman" w:hAnsi="Times New Roman" w:hint="eastAsia"/>
          <w:sz w:val="24"/>
        </w:rPr>
        <w:t>本基金</w:t>
      </w:r>
      <w:r w:rsidRPr="00040D5C">
        <w:rPr>
          <w:rFonts w:ascii="Times New Roman" w:hAnsi="Times New Roman"/>
          <w:sz w:val="24"/>
        </w:rPr>
        <w:t>A</w:t>
      </w:r>
      <w:r w:rsidRPr="00040D5C">
        <w:rPr>
          <w:rFonts w:ascii="Times New Roman" w:hAnsi="Times New Roman" w:hint="eastAsia"/>
          <w:sz w:val="24"/>
        </w:rPr>
        <w:t>类基金份额和</w:t>
      </w:r>
      <w:r w:rsidRPr="00040D5C">
        <w:rPr>
          <w:rFonts w:ascii="Times New Roman" w:hAnsi="Times New Roman"/>
          <w:sz w:val="24"/>
        </w:rPr>
        <w:t>C</w:t>
      </w:r>
      <w:r w:rsidRPr="00040D5C">
        <w:rPr>
          <w:rFonts w:ascii="Times New Roman" w:hAnsi="Times New Roman" w:hint="eastAsia"/>
          <w:sz w:val="24"/>
        </w:rPr>
        <w:t>类基金份额分别设置基金代码。由于基金费用的不同，本基金</w:t>
      </w:r>
      <w:r w:rsidRPr="00040D5C">
        <w:rPr>
          <w:rFonts w:ascii="Times New Roman" w:hAnsi="Times New Roman"/>
          <w:sz w:val="24"/>
        </w:rPr>
        <w:t>A</w:t>
      </w:r>
      <w:r w:rsidRPr="00040D5C">
        <w:rPr>
          <w:rFonts w:ascii="Times New Roman" w:hAnsi="Times New Roman" w:hint="eastAsia"/>
          <w:sz w:val="24"/>
        </w:rPr>
        <w:t>类基金份额和</w:t>
      </w:r>
      <w:r w:rsidRPr="00040D5C">
        <w:rPr>
          <w:rFonts w:ascii="Times New Roman" w:hAnsi="Times New Roman"/>
          <w:sz w:val="24"/>
        </w:rPr>
        <w:t>C</w:t>
      </w:r>
      <w:r w:rsidRPr="00040D5C">
        <w:rPr>
          <w:rFonts w:ascii="Times New Roman" w:hAnsi="Times New Roman" w:hint="eastAsia"/>
          <w:sz w:val="24"/>
        </w:rPr>
        <w:t>类基金份额将分别计算基金份额净值并单独公告。投资者可自行选择认购</w:t>
      </w:r>
      <w:r w:rsidRPr="00040D5C">
        <w:rPr>
          <w:rFonts w:ascii="Times New Roman" w:hAnsi="Times New Roman"/>
          <w:sz w:val="24"/>
        </w:rPr>
        <w:t>/</w:t>
      </w:r>
      <w:r w:rsidRPr="00040D5C">
        <w:rPr>
          <w:rFonts w:ascii="Times New Roman" w:hAnsi="Times New Roman" w:hint="eastAsia"/>
          <w:sz w:val="24"/>
        </w:rPr>
        <w:t>申购的基金份额类别。本基金不同基金份额类别之间</w:t>
      </w:r>
      <w:r w:rsidRPr="00040D5C">
        <w:rPr>
          <w:rFonts w:ascii="Times New Roman" w:hAnsi="Times New Roman" w:hint="eastAsia"/>
          <w:bCs/>
          <w:sz w:val="24"/>
        </w:rPr>
        <w:t>暂不开通互相转换业务。如后续开通此项业务的，无需召开基金份额持有人大会审议，但调整前基金管理人需及时公告</w:t>
      </w:r>
      <w:r w:rsidRPr="00040D5C">
        <w:rPr>
          <w:rFonts w:ascii="Times New Roman" w:hAnsi="Times New Roman" w:hint="eastAsia"/>
          <w:sz w:val="24"/>
        </w:rPr>
        <w:t>。</w:t>
      </w:r>
    </w:p>
    <w:p w14:paraId="6FD2456A" w14:textId="77777777" w:rsidR="005D2825" w:rsidRPr="00040D5C" w:rsidRDefault="005D2825" w:rsidP="005D2825">
      <w:pPr>
        <w:adjustRightInd w:val="0"/>
        <w:snapToGrid w:val="0"/>
        <w:spacing w:line="360" w:lineRule="auto"/>
        <w:ind w:firstLineChars="200" w:firstLine="480"/>
        <w:rPr>
          <w:rFonts w:ascii="Times New Roman" w:hAnsi="Times New Roman"/>
          <w:sz w:val="24"/>
        </w:rPr>
      </w:pPr>
      <w:r w:rsidRPr="00040D5C">
        <w:rPr>
          <w:rFonts w:ascii="Times New Roman" w:hAnsi="Times New Roman" w:hint="eastAsia"/>
          <w:sz w:val="24"/>
        </w:rPr>
        <w:t>在不违反法律法规、基金合同的约定以及对基金份额持有人利益无实质性不利影响的情况下，根据基金实际运作情况，经与基金托管人协商一致，基金管理人可增加或调整基金份额类别设置、对基金份额分类办法及规则进行调整并在调整实施前依照《信息披露办法》的有关规定在规定媒介上公告，而无需召开基金份额持有人大会。</w:t>
      </w:r>
    </w:p>
    <w:p w14:paraId="70BDF488" w14:textId="77777777" w:rsidR="005D2825" w:rsidRPr="00040D5C" w:rsidRDefault="005D2825" w:rsidP="005D2825">
      <w:pPr>
        <w:adjustRightInd w:val="0"/>
        <w:snapToGrid w:val="0"/>
        <w:spacing w:line="360" w:lineRule="auto"/>
        <w:ind w:firstLineChars="200" w:firstLine="482"/>
        <w:outlineLvl w:val="1"/>
        <w:rPr>
          <w:rFonts w:ascii="Times New Roman" w:hAnsi="Times New Roman"/>
          <w:b/>
          <w:sz w:val="24"/>
          <w:szCs w:val="24"/>
        </w:rPr>
      </w:pPr>
      <w:r w:rsidRPr="00040D5C">
        <w:rPr>
          <w:rFonts w:ascii="Times New Roman" w:hAnsi="Times New Roman" w:hint="eastAsia"/>
          <w:b/>
          <w:sz w:val="24"/>
          <w:szCs w:val="24"/>
        </w:rPr>
        <w:t>（六）基金份额的认购</w:t>
      </w:r>
    </w:p>
    <w:p w14:paraId="425AFD84" w14:textId="77777777" w:rsidR="005D2825" w:rsidRPr="00040D5C" w:rsidRDefault="005D2825" w:rsidP="005D2825">
      <w:pPr>
        <w:adjustRightInd w:val="0"/>
        <w:snapToGrid w:val="0"/>
        <w:spacing w:line="360" w:lineRule="auto"/>
        <w:ind w:firstLineChars="200" w:firstLine="480"/>
        <w:rPr>
          <w:rFonts w:ascii="Times New Roman" w:hAnsi="Times New Roman"/>
          <w:sz w:val="24"/>
        </w:rPr>
      </w:pPr>
      <w:r w:rsidRPr="00040D5C">
        <w:rPr>
          <w:rFonts w:ascii="Times New Roman" w:hAnsi="Times New Roman" w:hint="eastAsia"/>
          <w:sz w:val="24"/>
        </w:rPr>
        <w:t>基金募集期内，基金份额通过各销售机构向投资人公开发售。募集期间个人投资者可以通过基金管理人网上直销交易平台办理开户和本基金的认购业务。具体请</w:t>
      </w:r>
      <w:r w:rsidRPr="00040D5C">
        <w:rPr>
          <w:rFonts w:ascii="Times New Roman" w:hAnsi="Times New Roman" w:hint="eastAsia"/>
          <w:sz w:val="24"/>
        </w:rPr>
        <w:lastRenderedPageBreak/>
        <w:t>见</w:t>
      </w:r>
      <w:r w:rsidRPr="00040D5C">
        <w:rPr>
          <w:rFonts w:ascii="Times New Roman" w:hAnsi="Times New Roman" w:hint="eastAsia"/>
          <w:bCs/>
          <w:sz w:val="24"/>
        </w:rPr>
        <w:t>基金份额发售公告以及基金管理人网站。</w:t>
      </w:r>
      <w:r w:rsidRPr="00040D5C">
        <w:rPr>
          <w:rFonts w:ascii="Times New Roman" w:hAnsi="Times New Roman" w:hint="eastAsia"/>
          <w:sz w:val="24"/>
        </w:rPr>
        <w:t>除法律法规或中国证监会另有规定外，任何与基金份额发售有关的当事人不得预留和提前发售基金份额。</w:t>
      </w:r>
    </w:p>
    <w:p w14:paraId="37BC9163" w14:textId="77777777" w:rsidR="005D2825" w:rsidRPr="00040D5C" w:rsidRDefault="005D2825" w:rsidP="005D2825">
      <w:pPr>
        <w:adjustRightInd w:val="0"/>
        <w:snapToGrid w:val="0"/>
        <w:spacing w:line="360" w:lineRule="auto"/>
        <w:ind w:firstLineChars="200" w:firstLine="480"/>
        <w:outlineLvl w:val="2"/>
        <w:rPr>
          <w:rFonts w:ascii="Times New Roman" w:hAnsi="Times New Roman"/>
          <w:sz w:val="24"/>
        </w:rPr>
      </w:pPr>
      <w:r w:rsidRPr="00040D5C">
        <w:rPr>
          <w:rFonts w:ascii="Times New Roman" w:hAnsi="Times New Roman"/>
          <w:sz w:val="24"/>
        </w:rPr>
        <w:t>1</w:t>
      </w:r>
      <w:r w:rsidRPr="00040D5C">
        <w:rPr>
          <w:rFonts w:ascii="Times New Roman" w:hAnsi="Times New Roman" w:hint="eastAsia"/>
          <w:sz w:val="24"/>
        </w:rPr>
        <w:t>、基金份额的发售时间、方式和对象</w:t>
      </w:r>
    </w:p>
    <w:p w14:paraId="58225409" w14:textId="0ED32417" w:rsidR="005D2825" w:rsidRPr="00040D5C" w:rsidRDefault="005D2825" w:rsidP="005D2825">
      <w:pPr>
        <w:adjustRightInd w:val="0"/>
        <w:snapToGrid w:val="0"/>
        <w:spacing w:line="360" w:lineRule="auto"/>
        <w:ind w:leftChars="50" w:left="105" w:firstLineChars="150" w:firstLine="360"/>
        <w:rPr>
          <w:rFonts w:ascii="Times New Roman" w:hAnsi="Times New Roman"/>
          <w:sz w:val="24"/>
        </w:rPr>
      </w:pPr>
      <w:r w:rsidRPr="00040D5C">
        <w:rPr>
          <w:rFonts w:ascii="Times New Roman" w:hAnsi="Times New Roman" w:hint="eastAsia"/>
          <w:sz w:val="24"/>
        </w:rPr>
        <w:t>（</w:t>
      </w:r>
      <w:r w:rsidRPr="00040D5C">
        <w:rPr>
          <w:rFonts w:ascii="Times New Roman" w:hAnsi="Times New Roman"/>
          <w:sz w:val="24"/>
        </w:rPr>
        <w:t>1</w:t>
      </w:r>
      <w:r w:rsidRPr="00040D5C">
        <w:rPr>
          <w:rFonts w:ascii="Times New Roman" w:hAnsi="Times New Roman" w:hint="eastAsia"/>
          <w:sz w:val="24"/>
        </w:rPr>
        <w:t>）募集期限：自基金份额发售之日起不超过</w:t>
      </w:r>
      <w:r w:rsidRPr="00040D5C">
        <w:rPr>
          <w:rFonts w:ascii="Times New Roman" w:hAnsi="Times New Roman"/>
          <w:sz w:val="24"/>
        </w:rPr>
        <w:t>3</w:t>
      </w:r>
      <w:r w:rsidRPr="00040D5C">
        <w:rPr>
          <w:rFonts w:ascii="Times New Roman" w:hAnsi="Times New Roman" w:hint="eastAsia"/>
          <w:sz w:val="24"/>
        </w:rPr>
        <w:t>个月。本基金自</w:t>
      </w:r>
      <w:r w:rsidRPr="00040D5C">
        <w:rPr>
          <w:rFonts w:ascii="Times New Roman" w:hAnsi="Times New Roman"/>
          <w:kern w:val="0"/>
          <w:sz w:val="24"/>
        </w:rPr>
        <w:t>202</w:t>
      </w:r>
      <w:r w:rsidR="004B2455">
        <w:rPr>
          <w:rFonts w:ascii="Times New Roman" w:hAnsi="Times New Roman"/>
          <w:kern w:val="0"/>
          <w:sz w:val="24"/>
        </w:rPr>
        <w:t>4</w:t>
      </w:r>
      <w:r w:rsidRPr="00040D5C">
        <w:rPr>
          <w:rFonts w:ascii="Times New Roman" w:hAnsi="Times New Roman"/>
          <w:kern w:val="0"/>
          <w:sz w:val="24"/>
        </w:rPr>
        <w:t>年</w:t>
      </w:r>
      <w:r w:rsidR="004B2455">
        <w:rPr>
          <w:rFonts w:ascii="Times New Roman" w:hAnsi="Times New Roman"/>
          <w:kern w:val="0"/>
          <w:sz w:val="24"/>
        </w:rPr>
        <w:t>2</w:t>
      </w:r>
      <w:r w:rsidRPr="00040D5C">
        <w:rPr>
          <w:rFonts w:ascii="Times New Roman" w:hAnsi="Times New Roman"/>
          <w:kern w:val="0"/>
          <w:sz w:val="24"/>
        </w:rPr>
        <w:t>月</w:t>
      </w:r>
      <w:r w:rsidR="004B2455">
        <w:rPr>
          <w:rFonts w:ascii="Times New Roman" w:hAnsi="Times New Roman"/>
          <w:kern w:val="0"/>
          <w:sz w:val="24"/>
        </w:rPr>
        <w:t>28</w:t>
      </w:r>
      <w:r w:rsidRPr="00040D5C">
        <w:rPr>
          <w:rFonts w:ascii="Times New Roman" w:hAnsi="Times New Roman"/>
          <w:kern w:val="0"/>
          <w:sz w:val="24"/>
        </w:rPr>
        <w:t>日</w:t>
      </w:r>
      <w:r w:rsidRPr="00040D5C">
        <w:rPr>
          <w:rFonts w:ascii="Times New Roman" w:hAnsi="Times New Roman" w:hint="eastAsia"/>
          <w:sz w:val="24"/>
        </w:rPr>
        <w:t>起至</w:t>
      </w:r>
      <w:r w:rsidRPr="00040D5C">
        <w:rPr>
          <w:rFonts w:ascii="Times New Roman" w:hAnsi="Times New Roman"/>
          <w:kern w:val="0"/>
          <w:sz w:val="24"/>
        </w:rPr>
        <w:t>202</w:t>
      </w:r>
      <w:r w:rsidR="004B2455">
        <w:rPr>
          <w:rFonts w:ascii="Times New Roman" w:hAnsi="Times New Roman"/>
          <w:kern w:val="0"/>
          <w:sz w:val="24"/>
        </w:rPr>
        <w:t>4</w:t>
      </w:r>
      <w:r w:rsidRPr="00040D5C">
        <w:rPr>
          <w:rFonts w:ascii="Times New Roman" w:hAnsi="Times New Roman"/>
          <w:kern w:val="0"/>
          <w:sz w:val="24"/>
        </w:rPr>
        <w:t>年</w:t>
      </w:r>
      <w:r w:rsidR="004B2455">
        <w:rPr>
          <w:rFonts w:ascii="Times New Roman" w:hAnsi="Times New Roman"/>
          <w:kern w:val="0"/>
          <w:sz w:val="24"/>
        </w:rPr>
        <w:t>3</w:t>
      </w:r>
      <w:r w:rsidRPr="00040D5C">
        <w:rPr>
          <w:rFonts w:ascii="Times New Roman" w:hAnsi="Times New Roman"/>
          <w:kern w:val="0"/>
          <w:sz w:val="24"/>
        </w:rPr>
        <w:t>月</w:t>
      </w:r>
      <w:r w:rsidR="004B2455">
        <w:rPr>
          <w:rFonts w:ascii="Times New Roman" w:hAnsi="Times New Roman" w:hint="eastAsia"/>
          <w:kern w:val="0"/>
          <w:sz w:val="24"/>
        </w:rPr>
        <w:t>2</w:t>
      </w:r>
      <w:r w:rsidR="00170718">
        <w:rPr>
          <w:rFonts w:ascii="Times New Roman" w:hAnsi="Times New Roman"/>
          <w:kern w:val="0"/>
          <w:sz w:val="24"/>
        </w:rPr>
        <w:t>9</w:t>
      </w:r>
      <w:r w:rsidRPr="00040D5C">
        <w:rPr>
          <w:rFonts w:ascii="Times New Roman" w:hAnsi="Times New Roman"/>
          <w:kern w:val="0"/>
          <w:sz w:val="24"/>
        </w:rPr>
        <w:t>日</w:t>
      </w:r>
      <w:r w:rsidRPr="00040D5C">
        <w:rPr>
          <w:rFonts w:ascii="Times New Roman" w:hAnsi="Times New Roman" w:hint="eastAsia"/>
          <w:sz w:val="24"/>
        </w:rPr>
        <w:t>止通过销售机构公开发售（详见基金份额发售公告及销售机构相关公告）。如果在此期间未达到本招募说明书中“七、基金合同的生效”中的“（一）基金备案的条件”的规定，基金可在募集期限内继续销售，直到达到基金备案条件。基金管理人也可根据基金销售情况在募集期限内适当延长或缩短基金发售时间，并及时公告。</w:t>
      </w:r>
    </w:p>
    <w:p w14:paraId="37FECBA4" w14:textId="77777777" w:rsidR="005D2825" w:rsidRPr="00040D5C" w:rsidRDefault="005D2825" w:rsidP="005D2825">
      <w:pPr>
        <w:adjustRightInd w:val="0"/>
        <w:snapToGrid w:val="0"/>
        <w:spacing w:line="360" w:lineRule="auto"/>
        <w:ind w:firstLineChars="200" w:firstLine="480"/>
        <w:rPr>
          <w:rFonts w:ascii="Times New Roman" w:hAnsi="Times New Roman"/>
        </w:rPr>
      </w:pPr>
      <w:r w:rsidRPr="00040D5C">
        <w:rPr>
          <w:rFonts w:ascii="Times New Roman" w:hAnsi="Times New Roman" w:hint="eastAsia"/>
          <w:sz w:val="24"/>
        </w:rPr>
        <w:t>（</w:t>
      </w:r>
      <w:r w:rsidRPr="00040D5C">
        <w:rPr>
          <w:rFonts w:ascii="Times New Roman" w:hAnsi="Times New Roman"/>
          <w:sz w:val="24"/>
        </w:rPr>
        <w:t>2</w:t>
      </w:r>
      <w:r w:rsidRPr="00040D5C">
        <w:rPr>
          <w:rFonts w:ascii="Times New Roman" w:hAnsi="Times New Roman" w:hint="eastAsia"/>
          <w:sz w:val="24"/>
        </w:rPr>
        <w:t>）销售渠道：销售机构具体名单见基金份额发售公告以及基金管理人网站</w:t>
      </w:r>
      <w:r w:rsidRPr="00040D5C">
        <w:rPr>
          <w:rFonts w:ascii="Times New Roman" w:hAnsi="Times New Roman" w:hint="eastAsia"/>
        </w:rPr>
        <w:t>。</w:t>
      </w:r>
    </w:p>
    <w:p w14:paraId="44D71B69" w14:textId="77777777" w:rsidR="005D2825" w:rsidRPr="00040D5C" w:rsidRDefault="005D2825" w:rsidP="005D2825">
      <w:pPr>
        <w:adjustRightInd w:val="0"/>
        <w:snapToGrid w:val="0"/>
        <w:spacing w:line="360" w:lineRule="auto"/>
        <w:ind w:firstLineChars="200" w:firstLine="480"/>
        <w:rPr>
          <w:rFonts w:ascii="Times New Roman" w:hAnsi="Times New Roman"/>
          <w:sz w:val="24"/>
        </w:rPr>
      </w:pPr>
      <w:r w:rsidRPr="00040D5C">
        <w:rPr>
          <w:rFonts w:ascii="Times New Roman" w:hAnsi="Times New Roman" w:hint="eastAsia"/>
          <w:sz w:val="24"/>
        </w:rPr>
        <w:t>（</w:t>
      </w:r>
      <w:r w:rsidRPr="00040D5C">
        <w:rPr>
          <w:rFonts w:ascii="Times New Roman" w:hAnsi="Times New Roman"/>
          <w:sz w:val="24"/>
        </w:rPr>
        <w:t>3</w:t>
      </w:r>
      <w:r w:rsidRPr="00040D5C">
        <w:rPr>
          <w:rFonts w:ascii="Times New Roman" w:hAnsi="Times New Roman" w:hint="eastAsia"/>
          <w:sz w:val="24"/>
        </w:rPr>
        <w:t>）销售对象：符合法律法规规定的可投资于证券投资基金的个人投资者、机构投资者、合格境外投资者以及法律法规或中国证监会允许购买证券投资基金的其他投资人。</w:t>
      </w:r>
    </w:p>
    <w:p w14:paraId="0B4353E7" w14:textId="77777777" w:rsidR="005D2825" w:rsidRPr="00040D5C" w:rsidRDefault="005D2825" w:rsidP="005D2825">
      <w:pPr>
        <w:adjustRightInd w:val="0"/>
        <w:snapToGrid w:val="0"/>
        <w:spacing w:line="360" w:lineRule="auto"/>
        <w:ind w:firstLineChars="200" w:firstLine="480"/>
        <w:outlineLvl w:val="2"/>
        <w:rPr>
          <w:rFonts w:ascii="Times New Roman" w:hAnsi="Times New Roman"/>
          <w:sz w:val="24"/>
        </w:rPr>
      </w:pPr>
      <w:r w:rsidRPr="00040D5C">
        <w:rPr>
          <w:rFonts w:ascii="Times New Roman" w:hAnsi="Times New Roman"/>
          <w:sz w:val="24"/>
        </w:rPr>
        <w:t>2</w:t>
      </w:r>
      <w:r w:rsidRPr="00040D5C">
        <w:rPr>
          <w:rFonts w:ascii="Times New Roman" w:hAnsi="Times New Roman" w:hint="eastAsia"/>
          <w:sz w:val="24"/>
        </w:rPr>
        <w:t>、基金份额的认购和持有限制</w:t>
      </w:r>
    </w:p>
    <w:p w14:paraId="30F686B5" w14:textId="77777777" w:rsidR="005D2825" w:rsidRPr="00040D5C" w:rsidRDefault="005D2825" w:rsidP="005D2825">
      <w:pPr>
        <w:adjustRightInd w:val="0"/>
        <w:snapToGrid w:val="0"/>
        <w:spacing w:line="360" w:lineRule="auto"/>
        <w:ind w:firstLineChars="200" w:firstLine="480"/>
        <w:rPr>
          <w:rFonts w:ascii="Times New Roman" w:hAnsi="Times New Roman"/>
          <w:sz w:val="24"/>
        </w:rPr>
      </w:pPr>
      <w:r w:rsidRPr="00040D5C">
        <w:rPr>
          <w:rFonts w:ascii="Times New Roman" w:hAnsi="Times New Roman" w:hint="eastAsia"/>
          <w:sz w:val="24"/>
        </w:rPr>
        <w:t>（</w:t>
      </w:r>
      <w:r w:rsidRPr="00040D5C">
        <w:rPr>
          <w:rFonts w:ascii="Times New Roman" w:hAnsi="Times New Roman"/>
          <w:sz w:val="24"/>
        </w:rPr>
        <w:t>1</w:t>
      </w:r>
      <w:r w:rsidRPr="00040D5C">
        <w:rPr>
          <w:rFonts w:ascii="Times New Roman" w:hAnsi="Times New Roman" w:hint="eastAsia"/>
          <w:sz w:val="24"/>
        </w:rPr>
        <w:t>）基金份额的认购采用金额认购方式。</w:t>
      </w:r>
    </w:p>
    <w:p w14:paraId="7C9A93A9" w14:textId="77777777" w:rsidR="005D2825" w:rsidRPr="00040D5C" w:rsidRDefault="005D2825" w:rsidP="005D2825">
      <w:pPr>
        <w:adjustRightInd w:val="0"/>
        <w:snapToGrid w:val="0"/>
        <w:spacing w:line="360" w:lineRule="auto"/>
        <w:ind w:firstLineChars="200" w:firstLine="480"/>
        <w:rPr>
          <w:rFonts w:ascii="Times New Roman" w:hAnsi="Times New Roman"/>
          <w:sz w:val="24"/>
        </w:rPr>
      </w:pPr>
      <w:r w:rsidRPr="00040D5C">
        <w:rPr>
          <w:rFonts w:ascii="Times New Roman" w:hAnsi="Times New Roman" w:hint="eastAsia"/>
          <w:sz w:val="24"/>
        </w:rPr>
        <w:t>（</w:t>
      </w:r>
      <w:r w:rsidRPr="00040D5C">
        <w:rPr>
          <w:rFonts w:ascii="Times New Roman" w:hAnsi="Times New Roman"/>
          <w:sz w:val="24"/>
        </w:rPr>
        <w:t>2</w:t>
      </w:r>
      <w:r w:rsidRPr="00040D5C">
        <w:rPr>
          <w:rFonts w:ascii="Times New Roman" w:hAnsi="Times New Roman" w:hint="eastAsia"/>
          <w:sz w:val="24"/>
        </w:rPr>
        <w:t>）投资人认购基金份额采用全额缴款的认购方式。投资人认购时，需按销售机构规定的方式备足认购的金额。</w:t>
      </w:r>
    </w:p>
    <w:p w14:paraId="511FA64A" w14:textId="77777777" w:rsidR="005D2825" w:rsidRPr="00040D5C" w:rsidRDefault="005D2825" w:rsidP="005D2825">
      <w:pPr>
        <w:adjustRightInd w:val="0"/>
        <w:snapToGrid w:val="0"/>
        <w:spacing w:line="360" w:lineRule="auto"/>
        <w:ind w:firstLineChars="200" w:firstLine="480"/>
        <w:rPr>
          <w:rFonts w:ascii="Times New Roman" w:hAnsi="Times New Roman"/>
          <w:sz w:val="24"/>
        </w:rPr>
      </w:pPr>
      <w:r w:rsidRPr="00040D5C">
        <w:rPr>
          <w:rFonts w:ascii="Times New Roman" w:hAnsi="Times New Roman" w:hint="eastAsia"/>
          <w:sz w:val="24"/>
        </w:rPr>
        <w:t>（</w:t>
      </w:r>
      <w:r w:rsidRPr="00040D5C">
        <w:rPr>
          <w:rFonts w:ascii="Times New Roman" w:hAnsi="Times New Roman"/>
          <w:sz w:val="24"/>
        </w:rPr>
        <w:t>3</w:t>
      </w:r>
      <w:r w:rsidRPr="00040D5C">
        <w:rPr>
          <w:rFonts w:ascii="Times New Roman" w:hAnsi="Times New Roman" w:hint="eastAsia"/>
          <w:sz w:val="24"/>
        </w:rPr>
        <w:t>）投资人在募集期内可以多次认购基金份额，认购申请一经登记机构受理不得撤销。</w:t>
      </w:r>
    </w:p>
    <w:p w14:paraId="463B544D" w14:textId="77777777" w:rsidR="005D2825" w:rsidRPr="00040D5C" w:rsidRDefault="005D2825" w:rsidP="005D2825">
      <w:pPr>
        <w:adjustRightInd w:val="0"/>
        <w:snapToGrid w:val="0"/>
        <w:spacing w:line="360" w:lineRule="auto"/>
        <w:ind w:firstLineChars="200" w:firstLine="480"/>
        <w:rPr>
          <w:rFonts w:ascii="Times New Roman" w:hAnsi="Times New Roman"/>
          <w:sz w:val="24"/>
        </w:rPr>
      </w:pPr>
      <w:r w:rsidRPr="00040D5C">
        <w:rPr>
          <w:rFonts w:ascii="Times New Roman" w:hAnsi="Times New Roman" w:hint="eastAsia"/>
          <w:sz w:val="24"/>
        </w:rPr>
        <w:t>（</w:t>
      </w:r>
      <w:r w:rsidRPr="00040D5C">
        <w:rPr>
          <w:rFonts w:ascii="Times New Roman" w:hAnsi="Times New Roman"/>
          <w:sz w:val="24"/>
        </w:rPr>
        <w:t>4</w:t>
      </w:r>
      <w:r w:rsidRPr="00040D5C">
        <w:rPr>
          <w:rFonts w:ascii="Times New Roman" w:hAnsi="Times New Roman" w:hint="eastAsia"/>
          <w:sz w:val="24"/>
        </w:rPr>
        <w:t>）直销机构接受首次认购申请的最低金额为单笔</w:t>
      </w:r>
      <w:r w:rsidRPr="00040D5C">
        <w:rPr>
          <w:rFonts w:ascii="Times New Roman" w:hAnsi="Times New Roman"/>
          <w:sz w:val="24"/>
        </w:rPr>
        <w:t>100</w:t>
      </w:r>
      <w:r w:rsidRPr="00040D5C">
        <w:rPr>
          <w:rFonts w:ascii="Times New Roman" w:hAnsi="Times New Roman" w:hint="eastAsia"/>
          <w:sz w:val="24"/>
        </w:rPr>
        <w:t>万元，追加认购的最低金额为单笔</w:t>
      </w:r>
      <w:r w:rsidRPr="00040D5C">
        <w:rPr>
          <w:rFonts w:ascii="Times New Roman" w:hAnsi="Times New Roman"/>
          <w:sz w:val="24"/>
        </w:rPr>
        <w:t>10</w:t>
      </w:r>
      <w:r w:rsidRPr="00040D5C">
        <w:rPr>
          <w:rFonts w:ascii="Times New Roman" w:hAnsi="Times New Roman" w:hint="eastAsia"/>
          <w:sz w:val="24"/>
        </w:rPr>
        <w:t>万元；已在直销机构有认购或申购过本基金管理人管理的其他基金记录的投资人不受首次认购最低金额的限制。通过基金管理人网上直销交易平台办理本基金认购业务的不受直销机构最低认购金额的限制，认购最低金额为单笔</w:t>
      </w:r>
      <w:r w:rsidRPr="00040D5C">
        <w:rPr>
          <w:rFonts w:ascii="Times New Roman" w:hAnsi="Times New Roman"/>
          <w:sz w:val="24"/>
        </w:rPr>
        <w:t>1</w:t>
      </w:r>
      <w:r w:rsidRPr="00040D5C">
        <w:rPr>
          <w:rFonts w:ascii="Times New Roman" w:hAnsi="Times New Roman" w:hint="eastAsia"/>
          <w:sz w:val="24"/>
        </w:rPr>
        <w:t>元。本基金直销机构单笔认购最低金额可由基金管理人酌情调整。其他销售机构接受认购申请的最低金额为单笔</w:t>
      </w:r>
      <w:r w:rsidRPr="00040D5C">
        <w:rPr>
          <w:rFonts w:ascii="Times New Roman" w:hAnsi="Times New Roman"/>
          <w:sz w:val="24"/>
        </w:rPr>
        <w:t>1</w:t>
      </w:r>
      <w:r w:rsidRPr="00040D5C">
        <w:rPr>
          <w:rFonts w:ascii="Times New Roman" w:hAnsi="Times New Roman" w:hint="eastAsia"/>
          <w:sz w:val="24"/>
        </w:rPr>
        <w:t>元，如果销售机构业务规则规定的最低单笔认购金额高于</w:t>
      </w:r>
      <w:r w:rsidRPr="00040D5C">
        <w:rPr>
          <w:rFonts w:ascii="Times New Roman" w:hAnsi="Times New Roman"/>
          <w:sz w:val="24"/>
        </w:rPr>
        <w:t>1</w:t>
      </w:r>
      <w:r w:rsidRPr="00040D5C">
        <w:rPr>
          <w:rFonts w:ascii="Times New Roman" w:hAnsi="Times New Roman" w:hint="eastAsia"/>
          <w:sz w:val="24"/>
        </w:rPr>
        <w:t>元，以该销售机构的规定为准。</w:t>
      </w:r>
    </w:p>
    <w:p w14:paraId="6D1DEBA1" w14:textId="77777777" w:rsidR="005D2825" w:rsidRPr="00040D5C" w:rsidRDefault="005D2825" w:rsidP="005D2825">
      <w:pPr>
        <w:adjustRightInd w:val="0"/>
        <w:snapToGrid w:val="0"/>
        <w:spacing w:line="360" w:lineRule="auto"/>
        <w:ind w:firstLineChars="200" w:firstLine="480"/>
        <w:rPr>
          <w:rFonts w:ascii="Times New Roman" w:hAnsi="Times New Roman"/>
          <w:sz w:val="24"/>
        </w:rPr>
      </w:pPr>
      <w:r w:rsidRPr="00040D5C">
        <w:rPr>
          <w:rFonts w:ascii="Times New Roman" w:hAnsi="Times New Roman" w:hint="eastAsia"/>
          <w:sz w:val="24"/>
        </w:rPr>
        <w:t>（</w:t>
      </w:r>
      <w:r w:rsidRPr="00040D5C">
        <w:rPr>
          <w:rFonts w:ascii="Times New Roman" w:hAnsi="Times New Roman"/>
          <w:sz w:val="24"/>
        </w:rPr>
        <w:t>5</w:t>
      </w:r>
      <w:r w:rsidRPr="00040D5C">
        <w:rPr>
          <w:rFonts w:ascii="Times New Roman" w:hAnsi="Times New Roman" w:hint="eastAsia"/>
          <w:sz w:val="24"/>
        </w:rPr>
        <w:t>）基金管理人可以对募集期间的单个投资人的累计认购金额进行限制，具体限制和处理方法请参看相关公告。</w:t>
      </w:r>
    </w:p>
    <w:p w14:paraId="2FE581A4" w14:textId="77777777" w:rsidR="005D2825" w:rsidRPr="00040D5C" w:rsidRDefault="005D2825" w:rsidP="005D2825">
      <w:pPr>
        <w:adjustRightInd w:val="0"/>
        <w:snapToGrid w:val="0"/>
        <w:spacing w:line="360" w:lineRule="auto"/>
        <w:ind w:firstLineChars="200" w:firstLine="480"/>
        <w:rPr>
          <w:rFonts w:ascii="Times New Roman" w:hAnsi="Times New Roman"/>
          <w:sz w:val="24"/>
        </w:rPr>
      </w:pPr>
      <w:r w:rsidRPr="00040D5C">
        <w:rPr>
          <w:rFonts w:ascii="Times New Roman" w:hAnsi="Times New Roman" w:hint="eastAsia"/>
          <w:sz w:val="24"/>
        </w:rPr>
        <w:t>（</w:t>
      </w:r>
      <w:r w:rsidRPr="00040D5C">
        <w:rPr>
          <w:rFonts w:ascii="Times New Roman" w:hAnsi="Times New Roman"/>
          <w:sz w:val="24"/>
        </w:rPr>
        <w:t>6</w:t>
      </w:r>
      <w:r w:rsidRPr="00040D5C">
        <w:rPr>
          <w:rFonts w:ascii="Times New Roman" w:hAnsi="Times New Roman" w:hint="eastAsia"/>
          <w:sz w:val="24"/>
        </w:rPr>
        <w:t>）如本基金单个投资人累计认购的基金份额数超过基金总份额的</w:t>
      </w:r>
      <w:r w:rsidRPr="00040D5C">
        <w:rPr>
          <w:rFonts w:ascii="Times New Roman" w:hAnsi="Times New Roman"/>
          <w:sz w:val="24"/>
        </w:rPr>
        <w:t>50%</w:t>
      </w:r>
      <w:r w:rsidRPr="00040D5C">
        <w:rPr>
          <w:rFonts w:ascii="Times New Roman" w:hAnsi="Times New Roman" w:hint="eastAsia"/>
          <w:sz w:val="24"/>
        </w:rPr>
        <w:t>，基金管理人可以采取比例确认等方式对该投资人的认购申请进行限制。基金管理人接</w:t>
      </w:r>
      <w:r w:rsidRPr="00040D5C">
        <w:rPr>
          <w:rFonts w:ascii="Times New Roman" w:hAnsi="Times New Roman" w:hint="eastAsia"/>
          <w:sz w:val="24"/>
        </w:rPr>
        <w:lastRenderedPageBreak/>
        <w:t>受某笔或者某些认购申请有可能导致投资者变相规避前述</w:t>
      </w:r>
      <w:r w:rsidRPr="00040D5C">
        <w:rPr>
          <w:rFonts w:ascii="Times New Roman" w:hAnsi="Times New Roman"/>
          <w:sz w:val="24"/>
        </w:rPr>
        <w:t>50%</w:t>
      </w:r>
      <w:r w:rsidRPr="00040D5C">
        <w:rPr>
          <w:rFonts w:ascii="Times New Roman" w:hAnsi="Times New Roman" w:hint="eastAsia"/>
          <w:sz w:val="24"/>
        </w:rPr>
        <w:t>比例要求的，基金管理人有权拒绝该等全部或者部分认购申请。投资人认购的基金份额数以基金合同生效后登记机构的确认为准。</w:t>
      </w:r>
    </w:p>
    <w:p w14:paraId="12AB37B0" w14:textId="77777777" w:rsidR="005D2825" w:rsidRPr="00040D5C" w:rsidRDefault="005D2825" w:rsidP="005D2825">
      <w:pPr>
        <w:adjustRightInd w:val="0"/>
        <w:snapToGrid w:val="0"/>
        <w:spacing w:line="360" w:lineRule="auto"/>
        <w:ind w:firstLineChars="200" w:firstLine="480"/>
        <w:rPr>
          <w:rFonts w:ascii="Times New Roman" w:hAnsi="Times New Roman"/>
          <w:sz w:val="24"/>
        </w:rPr>
      </w:pPr>
      <w:r w:rsidRPr="00040D5C">
        <w:rPr>
          <w:rFonts w:ascii="Times New Roman" w:hAnsi="Times New Roman" w:hint="eastAsia"/>
          <w:sz w:val="24"/>
        </w:rPr>
        <w:t>（</w:t>
      </w:r>
      <w:r w:rsidRPr="00040D5C">
        <w:rPr>
          <w:rFonts w:ascii="Times New Roman" w:hAnsi="Times New Roman"/>
          <w:sz w:val="24"/>
        </w:rPr>
        <w:t>7</w:t>
      </w:r>
      <w:r w:rsidRPr="00040D5C">
        <w:rPr>
          <w:rFonts w:ascii="Times New Roman" w:hAnsi="Times New Roman" w:hint="eastAsia"/>
          <w:sz w:val="24"/>
        </w:rPr>
        <w:t>）</w:t>
      </w:r>
      <w:r w:rsidRPr="00040D5C">
        <w:rPr>
          <w:rFonts w:ascii="Times New Roman" w:hAnsi="Times New Roman" w:hint="eastAsia"/>
          <w:bCs/>
          <w:sz w:val="24"/>
        </w:rPr>
        <w:t>基金管理人可以对募集期间的本基金募集规模设置上限。募集期内超过募集规模上限时，基金管理人可以采用比例确认或其他方式进行确认，具体办法参见基金份额发售公告。</w:t>
      </w:r>
    </w:p>
    <w:p w14:paraId="4D841CE0" w14:textId="77777777" w:rsidR="005D2825" w:rsidRPr="00040D5C" w:rsidRDefault="005D2825" w:rsidP="005D2825">
      <w:pPr>
        <w:adjustRightInd w:val="0"/>
        <w:snapToGrid w:val="0"/>
        <w:spacing w:line="360" w:lineRule="auto"/>
        <w:ind w:firstLineChars="200" w:firstLine="480"/>
        <w:outlineLvl w:val="2"/>
        <w:rPr>
          <w:rFonts w:ascii="Times New Roman" w:hAnsi="Times New Roman"/>
          <w:sz w:val="24"/>
        </w:rPr>
      </w:pPr>
      <w:r w:rsidRPr="00040D5C">
        <w:rPr>
          <w:rFonts w:ascii="Times New Roman" w:hAnsi="Times New Roman"/>
          <w:sz w:val="24"/>
        </w:rPr>
        <w:t>3</w:t>
      </w:r>
      <w:r w:rsidRPr="00040D5C">
        <w:rPr>
          <w:rFonts w:ascii="Times New Roman" w:hAnsi="Times New Roman" w:hint="eastAsia"/>
          <w:sz w:val="24"/>
        </w:rPr>
        <w:t>、基金份额的面值、认购费用、认购价格及认购份额的计算公式</w:t>
      </w:r>
    </w:p>
    <w:p w14:paraId="60549138" w14:textId="77777777" w:rsidR="005D2825" w:rsidRPr="00040D5C" w:rsidRDefault="005D2825" w:rsidP="005D2825">
      <w:pPr>
        <w:adjustRightInd w:val="0"/>
        <w:snapToGrid w:val="0"/>
        <w:spacing w:line="360" w:lineRule="auto"/>
        <w:ind w:firstLineChars="200" w:firstLine="480"/>
        <w:rPr>
          <w:rFonts w:ascii="Times New Roman" w:hAnsi="Times New Roman"/>
          <w:sz w:val="24"/>
        </w:rPr>
      </w:pPr>
      <w:r w:rsidRPr="00040D5C">
        <w:rPr>
          <w:rFonts w:ascii="Times New Roman" w:hAnsi="Times New Roman" w:hint="eastAsia"/>
          <w:sz w:val="24"/>
        </w:rPr>
        <w:t>（</w:t>
      </w:r>
      <w:r w:rsidRPr="00040D5C">
        <w:rPr>
          <w:rFonts w:ascii="Times New Roman" w:hAnsi="Times New Roman"/>
          <w:sz w:val="24"/>
        </w:rPr>
        <w:t>1</w:t>
      </w:r>
      <w:r w:rsidRPr="00040D5C">
        <w:rPr>
          <w:rFonts w:ascii="Times New Roman" w:hAnsi="Times New Roman" w:hint="eastAsia"/>
          <w:sz w:val="24"/>
        </w:rPr>
        <w:t>）面值、认购价格：本基金基金份额的初始面值、认购价格为</w:t>
      </w:r>
      <w:r w:rsidRPr="00040D5C">
        <w:rPr>
          <w:rFonts w:ascii="Times New Roman" w:hAnsi="Times New Roman"/>
          <w:sz w:val="24"/>
        </w:rPr>
        <w:t>1.00</w:t>
      </w:r>
      <w:r w:rsidRPr="00040D5C">
        <w:rPr>
          <w:rFonts w:ascii="Times New Roman" w:hAnsi="Times New Roman" w:hint="eastAsia"/>
          <w:sz w:val="24"/>
        </w:rPr>
        <w:t>元</w:t>
      </w:r>
      <w:r w:rsidRPr="00040D5C">
        <w:rPr>
          <w:rFonts w:ascii="Times New Roman" w:hAnsi="Times New Roman"/>
          <w:sz w:val="24"/>
        </w:rPr>
        <w:t>/</w:t>
      </w:r>
      <w:r w:rsidRPr="00040D5C">
        <w:rPr>
          <w:rFonts w:ascii="Times New Roman" w:hAnsi="Times New Roman" w:hint="eastAsia"/>
          <w:sz w:val="24"/>
        </w:rPr>
        <w:t>份。</w:t>
      </w:r>
    </w:p>
    <w:p w14:paraId="2753F500" w14:textId="77777777" w:rsidR="005D2825" w:rsidRPr="00040D5C" w:rsidRDefault="005D2825" w:rsidP="005D2825">
      <w:pPr>
        <w:adjustRightInd w:val="0"/>
        <w:snapToGrid w:val="0"/>
        <w:spacing w:line="360" w:lineRule="auto"/>
        <w:ind w:firstLineChars="200" w:firstLine="480"/>
        <w:rPr>
          <w:rFonts w:ascii="Times New Roman" w:hAnsi="Times New Roman"/>
          <w:sz w:val="24"/>
        </w:rPr>
      </w:pPr>
      <w:r w:rsidRPr="00040D5C">
        <w:rPr>
          <w:rFonts w:ascii="Times New Roman" w:hAnsi="Times New Roman" w:hint="eastAsia"/>
          <w:sz w:val="24"/>
        </w:rPr>
        <w:t>（</w:t>
      </w:r>
      <w:r w:rsidRPr="00040D5C">
        <w:rPr>
          <w:rFonts w:ascii="Times New Roman" w:hAnsi="Times New Roman"/>
          <w:sz w:val="24"/>
        </w:rPr>
        <w:t>2</w:t>
      </w:r>
      <w:r w:rsidRPr="00040D5C">
        <w:rPr>
          <w:rFonts w:ascii="Times New Roman" w:hAnsi="Times New Roman" w:hint="eastAsia"/>
          <w:sz w:val="24"/>
        </w:rPr>
        <w:t>）认购费率</w:t>
      </w:r>
    </w:p>
    <w:p w14:paraId="5AEACACE" w14:textId="0E81C1A5" w:rsidR="005D2825" w:rsidRPr="00040D5C" w:rsidRDefault="005D2825" w:rsidP="005D2825">
      <w:pPr>
        <w:adjustRightInd w:val="0"/>
        <w:snapToGrid w:val="0"/>
        <w:spacing w:line="360" w:lineRule="auto"/>
        <w:ind w:firstLineChars="200" w:firstLine="480"/>
        <w:rPr>
          <w:rFonts w:ascii="Times New Roman" w:hAnsi="Times New Roman"/>
          <w:sz w:val="24"/>
        </w:rPr>
      </w:pPr>
      <w:r w:rsidRPr="00040D5C">
        <w:rPr>
          <w:rFonts w:ascii="Times New Roman" w:hAnsi="Times New Roman" w:hint="eastAsia"/>
          <w:sz w:val="24"/>
        </w:rPr>
        <w:t>募集期内投资人可以多次认购本基金，</w:t>
      </w:r>
      <w:r w:rsidR="009A78E3" w:rsidRPr="009A78E3">
        <w:rPr>
          <w:rFonts w:ascii="Times New Roman" w:hAnsi="Times New Roman" w:hint="eastAsia"/>
          <w:bCs/>
          <w:sz w:val="24"/>
        </w:rPr>
        <w:t>A</w:t>
      </w:r>
      <w:r w:rsidR="009A78E3" w:rsidRPr="009A78E3">
        <w:rPr>
          <w:rFonts w:ascii="Times New Roman" w:hAnsi="Times New Roman" w:hint="eastAsia"/>
          <w:bCs/>
          <w:sz w:val="24"/>
        </w:rPr>
        <w:t>类基金份额</w:t>
      </w:r>
      <w:r w:rsidR="009A78E3">
        <w:rPr>
          <w:rFonts w:ascii="Times New Roman" w:hAnsi="Times New Roman" w:hint="eastAsia"/>
          <w:bCs/>
          <w:sz w:val="24"/>
        </w:rPr>
        <w:t>的</w:t>
      </w:r>
      <w:r w:rsidRPr="00040D5C">
        <w:rPr>
          <w:rFonts w:ascii="Times New Roman" w:hAnsi="Times New Roman" w:hint="eastAsia"/>
          <w:sz w:val="24"/>
        </w:rPr>
        <w:t>认购费用按</w:t>
      </w:r>
      <w:r w:rsidR="00345DD2" w:rsidRPr="00345DD2">
        <w:rPr>
          <w:rFonts w:ascii="Times New Roman" w:hAnsi="Times New Roman" w:hint="eastAsia"/>
          <w:sz w:val="24"/>
        </w:rPr>
        <w:t>A</w:t>
      </w:r>
      <w:r w:rsidR="00345DD2" w:rsidRPr="00345DD2">
        <w:rPr>
          <w:rFonts w:ascii="Times New Roman" w:hAnsi="Times New Roman" w:hint="eastAsia"/>
          <w:sz w:val="24"/>
        </w:rPr>
        <w:t>类基金份额的</w:t>
      </w:r>
      <w:r w:rsidRPr="00040D5C">
        <w:rPr>
          <w:rFonts w:ascii="Times New Roman" w:hAnsi="Times New Roman" w:hint="eastAsia"/>
          <w:sz w:val="24"/>
        </w:rPr>
        <w:t>每笔认购申请单独计算。基金投资者认购</w:t>
      </w:r>
      <w:r w:rsidRPr="00040D5C">
        <w:rPr>
          <w:rFonts w:ascii="Times New Roman" w:hAnsi="Times New Roman"/>
          <w:sz w:val="24"/>
        </w:rPr>
        <w:t>A</w:t>
      </w:r>
      <w:r w:rsidRPr="00040D5C">
        <w:rPr>
          <w:rFonts w:ascii="Times New Roman" w:hAnsi="Times New Roman" w:hint="eastAsia"/>
          <w:sz w:val="24"/>
        </w:rPr>
        <w:t>类基金份额收取认购费用，即在认购时支付认购费用。基金投资者认购</w:t>
      </w:r>
      <w:r w:rsidRPr="00040D5C">
        <w:rPr>
          <w:rFonts w:ascii="Times New Roman" w:hAnsi="Times New Roman"/>
          <w:sz w:val="24"/>
        </w:rPr>
        <w:t>C</w:t>
      </w:r>
      <w:r w:rsidRPr="00040D5C">
        <w:rPr>
          <w:rFonts w:ascii="Times New Roman" w:hAnsi="Times New Roman" w:hint="eastAsia"/>
          <w:sz w:val="24"/>
        </w:rPr>
        <w:t>类基金份额不收取认购费用，而是从该类别基金资产中计提销售服务费。</w:t>
      </w:r>
    </w:p>
    <w:p w14:paraId="7C731773" w14:textId="77777777" w:rsidR="005D2825" w:rsidRPr="00040D5C" w:rsidRDefault="005D2825" w:rsidP="005D2825">
      <w:pPr>
        <w:widowControl/>
        <w:adjustRightInd w:val="0"/>
        <w:snapToGrid w:val="0"/>
        <w:spacing w:line="360" w:lineRule="auto"/>
        <w:ind w:firstLineChars="200" w:firstLine="480"/>
        <w:rPr>
          <w:rFonts w:ascii="Times New Roman" w:hAnsi="Times New Roman"/>
          <w:kern w:val="0"/>
          <w:sz w:val="24"/>
        </w:rPr>
      </w:pPr>
      <w:r w:rsidRPr="00040D5C">
        <w:rPr>
          <w:rFonts w:ascii="Times New Roman" w:hAnsi="Times New Roman" w:hint="eastAsia"/>
          <w:kern w:val="0"/>
          <w:sz w:val="24"/>
        </w:rPr>
        <w:t>本基金</w:t>
      </w:r>
      <w:r w:rsidRPr="00040D5C">
        <w:rPr>
          <w:rFonts w:ascii="Times New Roman" w:hAnsi="Times New Roman"/>
          <w:kern w:val="0"/>
          <w:sz w:val="24"/>
        </w:rPr>
        <w:t>A</w:t>
      </w:r>
      <w:r w:rsidRPr="00040D5C">
        <w:rPr>
          <w:rFonts w:ascii="Times New Roman" w:hAnsi="Times New Roman" w:hint="eastAsia"/>
          <w:kern w:val="0"/>
          <w:sz w:val="24"/>
        </w:rPr>
        <w:t>类基金份额（非养老金客户）的认购费率如下表：</w:t>
      </w:r>
    </w:p>
    <w:tbl>
      <w:tblPr>
        <w:tblW w:w="7126"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3528"/>
        <w:gridCol w:w="3598"/>
      </w:tblGrid>
      <w:tr w:rsidR="005D2825" w:rsidRPr="005D2825" w14:paraId="3C0C5022" w14:textId="77777777" w:rsidTr="0023744F">
        <w:trPr>
          <w:cantSplit/>
          <w:trHeight w:val="132"/>
          <w:jc w:val="center"/>
        </w:trPr>
        <w:tc>
          <w:tcPr>
            <w:tcW w:w="3528" w:type="dxa"/>
            <w:shd w:val="clear" w:color="auto" w:fill="FFFFFF"/>
            <w:vAlign w:val="center"/>
          </w:tcPr>
          <w:p w14:paraId="66579614" w14:textId="77777777" w:rsidR="005D2825" w:rsidRPr="00040D5C" w:rsidRDefault="005D2825" w:rsidP="0023744F">
            <w:pPr>
              <w:adjustRightInd w:val="0"/>
              <w:snapToGrid w:val="0"/>
              <w:jc w:val="center"/>
              <w:rPr>
                <w:rFonts w:ascii="Times New Roman" w:hAnsi="Times New Roman"/>
                <w:b/>
                <w:sz w:val="24"/>
              </w:rPr>
            </w:pPr>
            <w:r w:rsidRPr="00040D5C">
              <w:rPr>
                <w:rFonts w:ascii="Times New Roman" w:hAnsi="Times New Roman" w:hint="eastAsia"/>
                <w:b/>
                <w:sz w:val="24"/>
              </w:rPr>
              <w:t>认购金额（含认购费）</w:t>
            </w:r>
          </w:p>
        </w:tc>
        <w:tc>
          <w:tcPr>
            <w:tcW w:w="3598" w:type="dxa"/>
            <w:shd w:val="clear" w:color="auto" w:fill="FFFFFF"/>
            <w:vAlign w:val="center"/>
          </w:tcPr>
          <w:p w14:paraId="49256E7B" w14:textId="77777777" w:rsidR="005D2825" w:rsidRPr="00040D5C" w:rsidRDefault="005D2825" w:rsidP="0023744F">
            <w:pPr>
              <w:adjustRightInd w:val="0"/>
              <w:snapToGrid w:val="0"/>
              <w:jc w:val="center"/>
              <w:rPr>
                <w:rFonts w:ascii="Times New Roman" w:hAnsi="Times New Roman"/>
                <w:b/>
                <w:sz w:val="24"/>
              </w:rPr>
            </w:pPr>
            <w:r w:rsidRPr="00040D5C">
              <w:rPr>
                <w:rFonts w:ascii="Times New Roman" w:hAnsi="Times New Roman"/>
                <w:b/>
                <w:color w:val="000000"/>
                <w:kern w:val="0"/>
                <w:sz w:val="24"/>
              </w:rPr>
              <w:t>A</w:t>
            </w:r>
            <w:r w:rsidRPr="00040D5C">
              <w:rPr>
                <w:rFonts w:ascii="Times New Roman" w:hAnsi="Times New Roman" w:hint="eastAsia"/>
                <w:b/>
                <w:color w:val="000000"/>
                <w:kern w:val="0"/>
                <w:sz w:val="24"/>
              </w:rPr>
              <w:t>类基金份额</w:t>
            </w:r>
            <w:r w:rsidRPr="00040D5C">
              <w:rPr>
                <w:rFonts w:ascii="Times New Roman" w:hAnsi="Times New Roman" w:hint="eastAsia"/>
                <w:b/>
                <w:sz w:val="24"/>
              </w:rPr>
              <w:t>认购费率</w:t>
            </w:r>
          </w:p>
        </w:tc>
      </w:tr>
      <w:tr w:rsidR="005D2825" w:rsidRPr="005D2825" w14:paraId="6AC2C3DD" w14:textId="77777777" w:rsidTr="0023744F">
        <w:trPr>
          <w:cantSplit/>
          <w:trHeight w:val="131"/>
          <w:jc w:val="center"/>
        </w:trPr>
        <w:tc>
          <w:tcPr>
            <w:tcW w:w="3528" w:type="dxa"/>
          </w:tcPr>
          <w:p w14:paraId="3F6AEDF6" w14:textId="77777777" w:rsidR="005D2825" w:rsidRPr="00040D5C" w:rsidRDefault="00107CBF" w:rsidP="0023744F">
            <w:pPr>
              <w:adjustRightInd w:val="0"/>
              <w:snapToGrid w:val="0"/>
              <w:rPr>
                <w:rFonts w:ascii="Times New Roman" w:hAnsi="Times New Roman"/>
                <w:sz w:val="24"/>
              </w:rPr>
            </w:pPr>
            <w:r w:rsidRPr="00107CBF">
              <w:rPr>
                <w:rFonts w:ascii="Times New Roman" w:hAnsi="Times New Roman"/>
                <w:sz w:val="24"/>
              </w:rPr>
              <w:t>100</w:t>
            </w:r>
            <w:r w:rsidR="005D2825" w:rsidRPr="00040D5C">
              <w:rPr>
                <w:rFonts w:ascii="Times New Roman" w:hAnsi="Times New Roman" w:hint="eastAsia"/>
                <w:sz w:val="24"/>
              </w:rPr>
              <w:t>万元以下</w:t>
            </w:r>
          </w:p>
        </w:tc>
        <w:tc>
          <w:tcPr>
            <w:tcW w:w="3598" w:type="dxa"/>
          </w:tcPr>
          <w:p w14:paraId="0437C665" w14:textId="77777777" w:rsidR="005D2825" w:rsidRPr="00040D5C" w:rsidRDefault="00107CBF" w:rsidP="0023744F">
            <w:pPr>
              <w:adjustRightInd w:val="0"/>
              <w:snapToGrid w:val="0"/>
              <w:jc w:val="center"/>
              <w:rPr>
                <w:rFonts w:ascii="Times New Roman" w:hAnsi="Times New Roman"/>
                <w:sz w:val="24"/>
              </w:rPr>
            </w:pPr>
            <w:r w:rsidRPr="00107CBF">
              <w:rPr>
                <w:rFonts w:ascii="Times New Roman" w:hAnsi="Times New Roman"/>
                <w:sz w:val="24"/>
              </w:rPr>
              <w:t>1.</w:t>
            </w:r>
            <w:r>
              <w:rPr>
                <w:rFonts w:ascii="Times New Roman" w:hAnsi="Times New Roman"/>
                <w:sz w:val="24"/>
              </w:rPr>
              <w:t>0</w:t>
            </w:r>
            <w:r w:rsidR="005D2825" w:rsidRPr="00040D5C">
              <w:rPr>
                <w:rFonts w:ascii="Times New Roman" w:hAnsi="Times New Roman"/>
                <w:sz w:val="24"/>
              </w:rPr>
              <w:t>%</w:t>
            </w:r>
          </w:p>
        </w:tc>
      </w:tr>
      <w:tr w:rsidR="00107CBF" w:rsidRPr="005D2825" w14:paraId="3B7C67A1" w14:textId="77777777" w:rsidTr="00040D5C">
        <w:trPr>
          <w:cantSplit/>
          <w:trHeight w:val="131"/>
          <w:jc w:val="center"/>
        </w:trPr>
        <w:tc>
          <w:tcPr>
            <w:tcW w:w="3528" w:type="dxa"/>
            <w:vAlign w:val="center"/>
          </w:tcPr>
          <w:p w14:paraId="4CE0F7CF" w14:textId="77777777" w:rsidR="00107CBF" w:rsidRPr="00107CBF" w:rsidRDefault="00107CBF" w:rsidP="00107CBF">
            <w:pPr>
              <w:adjustRightInd w:val="0"/>
              <w:snapToGrid w:val="0"/>
              <w:rPr>
                <w:rFonts w:ascii="Times New Roman" w:hAnsi="Times New Roman"/>
                <w:sz w:val="24"/>
              </w:rPr>
            </w:pPr>
            <w:r w:rsidRPr="00040D5C">
              <w:rPr>
                <w:rFonts w:ascii="Times New Roman" w:hAnsi="Times New Roman"/>
                <w:sz w:val="24"/>
              </w:rPr>
              <w:t>100</w:t>
            </w:r>
            <w:r w:rsidRPr="00040D5C">
              <w:rPr>
                <w:rFonts w:ascii="Times New Roman" w:hAnsi="Times New Roman" w:hint="eastAsia"/>
                <w:sz w:val="24"/>
              </w:rPr>
              <w:t>万元（含）至</w:t>
            </w:r>
            <w:r w:rsidRPr="00040D5C">
              <w:rPr>
                <w:rFonts w:ascii="Times New Roman" w:hAnsi="Times New Roman"/>
                <w:sz w:val="24"/>
              </w:rPr>
              <w:t>200</w:t>
            </w:r>
            <w:r w:rsidRPr="00040D5C">
              <w:rPr>
                <w:rFonts w:ascii="Times New Roman" w:hAnsi="Times New Roman" w:hint="eastAsia"/>
                <w:sz w:val="24"/>
              </w:rPr>
              <w:t>万元</w:t>
            </w:r>
          </w:p>
        </w:tc>
        <w:tc>
          <w:tcPr>
            <w:tcW w:w="3598" w:type="dxa"/>
          </w:tcPr>
          <w:p w14:paraId="6D8FAA12" w14:textId="77777777" w:rsidR="00107CBF" w:rsidRPr="00107CBF" w:rsidRDefault="00107CBF" w:rsidP="00107CBF">
            <w:pPr>
              <w:adjustRightInd w:val="0"/>
              <w:snapToGrid w:val="0"/>
              <w:jc w:val="center"/>
              <w:rPr>
                <w:rFonts w:ascii="Times New Roman" w:hAnsi="Times New Roman"/>
                <w:sz w:val="24"/>
              </w:rPr>
            </w:pPr>
            <w:r>
              <w:rPr>
                <w:rFonts w:ascii="Times New Roman" w:hAnsi="Times New Roman" w:hint="eastAsia"/>
                <w:sz w:val="24"/>
              </w:rPr>
              <w:t>0</w:t>
            </w:r>
            <w:r>
              <w:rPr>
                <w:rFonts w:ascii="Times New Roman" w:hAnsi="Times New Roman"/>
                <w:sz w:val="24"/>
              </w:rPr>
              <w:t>.6%</w:t>
            </w:r>
          </w:p>
        </w:tc>
      </w:tr>
      <w:tr w:rsidR="00107CBF" w:rsidRPr="005D2825" w14:paraId="1A3F1FD4" w14:textId="77777777" w:rsidTr="00040D5C">
        <w:trPr>
          <w:cantSplit/>
          <w:trHeight w:val="131"/>
          <w:jc w:val="center"/>
        </w:trPr>
        <w:tc>
          <w:tcPr>
            <w:tcW w:w="3528" w:type="dxa"/>
            <w:vAlign w:val="center"/>
          </w:tcPr>
          <w:p w14:paraId="2EA06554" w14:textId="77777777" w:rsidR="00107CBF" w:rsidRPr="00107CBF" w:rsidRDefault="00107CBF" w:rsidP="00107CBF">
            <w:pPr>
              <w:adjustRightInd w:val="0"/>
              <w:snapToGrid w:val="0"/>
              <w:rPr>
                <w:rFonts w:ascii="Times New Roman" w:hAnsi="Times New Roman"/>
                <w:sz w:val="24"/>
              </w:rPr>
            </w:pPr>
            <w:r w:rsidRPr="00040D5C">
              <w:rPr>
                <w:rFonts w:ascii="Times New Roman" w:hAnsi="Times New Roman"/>
                <w:sz w:val="24"/>
              </w:rPr>
              <w:t>200</w:t>
            </w:r>
            <w:r w:rsidRPr="00040D5C">
              <w:rPr>
                <w:rFonts w:ascii="Times New Roman" w:hAnsi="Times New Roman" w:hint="eastAsia"/>
                <w:sz w:val="24"/>
              </w:rPr>
              <w:t>万元（含）至</w:t>
            </w:r>
            <w:r w:rsidRPr="00040D5C">
              <w:rPr>
                <w:rFonts w:ascii="Times New Roman" w:hAnsi="Times New Roman"/>
                <w:sz w:val="24"/>
              </w:rPr>
              <w:t>500</w:t>
            </w:r>
            <w:r w:rsidRPr="00040D5C">
              <w:rPr>
                <w:rFonts w:ascii="Times New Roman" w:hAnsi="Times New Roman" w:hint="eastAsia"/>
                <w:sz w:val="24"/>
              </w:rPr>
              <w:t>万元</w:t>
            </w:r>
          </w:p>
        </w:tc>
        <w:tc>
          <w:tcPr>
            <w:tcW w:w="3598" w:type="dxa"/>
          </w:tcPr>
          <w:p w14:paraId="5A5C1930" w14:textId="77777777" w:rsidR="00107CBF" w:rsidRPr="00107CBF" w:rsidRDefault="00107CBF" w:rsidP="00107CBF">
            <w:pPr>
              <w:adjustRightInd w:val="0"/>
              <w:snapToGrid w:val="0"/>
              <w:jc w:val="center"/>
              <w:rPr>
                <w:rFonts w:ascii="Times New Roman" w:hAnsi="Times New Roman"/>
                <w:sz w:val="24"/>
              </w:rPr>
            </w:pPr>
            <w:r>
              <w:rPr>
                <w:rFonts w:ascii="Times New Roman" w:hAnsi="Times New Roman"/>
                <w:sz w:val="24"/>
              </w:rPr>
              <w:t>0.3</w:t>
            </w:r>
            <w:r>
              <w:rPr>
                <w:rFonts w:ascii="Times New Roman" w:hAnsi="Times New Roman" w:hint="eastAsia"/>
                <w:sz w:val="24"/>
              </w:rPr>
              <w:t>%</w:t>
            </w:r>
          </w:p>
        </w:tc>
      </w:tr>
      <w:tr w:rsidR="005D2825" w:rsidRPr="005D2825" w14:paraId="055B73C7" w14:textId="77777777" w:rsidTr="0023744F">
        <w:trPr>
          <w:cantSplit/>
          <w:trHeight w:val="131"/>
          <w:jc w:val="center"/>
        </w:trPr>
        <w:tc>
          <w:tcPr>
            <w:tcW w:w="3528" w:type="dxa"/>
          </w:tcPr>
          <w:p w14:paraId="02B4D63F" w14:textId="77777777" w:rsidR="005D2825" w:rsidRPr="00040D5C" w:rsidRDefault="00107CBF" w:rsidP="00107CBF">
            <w:pPr>
              <w:adjustRightInd w:val="0"/>
              <w:snapToGrid w:val="0"/>
              <w:rPr>
                <w:rFonts w:ascii="Times New Roman" w:hAnsi="Times New Roman"/>
                <w:sz w:val="24"/>
              </w:rPr>
            </w:pPr>
            <w:r>
              <w:rPr>
                <w:rFonts w:ascii="Times New Roman" w:hAnsi="Times New Roman"/>
                <w:sz w:val="24"/>
              </w:rPr>
              <w:t>5</w:t>
            </w:r>
            <w:r w:rsidR="005D2825" w:rsidRPr="00040D5C">
              <w:rPr>
                <w:rFonts w:ascii="Times New Roman" w:hAnsi="Times New Roman"/>
                <w:sz w:val="24"/>
              </w:rPr>
              <w:t>00</w:t>
            </w:r>
            <w:r w:rsidR="005D2825" w:rsidRPr="00040D5C">
              <w:rPr>
                <w:rFonts w:ascii="Times New Roman" w:hAnsi="Times New Roman" w:hint="eastAsia"/>
                <w:sz w:val="24"/>
              </w:rPr>
              <w:t>万元以上（含</w:t>
            </w:r>
            <w:r>
              <w:rPr>
                <w:rFonts w:ascii="Times New Roman" w:hAnsi="Times New Roman"/>
                <w:sz w:val="24"/>
              </w:rPr>
              <w:t>500</w:t>
            </w:r>
            <w:r w:rsidR="005D2825" w:rsidRPr="00040D5C">
              <w:rPr>
                <w:rFonts w:ascii="Times New Roman" w:hAnsi="Times New Roman" w:hint="eastAsia"/>
                <w:sz w:val="24"/>
              </w:rPr>
              <w:t>万元）</w:t>
            </w:r>
          </w:p>
        </w:tc>
        <w:tc>
          <w:tcPr>
            <w:tcW w:w="3598" w:type="dxa"/>
          </w:tcPr>
          <w:p w14:paraId="6E8BD446" w14:textId="77777777" w:rsidR="005D2825" w:rsidRPr="00040D5C" w:rsidRDefault="005D2825" w:rsidP="0023744F">
            <w:pPr>
              <w:adjustRightInd w:val="0"/>
              <w:snapToGrid w:val="0"/>
              <w:jc w:val="center"/>
              <w:rPr>
                <w:rFonts w:ascii="Times New Roman" w:hAnsi="Times New Roman"/>
                <w:sz w:val="24"/>
              </w:rPr>
            </w:pPr>
            <w:r w:rsidRPr="00040D5C">
              <w:rPr>
                <w:rFonts w:ascii="Times New Roman" w:hAnsi="Times New Roman" w:hint="eastAsia"/>
                <w:sz w:val="24"/>
              </w:rPr>
              <w:t>每笔交易</w:t>
            </w:r>
            <w:r w:rsidRPr="00040D5C">
              <w:rPr>
                <w:rFonts w:ascii="Times New Roman" w:hAnsi="Times New Roman"/>
                <w:sz w:val="24"/>
              </w:rPr>
              <w:t>1000</w:t>
            </w:r>
            <w:r w:rsidRPr="00040D5C">
              <w:rPr>
                <w:rFonts w:ascii="Times New Roman" w:hAnsi="Times New Roman" w:hint="eastAsia"/>
                <w:sz w:val="24"/>
              </w:rPr>
              <w:t>元</w:t>
            </w:r>
          </w:p>
        </w:tc>
      </w:tr>
    </w:tbl>
    <w:p w14:paraId="20754487" w14:textId="77777777" w:rsidR="005D2825" w:rsidRPr="00040D5C" w:rsidRDefault="005D2825" w:rsidP="005D2825">
      <w:pPr>
        <w:adjustRightInd w:val="0"/>
        <w:snapToGrid w:val="0"/>
        <w:spacing w:line="360" w:lineRule="auto"/>
        <w:ind w:firstLineChars="200" w:firstLine="480"/>
        <w:rPr>
          <w:rFonts w:ascii="Times New Roman" w:hAnsi="Times New Roman"/>
          <w:sz w:val="24"/>
        </w:rPr>
      </w:pPr>
      <w:r w:rsidRPr="00040D5C">
        <w:rPr>
          <w:rFonts w:ascii="Times New Roman" w:hAnsi="Times New Roman" w:hint="eastAsia"/>
          <w:sz w:val="24"/>
        </w:rPr>
        <w:t>本基金对通过基金管理人直销柜台认购</w:t>
      </w:r>
      <w:r w:rsidRPr="00040D5C">
        <w:rPr>
          <w:rFonts w:ascii="Times New Roman" w:hAnsi="Times New Roman"/>
          <w:sz w:val="24"/>
        </w:rPr>
        <w:t>A</w:t>
      </w:r>
      <w:r w:rsidRPr="00040D5C">
        <w:rPr>
          <w:rFonts w:ascii="Times New Roman" w:hAnsi="Times New Roman" w:hint="eastAsia"/>
          <w:sz w:val="24"/>
        </w:rPr>
        <w:t>类基金份额的养老金客户与除此之外的其他投资者实施差别的认购费率。养老金客户包括基本养老基金与依法成立的养老计划筹集的资金及其投资运营收益形成的补充养老基金等，具体包括：</w:t>
      </w:r>
    </w:p>
    <w:p w14:paraId="4DD2C177" w14:textId="77777777" w:rsidR="005D2825" w:rsidRPr="00040D5C" w:rsidRDefault="005D2825" w:rsidP="005D2825">
      <w:pPr>
        <w:adjustRightInd w:val="0"/>
        <w:snapToGrid w:val="0"/>
        <w:spacing w:line="360" w:lineRule="auto"/>
        <w:ind w:firstLineChars="200" w:firstLine="480"/>
        <w:rPr>
          <w:rFonts w:ascii="Times New Roman" w:hAnsi="Times New Roman"/>
          <w:sz w:val="24"/>
        </w:rPr>
      </w:pPr>
      <w:r w:rsidRPr="00040D5C">
        <w:rPr>
          <w:rFonts w:ascii="Times New Roman" w:hAnsi="Times New Roman"/>
          <w:sz w:val="24"/>
        </w:rPr>
        <w:t>1</w:t>
      </w:r>
      <w:r w:rsidRPr="00040D5C">
        <w:rPr>
          <w:rFonts w:ascii="Times New Roman" w:hAnsi="Times New Roman" w:hint="eastAsia"/>
          <w:sz w:val="24"/>
        </w:rPr>
        <w:t>）全国社会保障基金；</w:t>
      </w:r>
    </w:p>
    <w:p w14:paraId="2954C494" w14:textId="77777777" w:rsidR="005D2825" w:rsidRPr="00040D5C" w:rsidRDefault="005D2825" w:rsidP="005D2825">
      <w:pPr>
        <w:adjustRightInd w:val="0"/>
        <w:snapToGrid w:val="0"/>
        <w:spacing w:line="360" w:lineRule="auto"/>
        <w:ind w:firstLineChars="200" w:firstLine="480"/>
        <w:rPr>
          <w:rFonts w:ascii="Times New Roman" w:hAnsi="Times New Roman"/>
          <w:sz w:val="24"/>
        </w:rPr>
      </w:pPr>
      <w:r w:rsidRPr="00040D5C">
        <w:rPr>
          <w:rFonts w:ascii="Times New Roman" w:hAnsi="Times New Roman"/>
          <w:sz w:val="24"/>
        </w:rPr>
        <w:t>2</w:t>
      </w:r>
      <w:r w:rsidRPr="00040D5C">
        <w:rPr>
          <w:rFonts w:ascii="Times New Roman" w:hAnsi="Times New Roman" w:hint="eastAsia"/>
          <w:sz w:val="24"/>
        </w:rPr>
        <w:t>）可以投资基金的地方社会保障基金；</w:t>
      </w:r>
    </w:p>
    <w:p w14:paraId="34062D25" w14:textId="77777777" w:rsidR="005D2825" w:rsidRPr="00040D5C" w:rsidRDefault="005D2825" w:rsidP="005D2825">
      <w:pPr>
        <w:adjustRightInd w:val="0"/>
        <w:snapToGrid w:val="0"/>
        <w:spacing w:line="360" w:lineRule="auto"/>
        <w:ind w:firstLineChars="200" w:firstLine="480"/>
        <w:rPr>
          <w:rFonts w:ascii="Times New Roman" w:hAnsi="Times New Roman"/>
          <w:sz w:val="24"/>
        </w:rPr>
      </w:pPr>
      <w:r w:rsidRPr="00040D5C">
        <w:rPr>
          <w:rFonts w:ascii="Times New Roman" w:hAnsi="Times New Roman"/>
          <w:sz w:val="24"/>
        </w:rPr>
        <w:t>3</w:t>
      </w:r>
      <w:r w:rsidRPr="00040D5C">
        <w:rPr>
          <w:rFonts w:ascii="Times New Roman" w:hAnsi="Times New Roman" w:hint="eastAsia"/>
          <w:sz w:val="24"/>
        </w:rPr>
        <w:t>）企业年金单一计划以及集合计划；</w:t>
      </w:r>
    </w:p>
    <w:p w14:paraId="6BFEB3F0" w14:textId="77777777" w:rsidR="005D2825" w:rsidRPr="00040D5C" w:rsidRDefault="005D2825" w:rsidP="005D2825">
      <w:pPr>
        <w:adjustRightInd w:val="0"/>
        <w:snapToGrid w:val="0"/>
        <w:spacing w:line="360" w:lineRule="auto"/>
        <w:ind w:firstLineChars="200" w:firstLine="480"/>
        <w:rPr>
          <w:rFonts w:ascii="Times New Roman" w:hAnsi="Times New Roman"/>
          <w:sz w:val="24"/>
        </w:rPr>
      </w:pPr>
      <w:r w:rsidRPr="00040D5C">
        <w:rPr>
          <w:rFonts w:ascii="Times New Roman" w:hAnsi="Times New Roman"/>
          <w:sz w:val="24"/>
        </w:rPr>
        <w:t>4</w:t>
      </w:r>
      <w:r w:rsidRPr="00040D5C">
        <w:rPr>
          <w:rFonts w:ascii="Times New Roman" w:hAnsi="Times New Roman" w:hint="eastAsia"/>
          <w:sz w:val="24"/>
        </w:rPr>
        <w:t>）企业年金理事会委托的特定客户资产管理计划；</w:t>
      </w:r>
    </w:p>
    <w:p w14:paraId="2549F3AD" w14:textId="77777777" w:rsidR="005D2825" w:rsidRPr="00040D5C" w:rsidRDefault="005D2825" w:rsidP="005D2825">
      <w:pPr>
        <w:adjustRightInd w:val="0"/>
        <w:snapToGrid w:val="0"/>
        <w:spacing w:line="360" w:lineRule="auto"/>
        <w:ind w:firstLineChars="200" w:firstLine="480"/>
        <w:rPr>
          <w:rFonts w:ascii="Times New Roman" w:hAnsi="Times New Roman"/>
          <w:sz w:val="24"/>
        </w:rPr>
      </w:pPr>
      <w:r w:rsidRPr="00040D5C">
        <w:rPr>
          <w:rFonts w:ascii="Times New Roman" w:hAnsi="Times New Roman"/>
          <w:sz w:val="24"/>
        </w:rPr>
        <w:t>5</w:t>
      </w:r>
      <w:r w:rsidRPr="00040D5C">
        <w:rPr>
          <w:rFonts w:ascii="Times New Roman" w:hAnsi="Times New Roman" w:hint="eastAsia"/>
          <w:sz w:val="24"/>
        </w:rPr>
        <w:t>）企业年金养老金产品。</w:t>
      </w:r>
    </w:p>
    <w:p w14:paraId="2116067F" w14:textId="77777777" w:rsidR="005D2825" w:rsidRPr="00040D5C" w:rsidRDefault="005D2825" w:rsidP="005D2825">
      <w:pPr>
        <w:adjustRightInd w:val="0"/>
        <w:snapToGrid w:val="0"/>
        <w:spacing w:line="360" w:lineRule="auto"/>
        <w:ind w:firstLineChars="200" w:firstLine="480"/>
        <w:rPr>
          <w:rFonts w:ascii="Times New Roman" w:hAnsi="Times New Roman"/>
          <w:sz w:val="24"/>
        </w:rPr>
      </w:pPr>
      <w:r w:rsidRPr="00040D5C">
        <w:rPr>
          <w:rFonts w:ascii="Times New Roman" w:hAnsi="Times New Roman" w:hint="eastAsia"/>
          <w:sz w:val="24"/>
        </w:rPr>
        <w:t>如将来出现经养老基金监管部门认可的新的养老基金类型，基金管理人可在招募说明书更新或发布临时公告将其纳入养老金客户范围。</w:t>
      </w:r>
    </w:p>
    <w:p w14:paraId="6503F706" w14:textId="77777777" w:rsidR="005D2825" w:rsidRPr="00040D5C" w:rsidRDefault="005D2825" w:rsidP="005D2825">
      <w:pPr>
        <w:widowControl/>
        <w:adjustRightInd w:val="0"/>
        <w:snapToGrid w:val="0"/>
        <w:spacing w:line="360" w:lineRule="auto"/>
        <w:ind w:firstLineChars="200" w:firstLine="480"/>
        <w:rPr>
          <w:rFonts w:ascii="Times New Roman" w:hAnsi="Times New Roman"/>
          <w:sz w:val="24"/>
          <w:szCs w:val="24"/>
        </w:rPr>
      </w:pPr>
      <w:r w:rsidRPr="00040D5C">
        <w:rPr>
          <w:rFonts w:ascii="Times New Roman" w:hAnsi="Times New Roman" w:hint="eastAsia"/>
          <w:sz w:val="24"/>
          <w:szCs w:val="24"/>
        </w:rPr>
        <w:t>养老金客户通过基金管理人的直销柜台认购本基金</w:t>
      </w:r>
      <w:r w:rsidRPr="00040D5C">
        <w:rPr>
          <w:rFonts w:ascii="Times New Roman" w:hAnsi="Times New Roman"/>
          <w:sz w:val="24"/>
          <w:szCs w:val="24"/>
        </w:rPr>
        <w:t>A</w:t>
      </w:r>
      <w:r w:rsidRPr="00040D5C">
        <w:rPr>
          <w:rFonts w:ascii="Times New Roman" w:hAnsi="Times New Roman" w:hint="eastAsia"/>
          <w:sz w:val="24"/>
          <w:szCs w:val="24"/>
        </w:rPr>
        <w:t>类基金份额的特定认购费率如下：</w:t>
      </w:r>
    </w:p>
    <w:tbl>
      <w:tblPr>
        <w:tblW w:w="7027"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3260"/>
        <w:gridCol w:w="3767"/>
      </w:tblGrid>
      <w:tr w:rsidR="005D2825" w:rsidRPr="005D2825" w14:paraId="148687F7" w14:textId="77777777" w:rsidTr="0023744F">
        <w:trPr>
          <w:cantSplit/>
          <w:trHeight w:val="132"/>
          <w:jc w:val="center"/>
        </w:trPr>
        <w:tc>
          <w:tcPr>
            <w:tcW w:w="3260" w:type="dxa"/>
            <w:shd w:val="clear" w:color="auto" w:fill="FFFFFF"/>
            <w:vAlign w:val="center"/>
          </w:tcPr>
          <w:p w14:paraId="6428868E" w14:textId="77777777" w:rsidR="005D2825" w:rsidRPr="00040D5C" w:rsidRDefault="005D2825" w:rsidP="0023744F">
            <w:pPr>
              <w:adjustRightInd w:val="0"/>
              <w:snapToGrid w:val="0"/>
              <w:jc w:val="center"/>
              <w:rPr>
                <w:rFonts w:ascii="Times New Roman" w:hAnsi="Times New Roman"/>
                <w:b/>
                <w:sz w:val="24"/>
              </w:rPr>
            </w:pPr>
            <w:r w:rsidRPr="00040D5C">
              <w:rPr>
                <w:rFonts w:ascii="Times New Roman" w:hAnsi="Times New Roman" w:hint="eastAsia"/>
                <w:b/>
                <w:sz w:val="24"/>
              </w:rPr>
              <w:t>认购金额（含认购费）</w:t>
            </w:r>
          </w:p>
        </w:tc>
        <w:tc>
          <w:tcPr>
            <w:tcW w:w="3767" w:type="dxa"/>
            <w:shd w:val="clear" w:color="auto" w:fill="FFFFFF"/>
            <w:vAlign w:val="center"/>
          </w:tcPr>
          <w:p w14:paraId="01BEEC94" w14:textId="77777777" w:rsidR="005D2825" w:rsidRPr="00040D5C" w:rsidRDefault="005D2825" w:rsidP="0023744F">
            <w:pPr>
              <w:adjustRightInd w:val="0"/>
              <w:snapToGrid w:val="0"/>
              <w:jc w:val="center"/>
              <w:rPr>
                <w:rFonts w:ascii="Times New Roman" w:hAnsi="Times New Roman"/>
                <w:b/>
                <w:sz w:val="24"/>
              </w:rPr>
            </w:pPr>
            <w:r w:rsidRPr="00040D5C">
              <w:rPr>
                <w:rFonts w:ascii="Times New Roman" w:hAnsi="Times New Roman"/>
                <w:b/>
                <w:sz w:val="24"/>
              </w:rPr>
              <w:t>A</w:t>
            </w:r>
            <w:r w:rsidRPr="00040D5C">
              <w:rPr>
                <w:rFonts w:ascii="Times New Roman" w:hAnsi="Times New Roman" w:hint="eastAsia"/>
                <w:b/>
                <w:sz w:val="24"/>
              </w:rPr>
              <w:t>类基金份额特定认购费率</w:t>
            </w:r>
          </w:p>
        </w:tc>
      </w:tr>
      <w:tr w:rsidR="00E44F78" w:rsidRPr="005D2825" w14:paraId="448A3C86" w14:textId="77777777" w:rsidTr="00040D5C">
        <w:trPr>
          <w:cantSplit/>
          <w:trHeight w:val="131"/>
          <w:jc w:val="center"/>
        </w:trPr>
        <w:tc>
          <w:tcPr>
            <w:tcW w:w="3260" w:type="dxa"/>
          </w:tcPr>
          <w:p w14:paraId="081AC9EE" w14:textId="77777777" w:rsidR="00E44F78" w:rsidRPr="00040D5C" w:rsidRDefault="00E44F78" w:rsidP="00E44F78">
            <w:pPr>
              <w:adjustRightInd w:val="0"/>
              <w:snapToGrid w:val="0"/>
              <w:rPr>
                <w:rFonts w:ascii="Times New Roman" w:hAnsi="Times New Roman"/>
                <w:sz w:val="24"/>
              </w:rPr>
            </w:pPr>
            <w:r w:rsidRPr="00107CBF">
              <w:rPr>
                <w:rFonts w:ascii="Times New Roman" w:hAnsi="Times New Roman"/>
                <w:sz w:val="24"/>
              </w:rPr>
              <w:lastRenderedPageBreak/>
              <w:t>100</w:t>
            </w:r>
            <w:r w:rsidRPr="00EE0EB3">
              <w:rPr>
                <w:rFonts w:ascii="Times New Roman" w:hAnsi="Times New Roman"/>
                <w:sz w:val="24"/>
              </w:rPr>
              <w:t>万元以下</w:t>
            </w:r>
          </w:p>
        </w:tc>
        <w:tc>
          <w:tcPr>
            <w:tcW w:w="3767" w:type="dxa"/>
            <w:vAlign w:val="center"/>
          </w:tcPr>
          <w:p w14:paraId="06C1669D" w14:textId="77777777" w:rsidR="00E44F78" w:rsidRPr="00040D5C" w:rsidRDefault="00E44F78" w:rsidP="00E44F78">
            <w:pPr>
              <w:adjustRightInd w:val="0"/>
              <w:snapToGrid w:val="0"/>
              <w:jc w:val="center"/>
              <w:rPr>
                <w:rFonts w:ascii="Times New Roman" w:hAnsi="Times New Roman"/>
                <w:sz w:val="24"/>
              </w:rPr>
            </w:pPr>
            <w:r w:rsidRPr="00040D5C">
              <w:rPr>
                <w:rFonts w:ascii="Times New Roman" w:hAnsi="Times New Roman"/>
                <w:sz w:val="24"/>
              </w:rPr>
              <w:t>0.20%</w:t>
            </w:r>
          </w:p>
        </w:tc>
      </w:tr>
      <w:tr w:rsidR="00E44F78" w:rsidRPr="005D2825" w14:paraId="0DCDDDB8" w14:textId="77777777" w:rsidTr="00040D5C">
        <w:trPr>
          <w:cantSplit/>
          <w:trHeight w:val="131"/>
          <w:jc w:val="center"/>
        </w:trPr>
        <w:tc>
          <w:tcPr>
            <w:tcW w:w="3260" w:type="dxa"/>
            <w:vAlign w:val="center"/>
          </w:tcPr>
          <w:p w14:paraId="0640AFF5" w14:textId="77777777" w:rsidR="00E44F78" w:rsidRPr="00107CBF" w:rsidRDefault="00E44F78" w:rsidP="00E44F78">
            <w:pPr>
              <w:adjustRightInd w:val="0"/>
              <w:snapToGrid w:val="0"/>
              <w:rPr>
                <w:rFonts w:ascii="Times New Roman" w:hAnsi="Times New Roman"/>
                <w:sz w:val="24"/>
              </w:rPr>
            </w:pPr>
            <w:r w:rsidRPr="00EE0EB3">
              <w:rPr>
                <w:rFonts w:ascii="Times New Roman" w:hAnsi="Times New Roman"/>
                <w:sz w:val="24"/>
              </w:rPr>
              <w:t>100</w:t>
            </w:r>
            <w:r w:rsidRPr="00EE0EB3">
              <w:rPr>
                <w:rFonts w:ascii="Times New Roman" w:hAnsi="Times New Roman"/>
                <w:sz w:val="24"/>
              </w:rPr>
              <w:t>万元（含）至</w:t>
            </w:r>
            <w:r w:rsidRPr="00EE0EB3">
              <w:rPr>
                <w:rFonts w:ascii="Times New Roman" w:hAnsi="Times New Roman"/>
                <w:sz w:val="24"/>
              </w:rPr>
              <w:t>200</w:t>
            </w:r>
            <w:r w:rsidRPr="00EE0EB3">
              <w:rPr>
                <w:rFonts w:ascii="Times New Roman" w:hAnsi="Times New Roman"/>
                <w:sz w:val="24"/>
              </w:rPr>
              <w:t>万元</w:t>
            </w:r>
          </w:p>
        </w:tc>
        <w:tc>
          <w:tcPr>
            <w:tcW w:w="3767" w:type="dxa"/>
            <w:vAlign w:val="center"/>
          </w:tcPr>
          <w:p w14:paraId="7AAB0438" w14:textId="77777777" w:rsidR="00E44F78" w:rsidRPr="00107CBF" w:rsidRDefault="00E44F78" w:rsidP="00E44F78">
            <w:pPr>
              <w:adjustRightInd w:val="0"/>
              <w:snapToGrid w:val="0"/>
              <w:jc w:val="center"/>
              <w:rPr>
                <w:rFonts w:ascii="Times New Roman" w:hAnsi="Times New Roman"/>
                <w:sz w:val="24"/>
              </w:rPr>
            </w:pPr>
            <w:r w:rsidRPr="00040D5C">
              <w:rPr>
                <w:rFonts w:ascii="Times New Roman" w:hAnsi="Times New Roman"/>
                <w:sz w:val="24"/>
              </w:rPr>
              <w:t>0.12%</w:t>
            </w:r>
          </w:p>
        </w:tc>
      </w:tr>
      <w:tr w:rsidR="00E44F78" w:rsidRPr="005D2825" w14:paraId="5B557453" w14:textId="77777777" w:rsidTr="00040D5C">
        <w:trPr>
          <w:cantSplit/>
          <w:trHeight w:val="131"/>
          <w:jc w:val="center"/>
        </w:trPr>
        <w:tc>
          <w:tcPr>
            <w:tcW w:w="3260" w:type="dxa"/>
            <w:vAlign w:val="center"/>
          </w:tcPr>
          <w:p w14:paraId="2DBF9B9C" w14:textId="77777777" w:rsidR="00E44F78" w:rsidRPr="00107CBF" w:rsidRDefault="00E44F78" w:rsidP="00E44F78">
            <w:pPr>
              <w:adjustRightInd w:val="0"/>
              <w:snapToGrid w:val="0"/>
              <w:rPr>
                <w:rFonts w:ascii="Times New Roman" w:hAnsi="Times New Roman"/>
                <w:sz w:val="24"/>
              </w:rPr>
            </w:pPr>
            <w:r w:rsidRPr="00EE0EB3">
              <w:rPr>
                <w:rFonts w:ascii="Times New Roman" w:hAnsi="Times New Roman"/>
                <w:sz w:val="24"/>
              </w:rPr>
              <w:t>200</w:t>
            </w:r>
            <w:r w:rsidRPr="00EE0EB3">
              <w:rPr>
                <w:rFonts w:ascii="Times New Roman" w:hAnsi="Times New Roman"/>
                <w:sz w:val="24"/>
              </w:rPr>
              <w:t>万元（含）至</w:t>
            </w:r>
            <w:r w:rsidRPr="00EE0EB3">
              <w:rPr>
                <w:rFonts w:ascii="Times New Roman" w:hAnsi="Times New Roman"/>
                <w:sz w:val="24"/>
              </w:rPr>
              <w:t>500</w:t>
            </w:r>
            <w:r w:rsidRPr="00EE0EB3">
              <w:rPr>
                <w:rFonts w:ascii="Times New Roman" w:hAnsi="Times New Roman"/>
                <w:sz w:val="24"/>
              </w:rPr>
              <w:t>万元</w:t>
            </w:r>
          </w:p>
        </w:tc>
        <w:tc>
          <w:tcPr>
            <w:tcW w:w="3767" w:type="dxa"/>
            <w:vAlign w:val="center"/>
          </w:tcPr>
          <w:p w14:paraId="2AC17941" w14:textId="77777777" w:rsidR="00E44F78" w:rsidRPr="00107CBF" w:rsidRDefault="00E44F78" w:rsidP="00E44F78">
            <w:pPr>
              <w:adjustRightInd w:val="0"/>
              <w:snapToGrid w:val="0"/>
              <w:jc w:val="center"/>
              <w:rPr>
                <w:rFonts w:ascii="Times New Roman" w:hAnsi="Times New Roman"/>
                <w:sz w:val="24"/>
              </w:rPr>
            </w:pPr>
            <w:r w:rsidRPr="00040D5C">
              <w:rPr>
                <w:rFonts w:ascii="Times New Roman" w:hAnsi="Times New Roman"/>
                <w:sz w:val="24"/>
              </w:rPr>
              <w:t>0.06%</w:t>
            </w:r>
          </w:p>
        </w:tc>
      </w:tr>
      <w:tr w:rsidR="00107CBF" w:rsidRPr="005D2825" w14:paraId="0232B8A7" w14:textId="77777777" w:rsidTr="0023744F">
        <w:trPr>
          <w:cantSplit/>
          <w:trHeight w:val="131"/>
          <w:jc w:val="center"/>
        </w:trPr>
        <w:tc>
          <w:tcPr>
            <w:tcW w:w="3260" w:type="dxa"/>
          </w:tcPr>
          <w:p w14:paraId="785C7974" w14:textId="77777777" w:rsidR="00107CBF" w:rsidRPr="00040D5C" w:rsidRDefault="00107CBF" w:rsidP="00107CBF">
            <w:pPr>
              <w:adjustRightInd w:val="0"/>
              <w:snapToGrid w:val="0"/>
              <w:rPr>
                <w:rFonts w:ascii="Times New Roman" w:hAnsi="Times New Roman"/>
                <w:sz w:val="24"/>
              </w:rPr>
            </w:pPr>
            <w:r>
              <w:rPr>
                <w:rFonts w:ascii="Times New Roman" w:hAnsi="Times New Roman"/>
                <w:sz w:val="24"/>
              </w:rPr>
              <w:t>5</w:t>
            </w:r>
            <w:r w:rsidRPr="00EE0EB3">
              <w:rPr>
                <w:rFonts w:ascii="Times New Roman" w:hAnsi="Times New Roman"/>
                <w:sz w:val="24"/>
              </w:rPr>
              <w:t>00</w:t>
            </w:r>
            <w:r w:rsidRPr="00EE0EB3">
              <w:rPr>
                <w:rFonts w:ascii="Times New Roman" w:hAnsi="Times New Roman"/>
                <w:sz w:val="24"/>
              </w:rPr>
              <w:t>万元以上（含</w:t>
            </w:r>
            <w:r>
              <w:rPr>
                <w:rFonts w:ascii="Times New Roman" w:hAnsi="Times New Roman"/>
                <w:sz w:val="24"/>
              </w:rPr>
              <w:t>500</w:t>
            </w:r>
            <w:r w:rsidRPr="00EE0EB3">
              <w:rPr>
                <w:rFonts w:ascii="Times New Roman" w:hAnsi="Times New Roman"/>
                <w:sz w:val="24"/>
              </w:rPr>
              <w:t>万</w:t>
            </w:r>
            <w:r w:rsidRPr="00EE0EB3">
              <w:rPr>
                <w:rFonts w:ascii="Times New Roman" w:hAnsi="Times New Roman" w:hint="eastAsia"/>
                <w:sz w:val="24"/>
              </w:rPr>
              <w:t>元</w:t>
            </w:r>
            <w:r w:rsidRPr="00EE0EB3">
              <w:rPr>
                <w:rFonts w:ascii="Times New Roman" w:hAnsi="Times New Roman"/>
                <w:sz w:val="24"/>
              </w:rPr>
              <w:t>）</w:t>
            </w:r>
          </w:p>
        </w:tc>
        <w:tc>
          <w:tcPr>
            <w:tcW w:w="3767" w:type="dxa"/>
          </w:tcPr>
          <w:p w14:paraId="0EAC4729" w14:textId="77777777" w:rsidR="00107CBF" w:rsidRPr="00040D5C" w:rsidRDefault="00107CBF" w:rsidP="00107CBF">
            <w:pPr>
              <w:adjustRightInd w:val="0"/>
              <w:snapToGrid w:val="0"/>
              <w:jc w:val="center"/>
              <w:rPr>
                <w:rFonts w:ascii="Times New Roman" w:hAnsi="Times New Roman"/>
                <w:sz w:val="24"/>
              </w:rPr>
            </w:pPr>
            <w:r w:rsidRPr="00040D5C">
              <w:rPr>
                <w:rFonts w:ascii="Times New Roman" w:hAnsi="Times New Roman"/>
                <w:sz w:val="24"/>
              </w:rPr>
              <w:t>每笔交易</w:t>
            </w:r>
            <w:r w:rsidRPr="00040D5C">
              <w:rPr>
                <w:rFonts w:ascii="Times New Roman" w:hAnsi="Times New Roman"/>
                <w:sz w:val="24"/>
              </w:rPr>
              <w:t>1000</w:t>
            </w:r>
            <w:r w:rsidRPr="00040D5C">
              <w:rPr>
                <w:rFonts w:ascii="Times New Roman" w:hAnsi="Times New Roman"/>
                <w:sz w:val="24"/>
              </w:rPr>
              <w:t>元</w:t>
            </w:r>
          </w:p>
        </w:tc>
      </w:tr>
    </w:tbl>
    <w:p w14:paraId="6EE2A074" w14:textId="77777777" w:rsidR="005D2825" w:rsidRPr="00040D5C" w:rsidRDefault="005D2825" w:rsidP="005D2825">
      <w:pPr>
        <w:adjustRightInd w:val="0"/>
        <w:snapToGrid w:val="0"/>
        <w:spacing w:line="360" w:lineRule="auto"/>
        <w:ind w:firstLineChars="200" w:firstLine="480"/>
        <w:rPr>
          <w:rFonts w:ascii="Times New Roman" w:hAnsi="Times New Roman"/>
          <w:sz w:val="24"/>
        </w:rPr>
      </w:pPr>
      <w:r w:rsidRPr="00040D5C">
        <w:rPr>
          <w:rFonts w:ascii="Times New Roman" w:hAnsi="Times New Roman" w:hint="eastAsia"/>
          <w:sz w:val="24"/>
        </w:rPr>
        <w:t>本基金</w:t>
      </w:r>
      <w:r w:rsidRPr="00040D5C">
        <w:rPr>
          <w:rFonts w:ascii="Times New Roman" w:hAnsi="Times New Roman"/>
          <w:color w:val="000000"/>
          <w:kern w:val="0"/>
          <w:sz w:val="24"/>
        </w:rPr>
        <w:t>A</w:t>
      </w:r>
      <w:r w:rsidRPr="00040D5C">
        <w:rPr>
          <w:rFonts w:ascii="Times New Roman" w:hAnsi="Times New Roman" w:hint="eastAsia"/>
          <w:color w:val="000000"/>
          <w:kern w:val="0"/>
          <w:sz w:val="24"/>
        </w:rPr>
        <w:t>类基金份额的</w:t>
      </w:r>
      <w:r w:rsidRPr="00040D5C">
        <w:rPr>
          <w:rFonts w:ascii="Times New Roman" w:hAnsi="Times New Roman" w:hint="eastAsia"/>
          <w:sz w:val="24"/>
        </w:rPr>
        <w:t>认购费用由认购</w:t>
      </w:r>
      <w:r w:rsidRPr="00040D5C">
        <w:rPr>
          <w:rFonts w:ascii="Times New Roman" w:hAnsi="Times New Roman"/>
          <w:color w:val="000000"/>
          <w:kern w:val="0"/>
          <w:sz w:val="24"/>
        </w:rPr>
        <w:t>A</w:t>
      </w:r>
      <w:r w:rsidRPr="00040D5C">
        <w:rPr>
          <w:rFonts w:ascii="Times New Roman" w:hAnsi="Times New Roman" w:hint="eastAsia"/>
          <w:color w:val="000000"/>
          <w:kern w:val="0"/>
          <w:sz w:val="24"/>
        </w:rPr>
        <w:t>类</w:t>
      </w:r>
      <w:r w:rsidRPr="00040D5C">
        <w:rPr>
          <w:rFonts w:ascii="Times New Roman" w:hAnsi="Times New Roman" w:hint="eastAsia"/>
          <w:sz w:val="24"/>
        </w:rPr>
        <w:t>基金份额的投资人承担，认购费用不列入基金财产，主要用于基金的市场推广、销售、登记等募集期间发生的各项费用。</w:t>
      </w:r>
    </w:p>
    <w:p w14:paraId="07326E6B" w14:textId="77777777" w:rsidR="005D2825" w:rsidRPr="00040D5C" w:rsidRDefault="005D2825" w:rsidP="005D2825">
      <w:pPr>
        <w:adjustRightInd w:val="0"/>
        <w:snapToGrid w:val="0"/>
        <w:spacing w:line="360" w:lineRule="auto"/>
        <w:ind w:firstLineChars="200" w:firstLine="480"/>
        <w:rPr>
          <w:rFonts w:ascii="Times New Roman" w:hAnsi="Times New Roman"/>
          <w:sz w:val="24"/>
        </w:rPr>
      </w:pPr>
      <w:r w:rsidRPr="00040D5C">
        <w:rPr>
          <w:rFonts w:ascii="Times New Roman" w:hAnsi="Times New Roman" w:hint="eastAsia"/>
          <w:sz w:val="24"/>
        </w:rPr>
        <w:t>（</w:t>
      </w:r>
      <w:r w:rsidRPr="00040D5C">
        <w:rPr>
          <w:rFonts w:ascii="Times New Roman" w:hAnsi="Times New Roman"/>
          <w:sz w:val="24"/>
        </w:rPr>
        <w:t>3</w:t>
      </w:r>
      <w:r w:rsidRPr="00040D5C">
        <w:rPr>
          <w:rFonts w:ascii="Times New Roman" w:hAnsi="Times New Roman" w:hint="eastAsia"/>
          <w:sz w:val="24"/>
        </w:rPr>
        <w:t>）认购份额的计算</w:t>
      </w:r>
    </w:p>
    <w:p w14:paraId="34C2B50C" w14:textId="77777777" w:rsidR="005D2825" w:rsidRPr="00040D5C" w:rsidRDefault="005D2825" w:rsidP="005D2825">
      <w:pPr>
        <w:adjustRightInd w:val="0"/>
        <w:snapToGrid w:val="0"/>
        <w:spacing w:line="360" w:lineRule="auto"/>
        <w:ind w:firstLineChars="200" w:firstLine="480"/>
        <w:rPr>
          <w:rFonts w:ascii="Times New Roman" w:hAnsi="Times New Roman"/>
          <w:sz w:val="24"/>
        </w:rPr>
      </w:pPr>
      <w:r w:rsidRPr="00040D5C">
        <w:rPr>
          <w:rFonts w:ascii="Times New Roman" w:hAnsi="Times New Roman" w:hint="eastAsia"/>
          <w:sz w:val="24"/>
        </w:rPr>
        <w:t>基金认购采用金额认购的方式。</w:t>
      </w:r>
    </w:p>
    <w:p w14:paraId="2CA84D5A" w14:textId="77777777" w:rsidR="005D2825" w:rsidRPr="00040D5C" w:rsidRDefault="005D2825" w:rsidP="005D2825">
      <w:pPr>
        <w:adjustRightInd w:val="0"/>
        <w:snapToGrid w:val="0"/>
        <w:spacing w:line="360" w:lineRule="auto"/>
        <w:ind w:firstLineChars="200" w:firstLine="480"/>
        <w:rPr>
          <w:rFonts w:ascii="Times New Roman" w:hAnsi="Times New Roman"/>
          <w:sz w:val="24"/>
        </w:rPr>
      </w:pPr>
      <w:r w:rsidRPr="00040D5C">
        <w:rPr>
          <w:rFonts w:ascii="Times New Roman" w:hAnsi="Times New Roman"/>
          <w:sz w:val="24"/>
        </w:rPr>
        <w:t>1</w:t>
      </w:r>
      <w:r w:rsidRPr="00040D5C">
        <w:rPr>
          <w:rFonts w:ascii="Times New Roman" w:hAnsi="Times New Roman" w:hint="eastAsia"/>
          <w:sz w:val="24"/>
        </w:rPr>
        <w:t>）</w:t>
      </w:r>
      <w:r w:rsidRPr="00040D5C">
        <w:rPr>
          <w:rFonts w:ascii="Times New Roman" w:hAnsi="Times New Roman"/>
          <w:sz w:val="24"/>
        </w:rPr>
        <w:t>A</w:t>
      </w:r>
      <w:r w:rsidRPr="00040D5C">
        <w:rPr>
          <w:rFonts w:ascii="Times New Roman" w:hAnsi="Times New Roman" w:hint="eastAsia"/>
          <w:sz w:val="24"/>
        </w:rPr>
        <w:t>类基金份额的认购</w:t>
      </w:r>
    </w:p>
    <w:p w14:paraId="4FAC2DD1" w14:textId="77777777" w:rsidR="005D2825" w:rsidRPr="00040D5C" w:rsidRDefault="005D2825" w:rsidP="005D2825">
      <w:pPr>
        <w:adjustRightInd w:val="0"/>
        <w:snapToGrid w:val="0"/>
        <w:spacing w:line="360" w:lineRule="auto"/>
        <w:ind w:firstLineChars="200" w:firstLine="480"/>
        <w:rPr>
          <w:rFonts w:ascii="Times New Roman" w:hAnsi="Times New Roman"/>
          <w:sz w:val="24"/>
        </w:rPr>
      </w:pPr>
      <w:r w:rsidRPr="00040D5C">
        <w:rPr>
          <w:rFonts w:ascii="Times New Roman" w:hAnsi="Times New Roman" w:hint="eastAsia"/>
          <w:sz w:val="24"/>
        </w:rPr>
        <w:t>基金的认购金额包括认购费用和净认购金额。计算公式为：</w:t>
      </w:r>
    </w:p>
    <w:p w14:paraId="1B6686A4" w14:textId="77777777" w:rsidR="005D2825" w:rsidRPr="00040D5C" w:rsidRDefault="005D2825" w:rsidP="005D2825">
      <w:pPr>
        <w:adjustRightInd w:val="0"/>
        <w:snapToGrid w:val="0"/>
        <w:spacing w:line="360" w:lineRule="auto"/>
        <w:ind w:firstLineChars="200" w:firstLine="480"/>
        <w:rPr>
          <w:rFonts w:ascii="Times New Roman" w:hAnsi="Times New Roman"/>
          <w:sz w:val="24"/>
        </w:rPr>
      </w:pPr>
      <w:r w:rsidRPr="00040D5C">
        <w:rPr>
          <w:rFonts w:ascii="Times New Roman" w:hAnsi="Times New Roman" w:hint="eastAsia"/>
          <w:sz w:val="24"/>
        </w:rPr>
        <w:t>认购总金额</w:t>
      </w:r>
      <w:r w:rsidRPr="00040D5C">
        <w:rPr>
          <w:rFonts w:ascii="Times New Roman" w:hAnsi="Times New Roman"/>
          <w:sz w:val="24"/>
        </w:rPr>
        <w:t>=</w:t>
      </w:r>
      <w:r w:rsidRPr="00040D5C">
        <w:rPr>
          <w:rFonts w:ascii="Times New Roman" w:hAnsi="Times New Roman" w:hint="eastAsia"/>
          <w:sz w:val="24"/>
        </w:rPr>
        <w:t>申请总金额</w:t>
      </w:r>
    </w:p>
    <w:p w14:paraId="474801A4" w14:textId="77777777" w:rsidR="005D2825" w:rsidRPr="00040D5C" w:rsidRDefault="005D2825" w:rsidP="005D2825">
      <w:pPr>
        <w:adjustRightInd w:val="0"/>
        <w:snapToGrid w:val="0"/>
        <w:spacing w:line="360" w:lineRule="auto"/>
        <w:ind w:firstLineChars="200" w:firstLine="480"/>
        <w:rPr>
          <w:rFonts w:ascii="Times New Roman" w:hAnsi="Times New Roman"/>
          <w:sz w:val="24"/>
        </w:rPr>
      </w:pPr>
      <w:r w:rsidRPr="00040D5C">
        <w:rPr>
          <w:rFonts w:ascii="Times New Roman" w:hAnsi="Times New Roman" w:hint="eastAsia"/>
          <w:sz w:val="24"/>
        </w:rPr>
        <w:t>净认购金额</w:t>
      </w:r>
      <w:r w:rsidRPr="00040D5C">
        <w:rPr>
          <w:rFonts w:ascii="Times New Roman" w:hAnsi="Times New Roman"/>
          <w:sz w:val="24"/>
        </w:rPr>
        <w:t>=</w:t>
      </w:r>
      <w:r w:rsidRPr="00040D5C">
        <w:rPr>
          <w:rFonts w:ascii="Times New Roman" w:hAnsi="Times New Roman" w:hint="eastAsia"/>
          <w:sz w:val="24"/>
        </w:rPr>
        <w:t>认购总金额</w:t>
      </w:r>
      <w:r w:rsidRPr="00040D5C">
        <w:rPr>
          <w:rFonts w:ascii="Times New Roman" w:hAnsi="Times New Roman"/>
          <w:sz w:val="24"/>
        </w:rPr>
        <w:t>/</w:t>
      </w:r>
      <w:r w:rsidRPr="00040D5C">
        <w:rPr>
          <w:rFonts w:ascii="Times New Roman" w:hAnsi="Times New Roman" w:hint="eastAsia"/>
          <w:sz w:val="24"/>
        </w:rPr>
        <w:t>（</w:t>
      </w:r>
      <w:r w:rsidRPr="00040D5C">
        <w:rPr>
          <w:rFonts w:ascii="Times New Roman" w:hAnsi="Times New Roman"/>
          <w:sz w:val="24"/>
        </w:rPr>
        <w:t>1+</w:t>
      </w:r>
      <w:r w:rsidRPr="00040D5C">
        <w:rPr>
          <w:rFonts w:ascii="Times New Roman" w:hAnsi="Times New Roman" w:hint="eastAsia"/>
          <w:sz w:val="24"/>
        </w:rPr>
        <w:t>认购费率）</w:t>
      </w:r>
    </w:p>
    <w:p w14:paraId="3073D608" w14:textId="77777777" w:rsidR="005D2825" w:rsidRPr="00040D5C" w:rsidRDefault="005D2825" w:rsidP="005D2825">
      <w:pPr>
        <w:adjustRightInd w:val="0"/>
        <w:snapToGrid w:val="0"/>
        <w:spacing w:line="360" w:lineRule="auto"/>
        <w:ind w:firstLineChars="200" w:firstLine="480"/>
        <w:rPr>
          <w:rFonts w:ascii="Times New Roman" w:hAnsi="Times New Roman"/>
          <w:sz w:val="24"/>
        </w:rPr>
      </w:pPr>
      <w:r w:rsidRPr="00040D5C">
        <w:rPr>
          <w:rFonts w:ascii="Times New Roman" w:hAnsi="Times New Roman" w:hint="eastAsia"/>
          <w:sz w:val="24"/>
        </w:rPr>
        <w:t>（注：对于适用固定金额认购费用的认购，净认购金额＝认购总金额－固定认购费用金额）</w:t>
      </w:r>
    </w:p>
    <w:p w14:paraId="66E6C87F" w14:textId="77777777" w:rsidR="005D2825" w:rsidRPr="00040D5C" w:rsidRDefault="005D2825" w:rsidP="005D2825">
      <w:pPr>
        <w:adjustRightInd w:val="0"/>
        <w:snapToGrid w:val="0"/>
        <w:spacing w:line="360" w:lineRule="auto"/>
        <w:ind w:firstLineChars="200" w:firstLine="480"/>
        <w:rPr>
          <w:rFonts w:ascii="Times New Roman" w:hAnsi="Times New Roman"/>
          <w:sz w:val="24"/>
        </w:rPr>
      </w:pPr>
      <w:r w:rsidRPr="00040D5C">
        <w:rPr>
          <w:rFonts w:ascii="Times New Roman" w:hAnsi="Times New Roman" w:hint="eastAsia"/>
          <w:sz w:val="24"/>
        </w:rPr>
        <w:t>认购费用</w:t>
      </w:r>
      <w:r w:rsidRPr="00040D5C">
        <w:rPr>
          <w:rFonts w:ascii="Times New Roman" w:hAnsi="Times New Roman"/>
          <w:sz w:val="24"/>
        </w:rPr>
        <w:t>=</w:t>
      </w:r>
      <w:r w:rsidRPr="00040D5C">
        <w:rPr>
          <w:rFonts w:ascii="Times New Roman" w:hAnsi="Times New Roman" w:hint="eastAsia"/>
          <w:sz w:val="24"/>
        </w:rPr>
        <w:t>认购总金额</w:t>
      </w:r>
      <w:r w:rsidRPr="00040D5C">
        <w:rPr>
          <w:rFonts w:ascii="Times New Roman" w:hAnsi="Times New Roman"/>
          <w:sz w:val="24"/>
        </w:rPr>
        <w:t>-</w:t>
      </w:r>
      <w:r w:rsidRPr="00040D5C">
        <w:rPr>
          <w:rFonts w:ascii="Times New Roman" w:hAnsi="Times New Roman" w:hint="eastAsia"/>
          <w:sz w:val="24"/>
        </w:rPr>
        <w:t>净认购金额</w:t>
      </w:r>
    </w:p>
    <w:p w14:paraId="3EA696F0" w14:textId="77777777" w:rsidR="005D2825" w:rsidRPr="00040D5C" w:rsidRDefault="005D2825" w:rsidP="005D2825">
      <w:pPr>
        <w:adjustRightInd w:val="0"/>
        <w:snapToGrid w:val="0"/>
        <w:spacing w:line="360" w:lineRule="auto"/>
        <w:ind w:firstLineChars="200" w:firstLine="480"/>
        <w:rPr>
          <w:rFonts w:ascii="Times New Roman" w:hAnsi="Times New Roman"/>
          <w:sz w:val="24"/>
        </w:rPr>
      </w:pPr>
      <w:r w:rsidRPr="00040D5C">
        <w:rPr>
          <w:rFonts w:ascii="Times New Roman" w:hAnsi="Times New Roman" w:hint="eastAsia"/>
          <w:sz w:val="24"/>
        </w:rPr>
        <w:t>（注：对于适用固定金额认购费用的认购，认购费用＝固定认购费用金额）</w:t>
      </w:r>
    </w:p>
    <w:p w14:paraId="17F9571F" w14:textId="77777777" w:rsidR="005D2825" w:rsidRPr="00040D5C" w:rsidRDefault="005D2825" w:rsidP="005D2825">
      <w:pPr>
        <w:adjustRightInd w:val="0"/>
        <w:snapToGrid w:val="0"/>
        <w:spacing w:line="360" w:lineRule="auto"/>
        <w:ind w:firstLineChars="200" w:firstLine="480"/>
        <w:rPr>
          <w:rFonts w:ascii="Times New Roman" w:hAnsi="Times New Roman"/>
          <w:sz w:val="24"/>
        </w:rPr>
      </w:pPr>
      <w:r w:rsidRPr="00040D5C">
        <w:rPr>
          <w:rFonts w:ascii="Times New Roman" w:hAnsi="Times New Roman" w:hint="eastAsia"/>
          <w:sz w:val="24"/>
        </w:rPr>
        <w:t>认购份额</w:t>
      </w:r>
      <w:r w:rsidRPr="00040D5C">
        <w:rPr>
          <w:rFonts w:ascii="Times New Roman" w:hAnsi="Times New Roman"/>
          <w:sz w:val="24"/>
        </w:rPr>
        <w:t>=</w:t>
      </w:r>
      <w:r w:rsidRPr="00040D5C">
        <w:rPr>
          <w:rFonts w:ascii="Times New Roman" w:hAnsi="Times New Roman" w:hint="eastAsia"/>
          <w:sz w:val="24"/>
        </w:rPr>
        <w:t>净认购金额</w:t>
      </w:r>
      <w:r w:rsidRPr="00040D5C">
        <w:rPr>
          <w:rFonts w:ascii="Times New Roman" w:hAnsi="Times New Roman"/>
          <w:sz w:val="24"/>
        </w:rPr>
        <w:t>/</w:t>
      </w:r>
      <w:r w:rsidRPr="00040D5C">
        <w:rPr>
          <w:rFonts w:ascii="Times New Roman" w:hAnsi="Times New Roman" w:hint="eastAsia"/>
          <w:sz w:val="24"/>
        </w:rPr>
        <w:t>基金份额初始面值</w:t>
      </w:r>
      <w:r w:rsidRPr="00040D5C">
        <w:rPr>
          <w:rFonts w:ascii="Times New Roman" w:hAnsi="Times New Roman"/>
          <w:sz w:val="24"/>
        </w:rPr>
        <w:t>+</w:t>
      </w:r>
      <w:r w:rsidRPr="00040D5C">
        <w:rPr>
          <w:rFonts w:ascii="Times New Roman" w:hAnsi="Times New Roman" w:hint="eastAsia"/>
          <w:sz w:val="24"/>
        </w:rPr>
        <w:t>认购利息</w:t>
      </w:r>
      <w:r w:rsidRPr="00040D5C">
        <w:rPr>
          <w:rFonts w:ascii="Times New Roman" w:hAnsi="Times New Roman"/>
          <w:sz w:val="24"/>
        </w:rPr>
        <w:t>/</w:t>
      </w:r>
      <w:r w:rsidRPr="00040D5C">
        <w:rPr>
          <w:rFonts w:ascii="Times New Roman" w:hAnsi="Times New Roman" w:hint="eastAsia"/>
          <w:sz w:val="24"/>
        </w:rPr>
        <w:t>基金份额初始面值</w:t>
      </w:r>
    </w:p>
    <w:p w14:paraId="5390033F" w14:textId="77777777" w:rsidR="005D2825" w:rsidRPr="00040D5C" w:rsidRDefault="005D2825" w:rsidP="005D2825">
      <w:pPr>
        <w:adjustRightInd w:val="0"/>
        <w:snapToGrid w:val="0"/>
        <w:spacing w:line="360" w:lineRule="auto"/>
        <w:ind w:firstLineChars="200" w:firstLine="480"/>
        <w:rPr>
          <w:rFonts w:ascii="Times New Roman" w:hAnsi="Times New Roman"/>
          <w:sz w:val="24"/>
        </w:rPr>
      </w:pPr>
      <w:r w:rsidRPr="00040D5C">
        <w:rPr>
          <w:rFonts w:ascii="Times New Roman" w:hAnsi="Times New Roman" w:hint="eastAsia"/>
          <w:sz w:val="24"/>
        </w:rPr>
        <w:t>认购份额的计算保留到小数点后</w:t>
      </w:r>
      <w:r w:rsidRPr="00040D5C">
        <w:rPr>
          <w:rFonts w:ascii="Times New Roman" w:hAnsi="Times New Roman"/>
          <w:sz w:val="24"/>
        </w:rPr>
        <w:t>2</w:t>
      </w:r>
      <w:r w:rsidRPr="00040D5C">
        <w:rPr>
          <w:rFonts w:ascii="Times New Roman" w:hAnsi="Times New Roman" w:hint="eastAsia"/>
          <w:sz w:val="24"/>
        </w:rPr>
        <w:t>位，小数点</w:t>
      </w:r>
      <w:r w:rsidRPr="00040D5C">
        <w:rPr>
          <w:rFonts w:ascii="Times New Roman" w:hAnsi="Times New Roman"/>
          <w:sz w:val="24"/>
        </w:rPr>
        <w:t>2</w:t>
      </w:r>
      <w:r w:rsidRPr="00040D5C">
        <w:rPr>
          <w:rFonts w:ascii="Times New Roman" w:hAnsi="Times New Roman" w:hint="eastAsia"/>
          <w:sz w:val="24"/>
        </w:rPr>
        <w:t>位以后的部分四舍五入，由此误差产生的收益或损失由基金财产承担。</w:t>
      </w:r>
    </w:p>
    <w:p w14:paraId="56D9708F" w14:textId="18282259" w:rsidR="00E44F78" w:rsidRPr="00E44F78" w:rsidRDefault="00E44F78" w:rsidP="00E44F78">
      <w:pPr>
        <w:adjustRightInd w:val="0"/>
        <w:snapToGrid w:val="0"/>
        <w:spacing w:line="360" w:lineRule="auto"/>
        <w:ind w:firstLineChars="200" w:firstLine="480"/>
        <w:rPr>
          <w:rFonts w:ascii="Times New Roman" w:hAnsi="Times New Roman"/>
          <w:sz w:val="24"/>
        </w:rPr>
      </w:pPr>
      <w:r w:rsidRPr="00E44F78">
        <w:rPr>
          <w:rFonts w:ascii="Times New Roman" w:hAnsi="Times New Roman" w:hint="eastAsia"/>
          <w:sz w:val="24"/>
        </w:rPr>
        <w:t>例一：某投资者（非养老金客户）</w:t>
      </w:r>
      <w:r w:rsidR="00E74412">
        <w:rPr>
          <w:rFonts w:ascii="Times New Roman" w:hAnsi="Times New Roman" w:hint="eastAsia"/>
          <w:sz w:val="24"/>
        </w:rPr>
        <w:t>投资</w:t>
      </w:r>
      <w:r w:rsidR="00E74412" w:rsidRPr="00E44F78">
        <w:rPr>
          <w:rFonts w:ascii="Times New Roman" w:hAnsi="Times New Roman" w:hint="eastAsia"/>
          <w:sz w:val="24"/>
        </w:rPr>
        <w:t>100,000</w:t>
      </w:r>
      <w:r w:rsidR="00E74412">
        <w:rPr>
          <w:rFonts w:ascii="Times New Roman" w:hAnsi="Times New Roman"/>
          <w:sz w:val="24"/>
        </w:rPr>
        <w:t>.00</w:t>
      </w:r>
      <w:r w:rsidR="00E74412" w:rsidRPr="00E44F78">
        <w:rPr>
          <w:rFonts w:ascii="Times New Roman" w:hAnsi="Times New Roman" w:hint="eastAsia"/>
          <w:sz w:val="24"/>
        </w:rPr>
        <w:t>元</w:t>
      </w:r>
      <w:r w:rsidRPr="00E44F78">
        <w:rPr>
          <w:rFonts w:ascii="Times New Roman" w:hAnsi="Times New Roman" w:hint="eastAsia"/>
          <w:sz w:val="24"/>
        </w:rPr>
        <w:t>认购本基金</w:t>
      </w:r>
      <w:r w:rsidRPr="00E44F78">
        <w:rPr>
          <w:rFonts w:ascii="Times New Roman" w:hAnsi="Times New Roman" w:hint="eastAsia"/>
          <w:sz w:val="24"/>
        </w:rPr>
        <w:t>A</w:t>
      </w:r>
      <w:r w:rsidRPr="00E44F78">
        <w:rPr>
          <w:rFonts w:ascii="Times New Roman" w:hAnsi="Times New Roman" w:hint="eastAsia"/>
          <w:sz w:val="24"/>
        </w:rPr>
        <w:t>类基金份额，且该认购申请被全额确认，所对应的认购费率为</w:t>
      </w:r>
      <w:r w:rsidRPr="00E44F78">
        <w:rPr>
          <w:rFonts w:ascii="Times New Roman" w:hAnsi="Times New Roman" w:hint="eastAsia"/>
          <w:sz w:val="24"/>
        </w:rPr>
        <w:t>1.0%</w:t>
      </w:r>
      <w:r w:rsidRPr="00E44F78">
        <w:rPr>
          <w:rFonts w:ascii="Times New Roman" w:hAnsi="Times New Roman" w:hint="eastAsia"/>
          <w:sz w:val="24"/>
        </w:rPr>
        <w:t>。假定该笔认购金额产生利息</w:t>
      </w:r>
      <w:r w:rsidRPr="00E44F78">
        <w:rPr>
          <w:rFonts w:ascii="Times New Roman" w:hAnsi="Times New Roman" w:hint="eastAsia"/>
          <w:sz w:val="24"/>
        </w:rPr>
        <w:t>50.00</w:t>
      </w:r>
      <w:r w:rsidRPr="00E44F78">
        <w:rPr>
          <w:rFonts w:ascii="Times New Roman" w:hAnsi="Times New Roman" w:hint="eastAsia"/>
          <w:sz w:val="24"/>
        </w:rPr>
        <w:t>元。则认购份额为：</w:t>
      </w:r>
    </w:p>
    <w:p w14:paraId="6EC014A2" w14:textId="6149BC5B" w:rsidR="00E44F78" w:rsidRPr="00E44F78" w:rsidRDefault="00E44F78" w:rsidP="00E44F78">
      <w:pPr>
        <w:adjustRightInd w:val="0"/>
        <w:snapToGrid w:val="0"/>
        <w:spacing w:line="360" w:lineRule="auto"/>
        <w:ind w:firstLineChars="200" w:firstLine="480"/>
        <w:rPr>
          <w:rFonts w:ascii="Times New Roman" w:hAnsi="Times New Roman"/>
          <w:sz w:val="24"/>
        </w:rPr>
      </w:pPr>
      <w:r w:rsidRPr="00E44F78">
        <w:rPr>
          <w:rFonts w:ascii="Times New Roman" w:hAnsi="Times New Roman" w:hint="eastAsia"/>
          <w:sz w:val="24"/>
        </w:rPr>
        <w:t>认购总金额＝</w:t>
      </w:r>
      <w:r w:rsidRPr="00E44F78">
        <w:rPr>
          <w:rFonts w:ascii="Times New Roman" w:hAnsi="Times New Roman" w:hint="eastAsia"/>
          <w:sz w:val="24"/>
        </w:rPr>
        <w:t>100,000</w:t>
      </w:r>
      <w:r w:rsidR="0000402D">
        <w:rPr>
          <w:rFonts w:ascii="Times New Roman" w:hAnsi="Times New Roman"/>
          <w:sz w:val="24"/>
        </w:rPr>
        <w:t>.00</w:t>
      </w:r>
      <w:r w:rsidRPr="00E44F78">
        <w:rPr>
          <w:rFonts w:ascii="Times New Roman" w:hAnsi="Times New Roman" w:hint="eastAsia"/>
          <w:sz w:val="24"/>
        </w:rPr>
        <w:t>元</w:t>
      </w:r>
    </w:p>
    <w:p w14:paraId="59E48043" w14:textId="24222F04" w:rsidR="00E44F78" w:rsidRPr="00E44F78" w:rsidRDefault="00E44F78" w:rsidP="00E44F78">
      <w:pPr>
        <w:adjustRightInd w:val="0"/>
        <w:snapToGrid w:val="0"/>
        <w:spacing w:line="360" w:lineRule="auto"/>
        <w:ind w:firstLineChars="200" w:firstLine="480"/>
        <w:rPr>
          <w:rFonts w:ascii="Times New Roman" w:hAnsi="Times New Roman"/>
          <w:sz w:val="24"/>
        </w:rPr>
      </w:pPr>
      <w:r w:rsidRPr="00E44F78">
        <w:rPr>
          <w:rFonts w:ascii="Times New Roman" w:hAnsi="Times New Roman" w:hint="eastAsia"/>
          <w:sz w:val="24"/>
        </w:rPr>
        <w:t>净认购金额＝</w:t>
      </w:r>
      <w:r w:rsidRPr="00E44F78">
        <w:rPr>
          <w:rFonts w:ascii="Times New Roman" w:hAnsi="Times New Roman" w:hint="eastAsia"/>
          <w:sz w:val="24"/>
        </w:rPr>
        <w:t>100,000</w:t>
      </w:r>
      <w:r w:rsidR="0000402D">
        <w:rPr>
          <w:rFonts w:ascii="Times New Roman" w:hAnsi="Times New Roman"/>
          <w:sz w:val="24"/>
        </w:rPr>
        <w:t>.00</w:t>
      </w:r>
      <w:r w:rsidRPr="00E44F78">
        <w:rPr>
          <w:rFonts w:ascii="Times New Roman" w:hAnsi="Times New Roman" w:hint="eastAsia"/>
          <w:sz w:val="24"/>
        </w:rPr>
        <w:t>/</w:t>
      </w:r>
      <w:r w:rsidRPr="00E44F78">
        <w:rPr>
          <w:rFonts w:ascii="Times New Roman" w:hAnsi="Times New Roman" w:hint="eastAsia"/>
          <w:sz w:val="24"/>
        </w:rPr>
        <w:t>（</w:t>
      </w:r>
      <w:r w:rsidRPr="00E44F78">
        <w:rPr>
          <w:rFonts w:ascii="Times New Roman" w:hAnsi="Times New Roman" w:hint="eastAsia"/>
          <w:sz w:val="24"/>
        </w:rPr>
        <w:t>1</w:t>
      </w:r>
      <w:r w:rsidRPr="00E44F78">
        <w:rPr>
          <w:rFonts w:ascii="Times New Roman" w:hAnsi="Times New Roman" w:hint="eastAsia"/>
          <w:sz w:val="24"/>
        </w:rPr>
        <w:t>＋</w:t>
      </w:r>
      <w:r w:rsidRPr="00E44F78">
        <w:rPr>
          <w:rFonts w:ascii="Times New Roman" w:hAnsi="Times New Roman" w:hint="eastAsia"/>
          <w:sz w:val="24"/>
        </w:rPr>
        <w:t>1.0%</w:t>
      </w:r>
      <w:r w:rsidRPr="00E44F78">
        <w:rPr>
          <w:rFonts w:ascii="Times New Roman" w:hAnsi="Times New Roman" w:hint="eastAsia"/>
          <w:sz w:val="24"/>
        </w:rPr>
        <w:t>）＝</w:t>
      </w:r>
      <w:r w:rsidRPr="00E44F78">
        <w:rPr>
          <w:rFonts w:ascii="Times New Roman" w:hAnsi="Times New Roman" w:hint="eastAsia"/>
          <w:sz w:val="24"/>
        </w:rPr>
        <w:t>99,009.90</w:t>
      </w:r>
      <w:r w:rsidRPr="00E44F78">
        <w:rPr>
          <w:rFonts w:ascii="Times New Roman" w:hAnsi="Times New Roman" w:hint="eastAsia"/>
          <w:sz w:val="24"/>
        </w:rPr>
        <w:t>元</w:t>
      </w:r>
    </w:p>
    <w:p w14:paraId="2E197C75" w14:textId="156FD8C7" w:rsidR="00E44F78" w:rsidRPr="00E44F78" w:rsidRDefault="00E44F78" w:rsidP="00E44F78">
      <w:pPr>
        <w:adjustRightInd w:val="0"/>
        <w:snapToGrid w:val="0"/>
        <w:spacing w:line="360" w:lineRule="auto"/>
        <w:ind w:firstLineChars="200" w:firstLine="480"/>
        <w:rPr>
          <w:rFonts w:ascii="Times New Roman" w:hAnsi="Times New Roman"/>
          <w:sz w:val="24"/>
        </w:rPr>
      </w:pPr>
      <w:r w:rsidRPr="00E44F78">
        <w:rPr>
          <w:rFonts w:ascii="Times New Roman" w:hAnsi="Times New Roman" w:hint="eastAsia"/>
          <w:sz w:val="24"/>
        </w:rPr>
        <w:t>认购费用＝</w:t>
      </w:r>
      <w:r w:rsidRPr="00E44F78">
        <w:rPr>
          <w:rFonts w:ascii="Times New Roman" w:hAnsi="Times New Roman" w:hint="eastAsia"/>
          <w:sz w:val="24"/>
        </w:rPr>
        <w:t>100,000</w:t>
      </w:r>
      <w:r w:rsidR="0000402D">
        <w:rPr>
          <w:rFonts w:ascii="Times New Roman" w:hAnsi="Times New Roman"/>
          <w:sz w:val="24"/>
        </w:rPr>
        <w:t>.00</w:t>
      </w:r>
      <w:r w:rsidRPr="00E44F78">
        <w:rPr>
          <w:rFonts w:ascii="Times New Roman" w:hAnsi="Times New Roman" w:hint="eastAsia"/>
          <w:sz w:val="24"/>
        </w:rPr>
        <w:t>－</w:t>
      </w:r>
      <w:r w:rsidRPr="00E44F78">
        <w:rPr>
          <w:rFonts w:ascii="Times New Roman" w:hAnsi="Times New Roman" w:hint="eastAsia"/>
          <w:sz w:val="24"/>
        </w:rPr>
        <w:t>99,009.90</w:t>
      </w:r>
      <w:r w:rsidRPr="00E44F78">
        <w:rPr>
          <w:rFonts w:ascii="Times New Roman" w:hAnsi="Times New Roman" w:hint="eastAsia"/>
          <w:sz w:val="24"/>
        </w:rPr>
        <w:t>＝</w:t>
      </w:r>
      <w:r w:rsidRPr="00E44F78">
        <w:rPr>
          <w:rFonts w:ascii="Times New Roman" w:hAnsi="Times New Roman" w:hint="eastAsia"/>
          <w:sz w:val="24"/>
        </w:rPr>
        <w:t>990.10</w:t>
      </w:r>
      <w:r w:rsidRPr="00E44F78">
        <w:rPr>
          <w:rFonts w:ascii="Times New Roman" w:hAnsi="Times New Roman" w:hint="eastAsia"/>
          <w:sz w:val="24"/>
        </w:rPr>
        <w:t>元</w:t>
      </w:r>
    </w:p>
    <w:p w14:paraId="22C8607C" w14:textId="36B6CF2B" w:rsidR="00E44F78" w:rsidRPr="00E44F78" w:rsidRDefault="00E44F78" w:rsidP="00E44F78">
      <w:pPr>
        <w:adjustRightInd w:val="0"/>
        <w:snapToGrid w:val="0"/>
        <w:spacing w:line="360" w:lineRule="auto"/>
        <w:ind w:firstLineChars="200" w:firstLine="480"/>
        <w:rPr>
          <w:rFonts w:ascii="Times New Roman" w:hAnsi="Times New Roman"/>
          <w:sz w:val="24"/>
        </w:rPr>
      </w:pPr>
      <w:r w:rsidRPr="00E44F78">
        <w:rPr>
          <w:rFonts w:ascii="Times New Roman" w:hAnsi="Times New Roman" w:hint="eastAsia"/>
          <w:sz w:val="24"/>
        </w:rPr>
        <w:t>认购份额＝</w:t>
      </w:r>
      <w:r w:rsidRPr="00E44F78">
        <w:rPr>
          <w:rFonts w:ascii="Times New Roman" w:hAnsi="Times New Roman" w:hint="eastAsia"/>
          <w:sz w:val="24"/>
        </w:rPr>
        <w:t>99,009.90</w:t>
      </w:r>
      <w:r w:rsidR="0000402D">
        <w:rPr>
          <w:rFonts w:ascii="Times New Roman" w:hAnsi="Times New Roman"/>
          <w:sz w:val="24"/>
        </w:rPr>
        <w:t>.00</w:t>
      </w:r>
      <w:r w:rsidRPr="00E44F78">
        <w:rPr>
          <w:rFonts w:ascii="Times New Roman" w:hAnsi="Times New Roman" w:hint="eastAsia"/>
          <w:sz w:val="24"/>
        </w:rPr>
        <w:t>/1.00</w:t>
      </w:r>
      <w:r w:rsidRPr="00E44F78">
        <w:rPr>
          <w:rFonts w:ascii="Times New Roman" w:hAnsi="Times New Roman" w:hint="eastAsia"/>
          <w:sz w:val="24"/>
        </w:rPr>
        <w:t>＋</w:t>
      </w:r>
      <w:r w:rsidRPr="00E44F78">
        <w:rPr>
          <w:rFonts w:ascii="Times New Roman" w:hAnsi="Times New Roman" w:hint="eastAsia"/>
          <w:sz w:val="24"/>
        </w:rPr>
        <w:t>50.00/1.00</w:t>
      </w:r>
      <w:r w:rsidRPr="00E44F78">
        <w:rPr>
          <w:rFonts w:ascii="Times New Roman" w:hAnsi="Times New Roman" w:hint="eastAsia"/>
          <w:sz w:val="24"/>
        </w:rPr>
        <w:t>＝</w:t>
      </w:r>
      <w:r w:rsidRPr="00E44F78">
        <w:rPr>
          <w:rFonts w:ascii="Times New Roman" w:hAnsi="Times New Roman" w:hint="eastAsia"/>
          <w:sz w:val="24"/>
        </w:rPr>
        <w:t>99,059.90</w:t>
      </w:r>
      <w:r w:rsidRPr="00E44F78">
        <w:rPr>
          <w:rFonts w:ascii="Times New Roman" w:hAnsi="Times New Roman" w:hint="eastAsia"/>
          <w:sz w:val="24"/>
        </w:rPr>
        <w:t>份</w:t>
      </w:r>
    </w:p>
    <w:p w14:paraId="7C2A2F90" w14:textId="56BA6E85" w:rsidR="00E44F78" w:rsidRPr="00E44F78" w:rsidRDefault="00E44F78" w:rsidP="00E44F78">
      <w:pPr>
        <w:adjustRightInd w:val="0"/>
        <w:snapToGrid w:val="0"/>
        <w:spacing w:line="360" w:lineRule="auto"/>
        <w:ind w:firstLineChars="200" w:firstLine="480"/>
        <w:rPr>
          <w:rFonts w:ascii="Times New Roman" w:hAnsi="Times New Roman"/>
          <w:sz w:val="24"/>
        </w:rPr>
      </w:pPr>
      <w:r w:rsidRPr="00E44F78">
        <w:rPr>
          <w:rFonts w:ascii="Times New Roman" w:hAnsi="Times New Roman" w:hint="eastAsia"/>
          <w:sz w:val="24"/>
        </w:rPr>
        <w:t>即：若该投资者（非养老金客户）投资</w:t>
      </w:r>
      <w:r w:rsidRPr="00E44F78">
        <w:rPr>
          <w:rFonts w:ascii="Times New Roman" w:hAnsi="Times New Roman" w:hint="eastAsia"/>
          <w:sz w:val="24"/>
        </w:rPr>
        <w:t>100,000</w:t>
      </w:r>
      <w:r w:rsidR="0000402D">
        <w:rPr>
          <w:rFonts w:ascii="Times New Roman" w:hAnsi="Times New Roman"/>
          <w:sz w:val="24"/>
        </w:rPr>
        <w:t>.00</w:t>
      </w:r>
      <w:r w:rsidRPr="00E44F78">
        <w:rPr>
          <w:rFonts w:ascii="Times New Roman" w:hAnsi="Times New Roman" w:hint="eastAsia"/>
          <w:sz w:val="24"/>
        </w:rPr>
        <w:t>元认购</w:t>
      </w:r>
      <w:r w:rsidRPr="00E44F78">
        <w:rPr>
          <w:rFonts w:ascii="Times New Roman" w:hAnsi="Times New Roman" w:hint="eastAsia"/>
          <w:sz w:val="24"/>
        </w:rPr>
        <w:t>A</w:t>
      </w:r>
      <w:r w:rsidRPr="00E44F78">
        <w:rPr>
          <w:rFonts w:ascii="Times New Roman" w:hAnsi="Times New Roman" w:hint="eastAsia"/>
          <w:sz w:val="24"/>
        </w:rPr>
        <w:t>类基金份额，</w:t>
      </w:r>
      <w:r w:rsidR="006D5676" w:rsidRPr="006D5676">
        <w:rPr>
          <w:rFonts w:ascii="Times New Roman" w:hAnsi="Times New Roman" w:hint="eastAsia"/>
          <w:sz w:val="24"/>
        </w:rPr>
        <w:t>且该认购申请被全额确认，</w:t>
      </w:r>
      <w:r w:rsidRPr="00E44F78">
        <w:rPr>
          <w:rFonts w:ascii="Times New Roman" w:hAnsi="Times New Roman" w:hint="eastAsia"/>
          <w:sz w:val="24"/>
        </w:rPr>
        <w:t>假定该笔认购金额产生利息</w:t>
      </w:r>
      <w:r w:rsidRPr="00E44F78">
        <w:rPr>
          <w:rFonts w:ascii="Times New Roman" w:hAnsi="Times New Roman" w:hint="eastAsia"/>
          <w:sz w:val="24"/>
        </w:rPr>
        <w:t>50.00</w:t>
      </w:r>
      <w:r w:rsidRPr="00E44F78">
        <w:rPr>
          <w:rFonts w:ascii="Times New Roman" w:hAnsi="Times New Roman" w:hint="eastAsia"/>
          <w:sz w:val="24"/>
        </w:rPr>
        <w:t>元，可得到</w:t>
      </w:r>
      <w:r w:rsidRPr="00E44F78">
        <w:rPr>
          <w:rFonts w:ascii="Times New Roman" w:hAnsi="Times New Roman" w:hint="eastAsia"/>
          <w:sz w:val="24"/>
        </w:rPr>
        <w:t>99,059.90</w:t>
      </w:r>
      <w:r w:rsidRPr="00E44F78">
        <w:rPr>
          <w:rFonts w:ascii="Times New Roman" w:hAnsi="Times New Roman" w:hint="eastAsia"/>
          <w:sz w:val="24"/>
        </w:rPr>
        <w:t>份</w:t>
      </w:r>
      <w:r w:rsidRPr="00E44F78">
        <w:rPr>
          <w:rFonts w:ascii="Times New Roman" w:hAnsi="Times New Roman" w:hint="eastAsia"/>
          <w:sz w:val="24"/>
        </w:rPr>
        <w:t>A</w:t>
      </w:r>
      <w:r w:rsidRPr="00E44F78">
        <w:rPr>
          <w:rFonts w:ascii="Times New Roman" w:hAnsi="Times New Roman" w:hint="eastAsia"/>
          <w:sz w:val="24"/>
        </w:rPr>
        <w:t>类基金份额。</w:t>
      </w:r>
    </w:p>
    <w:p w14:paraId="796FA231" w14:textId="1BE86021" w:rsidR="00E44F78" w:rsidRPr="00E44F78" w:rsidRDefault="00E44F78" w:rsidP="00E44F78">
      <w:pPr>
        <w:adjustRightInd w:val="0"/>
        <w:snapToGrid w:val="0"/>
        <w:spacing w:line="360" w:lineRule="auto"/>
        <w:ind w:firstLineChars="200" w:firstLine="480"/>
        <w:rPr>
          <w:rFonts w:ascii="Times New Roman" w:hAnsi="Times New Roman"/>
          <w:sz w:val="24"/>
        </w:rPr>
      </w:pPr>
      <w:r w:rsidRPr="00E44F78">
        <w:rPr>
          <w:rFonts w:ascii="Times New Roman" w:hAnsi="Times New Roman" w:hint="eastAsia"/>
          <w:sz w:val="24"/>
        </w:rPr>
        <w:t>例二：某养老金客户通过基金管理人的直销柜台</w:t>
      </w:r>
      <w:r w:rsidR="0059729F" w:rsidRPr="0059729F">
        <w:rPr>
          <w:rFonts w:ascii="Times New Roman" w:hAnsi="Times New Roman" w:hint="eastAsia"/>
          <w:sz w:val="24"/>
        </w:rPr>
        <w:t>投资</w:t>
      </w:r>
      <w:r w:rsidR="0059729F" w:rsidRPr="0059729F">
        <w:rPr>
          <w:rFonts w:ascii="Times New Roman" w:hAnsi="Times New Roman" w:hint="eastAsia"/>
          <w:sz w:val="24"/>
        </w:rPr>
        <w:t>1</w:t>
      </w:r>
      <w:r w:rsidR="005E708D">
        <w:rPr>
          <w:rFonts w:ascii="Times New Roman" w:hAnsi="Times New Roman" w:hint="eastAsia"/>
          <w:sz w:val="24"/>
        </w:rPr>
        <w:t>,</w:t>
      </w:r>
      <w:r w:rsidR="005E708D">
        <w:rPr>
          <w:rFonts w:ascii="Times New Roman" w:hAnsi="Times New Roman"/>
          <w:sz w:val="24"/>
        </w:rPr>
        <w:t>0</w:t>
      </w:r>
      <w:r w:rsidR="0059729F" w:rsidRPr="0059729F">
        <w:rPr>
          <w:rFonts w:ascii="Times New Roman" w:hAnsi="Times New Roman" w:hint="eastAsia"/>
          <w:sz w:val="24"/>
        </w:rPr>
        <w:t>00,000.00</w:t>
      </w:r>
      <w:r w:rsidR="0059729F" w:rsidRPr="0059729F">
        <w:rPr>
          <w:rFonts w:ascii="Times New Roman" w:hAnsi="Times New Roman" w:hint="eastAsia"/>
          <w:sz w:val="24"/>
        </w:rPr>
        <w:t>元</w:t>
      </w:r>
      <w:r w:rsidRPr="00E44F78">
        <w:rPr>
          <w:rFonts w:ascii="Times New Roman" w:hAnsi="Times New Roman" w:hint="eastAsia"/>
          <w:sz w:val="24"/>
        </w:rPr>
        <w:t>认购本基</w:t>
      </w:r>
      <w:r w:rsidRPr="00E44F78">
        <w:rPr>
          <w:rFonts w:ascii="Times New Roman" w:hAnsi="Times New Roman" w:hint="eastAsia"/>
          <w:sz w:val="24"/>
        </w:rPr>
        <w:lastRenderedPageBreak/>
        <w:t>金</w:t>
      </w:r>
      <w:r w:rsidRPr="00E44F78">
        <w:rPr>
          <w:rFonts w:ascii="Times New Roman" w:hAnsi="Times New Roman" w:hint="eastAsia"/>
          <w:sz w:val="24"/>
        </w:rPr>
        <w:t>A</w:t>
      </w:r>
      <w:r w:rsidRPr="00E44F78">
        <w:rPr>
          <w:rFonts w:ascii="Times New Roman" w:hAnsi="Times New Roman" w:hint="eastAsia"/>
          <w:sz w:val="24"/>
        </w:rPr>
        <w:t>类基金份额，且该认购申请被全额确认，所对应的认购费率为</w:t>
      </w:r>
      <w:r w:rsidRPr="00E44F78">
        <w:rPr>
          <w:rFonts w:ascii="Times New Roman" w:hAnsi="Times New Roman" w:hint="eastAsia"/>
          <w:sz w:val="24"/>
        </w:rPr>
        <w:t>0.</w:t>
      </w:r>
      <w:r w:rsidR="00AA0D85">
        <w:rPr>
          <w:rFonts w:ascii="Times New Roman" w:hAnsi="Times New Roman"/>
          <w:sz w:val="24"/>
        </w:rPr>
        <w:t>1</w:t>
      </w:r>
      <w:r w:rsidRPr="00E44F78">
        <w:rPr>
          <w:rFonts w:ascii="Times New Roman" w:hAnsi="Times New Roman" w:hint="eastAsia"/>
          <w:sz w:val="24"/>
        </w:rPr>
        <w:t>2%</w:t>
      </w:r>
      <w:r w:rsidRPr="00E44F78">
        <w:rPr>
          <w:rFonts w:ascii="Times New Roman" w:hAnsi="Times New Roman" w:hint="eastAsia"/>
          <w:sz w:val="24"/>
        </w:rPr>
        <w:t>。假定该笔认购金额产生利息</w:t>
      </w:r>
      <w:r w:rsidRPr="00E44F78">
        <w:rPr>
          <w:rFonts w:ascii="Times New Roman" w:hAnsi="Times New Roman" w:hint="eastAsia"/>
          <w:sz w:val="24"/>
        </w:rPr>
        <w:t>50.00</w:t>
      </w:r>
      <w:r w:rsidRPr="00E44F78">
        <w:rPr>
          <w:rFonts w:ascii="Times New Roman" w:hAnsi="Times New Roman" w:hint="eastAsia"/>
          <w:sz w:val="24"/>
        </w:rPr>
        <w:t>元。则认购份额为：</w:t>
      </w:r>
    </w:p>
    <w:p w14:paraId="4AAE2DCF" w14:textId="1F99FB17" w:rsidR="00E44F78" w:rsidRPr="00E44F78" w:rsidRDefault="00E44F78" w:rsidP="00E44F78">
      <w:pPr>
        <w:adjustRightInd w:val="0"/>
        <w:snapToGrid w:val="0"/>
        <w:spacing w:line="360" w:lineRule="auto"/>
        <w:ind w:firstLineChars="200" w:firstLine="480"/>
        <w:rPr>
          <w:rFonts w:ascii="Times New Roman" w:hAnsi="Times New Roman"/>
          <w:sz w:val="24"/>
        </w:rPr>
      </w:pPr>
      <w:r w:rsidRPr="00E44F78">
        <w:rPr>
          <w:rFonts w:ascii="Times New Roman" w:hAnsi="Times New Roman" w:hint="eastAsia"/>
          <w:sz w:val="24"/>
        </w:rPr>
        <w:t>认购总金额＝</w:t>
      </w:r>
      <w:r w:rsidRPr="00E44F78">
        <w:rPr>
          <w:rFonts w:ascii="Times New Roman" w:hAnsi="Times New Roman" w:hint="eastAsia"/>
          <w:sz w:val="24"/>
        </w:rPr>
        <w:t>1</w:t>
      </w:r>
      <w:r w:rsidR="005E708D">
        <w:rPr>
          <w:rFonts w:ascii="Times New Roman" w:hAnsi="Times New Roman"/>
          <w:sz w:val="24"/>
        </w:rPr>
        <w:t>,0</w:t>
      </w:r>
      <w:r w:rsidRPr="00E44F78">
        <w:rPr>
          <w:rFonts w:ascii="Times New Roman" w:hAnsi="Times New Roman" w:hint="eastAsia"/>
          <w:sz w:val="24"/>
        </w:rPr>
        <w:t>00,000</w:t>
      </w:r>
      <w:r w:rsidR="002F6DCA">
        <w:rPr>
          <w:rFonts w:ascii="Times New Roman" w:hAnsi="Times New Roman"/>
          <w:sz w:val="24"/>
        </w:rPr>
        <w:t>.00</w:t>
      </w:r>
      <w:r w:rsidRPr="00E44F78">
        <w:rPr>
          <w:rFonts w:ascii="Times New Roman" w:hAnsi="Times New Roman" w:hint="eastAsia"/>
          <w:sz w:val="24"/>
        </w:rPr>
        <w:t>元</w:t>
      </w:r>
    </w:p>
    <w:p w14:paraId="1720295B" w14:textId="2C7F63AD" w:rsidR="00E44F78" w:rsidRPr="00E44F78" w:rsidRDefault="00E44F78" w:rsidP="00E44F78">
      <w:pPr>
        <w:adjustRightInd w:val="0"/>
        <w:snapToGrid w:val="0"/>
        <w:spacing w:line="360" w:lineRule="auto"/>
        <w:ind w:firstLineChars="200" w:firstLine="480"/>
        <w:rPr>
          <w:rFonts w:ascii="Times New Roman" w:hAnsi="Times New Roman"/>
          <w:sz w:val="24"/>
        </w:rPr>
      </w:pPr>
      <w:r w:rsidRPr="00E44F78">
        <w:rPr>
          <w:rFonts w:ascii="Times New Roman" w:hAnsi="Times New Roman" w:hint="eastAsia"/>
          <w:sz w:val="24"/>
        </w:rPr>
        <w:t>净认购金额＝</w:t>
      </w:r>
      <w:r w:rsidRPr="00E44F78">
        <w:rPr>
          <w:rFonts w:ascii="Times New Roman" w:hAnsi="Times New Roman" w:hint="eastAsia"/>
          <w:sz w:val="24"/>
        </w:rPr>
        <w:t>1</w:t>
      </w:r>
      <w:r w:rsidR="005E708D">
        <w:rPr>
          <w:rFonts w:ascii="Times New Roman" w:hAnsi="Times New Roman"/>
          <w:sz w:val="24"/>
        </w:rPr>
        <w:t>,0</w:t>
      </w:r>
      <w:r w:rsidRPr="00E44F78">
        <w:rPr>
          <w:rFonts w:ascii="Times New Roman" w:hAnsi="Times New Roman" w:hint="eastAsia"/>
          <w:sz w:val="24"/>
        </w:rPr>
        <w:t>00,000</w:t>
      </w:r>
      <w:r w:rsidR="002F6DCA">
        <w:rPr>
          <w:rFonts w:ascii="Times New Roman" w:hAnsi="Times New Roman"/>
          <w:sz w:val="24"/>
        </w:rPr>
        <w:t>.00</w:t>
      </w:r>
      <w:r w:rsidRPr="00E44F78">
        <w:rPr>
          <w:rFonts w:ascii="Times New Roman" w:hAnsi="Times New Roman" w:hint="eastAsia"/>
          <w:sz w:val="24"/>
        </w:rPr>
        <w:t>/</w:t>
      </w:r>
      <w:r w:rsidRPr="00E44F78">
        <w:rPr>
          <w:rFonts w:ascii="Times New Roman" w:hAnsi="Times New Roman" w:hint="eastAsia"/>
          <w:sz w:val="24"/>
        </w:rPr>
        <w:t>（</w:t>
      </w:r>
      <w:r w:rsidRPr="00E44F78">
        <w:rPr>
          <w:rFonts w:ascii="Times New Roman" w:hAnsi="Times New Roman" w:hint="eastAsia"/>
          <w:sz w:val="24"/>
        </w:rPr>
        <w:t>1</w:t>
      </w:r>
      <w:r w:rsidRPr="00E44F78">
        <w:rPr>
          <w:rFonts w:ascii="Times New Roman" w:hAnsi="Times New Roman" w:hint="eastAsia"/>
          <w:sz w:val="24"/>
        </w:rPr>
        <w:t>＋</w:t>
      </w:r>
      <w:r w:rsidRPr="00E44F78">
        <w:rPr>
          <w:rFonts w:ascii="Times New Roman" w:hAnsi="Times New Roman" w:hint="eastAsia"/>
          <w:sz w:val="24"/>
        </w:rPr>
        <w:t>0.</w:t>
      </w:r>
      <w:r w:rsidR="002F7FA3">
        <w:rPr>
          <w:rFonts w:ascii="Times New Roman" w:hAnsi="Times New Roman"/>
          <w:sz w:val="24"/>
        </w:rPr>
        <w:t>1</w:t>
      </w:r>
      <w:r w:rsidRPr="00E44F78">
        <w:rPr>
          <w:rFonts w:ascii="Times New Roman" w:hAnsi="Times New Roman" w:hint="eastAsia"/>
          <w:sz w:val="24"/>
        </w:rPr>
        <w:t>2%</w:t>
      </w:r>
      <w:r w:rsidRPr="00E44F78">
        <w:rPr>
          <w:rFonts w:ascii="Times New Roman" w:hAnsi="Times New Roman" w:hint="eastAsia"/>
          <w:sz w:val="24"/>
        </w:rPr>
        <w:t>）＝</w:t>
      </w:r>
      <w:r w:rsidRPr="00E44F78">
        <w:rPr>
          <w:rFonts w:ascii="Times New Roman" w:hAnsi="Times New Roman" w:hint="eastAsia"/>
          <w:sz w:val="24"/>
        </w:rPr>
        <w:t>998</w:t>
      </w:r>
      <w:r w:rsidR="005E708D" w:rsidRPr="00E44F78">
        <w:rPr>
          <w:rFonts w:ascii="Times New Roman" w:hAnsi="Times New Roman" w:hint="eastAsia"/>
          <w:sz w:val="24"/>
        </w:rPr>
        <w:t>,</w:t>
      </w:r>
      <w:r w:rsidR="002F7FA3">
        <w:rPr>
          <w:rFonts w:ascii="Times New Roman" w:hAnsi="Times New Roman"/>
          <w:sz w:val="24"/>
        </w:rPr>
        <w:t>801</w:t>
      </w:r>
      <w:r w:rsidRPr="00E44F78">
        <w:rPr>
          <w:rFonts w:ascii="Times New Roman" w:hAnsi="Times New Roman" w:hint="eastAsia"/>
          <w:sz w:val="24"/>
        </w:rPr>
        <w:t>.</w:t>
      </w:r>
      <w:r w:rsidR="002F7FA3">
        <w:rPr>
          <w:rFonts w:ascii="Times New Roman" w:hAnsi="Times New Roman"/>
          <w:sz w:val="24"/>
        </w:rPr>
        <w:t>44</w:t>
      </w:r>
      <w:r w:rsidRPr="00E44F78">
        <w:rPr>
          <w:rFonts w:ascii="Times New Roman" w:hAnsi="Times New Roman" w:hint="eastAsia"/>
          <w:sz w:val="24"/>
        </w:rPr>
        <w:t>元</w:t>
      </w:r>
    </w:p>
    <w:p w14:paraId="47DF42A7" w14:textId="29D0BEAE" w:rsidR="00E44F78" w:rsidRPr="00E44F78" w:rsidRDefault="00E44F78" w:rsidP="00E44F78">
      <w:pPr>
        <w:adjustRightInd w:val="0"/>
        <w:snapToGrid w:val="0"/>
        <w:spacing w:line="360" w:lineRule="auto"/>
        <w:ind w:firstLineChars="200" w:firstLine="480"/>
        <w:rPr>
          <w:rFonts w:ascii="Times New Roman" w:hAnsi="Times New Roman"/>
          <w:sz w:val="24"/>
        </w:rPr>
      </w:pPr>
      <w:r w:rsidRPr="00E44F78">
        <w:rPr>
          <w:rFonts w:ascii="Times New Roman" w:hAnsi="Times New Roman" w:hint="eastAsia"/>
          <w:sz w:val="24"/>
        </w:rPr>
        <w:t>认购费用＝</w:t>
      </w:r>
      <w:r w:rsidRPr="00E44F78">
        <w:rPr>
          <w:rFonts w:ascii="Times New Roman" w:hAnsi="Times New Roman" w:hint="eastAsia"/>
          <w:sz w:val="24"/>
        </w:rPr>
        <w:t>1</w:t>
      </w:r>
      <w:r w:rsidR="005E708D">
        <w:rPr>
          <w:rFonts w:ascii="Times New Roman" w:hAnsi="Times New Roman"/>
          <w:sz w:val="24"/>
        </w:rPr>
        <w:t>,0</w:t>
      </w:r>
      <w:r w:rsidRPr="00E44F78">
        <w:rPr>
          <w:rFonts w:ascii="Times New Roman" w:hAnsi="Times New Roman" w:hint="eastAsia"/>
          <w:sz w:val="24"/>
        </w:rPr>
        <w:t>00,000</w:t>
      </w:r>
      <w:r w:rsidR="002F6DCA">
        <w:rPr>
          <w:rFonts w:ascii="Times New Roman" w:hAnsi="Times New Roman"/>
          <w:sz w:val="24"/>
        </w:rPr>
        <w:t>.00</w:t>
      </w:r>
      <w:r w:rsidRPr="00E44F78">
        <w:rPr>
          <w:rFonts w:ascii="Times New Roman" w:hAnsi="Times New Roman" w:hint="eastAsia"/>
          <w:sz w:val="24"/>
        </w:rPr>
        <w:t>－</w:t>
      </w:r>
      <w:r w:rsidR="005B41ED" w:rsidRPr="00E44F78">
        <w:rPr>
          <w:rFonts w:ascii="Times New Roman" w:hAnsi="Times New Roman" w:hint="eastAsia"/>
          <w:sz w:val="24"/>
        </w:rPr>
        <w:t>998,</w:t>
      </w:r>
      <w:r w:rsidR="005B41ED">
        <w:rPr>
          <w:rFonts w:ascii="Times New Roman" w:hAnsi="Times New Roman"/>
          <w:sz w:val="24"/>
        </w:rPr>
        <w:t>801</w:t>
      </w:r>
      <w:r w:rsidR="005B41ED" w:rsidRPr="00E44F78">
        <w:rPr>
          <w:rFonts w:ascii="Times New Roman" w:hAnsi="Times New Roman" w:hint="eastAsia"/>
          <w:sz w:val="24"/>
        </w:rPr>
        <w:t>.</w:t>
      </w:r>
      <w:r w:rsidR="005B41ED">
        <w:rPr>
          <w:rFonts w:ascii="Times New Roman" w:hAnsi="Times New Roman"/>
          <w:sz w:val="24"/>
        </w:rPr>
        <w:t>44</w:t>
      </w:r>
      <w:r w:rsidRPr="00E44F78">
        <w:rPr>
          <w:rFonts w:ascii="Times New Roman" w:hAnsi="Times New Roman" w:hint="eastAsia"/>
          <w:sz w:val="24"/>
        </w:rPr>
        <w:t>＝</w:t>
      </w:r>
      <w:r w:rsidR="005B41ED">
        <w:rPr>
          <w:rFonts w:ascii="Times New Roman" w:hAnsi="Times New Roman"/>
          <w:sz w:val="24"/>
        </w:rPr>
        <w:t>1,198.56</w:t>
      </w:r>
      <w:r w:rsidRPr="00E44F78">
        <w:rPr>
          <w:rFonts w:ascii="Times New Roman" w:hAnsi="Times New Roman" w:hint="eastAsia"/>
          <w:sz w:val="24"/>
        </w:rPr>
        <w:t>元</w:t>
      </w:r>
    </w:p>
    <w:p w14:paraId="5B0CDC27" w14:textId="37851273" w:rsidR="00E44F78" w:rsidRPr="00E44F78" w:rsidRDefault="00E44F78" w:rsidP="00E44F78">
      <w:pPr>
        <w:adjustRightInd w:val="0"/>
        <w:snapToGrid w:val="0"/>
        <w:spacing w:line="360" w:lineRule="auto"/>
        <w:ind w:firstLineChars="200" w:firstLine="480"/>
        <w:rPr>
          <w:rFonts w:ascii="Times New Roman" w:hAnsi="Times New Roman"/>
          <w:sz w:val="24"/>
        </w:rPr>
      </w:pPr>
      <w:r w:rsidRPr="00E44F78">
        <w:rPr>
          <w:rFonts w:ascii="Times New Roman" w:hAnsi="Times New Roman" w:hint="eastAsia"/>
          <w:sz w:val="24"/>
        </w:rPr>
        <w:t>认购份额＝</w:t>
      </w:r>
      <w:r w:rsidR="005B41ED" w:rsidRPr="00E44F78">
        <w:rPr>
          <w:rFonts w:ascii="Times New Roman" w:hAnsi="Times New Roman" w:hint="eastAsia"/>
          <w:sz w:val="24"/>
        </w:rPr>
        <w:t>998,</w:t>
      </w:r>
      <w:r w:rsidR="005B41ED">
        <w:rPr>
          <w:rFonts w:ascii="Times New Roman" w:hAnsi="Times New Roman"/>
          <w:sz w:val="24"/>
        </w:rPr>
        <w:t>801</w:t>
      </w:r>
      <w:r w:rsidR="005B41ED" w:rsidRPr="00E44F78">
        <w:rPr>
          <w:rFonts w:ascii="Times New Roman" w:hAnsi="Times New Roman" w:hint="eastAsia"/>
          <w:sz w:val="24"/>
        </w:rPr>
        <w:t>.</w:t>
      </w:r>
      <w:r w:rsidR="005B41ED">
        <w:rPr>
          <w:rFonts w:ascii="Times New Roman" w:hAnsi="Times New Roman"/>
          <w:sz w:val="24"/>
        </w:rPr>
        <w:t>44</w:t>
      </w:r>
      <w:r w:rsidRPr="00E44F78">
        <w:rPr>
          <w:rFonts w:ascii="Times New Roman" w:hAnsi="Times New Roman" w:hint="eastAsia"/>
          <w:sz w:val="24"/>
        </w:rPr>
        <w:t>/1.00</w:t>
      </w:r>
      <w:r w:rsidRPr="00E44F78">
        <w:rPr>
          <w:rFonts w:ascii="Times New Roman" w:hAnsi="Times New Roman" w:hint="eastAsia"/>
          <w:sz w:val="24"/>
        </w:rPr>
        <w:t>＋</w:t>
      </w:r>
      <w:r w:rsidRPr="00E44F78">
        <w:rPr>
          <w:rFonts w:ascii="Times New Roman" w:hAnsi="Times New Roman" w:hint="eastAsia"/>
          <w:sz w:val="24"/>
        </w:rPr>
        <w:t>50.00/1.00</w:t>
      </w:r>
      <w:r w:rsidRPr="00E44F78">
        <w:rPr>
          <w:rFonts w:ascii="Times New Roman" w:hAnsi="Times New Roman" w:hint="eastAsia"/>
          <w:sz w:val="24"/>
        </w:rPr>
        <w:t>＝</w:t>
      </w:r>
      <w:r w:rsidR="00096488" w:rsidRPr="00E44F78">
        <w:rPr>
          <w:rFonts w:ascii="Times New Roman" w:hAnsi="Times New Roman" w:hint="eastAsia"/>
          <w:sz w:val="24"/>
        </w:rPr>
        <w:t>998,</w:t>
      </w:r>
      <w:r w:rsidR="00096488">
        <w:rPr>
          <w:rFonts w:ascii="Times New Roman" w:hAnsi="Times New Roman"/>
          <w:sz w:val="24"/>
        </w:rPr>
        <w:t>851</w:t>
      </w:r>
      <w:r w:rsidR="00096488" w:rsidRPr="00E44F78">
        <w:rPr>
          <w:rFonts w:ascii="Times New Roman" w:hAnsi="Times New Roman" w:hint="eastAsia"/>
          <w:sz w:val="24"/>
        </w:rPr>
        <w:t>.</w:t>
      </w:r>
      <w:r w:rsidR="00096488">
        <w:rPr>
          <w:rFonts w:ascii="Times New Roman" w:hAnsi="Times New Roman"/>
          <w:sz w:val="24"/>
        </w:rPr>
        <w:t>44</w:t>
      </w:r>
      <w:r w:rsidRPr="00E44F78">
        <w:rPr>
          <w:rFonts w:ascii="Times New Roman" w:hAnsi="Times New Roman" w:hint="eastAsia"/>
          <w:sz w:val="24"/>
        </w:rPr>
        <w:t>份</w:t>
      </w:r>
    </w:p>
    <w:p w14:paraId="1766BC0E" w14:textId="513D6937" w:rsidR="00E44F78" w:rsidRDefault="00E44F78" w:rsidP="00E44F78">
      <w:pPr>
        <w:adjustRightInd w:val="0"/>
        <w:snapToGrid w:val="0"/>
        <w:spacing w:line="360" w:lineRule="auto"/>
        <w:ind w:firstLineChars="200" w:firstLine="480"/>
        <w:rPr>
          <w:rFonts w:ascii="Times New Roman" w:hAnsi="Times New Roman"/>
          <w:sz w:val="24"/>
        </w:rPr>
      </w:pPr>
      <w:r w:rsidRPr="00E44F78">
        <w:rPr>
          <w:rFonts w:ascii="Times New Roman" w:hAnsi="Times New Roman" w:hint="eastAsia"/>
          <w:sz w:val="24"/>
        </w:rPr>
        <w:t>即：若该养老金客户投资</w:t>
      </w:r>
      <w:r w:rsidRPr="00E44F78">
        <w:rPr>
          <w:rFonts w:ascii="Times New Roman" w:hAnsi="Times New Roman" w:hint="eastAsia"/>
          <w:sz w:val="24"/>
        </w:rPr>
        <w:t>1</w:t>
      </w:r>
      <w:r w:rsidR="001727D8">
        <w:rPr>
          <w:rFonts w:ascii="Times New Roman" w:hAnsi="Times New Roman"/>
          <w:sz w:val="24"/>
        </w:rPr>
        <w:t>,0</w:t>
      </w:r>
      <w:r w:rsidRPr="00E44F78">
        <w:rPr>
          <w:rFonts w:ascii="Times New Roman" w:hAnsi="Times New Roman" w:hint="eastAsia"/>
          <w:sz w:val="24"/>
        </w:rPr>
        <w:t>00,000</w:t>
      </w:r>
      <w:r w:rsidR="002F6DCA">
        <w:rPr>
          <w:rFonts w:ascii="Times New Roman" w:hAnsi="Times New Roman"/>
          <w:sz w:val="24"/>
        </w:rPr>
        <w:t>.00</w:t>
      </w:r>
      <w:r w:rsidRPr="00E44F78">
        <w:rPr>
          <w:rFonts w:ascii="Times New Roman" w:hAnsi="Times New Roman" w:hint="eastAsia"/>
          <w:sz w:val="24"/>
        </w:rPr>
        <w:t>元通过基金管理人的直销柜台认购</w:t>
      </w:r>
      <w:r w:rsidR="00C95D6D">
        <w:rPr>
          <w:rFonts w:ascii="Times New Roman" w:hAnsi="Times New Roman" w:hint="eastAsia"/>
          <w:sz w:val="24"/>
        </w:rPr>
        <w:t>本基金</w:t>
      </w:r>
      <w:r w:rsidRPr="00E44F78">
        <w:rPr>
          <w:rFonts w:ascii="Times New Roman" w:hAnsi="Times New Roman" w:hint="eastAsia"/>
          <w:sz w:val="24"/>
        </w:rPr>
        <w:t>A</w:t>
      </w:r>
      <w:r w:rsidRPr="00E44F78">
        <w:rPr>
          <w:rFonts w:ascii="Times New Roman" w:hAnsi="Times New Roman" w:hint="eastAsia"/>
          <w:sz w:val="24"/>
        </w:rPr>
        <w:t>类基金份额，</w:t>
      </w:r>
      <w:r w:rsidR="00C95D6D" w:rsidRPr="00C95D6D">
        <w:rPr>
          <w:rFonts w:ascii="Times New Roman" w:hAnsi="Times New Roman" w:hint="eastAsia"/>
          <w:sz w:val="24"/>
        </w:rPr>
        <w:t>且该认购申请被全额确认，</w:t>
      </w:r>
      <w:r w:rsidRPr="00E44F78">
        <w:rPr>
          <w:rFonts w:ascii="Times New Roman" w:hAnsi="Times New Roman" w:hint="eastAsia"/>
          <w:sz w:val="24"/>
        </w:rPr>
        <w:t>假定该笔认购金额产生利息</w:t>
      </w:r>
      <w:r w:rsidRPr="00E44F78">
        <w:rPr>
          <w:rFonts w:ascii="Times New Roman" w:hAnsi="Times New Roman" w:hint="eastAsia"/>
          <w:sz w:val="24"/>
        </w:rPr>
        <w:t>50.00</w:t>
      </w:r>
      <w:r w:rsidRPr="00E44F78">
        <w:rPr>
          <w:rFonts w:ascii="Times New Roman" w:hAnsi="Times New Roman" w:hint="eastAsia"/>
          <w:sz w:val="24"/>
        </w:rPr>
        <w:t>元，可得到</w:t>
      </w:r>
      <w:r w:rsidR="00096488" w:rsidRPr="00E44F78">
        <w:rPr>
          <w:rFonts w:ascii="Times New Roman" w:hAnsi="Times New Roman" w:hint="eastAsia"/>
          <w:sz w:val="24"/>
        </w:rPr>
        <w:t>998,</w:t>
      </w:r>
      <w:r w:rsidR="00096488">
        <w:rPr>
          <w:rFonts w:ascii="Times New Roman" w:hAnsi="Times New Roman"/>
          <w:sz w:val="24"/>
        </w:rPr>
        <w:t>851</w:t>
      </w:r>
      <w:r w:rsidR="00096488" w:rsidRPr="00E44F78">
        <w:rPr>
          <w:rFonts w:ascii="Times New Roman" w:hAnsi="Times New Roman" w:hint="eastAsia"/>
          <w:sz w:val="24"/>
        </w:rPr>
        <w:t>.</w:t>
      </w:r>
      <w:r w:rsidR="00096488">
        <w:rPr>
          <w:rFonts w:ascii="Times New Roman" w:hAnsi="Times New Roman"/>
          <w:sz w:val="24"/>
        </w:rPr>
        <w:t>44</w:t>
      </w:r>
      <w:r w:rsidRPr="00E44F78">
        <w:rPr>
          <w:rFonts w:ascii="Times New Roman" w:hAnsi="Times New Roman" w:hint="eastAsia"/>
          <w:sz w:val="24"/>
        </w:rPr>
        <w:t>份</w:t>
      </w:r>
      <w:r w:rsidRPr="00E44F78">
        <w:rPr>
          <w:rFonts w:ascii="Times New Roman" w:hAnsi="Times New Roman" w:hint="eastAsia"/>
          <w:sz w:val="24"/>
        </w:rPr>
        <w:t>A</w:t>
      </w:r>
      <w:r w:rsidRPr="00E44F78">
        <w:rPr>
          <w:rFonts w:ascii="Times New Roman" w:hAnsi="Times New Roman" w:hint="eastAsia"/>
          <w:sz w:val="24"/>
        </w:rPr>
        <w:t>类基金份额。</w:t>
      </w:r>
    </w:p>
    <w:p w14:paraId="5B49308A" w14:textId="77777777" w:rsidR="005D2825" w:rsidRPr="00040D5C" w:rsidRDefault="005D2825" w:rsidP="005D2825">
      <w:pPr>
        <w:adjustRightInd w:val="0"/>
        <w:snapToGrid w:val="0"/>
        <w:spacing w:line="360" w:lineRule="auto"/>
        <w:ind w:firstLineChars="200" w:firstLine="480"/>
        <w:rPr>
          <w:rFonts w:ascii="Times New Roman" w:hAnsi="Times New Roman"/>
          <w:sz w:val="24"/>
        </w:rPr>
      </w:pPr>
      <w:r w:rsidRPr="00040D5C">
        <w:rPr>
          <w:rFonts w:ascii="Times New Roman" w:hAnsi="Times New Roman"/>
          <w:sz w:val="24"/>
        </w:rPr>
        <w:t>2</w:t>
      </w:r>
      <w:r w:rsidRPr="00040D5C">
        <w:rPr>
          <w:rFonts w:ascii="Times New Roman" w:hAnsi="Times New Roman" w:hint="eastAsia"/>
          <w:sz w:val="24"/>
        </w:rPr>
        <w:t>）</w:t>
      </w:r>
      <w:r w:rsidRPr="00040D5C">
        <w:rPr>
          <w:rFonts w:ascii="Times New Roman" w:hAnsi="Times New Roman"/>
          <w:sz w:val="24"/>
        </w:rPr>
        <w:t>C</w:t>
      </w:r>
      <w:r w:rsidRPr="00040D5C">
        <w:rPr>
          <w:rFonts w:ascii="Times New Roman" w:hAnsi="Times New Roman" w:hint="eastAsia"/>
          <w:sz w:val="24"/>
        </w:rPr>
        <w:t>类基金份额的认购</w:t>
      </w:r>
    </w:p>
    <w:p w14:paraId="21D7F49A" w14:textId="77777777" w:rsidR="005D2825" w:rsidRPr="00040D5C" w:rsidRDefault="005D2825" w:rsidP="005D2825">
      <w:pPr>
        <w:adjustRightInd w:val="0"/>
        <w:snapToGrid w:val="0"/>
        <w:spacing w:line="360" w:lineRule="auto"/>
        <w:ind w:firstLineChars="200" w:firstLine="480"/>
        <w:rPr>
          <w:rFonts w:ascii="Times New Roman" w:hAnsi="Times New Roman"/>
          <w:sz w:val="24"/>
        </w:rPr>
      </w:pPr>
      <w:r w:rsidRPr="00040D5C">
        <w:rPr>
          <w:rFonts w:ascii="Times New Roman" w:hAnsi="Times New Roman" w:hint="eastAsia"/>
          <w:sz w:val="24"/>
        </w:rPr>
        <w:t>如果投资者选择认购本基金的</w:t>
      </w:r>
      <w:r w:rsidRPr="00040D5C">
        <w:rPr>
          <w:rFonts w:ascii="Times New Roman" w:hAnsi="Times New Roman"/>
          <w:sz w:val="24"/>
        </w:rPr>
        <w:t>C</w:t>
      </w:r>
      <w:r w:rsidRPr="00040D5C">
        <w:rPr>
          <w:rFonts w:ascii="Times New Roman" w:hAnsi="Times New Roman" w:hint="eastAsia"/>
          <w:sz w:val="24"/>
        </w:rPr>
        <w:t>类基金份额，则认购份额的计算方式如下：</w:t>
      </w:r>
    </w:p>
    <w:p w14:paraId="74CF82F2" w14:textId="77777777" w:rsidR="005D2825" w:rsidRPr="00040D5C" w:rsidRDefault="005D2825" w:rsidP="005D2825">
      <w:pPr>
        <w:adjustRightInd w:val="0"/>
        <w:snapToGrid w:val="0"/>
        <w:spacing w:line="360" w:lineRule="auto"/>
        <w:ind w:firstLineChars="200" w:firstLine="480"/>
        <w:rPr>
          <w:rFonts w:ascii="Times New Roman" w:hAnsi="Times New Roman"/>
          <w:sz w:val="24"/>
        </w:rPr>
      </w:pPr>
      <w:r w:rsidRPr="00040D5C">
        <w:rPr>
          <w:rFonts w:ascii="Times New Roman" w:hAnsi="Times New Roman" w:hint="eastAsia"/>
          <w:sz w:val="24"/>
        </w:rPr>
        <w:t>认购总金额</w:t>
      </w:r>
      <w:r w:rsidRPr="00040D5C">
        <w:rPr>
          <w:rFonts w:ascii="Times New Roman" w:hAnsi="Times New Roman"/>
          <w:sz w:val="24"/>
        </w:rPr>
        <w:t>=</w:t>
      </w:r>
      <w:r w:rsidRPr="00040D5C">
        <w:rPr>
          <w:rFonts w:ascii="Times New Roman" w:hAnsi="Times New Roman" w:hint="eastAsia"/>
          <w:sz w:val="24"/>
        </w:rPr>
        <w:t>申请总金额</w:t>
      </w:r>
    </w:p>
    <w:p w14:paraId="57DF774C" w14:textId="0A306C3E" w:rsidR="005D2825" w:rsidRPr="00040D5C" w:rsidRDefault="005D2825" w:rsidP="005D2825">
      <w:pPr>
        <w:adjustRightInd w:val="0"/>
        <w:snapToGrid w:val="0"/>
        <w:spacing w:line="360" w:lineRule="auto"/>
        <w:ind w:firstLineChars="200" w:firstLine="480"/>
        <w:rPr>
          <w:rFonts w:ascii="Times New Roman" w:hAnsi="Times New Roman"/>
          <w:sz w:val="24"/>
        </w:rPr>
      </w:pPr>
      <w:r w:rsidRPr="00040D5C">
        <w:rPr>
          <w:rFonts w:ascii="Times New Roman" w:hAnsi="Times New Roman" w:hint="eastAsia"/>
          <w:sz w:val="24"/>
        </w:rPr>
        <w:t>认购份额</w:t>
      </w:r>
      <w:r w:rsidRPr="00040D5C">
        <w:rPr>
          <w:rFonts w:ascii="Times New Roman" w:hAnsi="Times New Roman"/>
          <w:sz w:val="24"/>
        </w:rPr>
        <w:t>=</w:t>
      </w:r>
      <w:r w:rsidRPr="00040D5C">
        <w:rPr>
          <w:rFonts w:ascii="Times New Roman" w:hAnsi="Times New Roman" w:hint="eastAsia"/>
          <w:sz w:val="24"/>
        </w:rPr>
        <w:t>认购总金额</w:t>
      </w:r>
      <w:r w:rsidRPr="00040D5C">
        <w:rPr>
          <w:rFonts w:ascii="Times New Roman" w:hAnsi="Times New Roman"/>
          <w:sz w:val="24"/>
        </w:rPr>
        <w:t>/</w:t>
      </w:r>
      <w:r w:rsidRPr="00040D5C">
        <w:rPr>
          <w:rFonts w:ascii="Times New Roman" w:hAnsi="Times New Roman" w:hint="eastAsia"/>
          <w:sz w:val="24"/>
        </w:rPr>
        <w:t>基金份额初始面值＋认购利息</w:t>
      </w:r>
      <w:r w:rsidRPr="00040D5C">
        <w:rPr>
          <w:rFonts w:ascii="Times New Roman" w:hAnsi="Times New Roman"/>
          <w:sz w:val="24"/>
        </w:rPr>
        <w:t>/</w:t>
      </w:r>
      <w:r w:rsidRPr="00040D5C">
        <w:rPr>
          <w:rFonts w:ascii="Times New Roman" w:hAnsi="Times New Roman" w:hint="eastAsia"/>
          <w:sz w:val="24"/>
        </w:rPr>
        <w:t>基金份额初始面值</w:t>
      </w:r>
    </w:p>
    <w:p w14:paraId="32F08257" w14:textId="77777777" w:rsidR="005D2825" w:rsidRPr="00040D5C" w:rsidRDefault="005D2825" w:rsidP="005D2825">
      <w:pPr>
        <w:adjustRightInd w:val="0"/>
        <w:snapToGrid w:val="0"/>
        <w:spacing w:line="360" w:lineRule="auto"/>
        <w:ind w:firstLineChars="200" w:firstLine="480"/>
        <w:rPr>
          <w:rFonts w:ascii="Times New Roman" w:hAnsi="Times New Roman"/>
          <w:sz w:val="24"/>
        </w:rPr>
      </w:pPr>
      <w:r w:rsidRPr="00040D5C">
        <w:rPr>
          <w:rFonts w:ascii="Times New Roman" w:hAnsi="Times New Roman" w:hint="eastAsia"/>
          <w:sz w:val="24"/>
        </w:rPr>
        <w:t>认购份额的计算保留到小数点后</w:t>
      </w:r>
      <w:r w:rsidRPr="00040D5C">
        <w:rPr>
          <w:rFonts w:ascii="Times New Roman" w:hAnsi="Times New Roman"/>
          <w:sz w:val="24"/>
        </w:rPr>
        <w:t>2</w:t>
      </w:r>
      <w:r w:rsidRPr="00040D5C">
        <w:rPr>
          <w:rFonts w:ascii="Times New Roman" w:hAnsi="Times New Roman" w:hint="eastAsia"/>
          <w:sz w:val="24"/>
        </w:rPr>
        <w:t>位，小数点</w:t>
      </w:r>
      <w:r w:rsidRPr="00040D5C">
        <w:rPr>
          <w:rFonts w:ascii="Times New Roman" w:hAnsi="Times New Roman"/>
          <w:sz w:val="24"/>
        </w:rPr>
        <w:t>2</w:t>
      </w:r>
      <w:r w:rsidRPr="00040D5C">
        <w:rPr>
          <w:rFonts w:ascii="Times New Roman" w:hAnsi="Times New Roman" w:hint="eastAsia"/>
          <w:sz w:val="24"/>
        </w:rPr>
        <w:t>位以后的部分四舍五入，由此误差产生的收益或损失由基金财产承担。</w:t>
      </w:r>
    </w:p>
    <w:p w14:paraId="4FC51461" w14:textId="0A1CFC90" w:rsidR="00E44F78" w:rsidRPr="00E44F78" w:rsidRDefault="00E44F78" w:rsidP="00E44F78">
      <w:pPr>
        <w:adjustRightInd w:val="0"/>
        <w:snapToGrid w:val="0"/>
        <w:spacing w:line="360" w:lineRule="auto"/>
        <w:ind w:firstLineChars="200" w:firstLine="480"/>
        <w:outlineLvl w:val="2"/>
        <w:rPr>
          <w:rFonts w:ascii="Times New Roman" w:hAnsi="Times New Roman"/>
          <w:sz w:val="24"/>
        </w:rPr>
      </w:pPr>
      <w:r w:rsidRPr="00E44F78">
        <w:rPr>
          <w:rFonts w:ascii="Times New Roman" w:hAnsi="Times New Roman" w:hint="eastAsia"/>
          <w:sz w:val="24"/>
        </w:rPr>
        <w:t>例三：某投资者</w:t>
      </w:r>
      <w:r w:rsidR="00BA4671">
        <w:rPr>
          <w:rFonts w:ascii="Times New Roman" w:hAnsi="Times New Roman" w:hint="eastAsia"/>
          <w:sz w:val="24"/>
        </w:rPr>
        <w:t>投资</w:t>
      </w:r>
      <w:r w:rsidR="00BA4671" w:rsidRPr="00E44F78">
        <w:rPr>
          <w:rFonts w:ascii="Times New Roman" w:hAnsi="Times New Roman" w:hint="eastAsia"/>
          <w:sz w:val="24"/>
        </w:rPr>
        <w:t>100,000</w:t>
      </w:r>
      <w:r w:rsidR="00BA4671">
        <w:rPr>
          <w:rFonts w:ascii="Times New Roman" w:hAnsi="Times New Roman"/>
          <w:sz w:val="24"/>
        </w:rPr>
        <w:t>.00</w:t>
      </w:r>
      <w:r w:rsidR="00BA4671" w:rsidRPr="00E44F78">
        <w:rPr>
          <w:rFonts w:ascii="Times New Roman" w:hAnsi="Times New Roman" w:hint="eastAsia"/>
          <w:sz w:val="24"/>
        </w:rPr>
        <w:t>元</w:t>
      </w:r>
      <w:r w:rsidRPr="00E44F78">
        <w:rPr>
          <w:rFonts w:ascii="Times New Roman" w:hAnsi="Times New Roman" w:hint="eastAsia"/>
          <w:sz w:val="24"/>
        </w:rPr>
        <w:t>认购本基金</w:t>
      </w:r>
      <w:r w:rsidRPr="00E44F78">
        <w:rPr>
          <w:rFonts w:ascii="Times New Roman" w:hAnsi="Times New Roman" w:hint="eastAsia"/>
          <w:sz w:val="24"/>
        </w:rPr>
        <w:t>C</w:t>
      </w:r>
      <w:r w:rsidRPr="00E44F78">
        <w:rPr>
          <w:rFonts w:ascii="Times New Roman" w:hAnsi="Times New Roman" w:hint="eastAsia"/>
          <w:sz w:val="24"/>
        </w:rPr>
        <w:t>类基金份额，</w:t>
      </w:r>
      <w:bookmarkStart w:id="11" w:name="_Hlk145583959"/>
      <w:r w:rsidRPr="00E44F78">
        <w:rPr>
          <w:rFonts w:ascii="Times New Roman" w:hAnsi="Times New Roman" w:hint="eastAsia"/>
          <w:sz w:val="24"/>
        </w:rPr>
        <w:t>且该认购申请被全额确认</w:t>
      </w:r>
      <w:bookmarkEnd w:id="11"/>
      <w:r w:rsidRPr="00E44F78">
        <w:rPr>
          <w:rFonts w:ascii="Times New Roman" w:hAnsi="Times New Roman" w:hint="eastAsia"/>
          <w:sz w:val="24"/>
        </w:rPr>
        <w:t>。假定该笔认购金额产生利息</w:t>
      </w:r>
      <w:r w:rsidRPr="00E44F78">
        <w:rPr>
          <w:rFonts w:ascii="Times New Roman" w:hAnsi="Times New Roman" w:hint="eastAsia"/>
          <w:sz w:val="24"/>
        </w:rPr>
        <w:t>50.00</w:t>
      </w:r>
      <w:r w:rsidRPr="00E44F78">
        <w:rPr>
          <w:rFonts w:ascii="Times New Roman" w:hAnsi="Times New Roman" w:hint="eastAsia"/>
          <w:sz w:val="24"/>
        </w:rPr>
        <w:t>元。则认购份额为：</w:t>
      </w:r>
    </w:p>
    <w:p w14:paraId="5AAAEF6D" w14:textId="4284F147" w:rsidR="00AD15A5" w:rsidRDefault="00AD15A5" w:rsidP="00AD15A5">
      <w:pPr>
        <w:adjustRightInd w:val="0"/>
        <w:snapToGrid w:val="0"/>
        <w:spacing w:line="360" w:lineRule="auto"/>
        <w:ind w:firstLineChars="200" w:firstLine="480"/>
        <w:outlineLvl w:val="2"/>
        <w:rPr>
          <w:rFonts w:ascii="Times New Roman" w:hAnsi="Times New Roman"/>
          <w:sz w:val="24"/>
        </w:rPr>
      </w:pPr>
      <w:r w:rsidRPr="00AD15A5">
        <w:rPr>
          <w:rFonts w:ascii="Times New Roman" w:hAnsi="Times New Roman" w:hint="eastAsia"/>
          <w:sz w:val="24"/>
        </w:rPr>
        <w:t>认购总金额</w:t>
      </w:r>
      <w:r w:rsidRPr="00AD15A5">
        <w:rPr>
          <w:rFonts w:ascii="Times New Roman" w:hAnsi="Times New Roman"/>
          <w:sz w:val="24"/>
        </w:rPr>
        <w:t>=</w:t>
      </w:r>
      <w:r w:rsidRPr="00E44F78">
        <w:rPr>
          <w:rFonts w:ascii="Times New Roman" w:hAnsi="Times New Roman" w:hint="eastAsia"/>
          <w:sz w:val="24"/>
        </w:rPr>
        <w:t>100,000</w:t>
      </w:r>
      <w:r>
        <w:rPr>
          <w:rFonts w:ascii="Times New Roman" w:hAnsi="Times New Roman"/>
          <w:sz w:val="24"/>
        </w:rPr>
        <w:t>.00</w:t>
      </w:r>
      <w:r>
        <w:rPr>
          <w:rFonts w:ascii="Times New Roman" w:hAnsi="Times New Roman" w:hint="eastAsia"/>
          <w:sz w:val="24"/>
        </w:rPr>
        <w:t>元</w:t>
      </w:r>
    </w:p>
    <w:p w14:paraId="56AB9FBC" w14:textId="432CE273" w:rsidR="00E44F78" w:rsidRPr="00E44F78" w:rsidRDefault="00E44F78" w:rsidP="00E44F78">
      <w:pPr>
        <w:adjustRightInd w:val="0"/>
        <w:snapToGrid w:val="0"/>
        <w:spacing w:line="360" w:lineRule="auto"/>
        <w:ind w:firstLineChars="200" w:firstLine="480"/>
        <w:outlineLvl w:val="2"/>
        <w:rPr>
          <w:rFonts w:ascii="Times New Roman" w:hAnsi="Times New Roman"/>
          <w:sz w:val="24"/>
        </w:rPr>
      </w:pPr>
      <w:r w:rsidRPr="00E44F78">
        <w:rPr>
          <w:rFonts w:ascii="Times New Roman" w:hAnsi="Times New Roman" w:hint="eastAsia"/>
          <w:sz w:val="24"/>
        </w:rPr>
        <w:t>认购份额＝</w:t>
      </w:r>
      <w:r w:rsidRPr="00E44F78">
        <w:rPr>
          <w:rFonts w:ascii="Times New Roman" w:hAnsi="Times New Roman" w:hint="eastAsia"/>
          <w:sz w:val="24"/>
        </w:rPr>
        <w:t>100,000</w:t>
      </w:r>
      <w:r w:rsidR="00AD15A5" w:rsidRPr="00AD15A5">
        <w:rPr>
          <w:rFonts w:ascii="Times New Roman" w:hAnsi="Times New Roman"/>
          <w:sz w:val="24"/>
        </w:rPr>
        <w:t>.00</w:t>
      </w:r>
      <w:r w:rsidRPr="00E44F78">
        <w:rPr>
          <w:rFonts w:ascii="Times New Roman" w:hAnsi="Times New Roman" w:hint="eastAsia"/>
          <w:sz w:val="24"/>
        </w:rPr>
        <w:t>/1.00</w:t>
      </w:r>
      <w:r w:rsidRPr="00E44F78">
        <w:rPr>
          <w:rFonts w:ascii="Times New Roman" w:hAnsi="Times New Roman" w:hint="eastAsia"/>
          <w:sz w:val="24"/>
        </w:rPr>
        <w:t>＋</w:t>
      </w:r>
      <w:r w:rsidRPr="00E44F78">
        <w:rPr>
          <w:rFonts w:ascii="Times New Roman" w:hAnsi="Times New Roman" w:hint="eastAsia"/>
          <w:sz w:val="24"/>
        </w:rPr>
        <w:t>50.00/1.00</w:t>
      </w:r>
      <w:r w:rsidRPr="00E44F78">
        <w:rPr>
          <w:rFonts w:ascii="Times New Roman" w:hAnsi="Times New Roman" w:hint="eastAsia"/>
          <w:sz w:val="24"/>
        </w:rPr>
        <w:t>＝</w:t>
      </w:r>
      <w:r w:rsidRPr="00E44F78">
        <w:rPr>
          <w:rFonts w:ascii="Times New Roman" w:hAnsi="Times New Roman" w:hint="eastAsia"/>
          <w:sz w:val="24"/>
        </w:rPr>
        <w:t>100,050.00</w:t>
      </w:r>
      <w:r w:rsidRPr="00E44F78">
        <w:rPr>
          <w:rFonts w:ascii="Times New Roman" w:hAnsi="Times New Roman" w:hint="eastAsia"/>
          <w:sz w:val="24"/>
        </w:rPr>
        <w:t>份</w:t>
      </w:r>
    </w:p>
    <w:p w14:paraId="111BC89D" w14:textId="1511D6F0" w:rsidR="00E44F78" w:rsidRDefault="00E44F78" w:rsidP="00E44F78">
      <w:pPr>
        <w:adjustRightInd w:val="0"/>
        <w:snapToGrid w:val="0"/>
        <w:spacing w:line="360" w:lineRule="auto"/>
        <w:ind w:firstLineChars="200" w:firstLine="480"/>
        <w:outlineLvl w:val="2"/>
        <w:rPr>
          <w:rFonts w:ascii="Times New Roman" w:hAnsi="Times New Roman"/>
          <w:sz w:val="24"/>
        </w:rPr>
      </w:pPr>
      <w:r w:rsidRPr="00E44F78">
        <w:rPr>
          <w:rFonts w:ascii="Times New Roman" w:hAnsi="Times New Roman" w:hint="eastAsia"/>
          <w:sz w:val="24"/>
        </w:rPr>
        <w:t>即：若该投资者投资</w:t>
      </w:r>
      <w:r w:rsidRPr="00E44F78">
        <w:rPr>
          <w:rFonts w:ascii="Times New Roman" w:hAnsi="Times New Roman" w:hint="eastAsia"/>
          <w:sz w:val="24"/>
        </w:rPr>
        <w:t>100,000</w:t>
      </w:r>
      <w:r w:rsidR="00AD15A5">
        <w:rPr>
          <w:rFonts w:ascii="Times New Roman" w:hAnsi="Times New Roman"/>
          <w:sz w:val="24"/>
        </w:rPr>
        <w:t>.00</w:t>
      </w:r>
      <w:r w:rsidRPr="00E44F78">
        <w:rPr>
          <w:rFonts w:ascii="Times New Roman" w:hAnsi="Times New Roman" w:hint="eastAsia"/>
          <w:sz w:val="24"/>
        </w:rPr>
        <w:t>元认购本基金</w:t>
      </w:r>
      <w:r w:rsidRPr="00E44F78">
        <w:rPr>
          <w:rFonts w:ascii="Times New Roman" w:hAnsi="Times New Roman" w:hint="eastAsia"/>
          <w:sz w:val="24"/>
        </w:rPr>
        <w:t>C</w:t>
      </w:r>
      <w:r w:rsidRPr="00E44F78">
        <w:rPr>
          <w:rFonts w:ascii="Times New Roman" w:hAnsi="Times New Roman" w:hint="eastAsia"/>
          <w:sz w:val="24"/>
        </w:rPr>
        <w:t>类基金份额，</w:t>
      </w:r>
      <w:r w:rsidR="00BA4671" w:rsidRPr="00BA4671">
        <w:rPr>
          <w:rFonts w:ascii="Times New Roman" w:hAnsi="Times New Roman" w:hint="eastAsia"/>
          <w:sz w:val="24"/>
        </w:rPr>
        <w:t>且该认购申请被全额确认</w:t>
      </w:r>
      <w:r w:rsidR="00BA4671">
        <w:rPr>
          <w:rFonts w:ascii="Times New Roman" w:hAnsi="Times New Roman" w:hint="eastAsia"/>
          <w:sz w:val="24"/>
        </w:rPr>
        <w:t>。</w:t>
      </w:r>
      <w:r w:rsidRPr="00E44F78">
        <w:rPr>
          <w:rFonts w:ascii="Times New Roman" w:hAnsi="Times New Roman" w:hint="eastAsia"/>
          <w:sz w:val="24"/>
        </w:rPr>
        <w:t>假定该笔认购金额产生利息</w:t>
      </w:r>
      <w:r w:rsidRPr="00E44F78">
        <w:rPr>
          <w:rFonts w:ascii="Times New Roman" w:hAnsi="Times New Roman" w:hint="eastAsia"/>
          <w:sz w:val="24"/>
        </w:rPr>
        <w:t>50.00</w:t>
      </w:r>
      <w:r w:rsidRPr="00E44F78">
        <w:rPr>
          <w:rFonts w:ascii="Times New Roman" w:hAnsi="Times New Roman" w:hint="eastAsia"/>
          <w:sz w:val="24"/>
        </w:rPr>
        <w:t>元，可得到</w:t>
      </w:r>
      <w:r w:rsidRPr="00E44F78">
        <w:rPr>
          <w:rFonts w:ascii="Times New Roman" w:hAnsi="Times New Roman" w:hint="eastAsia"/>
          <w:sz w:val="24"/>
        </w:rPr>
        <w:t>100,050.00</w:t>
      </w:r>
      <w:r w:rsidRPr="00E44F78">
        <w:rPr>
          <w:rFonts w:ascii="Times New Roman" w:hAnsi="Times New Roman" w:hint="eastAsia"/>
          <w:sz w:val="24"/>
        </w:rPr>
        <w:t>份本基金</w:t>
      </w:r>
      <w:r w:rsidRPr="00E44F78">
        <w:rPr>
          <w:rFonts w:ascii="Times New Roman" w:hAnsi="Times New Roman" w:hint="eastAsia"/>
          <w:sz w:val="24"/>
        </w:rPr>
        <w:t>C</w:t>
      </w:r>
      <w:r w:rsidRPr="00E44F78">
        <w:rPr>
          <w:rFonts w:ascii="Times New Roman" w:hAnsi="Times New Roman" w:hint="eastAsia"/>
          <w:sz w:val="24"/>
        </w:rPr>
        <w:t>类基金份额。</w:t>
      </w:r>
    </w:p>
    <w:p w14:paraId="71EBF64A" w14:textId="7550484D" w:rsidR="005D2825" w:rsidRPr="00040D5C" w:rsidRDefault="005D2825" w:rsidP="00E44F78">
      <w:pPr>
        <w:adjustRightInd w:val="0"/>
        <w:snapToGrid w:val="0"/>
        <w:spacing w:line="360" w:lineRule="auto"/>
        <w:ind w:firstLineChars="200" w:firstLine="480"/>
        <w:outlineLvl w:val="2"/>
        <w:rPr>
          <w:rFonts w:ascii="Times New Roman" w:hAnsi="Times New Roman"/>
          <w:sz w:val="24"/>
        </w:rPr>
      </w:pPr>
      <w:r w:rsidRPr="00040D5C">
        <w:rPr>
          <w:rFonts w:ascii="Times New Roman" w:hAnsi="Times New Roman"/>
          <w:sz w:val="24"/>
        </w:rPr>
        <w:t>4</w:t>
      </w:r>
      <w:r w:rsidRPr="00040D5C">
        <w:rPr>
          <w:rFonts w:ascii="Times New Roman" w:hAnsi="Times New Roman" w:hint="eastAsia"/>
          <w:sz w:val="24"/>
        </w:rPr>
        <w:t>、认购的程序</w:t>
      </w:r>
    </w:p>
    <w:p w14:paraId="04546B20" w14:textId="77777777" w:rsidR="005D2825" w:rsidRPr="00040D5C" w:rsidRDefault="005D2825" w:rsidP="005D2825">
      <w:pPr>
        <w:adjustRightInd w:val="0"/>
        <w:snapToGrid w:val="0"/>
        <w:spacing w:line="360" w:lineRule="auto"/>
        <w:ind w:firstLineChars="200" w:firstLine="480"/>
        <w:rPr>
          <w:rFonts w:ascii="Times New Roman" w:hAnsi="Times New Roman"/>
          <w:sz w:val="24"/>
        </w:rPr>
      </w:pPr>
      <w:r w:rsidRPr="00040D5C">
        <w:rPr>
          <w:rFonts w:ascii="Times New Roman" w:hAnsi="Times New Roman" w:hint="eastAsia"/>
          <w:sz w:val="24"/>
        </w:rPr>
        <w:t>（</w:t>
      </w:r>
      <w:r w:rsidRPr="00040D5C">
        <w:rPr>
          <w:rFonts w:ascii="Times New Roman" w:hAnsi="Times New Roman"/>
          <w:sz w:val="24"/>
        </w:rPr>
        <w:t>1</w:t>
      </w:r>
      <w:r w:rsidRPr="00040D5C">
        <w:rPr>
          <w:rFonts w:ascii="Times New Roman" w:hAnsi="Times New Roman" w:hint="eastAsia"/>
          <w:sz w:val="24"/>
        </w:rPr>
        <w:t>）申请方式：书面申请或基金管理人公告的其他方式。</w:t>
      </w:r>
    </w:p>
    <w:p w14:paraId="359E5004" w14:textId="77777777" w:rsidR="005D2825" w:rsidRPr="00040D5C" w:rsidRDefault="005D2825" w:rsidP="005D2825">
      <w:pPr>
        <w:adjustRightInd w:val="0"/>
        <w:snapToGrid w:val="0"/>
        <w:spacing w:line="360" w:lineRule="auto"/>
        <w:ind w:firstLineChars="200" w:firstLine="480"/>
        <w:rPr>
          <w:rFonts w:ascii="Times New Roman" w:hAnsi="Times New Roman"/>
          <w:sz w:val="24"/>
        </w:rPr>
      </w:pPr>
      <w:r w:rsidRPr="00040D5C">
        <w:rPr>
          <w:rFonts w:ascii="Times New Roman" w:hAnsi="Times New Roman" w:hint="eastAsia"/>
          <w:sz w:val="24"/>
        </w:rPr>
        <w:t>（</w:t>
      </w:r>
      <w:r w:rsidRPr="00040D5C">
        <w:rPr>
          <w:rFonts w:ascii="Times New Roman" w:hAnsi="Times New Roman"/>
          <w:sz w:val="24"/>
        </w:rPr>
        <w:t>2</w:t>
      </w:r>
      <w:r w:rsidRPr="00040D5C">
        <w:rPr>
          <w:rFonts w:ascii="Times New Roman" w:hAnsi="Times New Roman" w:hint="eastAsia"/>
          <w:sz w:val="24"/>
        </w:rPr>
        <w:t>）认购款项支付：投资人认购时，采用全额缴款方式。</w:t>
      </w:r>
    </w:p>
    <w:p w14:paraId="1570756F" w14:textId="77777777" w:rsidR="005D2825" w:rsidRPr="00040D5C" w:rsidRDefault="005D2825" w:rsidP="005D2825">
      <w:pPr>
        <w:widowControl/>
        <w:adjustRightInd w:val="0"/>
        <w:snapToGrid w:val="0"/>
        <w:spacing w:line="360" w:lineRule="auto"/>
        <w:ind w:firstLineChars="200" w:firstLine="480"/>
        <w:outlineLvl w:val="2"/>
        <w:rPr>
          <w:rFonts w:ascii="Times New Roman" w:hAnsi="Times New Roman"/>
          <w:sz w:val="24"/>
          <w:szCs w:val="21"/>
        </w:rPr>
      </w:pPr>
      <w:r w:rsidRPr="00040D5C">
        <w:rPr>
          <w:rFonts w:ascii="Times New Roman" w:hAnsi="Times New Roman"/>
          <w:sz w:val="24"/>
          <w:szCs w:val="21"/>
        </w:rPr>
        <w:t>5</w:t>
      </w:r>
      <w:r w:rsidRPr="00040D5C">
        <w:rPr>
          <w:rFonts w:ascii="Times New Roman" w:hAnsi="Times New Roman" w:hint="eastAsia"/>
          <w:sz w:val="24"/>
          <w:szCs w:val="21"/>
        </w:rPr>
        <w:t>、认购的确认</w:t>
      </w:r>
    </w:p>
    <w:p w14:paraId="1655DDD9" w14:textId="54463B86" w:rsidR="005D2825" w:rsidRPr="00040D5C" w:rsidRDefault="005D2825" w:rsidP="005D2825">
      <w:pPr>
        <w:widowControl/>
        <w:adjustRightInd w:val="0"/>
        <w:snapToGrid w:val="0"/>
        <w:spacing w:line="360" w:lineRule="auto"/>
        <w:ind w:firstLineChars="200" w:firstLine="480"/>
        <w:rPr>
          <w:rFonts w:ascii="Times New Roman" w:hAnsi="Times New Roman"/>
          <w:sz w:val="24"/>
          <w:szCs w:val="21"/>
        </w:rPr>
      </w:pPr>
      <w:r w:rsidRPr="00040D5C">
        <w:rPr>
          <w:rFonts w:ascii="Times New Roman" w:hAnsi="Times New Roman" w:hint="eastAsia"/>
          <w:sz w:val="24"/>
          <w:szCs w:val="21"/>
        </w:rPr>
        <w:t>当日（</w:t>
      </w:r>
      <w:r w:rsidRPr="00040D5C">
        <w:rPr>
          <w:rFonts w:ascii="Times New Roman" w:hAnsi="Times New Roman"/>
          <w:sz w:val="24"/>
          <w:szCs w:val="21"/>
        </w:rPr>
        <w:t>T</w:t>
      </w:r>
      <w:r w:rsidRPr="00040D5C">
        <w:rPr>
          <w:rFonts w:ascii="Times New Roman" w:hAnsi="Times New Roman" w:hint="eastAsia"/>
          <w:sz w:val="24"/>
          <w:szCs w:val="21"/>
        </w:rPr>
        <w:t>日）在规定时间内提交的申请，投资人通常可在</w:t>
      </w:r>
      <w:r w:rsidRPr="00040D5C">
        <w:rPr>
          <w:rFonts w:ascii="Times New Roman" w:hAnsi="Times New Roman"/>
          <w:sz w:val="24"/>
          <w:szCs w:val="21"/>
        </w:rPr>
        <w:t>T+2</w:t>
      </w:r>
      <w:r w:rsidRPr="00040D5C">
        <w:rPr>
          <w:rFonts w:ascii="Times New Roman" w:hAnsi="Times New Roman" w:hint="eastAsia"/>
          <w:sz w:val="24"/>
          <w:szCs w:val="21"/>
        </w:rPr>
        <w:t>日后（包括该日）到销售网点查询交易情况。基金销售机构对</w:t>
      </w:r>
      <w:r w:rsidR="00882C08">
        <w:rPr>
          <w:rFonts w:ascii="Times New Roman" w:hAnsi="Times New Roman" w:hint="eastAsia"/>
          <w:sz w:val="24"/>
          <w:szCs w:val="21"/>
        </w:rPr>
        <w:t>认购</w:t>
      </w:r>
      <w:r w:rsidRPr="00040D5C">
        <w:rPr>
          <w:rFonts w:ascii="Times New Roman" w:hAnsi="Times New Roman" w:hint="eastAsia"/>
          <w:sz w:val="24"/>
          <w:szCs w:val="21"/>
        </w:rPr>
        <w:t>申请的受理并不代表该申请一定成功，而仅代表销售机构确实接收到认购申请。申请的成功确认应以基金合同生效后、</w:t>
      </w:r>
      <w:r w:rsidRPr="00040D5C">
        <w:rPr>
          <w:rFonts w:ascii="Times New Roman" w:hAnsi="Times New Roman" w:hint="eastAsia"/>
          <w:sz w:val="24"/>
          <w:szCs w:val="21"/>
        </w:rPr>
        <w:lastRenderedPageBreak/>
        <w:t>登记机构的确认登记为准。</w:t>
      </w:r>
      <w:r w:rsidRPr="00040D5C">
        <w:rPr>
          <w:rFonts w:ascii="Times New Roman" w:hAnsi="Times New Roman"/>
          <w:sz w:val="24"/>
        </w:rPr>
        <w:t>对于认购申请及认购份额的确认情况，投资人应及时查询。</w:t>
      </w:r>
      <w:r w:rsidRPr="00040D5C">
        <w:rPr>
          <w:rFonts w:ascii="Times New Roman" w:hAnsi="Times New Roman" w:hint="eastAsia"/>
          <w:sz w:val="24"/>
          <w:szCs w:val="21"/>
        </w:rPr>
        <w:t>投资人可以在基金合同生效后到原认购网点打印认购成交确认凭证。</w:t>
      </w:r>
    </w:p>
    <w:p w14:paraId="772C7BFC" w14:textId="77777777" w:rsidR="005D2825" w:rsidRPr="00040D5C" w:rsidRDefault="005D2825" w:rsidP="005D2825">
      <w:pPr>
        <w:widowControl/>
        <w:adjustRightInd w:val="0"/>
        <w:snapToGrid w:val="0"/>
        <w:spacing w:line="360" w:lineRule="auto"/>
        <w:ind w:firstLineChars="200" w:firstLine="480"/>
        <w:rPr>
          <w:rFonts w:ascii="Times New Roman" w:hAnsi="Times New Roman"/>
          <w:sz w:val="24"/>
          <w:szCs w:val="21"/>
        </w:rPr>
      </w:pPr>
      <w:r w:rsidRPr="00040D5C">
        <w:rPr>
          <w:rFonts w:ascii="Times New Roman" w:hAnsi="Times New Roman" w:hint="eastAsia"/>
          <w:sz w:val="24"/>
          <w:szCs w:val="21"/>
        </w:rPr>
        <w:t>投资人开户和认购所需提交的文件和办理的具体程序，请参阅基金份额发售公告。</w:t>
      </w:r>
    </w:p>
    <w:p w14:paraId="009D6E8F" w14:textId="77777777" w:rsidR="005D2825" w:rsidRPr="00040D5C" w:rsidRDefault="005D2825" w:rsidP="005D2825">
      <w:pPr>
        <w:widowControl/>
        <w:adjustRightInd w:val="0"/>
        <w:snapToGrid w:val="0"/>
        <w:spacing w:line="360" w:lineRule="auto"/>
        <w:ind w:firstLineChars="200" w:firstLine="480"/>
        <w:outlineLvl w:val="2"/>
        <w:rPr>
          <w:rFonts w:ascii="Times New Roman" w:hAnsi="Times New Roman"/>
          <w:sz w:val="24"/>
          <w:szCs w:val="21"/>
        </w:rPr>
      </w:pPr>
      <w:r w:rsidRPr="00040D5C">
        <w:rPr>
          <w:rFonts w:ascii="Times New Roman" w:hAnsi="Times New Roman"/>
          <w:sz w:val="24"/>
          <w:szCs w:val="21"/>
        </w:rPr>
        <w:t>6</w:t>
      </w:r>
      <w:r w:rsidRPr="00040D5C">
        <w:rPr>
          <w:rFonts w:ascii="Times New Roman" w:hAnsi="Times New Roman" w:hint="eastAsia"/>
          <w:sz w:val="24"/>
          <w:szCs w:val="21"/>
        </w:rPr>
        <w:t>、募集期利息的处理方式</w:t>
      </w:r>
    </w:p>
    <w:p w14:paraId="32A708BD" w14:textId="77777777" w:rsidR="005D2825" w:rsidRPr="00040D5C" w:rsidRDefault="005D2825" w:rsidP="005D2825">
      <w:pPr>
        <w:widowControl/>
        <w:adjustRightInd w:val="0"/>
        <w:snapToGrid w:val="0"/>
        <w:spacing w:line="360" w:lineRule="auto"/>
        <w:ind w:firstLineChars="200" w:firstLine="480"/>
        <w:rPr>
          <w:rFonts w:ascii="Times New Roman" w:hAnsi="Times New Roman"/>
          <w:sz w:val="24"/>
          <w:szCs w:val="21"/>
        </w:rPr>
      </w:pPr>
      <w:r w:rsidRPr="00040D5C">
        <w:rPr>
          <w:rFonts w:ascii="Times New Roman" w:hAnsi="Times New Roman" w:hint="eastAsia"/>
          <w:sz w:val="24"/>
          <w:szCs w:val="21"/>
        </w:rPr>
        <w:t>本基金基金合同生效前，投资人的有效认购款项只能存入专门账户，任何人不得动用。有效认购款项在募集期间产生的利息将折算为基金份额归基金份额持有人所有。</w:t>
      </w:r>
    </w:p>
    <w:p w14:paraId="4D071B9E" w14:textId="77777777" w:rsidR="005D2825" w:rsidRPr="00040D5C" w:rsidRDefault="005D2825" w:rsidP="005D2825">
      <w:pPr>
        <w:adjustRightInd w:val="0"/>
        <w:snapToGrid w:val="0"/>
        <w:spacing w:line="360" w:lineRule="auto"/>
        <w:ind w:firstLineChars="200" w:firstLine="480"/>
        <w:rPr>
          <w:rFonts w:ascii="Times New Roman" w:hAnsi="Times New Roman"/>
          <w:sz w:val="24"/>
          <w:szCs w:val="21"/>
        </w:rPr>
      </w:pPr>
      <w:r w:rsidRPr="00040D5C">
        <w:rPr>
          <w:rFonts w:ascii="Times New Roman" w:hAnsi="Times New Roman" w:hint="eastAsia"/>
          <w:sz w:val="24"/>
          <w:szCs w:val="21"/>
        </w:rPr>
        <w:t>认购利息折算的基金份额精确到小数点后两位，小数点两位以后的部分截位，由此误差产生的收益或损失由基金财产承担，其中有效认购资金的利息及利息折算的基金份额以登记机构的记录为准</w:t>
      </w:r>
      <w:bookmarkStart w:id="12" w:name="_Hlt91148053"/>
      <w:bookmarkStart w:id="13" w:name="_Hlt90801570"/>
      <w:bookmarkStart w:id="14" w:name="_Hlt91264078"/>
      <w:bookmarkStart w:id="15" w:name="_Hlt91264042"/>
      <w:bookmarkStart w:id="16" w:name="_Hlt90455312"/>
      <w:bookmarkEnd w:id="12"/>
      <w:bookmarkEnd w:id="13"/>
      <w:bookmarkEnd w:id="14"/>
      <w:bookmarkEnd w:id="15"/>
      <w:bookmarkEnd w:id="16"/>
      <w:r w:rsidRPr="00040D5C">
        <w:rPr>
          <w:rFonts w:ascii="Times New Roman" w:hAnsi="Times New Roman" w:hint="eastAsia"/>
          <w:sz w:val="24"/>
          <w:szCs w:val="21"/>
        </w:rPr>
        <w:t>。</w:t>
      </w:r>
      <w:bookmarkEnd w:id="10"/>
    </w:p>
    <w:p w14:paraId="0ED84DEC" w14:textId="77777777" w:rsidR="00903A84" w:rsidRPr="00040D5C" w:rsidRDefault="00903A84" w:rsidP="00903A84">
      <w:pPr>
        <w:autoSpaceDE w:val="0"/>
        <w:autoSpaceDN w:val="0"/>
        <w:adjustRightInd w:val="0"/>
        <w:snapToGrid w:val="0"/>
        <w:spacing w:line="360" w:lineRule="auto"/>
        <w:ind w:firstLineChars="200" w:firstLine="482"/>
        <w:jc w:val="left"/>
        <w:rPr>
          <w:rFonts w:ascii="Times New Roman" w:hAnsi="Times New Roman"/>
          <w:b/>
          <w:sz w:val="24"/>
        </w:rPr>
      </w:pPr>
      <w:r w:rsidRPr="00040D5C">
        <w:rPr>
          <w:rFonts w:ascii="Times New Roman" w:hAnsi="Times New Roman" w:hint="eastAsia"/>
          <w:b/>
          <w:sz w:val="24"/>
        </w:rPr>
        <w:t>（七）未来条件许可情况下的模式转换</w:t>
      </w:r>
    </w:p>
    <w:p w14:paraId="261F78AB" w14:textId="1B320E7C" w:rsidR="00903A84" w:rsidRDefault="00903A84" w:rsidP="00903A84">
      <w:pPr>
        <w:autoSpaceDE w:val="0"/>
        <w:autoSpaceDN w:val="0"/>
        <w:adjustRightInd w:val="0"/>
        <w:snapToGrid w:val="0"/>
        <w:spacing w:line="360" w:lineRule="auto"/>
        <w:ind w:firstLineChars="200" w:firstLine="480"/>
        <w:jc w:val="left"/>
        <w:rPr>
          <w:rFonts w:ascii="Times New Roman" w:hAnsi="Times New Roman"/>
          <w:sz w:val="24"/>
        </w:rPr>
      </w:pPr>
      <w:r w:rsidRPr="00903A84">
        <w:rPr>
          <w:rFonts w:ascii="Times New Roman" w:hAnsi="Times New Roman" w:hint="eastAsia"/>
          <w:sz w:val="24"/>
        </w:rPr>
        <w:t>若基金管理人注册并成立追踪同一标的指数的交易型开放式指数基金（</w:t>
      </w:r>
      <w:r w:rsidRPr="00903A84">
        <w:rPr>
          <w:rFonts w:ascii="Times New Roman" w:hAnsi="Times New Roman" w:hint="eastAsia"/>
          <w:sz w:val="24"/>
        </w:rPr>
        <w:t>ETF</w:t>
      </w:r>
      <w:r w:rsidRPr="00903A84">
        <w:rPr>
          <w:rFonts w:ascii="Times New Roman" w:hAnsi="Times New Roman" w:hint="eastAsia"/>
          <w:sz w:val="24"/>
        </w:rPr>
        <w:t>），本基金可变更为该</w:t>
      </w:r>
      <w:r w:rsidRPr="00903A84">
        <w:rPr>
          <w:rFonts w:ascii="Times New Roman" w:hAnsi="Times New Roman" w:hint="eastAsia"/>
          <w:sz w:val="24"/>
        </w:rPr>
        <w:t>ETF</w:t>
      </w:r>
      <w:r w:rsidRPr="00903A84">
        <w:rPr>
          <w:rFonts w:ascii="Times New Roman" w:hAnsi="Times New Roman" w:hint="eastAsia"/>
          <w:sz w:val="24"/>
        </w:rPr>
        <w:t>的联接基金。该联接基金将其绝大部分基金财产投资于跟踪同一标的指数的</w:t>
      </w:r>
      <w:r w:rsidRPr="00903A84">
        <w:rPr>
          <w:rFonts w:ascii="Times New Roman" w:hAnsi="Times New Roman" w:hint="eastAsia"/>
          <w:sz w:val="24"/>
        </w:rPr>
        <w:t>ETF</w:t>
      </w:r>
      <w:r w:rsidRPr="00903A84">
        <w:rPr>
          <w:rFonts w:ascii="Times New Roman" w:hAnsi="Times New Roman" w:hint="eastAsia"/>
          <w:sz w:val="24"/>
        </w:rPr>
        <w:t>，紧密跟踪标的指数表现，追求跟踪偏离度和跟踪误差的最小化。该联接基金具体投资范围及比例等将依据届时有效的法律法规或监管机构要求确定。以上变更需经基金管理人和基金托管人协商一致后修改基金合同，但不需召开基金份额持有人大会审议。</w:t>
      </w:r>
    </w:p>
    <w:p w14:paraId="68020EDB" w14:textId="5B40A66C" w:rsidR="00A37EB9" w:rsidRDefault="00A37EB9" w:rsidP="00040D5C">
      <w:pPr>
        <w:autoSpaceDE w:val="0"/>
        <w:autoSpaceDN w:val="0"/>
        <w:adjustRightInd w:val="0"/>
        <w:spacing w:line="360" w:lineRule="auto"/>
        <w:rPr>
          <w:rFonts w:ascii="宋体" w:hAnsi="宋体"/>
          <w:szCs w:val="24"/>
        </w:rPr>
      </w:pPr>
    </w:p>
    <w:p w14:paraId="3200E13E" w14:textId="6938742B" w:rsidR="00FD086C" w:rsidRDefault="00B94A3B">
      <w:pPr>
        <w:pStyle w:val="1"/>
        <w:snapToGrid w:val="0"/>
        <w:spacing w:beforeLines="0" w:before="240" w:after="240"/>
        <w:rPr>
          <w:rFonts w:ascii="宋体" w:hAnsi="宋体"/>
          <w:szCs w:val="30"/>
        </w:rPr>
      </w:pPr>
      <w:r>
        <w:rPr>
          <w:rFonts w:ascii="Times New Roman" w:hAnsi="Times New Roman"/>
          <w:sz w:val="30"/>
        </w:rPr>
        <w:br w:type="page"/>
      </w:r>
      <w:bookmarkStart w:id="17" w:name="_Toc147840625"/>
      <w:r w:rsidR="004B071E">
        <w:rPr>
          <w:rFonts w:ascii="Times New Roman" w:hAnsi="Times New Roman"/>
          <w:sz w:val="30"/>
        </w:rPr>
        <w:lastRenderedPageBreak/>
        <w:t>七、基金合同的生效</w:t>
      </w:r>
      <w:bookmarkEnd w:id="17"/>
    </w:p>
    <w:p w14:paraId="1641F2FD" w14:textId="51D2D990" w:rsidR="00B94A3B" w:rsidRPr="00B94A3B" w:rsidRDefault="00B94A3B" w:rsidP="00B94A3B">
      <w:pPr>
        <w:pStyle w:val="af6"/>
        <w:autoSpaceDE w:val="0"/>
        <w:autoSpaceDN w:val="0"/>
        <w:adjustRightInd w:val="0"/>
        <w:snapToGrid w:val="0"/>
        <w:spacing w:line="360" w:lineRule="auto"/>
        <w:ind w:firstLine="482"/>
        <w:outlineLvl w:val="1"/>
        <w:rPr>
          <w:b/>
          <w:sz w:val="24"/>
        </w:rPr>
      </w:pPr>
      <w:bookmarkStart w:id="18" w:name="_Toc57530272"/>
      <w:bookmarkStart w:id="19" w:name="_Toc15118260"/>
      <w:bookmarkStart w:id="20" w:name="_Toc79392603"/>
      <w:r w:rsidRPr="00040D5C">
        <w:rPr>
          <w:b/>
          <w:sz w:val="24"/>
        </w:rPr>
        <w:t>（一）基金备案的条件</w:t>
      </w:r>
    </w:p>
    <w:p w14:paraId="7B138B6E" w14:textId="77777777" w:rsidR="00B94A3B" w:rsidRPr="00040D5C" w:rsidRDefault="00B94A3B" w:rsidP="00B94A3B">
      <w:pPr>
        <w:pStyle w:val="af6"/>
        <w:autoSpaceDE w:val="0"/>
        <w:autoSpaceDN w:val="0"/>
        <w:adjustRightInd w:val="0"/>
        <w:snapToGrid w:val="0"/>
        <w:spacing w:line="360" w:lineRule="auto"/>
        <w:ind w:firstLine="480"/>
        <w:rPr>
          <w:sz w:val="24"/>
        </w:rPr>
      </w:pPr>
      <w:r w:rsidRPr="00040D5C">
        <w:rPr>
          <w:rFonts w:hint="eastAsia"/>
          <w:sz w:val="24"/>
        </w:rPr>
        <w:t>本基金自基金份额发售之日起</w:t>
      </w:r>
      <w:r w:rsidRPr="00040D5C">
        <w:rPr>
          <w:sz w:val="24"/>
        </w:rPr>
        <w:t>3</w:t>
      </w:r>
      <w:r w:rsidRPr="00040D5C">
        <w:rPr>
          <w:rFonts w:hint="eastAsia"/>
          <w:sz w:val="24"/>
        </w:rPr>
        <w:t>个月内，在基金募集份额总额不少于</w:t>
      </w:r>
      <w:r w:rsidRPr="00040D5C">
        <w:rPr>
          <w:sz w:val="24"/>
        </w:rPr>
        <w:t>2</w:t>
      </w:r>
      <w:r w:rsidRPr="00040D5C">
        <w:rPr>
          <w:rFonts w:hint="eastAsia"/>
          <w:sz w:val="24"/>
        </w:rPr>
        <w:t>亿份，基金募集金额不少于</w:t>
      </w:r>
      <w:r w:rsidRPr="00040D5C">
        <w:rPr>
          <w:sz w:val="24"/>
        </w:rPr>
        <w:t>2</w:t>
      </w:r>
      <w:r w:rsidRPr="00040D5C">
        <w:rPr>
          <w:rFonts w:hint="eastAsia"/>
          <w:sz w:val="24"/>
        </w:rPr>
        <w:t>亿元人民币且基金认购人数不少于</w:t>
      </w:r>
      <w:r w:rsidRPr="00040D5C">
        <w:rPr>
          <w:sz w:val="24"/>
        </w:rPr>
        <w:t>200</w:t>
      </w:r>
      <w:r w:rsidRPr="00040D5C">
        <w:rPr>
          <w:rFonts w:hint="eastAsia"/>
          <w:sz w:val="24"/>
        </w:rPr>
        <w:t>人的条件下，基金募集期届满或基金管理人依据法律法规及招募说明书可以决定停止基金发售，并在</w:t>
      </w:r>
      <w:r w:rsidRPr="00040D5C">
        <w:rPr>
          <w:sz w:val="24"/>
        </w:rPr>
        <w:t>10</w:t>
      </w:r>
      <w:r w:rsidRPr="00040D5C">
        <w:rPr>
          <w:rFonts w:hint="eastAsia"/>
          <w:sz w:val="24"/>
        </w:rPr>
        <w:t>日内聘请法定验资机构验资，自收到验资报告之日起</w:t>
      </w:r>
      <w:r w:rsidRPr="00040D5C">
        <w:rPr>
          <w:sz w:val="24"/>
        </w:rPr>
        <w:t>10</w:t>
      </w:r>
      <w:r w:rsidRPr="00040D5C">
        <w:rPr>
          <w:rFonts w:hint="eastAsia"/>
          <w:sz w:val="24"/>
        </w:rPr>
        <w:t>日内，向中国证监会办理基金备案手续。</w:t>
      </w:r>
    </w:p>
    <w:p w14:paraId="37D8EBA7" w14:textId="77777777" w:rsidR="00B94A3B" w:rsidRPr="00040D5C" w:rsidRDefault="00B94A3B" w:rsidP="00B94A3B">
      <w:pPr>
        <w:adjustRightInd w:val="0"/>
        <w:snapToGrid w:val="0"/>
        <w:spacing w:line="360" w:lineRule="auto"/>
        <w:ind w:firstLineChars="200" w:firstLine="480"/>
        <w:rPr>
          <w:rFonts w:ascii="Times New Roman" w:hAnsi="Times New Roman"/>
          <w:sz w:val="24"/>
        </w:rPr>
      </w:pPr>
      <w:r w:rsidRPr="00040D5C">
        <w:rPr>
          <w:rFonts w:ascii="Times New Roman" w:hAnsi="Times New Roman" w:hint="eastAsia"/>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17D546B4" w14:textId="77777777" w:rsidR="00B94A3B" w:rsidRPr="00040D5C" w:rsidRDefault="00B94A3B" w:rsidP="00B94A3B">
      <w:pPr>
        <w:adjustRightInd w:val="0"/>
        <w:snapToGrid w:val="0"/>
        <w:spacing w:line="360" w:lineRule="auto"/>
        <w:ind w:firstLineChars="200" w:firstLine="482"/>
        <w:outlineLvl w:val="1"/>
        <w:rPr>
          <w:rFonts w:ascii="Times New Roman" w:hAnsi="Times New Roman"/>
          <w:bCs/>
          <w:sz w:val="24"/>
        </w:rPr>
      </w:pPr>
      <w:r w:rsidRPr="00040D5C">
        <w:rPr>
          <w:rFonts w:ascii="Times New Roman" w:hAnsi="Times New Roman"/>
          <w:b/>
          <w:sz w:val="24"/>
        </w:rPr>
        <w:t>（二）</w:t>
      </w:r>
      <w:r w:rsidRPr="00040D5C">
        <w:rPr>
          <w:rFonts w:ascii="Times New Roman" w:hAnsi="Times New Roman" w:hint="eastAsia"/>
          <w:b/>
          <w:bCs/>
          <w:sz w:val="24"/>
        </w:rPr>
        <w:t>基金合同不能生效时募集资金的处理方式</w:t>
      </w:r>
    </w:p>
    <w:p w14:paraId="6C06237B" w14:textId="77777777" w:rsidR="00B94A3B" w:rsidRPr="00040D5C" w:rsidRDefault="00B94A3B" w:rsidP="00B94A3B">
      <w:pPr>
        <w:adjustRightInd w:val="0"/>
        <w:snapToGrid w:val="0"/>
        <w:spacing w:line="360" w:lineRule="auto"/>
        <w:ind w:firstLineChars="200" w:firstLine="480"/>
        <w:rPr>
          <w:rFonts w:ascii="Times New Roman" w:hAnsi="Times New Roman"/>
          <w:sz w:val="24"/>
        </w:rPr>
      </w:pPr>
      <w:r w:rsidRPr="00040D5C">
        <w:rPr>
          <w:rFonts w:ascii="Times New Roman" w:hAnsi="Times New Roman" w:hint="eastAsia"/>
          <w:sz w:val="24"/>
        </w:rPr>
        <w:t>如果募集期限届满，未满足基金备案条件，基金管理人应当承担下列责任：</w:t>
      </w:r>
    </w:p>
    <w:p w14:paraId="428C1973" w14:textId="77777777" w:rsidR="00B94A3B" w:rsidRPr="00040D5C" w:rsidRDefault="00B94A3B" w:rsidP="00B94A3B">
      <w:pPr>
        <w:adjustRightInd w:val="0"/>
        <w:snapToGrid w:val="0"/>
        <w:spacing w:line="360" w:lineRule="auto"/>
        <w:ind w:firstLineChars="200" w:firstLine="480"/>
        <w:rPr>
          <w:rFonts w:ascii="Times New Roman" w:hAnsi="Times New Roman"/>
          <w:sz w:val="24"/>
        </w:rPr>
      </w:pPr>
      <w:r w:rsidRPr="00040D5C">
        <w:rPr>
          <w:rFonts w:ascii="Times New Roman" w:hAnsi="Times New Roman"/>
          <w:sz w:val="24"/>
        </w:rPr>
        <w:t>1</w:t>
      </w:r>
      <w:r w:rsidRPr="00040D5C">
        <w:rPr>
          <w:rFonts w:ascii="Times New Roman" w:hAnsi="Times New Roman" w:hint="eastAsia"/>
          <w:sz w:val="24"/>
        </w:rPr>
        <w:t>、以其固有财产承担因募集行为而产生的债务和费用；</w:t>
      </w:r>
    </w:p>
    <w:p w14:paraId="13B91CAF" w14:textId="77777777" w:rsidR="00B94A3B" w:rsidRPr="00040D5C" w:rsidRDefault="00B94A3B" w:rsidP="00B94A3B">
      <w:pPr>
        <w:adjustRightInd w:val="0"/>
        <w:snapToGrid w:val="0"/>
        <w:spacing w:line="360" w:lineRule="auto"/>
        <w:ind w:firstLineChars="200" w:firstLine="480"/>
        <w:rPr>
          <w:rFonts w:ascii="Times New Roman" w:hAnsi="Times New Roman"/>
          <w:sz w:val="24"/>
        </w:rPr>
      </w:pPr>
      <w:r w:rsidRPr="00040D5C">
        <w:rPr>
          <w:rFonts w:ascii="Times New Roman" w:hAnsi="Times New Roman"/>
          <w:sz w:val="24"/>
        </w:rPr>
        <w:t>2</w:t>
      </w:r>
      <w:r w:rsidRPr="00040D5C">
        <w:rPr>
          <w:rFonts w:ascii="Times New Roman" w:hAnsi="Times New Roman" w:hint="eastAsia"/>
          <w:sz w:val="24"/>
        </w:rPr>
        <w:t>、在基金募集期限届满后</w:t>
      </w:r>
      <w:r w:rsidRPr="00040D5C">
        <w:rPr>
          <w:rFonts w:ascii="Times New Roman" w:hAnsi="Times New Roman"/>
          <w:sz w:val="24"/>
        </w:rPr>
        <w:t>30</w:t>
      </w:r>
      <w:r w:rsidRPr="00040D5C">
        <w:rPr>
          <w:rFonts w:ascii="Times New Roman" w:hAnsi="Times New Roman" w:hint="eastAsia"/>
          <w:sz w:val="24"/>
        </w:rPr>
        <w:t>日内返还投资者已缴纳的款项，并加计银行同期活期存款利息；</w:t>
      </w:r>
    </w:p>
    <w:p w14:paraId="3F8E1920" w14:textId="77777777" w:rsidR="00B94A3B" w:rsidRPr="00040D5C" w:rsidRDefault="00B94A3B" w:rsidP="00B94A3B">
      <w:pPr>
        <w:adjustRightInd w:val="0"/>
        <w:snapToGrid w:val="0"/>
        <w:spacing w:line="360" w:lineRule="auto"/>
        <w:ind w:firstLineChars="200" w:firstLine="480"/>
        <w:rPr>
          <w:rFonts w:ascii="Times New Roman" w:hAnsi="Times New Roman"/>
          <w:sz w:val="24"/>
        </w:rPr>
      </w:pPr>
      <w:r w:rsidRPr="00040D5C">
        <w:rPr>
          <w:rFonts w:ascii="Times New Roman" w:hAnsi="Times New Roman"/>
          <w:sz w:val="24"/>
        </w:rPr>
        <w:t>3</w:t>
      </w:r>
      <w:r w:rsidRPr="00040D5C">
        <w:rPr>
          <w:rFonts w:ascii="Times New Roman" w:hAnsi="Times New Roman" w:hint="eastAsia"/>
          <w:sz w:val="24"/>
        </w:rPr>
        <w:t>、如基金募集失败，基金管理人、基金托管人及销售机构不得请求报酬。基金管理人、基金托管人和销售机构为基金募集支付之一切费用应由各方各自承担。</w:t>
      </w:r>
    </w:p>
    <w:p w14:paraId="4966B944" w14:textId="77777777" w:rsidR="00B94A3B" w:rsidRPr="00040D5C" w:rsidRDefault="00B94A3B" w:rsidP="00B94A3B">
      <w:pPr>
        <w:adjustRightInd w:val="0"/>
        <w:snapToGrid w:val="0"/>
        <w:spacing w:line="360" w:lineRule="auto"/>
        <w:ind w:firstLineChars="200" w:firstLine="482"/>
        <w:outlineLvl w:val="1"/>
        <w:rPr>
          <w:rFonts w:ascii="Times New Roman" w:hAnsi="Times New Roman"/>
          <w:b/>
          <w:sz w:val="24"/>
        </w:rPr>
      </w:pPr>
      <w:r w:rsidRPr="00040D5C">
        <w:rPr>
          <w:rFonts w:ascii="Times New Roman" w:hAnsi="Times New Roman"/>
          <w:b/>
          <w:sz w:val="24"/>
        </w:rPr>
        <w:t>（三）基金存续期内的基金份额持有人数量和资产规模</w:t>
      </w:r>
    </w:p>
    <w:bookmarkEnd w:id="18"/>
    <w:bookmarkEnd w:id="19"/>
    <w:bookmarkEnd w:id="20"/>
    <w:p w14:paraId="04DE3AFA" w14:textId="77777777" w:rsidR="00B94A3B" w:rsidRPr="00040D5C" w:rsidRDefault="00B94A3B" w:rsidP="00B94A3B">
      <w:pPr>
        <w:adjustRightInd w:val="0"/>
        <w:snapToGrid w:val="0"/>
        <w:spacing w:line="360" w:lineRule="auto"/>
        <w:ind w:firstLineChars="200" w:firstLine="480"/>
        <w:rPr>
          <w:rFonts w:ascii="Times New Roman" w:hAnsi="Times New Roman"/>
          <w:kern w:val="0"/>
          <w:sz w:val="24"/>
          <w:szCs w:val="24"/>
        </w:rPr>
      </w:pPr>
      <w:r w:rsidRPr="00040D5C">
        <w:rPr>
          <w:rFonts w:ascii="Times New Roman" w:hAnsi="Times New Roman" w:hint="eastAsia"/>
          <w:kern w:val="0"/>
          <w:sz w:val="24"/>
          <w:szCs w:val="24"/>
        </w:rPr>
        <w:t>《基金合同》生效后，连续</w:t>
      </w:r>
      <w:r w:rsidRPr="00040D5C">
        <w:rPr>
          <w:rFonts w:ascii="Times New Roman" w:hAnsi="Times New Roman"/>
          <w:kern w:val="0"/>
          <w:sz w:val="24"/>
          <w:szCs w:val="24"/>
        </w:rPr>
        <w:t>20</w:t>
      </w:r>
      <w:r w:rsidRPr="00040D5C">
        <w:rPr>
          <w:rFonts w:ascii="Times New Roman" w:hAnsi="Times New Roman" w:hint="eastAsia"/>
          <w:kern w:val="0"/>
          <w:sz w:val="24"/>
          <w:szCs w:val="24"/>
        </w:rPr>
        <w:t>个工作日出现基金份额持有人数量不满</w:t>
      </w:r>
      <w:r w:rsidRPr="00040D5C">
        <w:rPr>
          <w:rFonts w:ascii="Times New Roman" w:hAnsi="Times New Roman"/>
          <w:kern w:val="0"/>
          <w:sz w:val="24"/>
          <w:szCs w:val="24"/>
        </w:rPr>
        <w:t>200</w:t>
      </w:r>
      <w:r w:rsidRPr="00040D5C">
        <w:rPr>
          <w:rFonts w:ascii="Times New Roman" w:hAnsi="Times New Roman" w:hint="eastAsia"/>
          <w:kern w:val="0"/>
          <w:sz w:val="24"/>
          <w:szCs w:val="24"/>
        </w:rPr>
        <w:t>人或者基金资产净值低于</w:t>
      </w:r>
      <w:r w:rsidRPr="00040D5C">
        <w:rPr>
          <w:rFonts w:ascii="Times New Roman" w:hAnsi="Times New Roman"/>
          <w:kern w:val="0"/>
          <w:sz w:val="24"/>
          <w:szCs w:val="24"/>
        </w:rPr>
        <w:t>5000</w:t>
      </w:r>
      <w:r w:rsidRPr="00040D5C">
        <w:rPr>
          <w:rFonts w:ascii="Times New Roman" w:hAnsi="Times New Roman" w:hint="eastAsia"/>
          <w:kern w:val="0"/>
          <w:sz w:val="24"/>
          <w:szCs w:val="24"/>
        </w:rPr>
        <w:t>万元情形的，基金管理人应当在定期报告中予以披露；连续</w:t>
      </w:r>
      <w:r w:rsidRPr="00040D5C">
        <w:rPr>
          <w:rFonts w:ascii="Times New Roman" w:hAnsi="Times New Roman"/>
          <w:kern w:val="0"/>
          <w:sz w:val="24"/>
          <w:szCs w:val="24"/>
        </w:rPr>
        <w:t>50</w:t>
      </w:r>
      <w:r w:rsidRPr="00040D5C">
        <w:rPr>
          <w:rFonts w:ascii="Times New Roman" w:hAnsi="Times New Roman" w:hint="eastAsia"/>
          <w:kern w:val="0"/>
          <w:sz w:val="24"/>
          <w:szCs w:val="24"/>
        </w:rPr>
        <w:t>个工作日出现前述情形的，基金合同终止，不需召开基金份额持有人大会。</w:t>
      </w:r>
    </w:p>
    <w:p w14:paraId="5C89310E" w14:textId="77777777" w:rsidR="00B94A3B" w:rsidRPr="00040D5C" w:rsidRDefault="00B94A3B" w:rsidP="00B94A3B">
      <w:pPr>
        <w:widowControl/>
        <w:adjustRightInd w:val="0"/>
        <w:snapToGrid w:val="0"/>
        <w:spacing w:line="360" w:lineRule="auto"/>
        <w:ind w:firstLine="482"/>
        <w:rPr>
          <w:rFonts w:ascii="Times New Roman" w:hAnsi="Times New Roman"/>
        </w:rPr>
      </w:pPr>
      <w:r w:rsidRPr="00040D5C">
        <w:rPr>
          <w:rFonts w:ascii="Times New Roman" w:hAnsi="Times New Roman" w:hint="eastAsia"/>
          <w:kern w:val="0"/>
          <w:sz w:val="24"/>
          <w:szCs w:val="24"/>
        </w:rPr>
        <w:t>法律法规或中国证监会另有规定时，从其规定。</w:t>
      </w:r>
    </w:p>
    <w:p w14:paraId="5E3FD570" w14:textId="77777777" w:rsidR="00B94A3B" w:rsidRPr="00B94A3B" w:rsidRDefault="00B94A3B">
      <w:pPr>
        <w:autoSpaceDE w:val="0"/>
        <w:autoSpaceDN w:val="0"/>
        <w:adjustRightInd w:val="0"/>
        <w:snapToGrid w:val="0"/>
        <w:spacing w:line="360" w:lineRule="auto"/>
        <w:ind w:firstLineChars="200" w:firstLine="420"/>
        <w:jc w:val="left"/>
        <w:rPr>
          <w:rFonts w:ascii="宋体" w:hAnsi="宋体"/>
          <w:szCs w:val="24"/>
        </w:rPr>
      </w:pPr>
    </w:p>
    <w:p w14:paraId="3187C8CC" w14:textId="49DB3AFB" w:rsidR="00A37EB9" w:rsidRDefault="00A37EB9" w:rsidP="00040D5C">
      <w:pPr>
        <w:autoSpaceDE w:val="0"/>
        <w:autoSpaceDN w:val="0"/>
        <w:adjustRightInd w:val="0"/>
        <w:spacing w:line="360" w:lineRule="auto"/>
        <w:rPr>
          <w:rFonts w:ascii="宋体" w:hAnsi="宋体"/>
          <w:szCs w:val="24"/>
        </w:rPr>
      </w:pPr>
    </w:p>
    <w:p w14:paraId="2C3B78FE" w14:textId="77777777" w:rsidR="0082029C" w:rsidRDefault="0082029C">
      <w:pPr>
        <w:widowControl/>
        <w:jc w:val="left"/>
        <w:rPr>
          <w:rFonts w:ascii="Times New Roman" w:hAnsi="Times New Roman"/>
          <w:b/>
          <w:bCs/>
          <w:kern w:val="44"/>
          <w:sz w:val="30"/>
          <w:szCs w:val="44"/>
        </w:rPr>
      </w:pPr>
      <w:r>
        <w:rPr>
          <w:rFonts w:ascii="Times New Roman" w:hAnsi="Times New Roman"/>
          <w:sz w:val="30"/>
        </w:rPr>
        <w:br w:type="page"/>
      </w:r>
    </w:p>
    <w:p w14:paraId="412F12AD" w14:textId="264B279D" w:rsidR="00FD086C" w:rsidRDefault="004B071E">
      <w:pPr>
        <w:pStyle w:val="1"/>
        <w:snapToGrid w:val="0"/>
        <w:spacing w:beforeLines="0" w:before="240" w:after="240"/>
        <w:rPr>
          <w:rFonts w:ascii="宋体" w:hAnsi="宋体"/>
          <w:szCs w:val="30"/>
        </w:rPr>
      </w:pPr>
      <w:bookmarkStart w:id="21" w:name="_Toc147840626"/>
      <w:r>
        <w:rPr>
          <w:rFonts w:ascii="Times New Roman" w:hAnsi="Times New Roman"/>
          <w:sz w:val="30"/>
        </w:rPr>
        <w:lastRenderedPageBreak/>
        <w:t>八、基金份额的申购与赎回</w:t>
      </w:r>
      <w:bookmarkEnd w:id="21"/>
    </w:p>
    <w:p w14:paraId="45EC4526" w14:textId="77777777" w:rsidR="00FD086C" w:rsidRPr="00040D5C" w:rsidRDefault="004B071E">
      <w:pPr>
        <w:autoSpaceDE w:val="0"/>
        <w:autoSpaceDN w:val="0"/>
        <w:adjustRightInd w:val="0"/>
        <w:snapToGrid w:val="0"/>
        <w:spacing w:line="360" w:lineRule="auto"/>
        <w:ind w:firstLineChars="200" w:firstLine="482"/>
        <w:jc w:val="left"/>
        <w:rPr>
          <w:rFonts w:ascii="宋体" w:hAnsi="宋体"/>
          <w:b/>
          <w:szCs w:val="24"/>
        </w:rPr>
      </w:pPr>
      <w:r w:rsidRPr="00040D5C">
        <w:rPr>
          <w:rFonts w:ascii="宋体" w:hAnsi="宋体"/>
          <w:b/>
          <w:sz w:val="24"/>
        </w:rPr>
        <w:t>（一）申购和赎回的场所</w:t>
      </w:r>
    </w:p>
    <w:p w14:paraId="14259587"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投资人可通过下述场所按照规定的方式进行申购或赎回：</w:t>
      </w:r>
    </w:p>
    <w:p w14:paraId="00E623E7"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1、本基金管理人的直销机构</w:t>
      </w:r>
    </w:p>
    <w:p w14:paraId="17FC0FD0"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本基金直销机构为基金管理人直销柜台以及基金管理人的网上直销交易平台。</w:t>
      </w:r>
    </w:p>
    <w:p w14:paraId="3BF76F90"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名称：交银施罗德基金管理有限公司</w:t>
      </w:r>
    </w:p>
    <w:p w14:paraId="1E7FB3DB" w14:textId="0F780AE4"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w:t>
      </w:r>
      <w:r w:rsidR="00A05FA1" w:rsidRPr="00A05FA1">
        <w:rPr>
          <w:rFonts w:ascii="宋体" w:hAnsi="宋体"/>
          <w:sz w:val="24"/>
        </w:rPr>
        <w:t>中国(上海)自由贸易试验区</w:t>
      </w:r>
      <w:r>
        <w:rPr>
          <w:rFonts w:ascii="宋体" w:hAnsi="宋体"/>
          <w:sz w:val="24"/>
        </w:rPr>
        <w:t>银城中路188号交通银行大楼二层（裙）</w:t>
      </w:r>
    </w:p>
    <w:p w14:paraId="24238DC2"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办公地址：上海市浦东新区世纪大道8号国金中心二期21-22楼</w:t>
      </w:r>
    </w:p>
    <w:p w14:paraId="030223F9"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电话：（021）61055724</w:t>
      </w:r>
    </w:p>
    <w:p w14:paraId="042AA86E"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传真：（021）61055054</w:t>
      </w:r>
    </w:p>
    <w:p w14:paraId="738C3470"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联系人：傅鲸</w:t>
      </w:r>
    </w:p>
    <w:p w14:paraId="64C4B186"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客户服务电话：400-700-5000（免长途话费），（021）61055000</w:t>
      </w:r>
    </w:p>
    <w:p w14:paraId="68DB548B"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网址：www.fund001.com</w:t>
      </w:r>
    </w:p>
    <w:p w14:paraId="414743CB" w14:textId="0B4695BD"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个人投资者可以通过基金管理人网上直销交易平台办理开户、本基金的申购、赎回等业务，具体交易细则请参阅基金管理人网站。</w:t>
      </w:r>
    </w:p>
    <w:p w14:paraId="6600A0C7"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网上直销交易平台网址：www.fund001.com</w:t>
      </w:r>
    </w:p>
    <w:p w14:paraId="4124F0EC"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2、除基金管理人之外的其他销售机构</w:t>
      </w:r>
    </w:p>
    <w:p w14:paraId="413B6686" w14:textId="2DEB1D06"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本基金除基金管理人之外的其他销售机构参见本招募说明书“五、相关服务机构”章节或拨打</w:t>
      </w:r>
      <w:r w:rsidR="00875B06">
        <w:rPr>
          <w:rFonts w:ascii="宋体" w:hAnsi="宋体" w:hint="eastAsia"/>
          <w:sz w:val="24"/>
        </w:rPr>
        <w:t>基金管理人</w:t>
      </w:r>
      <w:r>
        <w:rPr>
          <w:rFonts w:ascii="宋体" w:hAnsi="宋体"/>
          <w:sz w:val="24"/>
        </w:rPr>
        <w:t>客户服务电话进行咨询。</w:t>
      </w:r>
    </w:p>
    <w:p w14:paraId="1ED905E3" w14:textId="46320CE2"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投资人应当通过上述销售机构办理基金申购、赎回业务的营业场所或按上述销售机构提供的其他方式进行申购或赎回。本基金管理人可根据情况变更或增减基金销售机构，并在</w:t>
      </w:r>
      <w:r w:rsidR="00270419">
        <w:rPr>
          <w:rFonts w:ascii="宋体" w:hAnsi="宋体" w:hint="eastAsia"/>
          <w:sz w:val="24"/>
        </w:rPr>
        <w:t>基金</w:t>
      </w:r>
      <w:r>
        <w:rPr>
          <w:rFonts w:ascii="宋体" w:hAnsi="宋体"/>
          <w:sz w:val="24"/>
        </w:rPr>
        <w:t>管理人网站公示。</w:t>
      </w:r>
    </w:p>
    <w:p w14:paraId="06C39BD4"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若基金管理人或其指定的销售机构开通电话、传真或网上等交易方式，投资人可以通过上述方式进行申购与赎回。</w:t>
      </w:r>
    </w:p>
    <w:p w14:paraId="193DB6A3" w14:textId="77777777" w:rsidR="00FD086C" w:rsidRPr="00040D5C" w:rsidRDefault="004B071E">
      <w:pPr>
        <w:autoSpaceDE w:val="0"/>
        <w:autoSpaceDN w:val="0"/>
        <w:adjustRightInd w:val="0"/>
        <w:snapToGrid w:val="0"/>
        <w:spacing w:line="360" w:lineRule="auto"/>
        <w:ind w:firstLineChars="200" w:firstLine="482"/>
        <w:jc w:val="left"/>
        <w:rPr>
          <w:rFonts w:ascii="宋体" w:hAnsi="宋体"/>
          <w:b/>
          <w:szCs w:val="24"/>
        </w:rPr>
      </w:pPr>
      <w:r w:rsidRPr="00040D5C">
        <w:rPr>
          <w:rFonts w:ascii="宋体" w:hAnsi="宋体"/>
          <w:b/>
          <w:sz w:val="24"/>
        </w:rPr>
        <w:t>（二）申购和赎回的开放日及时间</w:t>
      </w:r>
    </w:p>
    <w:p w14:paraId="6F943B8B"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1、开放日及开放时间</w:t>
      </w:r>
    </w:p>
    <w:p w14:paraId="24BD2368"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在开放日办理基金份额的申购和赎回，具体办理时间为上海证券交易所、深圳证券交易所的正常交易日的交易时间，但基金管理人根据法律法规、中国证监会的要求或基金合同的规定公告暂停申购、赎回时除外。</w:t>
      </w:r>
    </w:p>
    <w:p w14:paraId="07041371"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基金合同生效后，若出现新的证券/期货交易市场、证券/期货交易所交易时间变更或其他特殊情况，基金管理人将视情况对前述开放日及开放时间进行相应的调整，但应在实施日前依照《信息披露办法》的有关规定在规定媒介上公告。</w:t>
      </w:r>
    </w:p>
    <w:p w14:paraId="426A948B"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2、申购、赎回开始日及业务办理时间</w:t>
      </w:r>
    </w:p>
    <w:p w14:paraId="6F54BAA8" w14:textId="77777777" w:rsidR="00313CC5" w:rsidRPr="00313CC5" w:rsidRDefault="00313CC5" w:rsidP="00313CC5">
      <w:pPr>
        <w:autoSpaceDE w:val="0"/>
        <w:autoSpaceDN w:val="0"/>
        <w:adjustRightInd w:val="0"/>
        <w:snapToGrid w:val="0"/>
        <w:spacing w:line="360" w:lineRule="auto"/>
        <w:ind w:firstLineChars="200" w:firstLine="480"/>
        <w:jc w:val="left"/>
        <w:rPr>
          <w:rFonts w:ascii="宋体" w:hAnsi="宋体"/>
          <w:sz w:val="24"/>
        </w:rPr>
      </w:pPr>
      <w:r w:rsidRPr="00313CC5">
        <w:rPr>
          <w:rFonts w:ascii="宋体" w:hAnsi="宋体" w:hint="eastAsia"/>
          <w:sz w:val="24"/>
        </w:rPr>
        <w:t>基金管理人可根据实际情况依法决定本基金开始办理申购的具体日期，具体业务办理时间在申购开始公告中规定。</w:t>
      </w:r>
    </w:p>
    <w:p w14:paraId="342B00CC" w14:textId="2568249F" w:rsidR="00FD086C" w:rsidRDefault="00313CC5">
      <w:pPr>
        <w:autoSpaceDE w:val="0"/>
        <w:autoSpaceDN w:val="0"/>
        <w:adjustRightInd w:val="0"/>
        <w:snapToGrid w:val="0"/>
        <w:spacing w:line="360" w:lineRule="auto"/>
        <w:ind w:firstLineChars="200" w:firstLine="480"/>
        <w:jc w:val="left"/>
        <w:rPr>
          <w:rFonts w:ascii="宋体" w:hAnsi="宋体"/>
          <w:szCs w:val="24"/>
        </w:rPr>
      </w:pPr>
      <w:r w:rsidRPr="00313CC5">
        <w:rPr>
          <w:rFonts w:ascii="宋体" w:hAnsi="宋体" w:hint="eastAsia"/>
          <w:sz w:val="24"/>
        </w:rPr>
        <w:t>基金管理人自基金合同生效之日起不超过3个月开始办理赎回，具体业务办理时间在赎回开始公告中规定。</w:t>
      </w:r>
      <w:r w:rsidR="004B071E">
        <w:rPr>
          <w:rFonts w:ascii="宋体" w:hAnsi="宋体"/>
          <w:sz w:val="24"/>
        </w:rPr>
        <w:t>在确定申购开始与赎回开始时间后，基金管理人应在申购、赎回开放日前依照《信息披露办法》的有关规定在规定媒介上公告申购与赎回的开始时间。</w:t>
      </w:r>
    </w:p>
    <w:p w14:paraId="70CA710A" w14:textId="5BD1857C"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不得在基金合同约定之外的日期或者时间办理基金份额的申购、赎回或者转换。投资人在基金合同约定之外的日期和时间提出申购、赎回或转换申请且登记机构确认接受的，其基金份额申购、赎回价格为下一开放日基金份额申购、赎回的价格。</w:t>
      </w:r>
    </w:p>
    <w:p w14:paraId="215F9228"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（三）申购与赎回的原则</w:t>
      </w:r>
    </w:p>
    <w:p w14:paraId="6A76D661"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1、“未知价”原则，即申购、赎回价格以申请当日收市后计算的基金份额净值为基准进行计算；</w:t>
      </w:r>
    </w:p>
    <w:p w14:paraId="6C0B3CE0"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2、“金额申购、份额赎回”原则，即申购以金额申请，赎回以份额申请；</w:t>
      </w:r>
    </w:p>
    <w:p w14:paraId="062B3DF6"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3、当日的申购与赎回申请可以在基金管理人规定的时间以内撤销，但申请经登记机构受理的不得撤销；</w:t>
      </w:r>
    </w:p>
    <w:p w14:paraId="43F4BF17"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份额持有人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p>
    <w:p w14:paraId="1F539C17"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5、办理申购、赎回业务时，应当遵循基金份额持有人利益优先原则，确保投资者的合法权益不受损害并得到公平对待。</w:t>
      </w:r>
    </w:p>
    <w:p w14:paraId="6597E3D0"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基金管理人可在法律法规允许的情况下，对上述原则进行调整。基金管理人必须在新规则开始实施前依照《信息披露办法》的有关规定在规定媒介上公告。</w:t>
      </w:r>
    </w:p>
    <w:p w14:paraId="0F0B8B04"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（四）申购和赎回的数额限定</w:t>
      </w:r>
    </w:p>
    <w:p w14:paraId="173DB9C5" w14:textId="77777777" w:rsidR="00313CC5" w:rsidRPr="00313CC5" w:rsidRDefault="00313CC5" w:rsidP="00313CC5">
      <w:pPr>
        <w:autoSpaceDE w:val="0"/>
        <w:autoSpaceDN w:val="0"/>
        <w:adjustRightInd w:val="0"/>
        <w:snapToGrid w:val="0"/>
        <w:spacing w:line="360" w:lineRule="auto"/>
        <w:ind w:firstLineChars="200" w:firstLine="480"/>
        <w:jc w:val="left"/>
        <w:rPr>
          <w:rFonts w:ascii="宋体" w:hAnsi="宋体"/>
          <w:sz w:val="24"/>
        </w:rPr>
      </w:pPr>
      <w:r w:rsidRPr="00313CC5">
        <w:rPr>
          <w:rFonts w:ascii="宋体" w:hAnsi="宋体" w:hint="eastAsia"/>
          <w:sz w:val="24"/>
        </w:rPr>
        <w:t>1、申购金额的限制</w:t>
      </w:r>
    </w:p>
    <w:p w14:paraId="360C74DD" w14:textId="0FFAC0F0" w:rsidR="00313CC5" w:rsidRPr="00313CC5" w:rsidRDefault="00313CC5" w:rsidP="00313CC5">
      <w:pPr>
        <w:autoSpaceDE w:val="0"/>
        <w:autoSpaceDN w:val="0"/>
        <w:adjustRightInd w:val="0"/>
        <w:snapToGrid w:val="0"/>
        <w:spacing w:line="360" w:lineRule="auto"/>
        <w:ind w:firstLineChars="200" w:firstLine="480"/>
        <w:jc w:val="left"/>
        <w:rPr>
          <w:rFonts w:ascii="宋体" w:hAnsi="宋体"/>
          <w:sz w:val="24"/>
        </w:rPr>
      </w:pPr>
      <w:r w:rsidRPr="00313CC5">
        <w:rPr>
          <w:rFonts w:ascii="宋体" w:hAnsi="宋体" w:hint="eastAsia"/>
          <w:sz w:val="24"/>
        </w:rPr>
        <w:lastRenderedPageBreak/>
        <w:t>直销机构首次申购的最低金额为单笔100万元，追加申购的最低金额为单笔10万元；已在直销机构有认购或申购过本基金管理人管理的任一基金（包括本基金）记录的投资人不受首次申购最低金额的限制。通过基金管理人网上直销交易平台办理基金申购业务的不受直销机构单笔申购最低金额的限制，申购最低金额为单笔1元。本基金直销机构单笔申购最低金额可由基金管理人酌情调整。其他销售机构接受申购申请的最低金额为单笔1元，如果销售机构业务规则规定的最低单笔申购金额高于1元，以该销售机构的规定为准。</w:t>
      </w:r>
    </w:p>
    <w:p w14:paraId="16EC01E7" w14:textId="77777777" w:rsidR="00313CC5" w:rsidRPr="00313CC5" w:rsidRDefault="00313CC5" w:rsidP="00313CC5">
      <w:pPr>
        <w:autoSpaceDE w:val="0"/>
        <w:autoSpaceDN w:val="0"/>
        <w:adjustRightInd w:val="0"/>
        <w:snapToGrid w:val="0"/>
        <w:spacing w:line="360" w:lineRule="auto"/>
        <w:ind w:firstLineChars="200" w:firstLine="480"/>
        <w:jc w:val="left"/>
        <w:rPr>
          <w:rFonts w:ascii="宋体" w:hAnsi="宋体"/>
          <w:sz w:val="24"/>
        </w:rPr>
      </w:pPr>
      <w:r w:rsidRPr="00313CC5">
        <w:rPr>
          <w:rFonts w:ascii="宋体" w:hAnsi="宋体" w:hint="eastAsia"/>
          <w:sz w:val="24"/>
        </w:rPr>
        <w:t>2、赎回份额的限制</w:t>
      </w:r>
    </w:p>
    <w:p w14:paraId="7711B68F" w14:textId="77777777" w:rsidR="00313CC5" w:rsidRPr="00313CC5" w:rsidRDefault="00313CC5" w:rsidP="00313CC5">
      <w:pPr>
        <w:autoSpaceDE w:val="0"/>
        <w:autoSpaceDN w:val="0"/>
        <w:adjustRightInd w:val="0"/>
        <w:snapToGrid w:val="0"/>
        <w:spacing w:line="360" w:lineRule="auto"/>
        <w:ind w:firstLineChars="200" w:firstLine="480"/>
        <w:jc w:val="left"/>
        <w:rPr>
          <w:rFonts w:ascii="宋体" w:hAnsi="宋体"/>
          <w:sz w:val="24"/>
        </w:rPr>
      </w:pPr>
      <w:r w:rsidRPr="00313CC5">
        <w:rPr>
          <w:rFonts w:ascii="宋体" w:hAnsi="宋体" w:hint="eastAsia"/>
          <w:sz w:val="24"/>
        </w:rPr>
        <w:t>赎回的最低份额为1份基金份额，如果销售机构业务规则规定的最低单笔赎回份额高于1份，以该销售机构的规定为准。</w:t>
      </w:r>
    </w:p>
    <w:p w14:paraId="7D957C43" w14:textId="77777777" w:rsidR="00313CC5" w:rsidRPr="00313CC5" w:rsidRDefault="00313CC5" w:rsidP="00313CC5">
      <w:pPr>
        <w:autoSpaceDE w:val="0"/>
        <w:autoSpaceDN w:val="0"/>
        <w:adjustRightInd w:val="0"/>
        <w:snapToGrid w:val="0"/>
        <w:spacing w:line="360" w:lineRule="auto"/>
        <w:ind w:firstLineChars="200" w:firstLine="480"/>
        <w:jc w:val="left"/>
        <w:rPr>
          <w:rFonts w:ascii="宋体" w:hAnsi="宋体"/>
          <w:sz w:val="24"/>
        </w:rPr>
      </w:pPr>
      <w:r w:rsidRPr="00313CC5">
        <w:rPr>
          <w:rFonts w:ascii="宋体" w:hAnsi="宋体" w:hint="eastAsia"/>
          <w:sz w:val="24"/>
        </w:rPr>
        <w:t>3、最低基金份额余额的限制</w:t>
      </w:r>
    </w:p>
    <w:p w14:paraId="6ACD2154" w14:textId="361FB568" w:rsidR="00313CC5" w:rsidRPr="00313CC5" w:rsidRDefault="00313CC5" w:rsidP="00313CC5">
      <w:pPr>
        <w:autoSpaceDE w:val="0"/>
        <w:autoSpaceDN w:val="0"/>
        <w:adjustRightInd w:val="0"/>
        <w:snapToGrid w:val="0"/>
        <w:spacing w:line="360" w:lineRule="auto"/>
        <w:ind w:firstLineChars="200" w:firstLine="480"/>
        <w:jc w:val="left"/>
        <w:rPr>
          <w:rFonts w:ascii="宋体" w:hAnsi="宋体"/>
          <w:sz w:val="24"/>
        </w:rPr>
      </w:pPr>
      <w:r w:rsidRPr="00313CC5">
        <w:rPr>
          <w:rFonts w:ascii="宋体" w:hAnsi="宋体" w:hint="eastAsia"/>
          <w:sz w:val="24"/>
        </w:rPr>
        <w:t>每个工作日投资人在单个基金交易账户保留的本基金</w:t>
      </w:r>
      <w:r w:rsidR="00385143">
        <w:rPr>
          <w:rFonts w:ascii="宋体" w:hAnsi="宋体" w:hint="eastAsia"/>
          <w:sz w:val="24"/>
        </w:rPr>
        <w:t>基金</w:t>
      </w:r>
      <w:r w:rsidRPr="00313CC5">
        <w:rPr>
          <w:rFonts w:ascii="宋体" w:hAnsi="宋体" w:hint="eastAsia"/>
          <w:sz w:val="24"/>
        </w:rPr>
        <w:t>份额余额少于1份时，若当日该账户同时有基金份额减少类业务（如赎回、转换出等）被确认，则基金管理人有权将投资人在该账户保留的本基金</w:t>
      </w:r>
      <w:r w:rsidR="00385143">
        <w:rPr>
          <w:rFonts w:ascii="宋体" w:hAnsi="宋体" w:hint="eastAsia"/>
          <w:sz w:val="24"/>
        </w:rPr>
        <w:t>基金</w:t>
      </w:r>
      <w:r w:rsidRPr="00313CC5">
        <w:rPr>
          <w:rFonts w:ascii="宋体" w:hAnsi="宋体" w:hint="eastAsia"/>
          <w:sz w:val="24"/>
        </w:rPr>
        <w:t>份额一次性全部赎回。</w:t>
      </w:r>
    </w:p>
    <w:p w14:paraId="5A84919E" w14:textId="77777777" w:rsidR="00313CC5" w:rsidRPr="00313CC5" w:rsidRDefault="00313CC5" w:rsidP="00313CC5">
      <w:pPr>
        <w:autoSpaceDE w:val="0"/>
        <w:autoSpaceDN w:val="0"/>
        <w:adjustRightInd w:val="0"/>
        <w:snapToGrid w:val="0"/>
        <w:spacing w:line="360" w:lineRule="auto"/>
        <w:ind w:firstLineChars="200" w:firstLine="480"/>
        <w:jc w:val="left"/>
        <w:rPr>
          <w:rFonts w:ascii="宋体" w:hAnsi="宋体"/>
          <w:sz w:val="24"/>
        </w:rPr>
      </w:pPr>
      <w:r w:rsidRPr="00313CC5">
        <w:rPr>
          <w:rFonts w:ascii="宋体" w:hAnsi="宋体" w:hint="eastAsia"/>
          <w:sz w:val="24"/>
        </w:rPr>
        <w:t>4、基金管理人可以规定本基金的总规模上限、单个投资人累计持有的基金份额上限，具体规定请参见相关公告。</w:t>
      </w:r>
    </w:p>
    <w:p w14:paraId="2AD34F37" w14:textId="77777777" w:rsidR="00313CC5" w:rsidRPr="00313CC5" w:rsidRDefault="00313CC5" w:rsidP="00313CC5">
      <w:pPr>
        <w:autoSpaceDE w:val="0"/>
        <w:autoSpaceDN w:val="0"/>
        <w:adjustRightInd w:val="0"/>
        <w:snapToGrid w:val="0"/>
        <w:spacing w:line="360" w:lineRule="auto"/>
        <w:ind w:firstLineChars="200" w:firstLine="480"/>
        <w:jc w:val="left"/>
        <w:rPr>
          <w:rFonts w:ascii="宋体" w:hAnsi="宋体"/>
          <w:sz w:val="24"/>
        </w:rPr>
      </w:pPr>
      <w:r w:rsidRPr="00313CC5">
        <w:rPr>
          <w:rFonts w:ascii="宋体" w:hAnsi="宋体" w:hint="eastAsia"/>
          <w:sz w:val="24"/>
        </w:rPr>
        <w:t>5、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请参见相关公告。</w:t>
      </w:r>
    </w:p>
    <w:p w14:paraId="615B223F" w14:textId="77777777" w:rsidR="00313CC5" w:rsidRDefault="00313CC5">
      <w:pPr>
        <w:autoSpaceDE w:val="0"/>
        <w:autoSpaceDN w:val="0"/>
        <w:adjustRightInd w:val="0"/>
        <w:snapToGrid w:val="0"/>
        <w:spacing w:line="360" w:lineRule="auto"/>
        <w:ind w:firstLineChars="200" w:firstLine="480"/>
        <w:jc w:val="left"/>
        <w:rPr>
          <w:rFonts w:ascii="宋体" w:hAnsi="宋体"/>
          <w:sz w:val="24"/>
        </w:rPr>
      </w:pPr>
      <w:r w:rsidRPr="00313CC5">
        <w:rPr>
          <w:rFonts w:ascii="宋体" w:hAnsi="宋体" w:hint="eastAsia"/>
          <w:sz w:val="24"/>
        </w:rPr>
        <w:t>6、基金管理人可在法律法规允许的情况下，调整上述规定申购金额和赎回份额的数量限制。基金管理人必须在调整实施前依照《信息披露办法》的有关规定在规定媒介上公告。</w:t>
      </w:r>
    </w:p>
    <w:p w14:paraId="1004663B"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（五）申购和赎回的程序</w:t>
      </w:r>
    </w:p>
    <w:p w14:paraId="13D29C95"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1、申购和赎回的申请方式</w:t>
      </w:r>
    </w:p>
    <w:p w14:paraId="11CDCDFC"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必须根据销售机构规定的程序，在开放日的具体业务办理时间内提出申购或赎回的申请。投资人在提交申购申请时须按销售机构规定的方式备足申购资金，投资人在提交赎回申请时须持有足够的基金份额余额，否则所提交的申购、赎回申请不成立。</w:t>
      </w:r>
    </w:p>
    <w:p w14:paraId="1F63E576"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2、申购和赎回的款项支付</w:t>
      </w:r>
    </w:p>
    <w:p w14:paraId="56669A16"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投资人申购基金份额时，必须全额交付申购款项，若申购资金在规定时间内未全额到账则申购不成立。投资人全额交付申购款项，申购成立；基金登记机构确认基金份额时，申购生效。</w:t>
      </w:r>
    </w:p>
    <w:p w14:paraId="39321D01"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递交赎回申请，赎回成立；基金登记机构确认赎回时，赎回生效。投资者赎回申请生效后，基金管理人将在T＋7日（包括该日）内支付赎回款项。在发生巨额赎回或基金合同载明的其他暂停赎回或延缓支付赎回款项的情形时，款项的支付办法参照基金合同有关条款处理。</w:t>
      </w:r>
    </w:p>
    <w:p w14:paraId="528F6F20"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3、申购和赎回申请的确认</w:t>
      </w:r>
    </w:p>
    <w:p w14:paraId="63A70E91"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或基金管理人委托的登记机构应以交易时间结束前受理有效申购和赎回申请的当天作为申购或赎回申请日（T日），在正常情况下，本基金登记机构在T+1日（包括该日）内对该交易的有效性进行确认。T日提交的有效申请，投资人应在T+2日后（包括该日）及时到销售网点柜台或以销售机构规定的其他方式查询申请的确认情况。若申购不成功，则申购款项本金退还给投资人。</w:t>
      </w:r>
    </w:p>
    <w:p w14:paraId="1AE6B8C1" w14:textId="40AB04ED"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基金管理人可在法律法规允许的范围内，依法对上述申购和赎回申请的确认时间进行调整，并必须在调整实施日前按照《信息披露办法》的有关规定在规定媒介上公告。</w:t>
      </w:r>
    </w:p>
    <w:p w14:paraId="204A830E"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销售机构对申购、赎回申请的受理并不代表该申请一定成功，而仅代表销售机构确实接收到申购、赎回申请。申购、赎回申请的确认以登记机构的确认结果为准。对于申请的确认情况，投资者应及时查询。</w:t>
      </w:r>
    </w:p>
    <w:p w14:paraId="659279BD"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4、申购和赎回的登记</w:t>
      </w:r>
    </w:p>
    <w:p w14:paraId="3F5536B4"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（1）投资人T日申购基金成功后，正常情况下，登记机构在T＋1日为投资人增加权益并办理登记手续，投资人自T＋2日起（包括该日）有权赎回该部分基金份额。投资人应及时查询有关申请的确认情况。</w:t>
      </w:r>
    </w:p>
    <w:p w14:paraId="43207893"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（2）投资人T日赎回基金成功后，正常情况下，登记机构在T＋1日为投资人扣除权益并办理相应的登记手续。</w:t>
      </w:r>
    </w:p>
    <w:p w14:paraId="4FBE696E" w14:textId="7BE8D155"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（3）基金管理人可在法律法规允许的范围内，对上述登记办理时间进行调整，并于开始实施前按照《信息披露办法》的有关规定在规定媒介上公告。</w:t>
      </w:r>
    </w:p>
    <w:p w14:paraId="56DF8C7B"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（六）基金的申购费和赎回费</w:t>
      </w:r>
    </w:p>
    <w:p w14:paraId="591D3D9F"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1、申购费用</w:t>
      </w:r>
    </w:p>
    <w:p w14:paraId="51D1EF07" w14:textId="627C4356"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本基金基金份额分为A类基金份额和C类基金份额，投资人申购A类基金份额在申购时支付申购费用</w:t>
      </w:r>
      <w:r w:rsidR="001B46A1">
        <w:rPr>
          <w:rFonts w:ascii="宋体" w:hAnsi="宋体" w:hint="eastAsia"/>
          <w:sz w:val="24"/>
        </w:rPr>
        <w:t>；</w:t>
      </w:r>
      <w:r>
        <w:rPr>
          <w:rFonts w:ascii="宋体" w:hAnsi="宋体"/>
          <w:sz w:val="24"/>
        </w:rPr>
        <w:t>申购C类基金份额不支付申购费用</w:t>
      </w:r>
      <w:r w:rsidR="00025061">
        <w:rPr>
          <w:rFonts w:ascii="宋体" w:hAnsi="宋体" w:hint="eastAsia"/>
          <w:sz w:val="24"/>
        </w:rPr>
        <w:t>、</w:t>
      </w:r>
      <w:r>
        <w:rPr>
          <w:rFonts w:ascii="宋体" w:hAnsi="宋体"/>
          <w:sz w:val="24"/>
        </w:rPr>
        <w:t>从该类别基金资产中计提销售服务费。</w:t>
      </w:r>
    </w:p>
    <w:p w14:paraId="7DCBB974" w14:textId="03F9078B"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A类基金份额的申购费用由A类基金份额申购人承担，不列入基金财产，主要用于本基金的市场推广、销售、登记结算等各项费用。</w:t>
      </w:r>
    </w:p>
    <w:p w14:paraId="0B969626" w14:textId="766E362F"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投资人可以多次申购本基金，申购费用按每笔申购申请单独计算。</w:t>
      </w:r>
    </w:p>
    <w:p w14:paraId="2B0ADEC9"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本基金A类基金份额（非养老金客户）的申购费率如下：</w:t>
      </w:r>
    </w:p>
    <w:tbl>
      <w:tblPr>
        <w:tblW w:w="5000" w:type="pct"/>
        <w:tblCellMar>
          <w:left w:w="0" w:type="dxa"/>
          <w:right w:w="0" w:type="dxa"/>
        </w:tblCellMar>
        <w:tblLook w:val="0000" w:firstRow="0" w:lastRow="0" w:firstColumn="0" w:lastColumn="0" w:noHBand="0" w:noVBand="0"/>
      </w:tblPr>
      <w:tblGrid>
        <w:gridCol w:w="1236"/>
        <w:gridCol w:w="3707"/>
        <w:gridCol w:w="3707"/>
      </w:tblGrid>
      <w:tr w:rsidR="00FD086C" w14:paraId="64F75A56" w14:textId="77777777">
        <w:trPr>
          <w:cantSplit/>
          <w:trHeight w:val="375"/>
        </w:trPr>
        <w:tc>
          <w:tcPr>
            <w:tcW w:w="250" w:type="pct"/>
            <w:vMerge w:val="restart"/>
            <w:tcBorders>
              <w:top w:val="single" w:sz="4" w:space="0" w:color="auto"/>
              <w:left w:val="single" w:sz="4" w:space="0" w:color="auto"/>
              <w:bottom w:val="single" w:sz="4" w:space="0" w:color="auto"/>
              <w:right w:val="single" w:sz="4" w:space="0" w:color="auto"/>
            </w:tcBorders>
            <w:vAlign w:val="center"/>
          </w:tcPr>
          <w:p w14:paraId="5B119A96" w14:textId="77777777" w:rsidR="00FD086C" w:rsidRDefault="004B071E">
            <w:pPr>
              <w:widowControl/>
              <w:snapToGrid w:val="0"/>
              <w:jc w:val="left"/>
              <w:rPr>
                <w:rFonts w:ascii="宋体" w:hAnsi="宋体"/>
                <w:color w:val="000000"/>
                <w:kern w:val="0"/>
                <w:sz w:val="25"/>
                <w:szCs w:val="24"/>
              </w:rPr>
            </w:pPr>
            <w:r>
              <w:rPr>
                <w:rFonts w:ascii="Times New Roman" w:hAnsi="Times New Roman"/>
                <w:color w:val="000000"/>
                <w:kern w:val="0"/>
                <w:sz w:val="25"/>
                <w:szCs w:val="24"/>
              </w:rPr>
              <w:t>申购费率</w:t>
            </w:r>
          </w:p>
        </w:tc>
        <w:tc>
          <w:tcPr>
            <w:tcW w:w="750" w:type="pct"/>
            <w:tcBorders>
              <w:top w:val="single" w:sz="4" w:space="0" w:color="auto"/>
              <w:left w:val="single" w:sz="4" w:space="0" w:color="auto"/>
              <w:bottom w:val="single" w:sz="4" w:space="0" w:color="auto"/>
              <w:right w:val="single" w:sz="4" w:space="0" w:color="auto"/>
            </w:tcBorders>
            <w:vAlign w:val="center"/>
          </w:tcPr>
          <w:p w14:paraId="4D6456F7" w14:textId="77777777" w:rsidR="00FD086C" w:rsidRDefault="004B071E">
            <w:pPr>
              <w:widowControl/>
              <w:snapToGrid w:val="0"/>
              <w:jc w:val="center"/>
              <w:rPr>
                <w:rFonts w:ascii="宋体" w:hAnsi="宋体"/>
                <w:color w:val="000000"/>
                <w:kern w:val="0"/>
                <w:sz w:val="25"/>
                <w:szCs w:val="24"/>
              </w:rPr>
            </w:pPr>
            <w:r>
              <w:rPr>
                <w:rFonts w:ascii="Times New Roman" w:hAnsi="Times New Roman"/>
                <w:color w:val="000000"/>
                <w:kern w:val="0"/>
                <w:sz w:val="25"/>
                <w:szCs w:val="24"/>
              </w:rPr>
              <w:t>申购金额（含申购费）</w:t>
            </w:r>
          </w:p>
        </w:tc>
        <w:tc>
          <w:tcPr>
            <w:tcW w:w="400" w:type="pct"/>
            <w:tcBorders>
              <w:top w:val="single" w:sz="4" w:space="0" w:color="auto"/>
              <w:left w:val="single" w:sz="4" w:space="0" w:color="auto"/>
              <w:bottom w:val="single" w:sz="4" w:space="0" w:color="auto"/>
              <w:right w:val="single" w:sz="4" w:space="0" w:color="auto"/>
            </w:tcBorders>
            <w:vAlign w:val="center"/>
          </w:tcPr>
          <w:p w14:paraId="1D691FD8" w14:textId="77777777" w:rsidR="00FD086C" w:rsidRDefault="004B071E">
            <w:pPr>
              <w:widowControl/>
              <w:snapToGrid w:val="0"/>
              <w:jc w:val="center"/>
              <w:rPr>
                <w:rFonts w:ascii="宋体" w:hAnsi="宋体"/>
                <w:color w:val="000000"/>
                <w:kern w:val="0"/>
                <w:sz w:val="25"/>
                <w:szCs w:val="24"/>
              </w:rPr>
            </w:pPr>
            <w:r>
              <w:rPr>
                <w:rFonts w:ascii="Times New Roman" w:hAnsi="Times New Roman"/>
                <w:color w:val="000000"/>
                <w:kern w:val="0"/>
                <w:sz w:val="25"/>
                <w:szCs w:val="24"/>
              </w:rPr>
              <w:t>A</w:t>
            </w:r>
            <w:r>
              <w:rPr>
                <w:rFonts w:ascii="Times New Roman" w:hAnsi="Times New Roman"/>
                <w:color w:val="000000"/>
                <w:kern w:val="0"/>
                <w:sz w:val="25"/>
                <w:szCs w:val="24"/>
              </w:rPr>
              <w:t>类基金份额申购费率</w:t>
            </w:r>
          </w:p>
        </w:tc>
      </w:tr>
      <w:tr w:rsidR="00FD086C" w14:paraId="35EAA739"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00519047" w14:textId="77777777" w:rsidR="00FD086C" w:rsidRDefault="00FD086C">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5418B102" w14:textId="77777777" w:rsidR="00FD086C" w:rsidRDefault="004B071E">
            <w:pPr>
              <w:widowControl/>
              <w:snapToGrid w:val="0"/>
              <w:jc w:val="left"/>
              <w:rPr>
                <w:rFonts w:ascii="宋体" w:hAnsi="宋体"/>
                <w:color w:val="000000"/>
                <w:kern w:val="0"/>
                <w:sz w:val="25"/>
                <w:szCs w:val="24"/>
              </w:rPr>
            </w:pPr>
            <w:r>
              <w:rPr>
                <w:rFonts w:ascii="Times New Roman" w:hAnsi="Times New Roman"/>
                <w:color w:val="000000"/>
                <w:kern w:val="0"/>
                <w:sz w:val="25"/>
                <w:szCs w:val="24"/>
              </w:rPr>
              <w:t>100</w:t>
            </w:r>
            <w:r>
              <w:rPr>
                <w:rFonts w:ascii="Times New Roman" w:hAnsi="Times New Roman"/>
                <w:color w:val="000000"/>
                <w:kern w:val="0"/>
                <w:sz w:val="25"/>
                <w:szCs w:val="24"/>
              </w:rPr>
              <w:t>万元以下</w:t>
            </w:r>
          </w:p>
        </w:tc>
        <w:tc>
          <w:tcPr>
            <w:tcW w:w="750" w:type="pct"/>
            <w:tcBorders>
              <w:top w:val="single" w:sz="4" w:space="0" w:color="auto"/>
              <w:left w:val="single" w:sz="4" w:space="0" w:color="auto"/>
              <w:bottom w:val="single" w:sz="4" w:space="0" w:color="auto"/>
              <w:right w:val="single" w:sz="4" w:space="0" w:color="auto"/>
            </w:tcBorders>
            <w:vAlign w:val="center"/>
          </w:tcPr>
          <w:p w14:paraId="524B82ED" w14:textId="77777777" w:rsidR="00FD086C" w:rsidRDefault="004B071E">
            <w:pPr>
              <w:widowControl/>
              <w:snapToGrid w:val="0"/>
              <w:jc w:val="center"/>
              <w:rPr>
                <w:rFonts w:ascii="宋体" w:hAnsi="宋体"/>
                <w:color w:val="000000"/>
                <w:kern w:val="0"/>
                <w:sz w:val="25"/>
                <w:szCs w:val="24"/>
              </w:rPr>
            </w:pPr>
            <w:r>
              <w:rPr>
                <w:rFonts w:ascii="Times New Roman" w:hAnsi="Times New Roman"/>
                <w:color w:val="000000"/>
                <w:kern w:val="0"/>
                <w:sz w:val="25"/>
                <w:szCs w:val="24"/>
              </w:rPr>
              <w:t>1.2%</w:t>
            </w:r>
          </w:p>
        </w:tc>
      </w:tr>
      <w:tr w:rsidR="00FD086C" w14:paraId="462788E9"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061E097B" w14:textId="77777777" w:rsidR="00FD086C" w:rsidRDefault="00FD086C">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495E6A02" w14:textId="77777777" w:rsidR="00FD086C" w:rsidRDefault="004B071E">
            <w:pPr>
              <w:widowControl/>
              <w:snapToGrid w:val="0"/>
              <w:jc w:val="left"/>
              <w:rPr>
                <w:rFonts w:ascii="宋体" w:hAnsi="宋体"/>
                <w:color w:val="000000"/>
                <w:kern w:val="0"/>
                <w:sz w:val="25"/>
                <w:szCs w:val="24"/>
              </w:rPr>
            </w:pPr>
            <w:r>
              <w:rPr>
                <w:rFonts w:ascii="Times New Roman" w:hAnsi="Times New Roman"/>
                <w:color w:val="000000"/>
                <w:kern w:val="0"/>
                <w:sz w:val="25"/>
                <w:szCs w:val="24"/>
              </w:rPr>
              <w:t>100</w:t>
            </w:r>
            <w:r>
              <w:rPr>
                <w:rFonts w:ascii="Times New Roman" w:hAnsi="Times New Roman"/>
                <w:color w:val="000000"/>
                <w:kern w:val="0"/>
                <w:sz w:val="25"/>
                <w:szCs w:val="24"/>
              </w:rPr>
              <w:t>万元（含）至</w:t>
            </w:r>
            <w:r>
              <w:rPr>
                <w:rFonts w:ascii="Times New Roman" w:hAnsi="Times New Roman"/>
                <w:color w:val="000000"/>
                <w:kern w:val="0"/>
                <w:sz w:val="25"/>
                <w:szCs w:val="24"/>
              </w:rPr>
              <w:t>200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14:paraId="46159CA7" w14:textId="77777777" w:rsidR="00FD086C" w:rsidRDefault="004B071E">
            <w:pPr>
              <w:widowControl/>
              <w:snapToGrid w:val="0"/>
              <w:jc w:val="center"/>
              <w:rPr>
                <w:rFonts w:ascii="宋体" w:hAnsi="宋体"/>
                <w:color w:val="000000"/>
                <w:kern w:val="0"/>
                <w:sz w:val="25"/>
                <w:szCs w:val="24"/>
              </w:rPr>
            </w:pPr>
            <w:r>
              <w:rPr>
                <w:rFonts w:ascii="Times New Roman" w:hAnsi="Times New Roman"/>
                <w:color w:val="000000"/>
                <w:kern w:val="0"/>
                <w:sz w:val="25"/>
                <w:szCs w:val="24"/>
              </w:rPr>
              <w:t>0.8%</w:t>
            </w:r>
          </w:p>
        </w:tc>
      </w:tr>
      <w:tr w:rsidR="00FD086C" w14:paraId="1340D0FE"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75BC2F1A" w14:textId="77777777" w:rsidR="00FD086C" w:rsidRDefault="00FD086C">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4F67FE31" w14:textId="77777777" w:rsidR="00FD086C" w:rsidRDefault="004B071E">
            <w:pPr>
              <w:widowControl/>
              <w:snapToGrid w:val="0"/>
              <w:jc w:val="left"/>
              <w:rPr>
                <w:rFonts w:ascii="宋体" w:hAnsi="宋体"/>
                <w:color w:val="000000"/>
                <w:kern w:val="0"/>
                <w:sz w:val="25"/>
                <w:szCs w:val="24"/>
              </w:rPr>
            </w:pPr>
            <w:r>
              <w:rPr>
                <w:rFonts w:ascii="Times New Roman" w:hAnsi="Times New Roman"/>
                <w:color w:val="000000"/>
                <w:kern w:val="0"/>
                <w:sz w:val="25"/>
                <w:szCs w:val="24"/>
              </w:rPr>
              <w:t>200</w:t>
            </w:r>
            <w:r>
              <w:rPr>
                <w:rFonts w:ascii="Times New Roman" w:hAnsi="Times New Roman"/>
                <w:color w:val="000000"/>
                <w:kern w:val="0"/>
                <w:sz w:val="25"/>
                <w:szCs w:val="24"/>
              </w:rPr>
              <w:t>万元（含）至</w:t>
            </w:r>
            <w:r>
              <w:rPr>
                <w:rFonts w:ascii="Times New Roman" w:hAnsi="Times New Roman"/>
                <w:color w:val="000000"/>
                <w:kern w:val="0"/>
                <w:sz w:val="25"/>
                <w:szCs w:val="24"/>
              </w:rPr>
              <w:t>500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14:paraId="638F807B" w14:textId="77777777" w:rsidR="00FD086C" w:rsidRDefault="004B071E">
            <w:pPr>
              <w:widowControl/>
              <w:snapToGrid w:val="0"/>
              <w:jc w:val="center"/>
              <w:rPr>
                <w:rFonts w:ascii="宋体" w:hAnsi="宋体"/>
                <w:color w:val="000000"/>
                <w:kern w:val="0"/>
                <w:sz w:val="25"/>
                <w:szCs w:val="24"/>
              </w:rPr>
            </w:pPr>
            <w:r>
              <w:rPr>
                <w:rFonts w:ascii="Times New Roman" w:hAnsi="Times New Roman"/>
                <w:color w:val="000000"/>
                <w:kern w:val="0"/>
                <w:sz w:val="25"/>
                <w:szCs w:val="24"/>
              </w:rPr>
              <w:t>0.5%</w:t>
            </w:r>
          </w:p>
        </w:tc>
      </w:tr>
      <w:tr w:rsidR="00FD086C" w14:paraId="39A4FECB"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389E5FBD" w14:textId="77777777" w:rsidR="00FD086C" w:rsidRDefault="00FD086C">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2ECBA9BB" w14:textId="77777777" w:rsidR="00FD086C" w:rsidRDefault="004B071E">
            <w:pPr>
              <w:widowControl/>
              <w:snapToGrid w:val="0"/>
              <w:jc w:val="left"/>
              <w:rPr>
                <w:rFonts w:ascii="宋体" w:hAnsi="宋体"/>
                <w:color w:val="000000"/>
                <w:kern w:val="0"/>
                <w:sz w:val="25"/>
                <w:szCs w:val="24"/>
              </w:rPr>
            </w:pPr>
            <w:r>
              <w:rPr>
                <w:rFonts w:ascii="Times New Roman" w:hAnsi="Times New Roman"/>
                <w:color w:val="000000"/>
                <w:kern w:val="0"/>
                <w:sz w:val="25"/>
                <w:szCs w:val="24"/>
              </w:rPr>
              <w:t>500</w:t>
            </w:r>
            <w:r>
              <w:rPr>
                <w:rFonts w:ascii="Times New Roman" w:hAnsi="Times New Roman"/>
                <w:color w:val="000000"/>
                <w:kern w:val="0"/>
                <w:sz w:val="25"/>
                <w:szCs w:val="24"/>
              </w:rPr>
              <w:t>万元以上（含</w:t>
            </w:r>
            <w:r>
              <w:rPr>
                <w:rFonts w:ascii="Times New Roman" w:hAnsi="Times New Roman"/>
                <w:color w:val="000000"/>
                <w:kern w:val="0"/>
                <w:sz w:val="25"/>
                <w:szCs w:val="24"/>
              </w:rPr>
              <w:t>500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14:paraId="563B3D21" w14:textId="77777777" w:rsidR="00FD086C" w:rsidRDefault="004B071E">
            <w:pPr>
              <w:widowControl/>
              <w:snapToGrid w:val="0"/>
              <w:jc w:val="center"/>
              <w:rPr>
                <w:rFonts w:ascii="宋体" w:hAnsi="宋体"/>
                <w:color w:val="000000"/>
                <w:kern w:val="0"/>
                <w:sz w:val="25"/>
                <w:szCs w:val="24"/>
              </w:rPr>
            </w:pPr>
            <w:r>
              <w:rPr>
                <w:rFonts w:ascii="Times New Roman" w:hAnsi="Times New Roman"/>
                <w:color w:val="000000"/>
                <w:kern w:val="0"/>
                <w:sz w:val="25"/>
                <w:szCs w:val="24"/>
              </w:rPr>
              <w:t>每笔交易</w:t>
            </w:r>
            <w:r>
              <w:rPr>
                <w:rFonts w:ascii="Times New Roman" w:hAnsi="Times New Roman"/>
                <w:color w:val="000000"/>
                <w:kern w:val="0"/>
                <w:sz w:val="25"/>
                <w:szCs w:val="24"/>
              </w:rPr>
              <w:t>1000</w:t>
            </w:r>
            <w:r>
              <w:rPr>
                <w:rFonts w:ascii="Times New Roman" w:hAnsi="Times New Roman"/>
                <w:color w:val="000000"/>
                <w:kern w:val="0"/>
                <w:sz w:val="25"/>
                <w:szCs w:val="24"/>
              </w:rPr>
              <w:t>元</w:t>
            </w:r>
          </w:p>
        </w:tc>
      </w:tr>
    </w:tbl>
    <w:p w14:paraId="09CF897E" w14:textId="6860BBC1"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持有A类基金份额的投资人因红利自动再投资而产生的A类基金份额，不收取相应的申购费用。</w:t>
      </w:r>
    </w:p>
    <w:p w14:paraId="79DA4EC8"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本基金对通过基金管理人直销柜台申购A类基金份额的养老金客户实施特定申购费率。</w:t>
      </w:r>
    </w:p>
    <w:p w14:paraId="470D4EB5"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养老金客户指基本养老基金与依法成立的养老计划筹集的资金及其投资运营收益形成的补充养老基金等，具体包括：</w:t>
      </w:r>
    </w:p>
    <w:p w14:paraId="64915FED"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1）全国社会保障基金；</w:t>
      </w:r>
    </w:p>
    <w:p w14:paraId="3819EFB3"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2）可以投资基金的地方社会保障基金；</w:t>
      </w:r>
    </w:p>
    <w:p w14:paraId="560D6F62"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3）企业年金单一计划以及集合计划；</w:t>
      </w:r>
    </w:p>
    <w:p w14:paraId="5C76D5C5"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4）企业年金理事会委托的特定客户资产管理计划；</w:t>
      </w:r>
    </w:p>
    <w:p w14:paraId="55F3D83B"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5）企业年金养老金产品。</w:t>
      </w:r>
    </w:p>
    <w:p w14:paraId="06BB3E55" w14:textId="7D219498"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如将来出现经养老基金监管部门认可的新的养老基金类型，基金管理人可在招募说明书更新或发布临时公告将其纳入养老金客户范围。</w:t>
      </w:r>
    </w:p>
    <w:p w14:paraId="5852EFC3"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通过基金管理人直销柜台申购本基金A类基金份额的养老金客户特定申购费率如下表：</w:t>
      </w:r>
    </w:p>
    <w:tbl>
      <w:tblPr>
        <w:tblW w:w="5000" w:type="pct"/>
        <w:tblCellMar>
          <w:left w:w="0" w:type="dxa"/>
          <w:right w:w="0" w:type="dxa"/>
        </w:tblCellMar>
        <w:tblLook w:val="0000" w:firstRow="0" w:lastRow="0" w:firstColumn="0" w:lastColumn="0" w:noHBand="0" w:noVBand="0"/>
      </w:tblPr>
      <w:tblGrid>
        <w:gridCol w:w="1236"/>
        <w:gridCol w:w="3707"/>
        <w:gridCol w:w="3707"/>
      </w:tblGrid>
      <w:tr w:rsidR="00FD086C" w14:paraId="56C40F05" w14:textId="77777777">
        <w:trPr>
          <w:cantSplit/>
          <w:trHeight w:val="375"/>
        </w:trPr>
        <w:tc>
          <w:tcPr>
            <w:tcW w:w="250" w:type="pct"/>
            <w:vMerge w:val="restart"/>
            <w:tcBorders>
              <w:top w:val="single" w:sz="4" w:space="0" w:color="auto"/>
              <w:left w:val="single" w:sz="4" w:space="0" w:color="auto"/>
              <w:bottom w:val="single" w:sz="4" w:space="0" w:color="auto"/>
              <w:right w:val="single" w:sz="4" w:space="0" w:color="auto"/>
            </w:tcBorders>
            <w:vAlign w:val="center"/>
          </w:tcPr>
          <w:p w14:paraId="00C4DE1E" w14:textId="77777777" w:rsidR="00FD086C" w:rsidRDefault="004B071E">
            <w:pPr>
              <w:widowControl/>
              <w:snapToGrid w:val="0"/>
              <w:jc w:val="left"/>
              <w:rPr>
                <w:rFonts w:ascii="宋体" w:hAnsi="宋体"/>
                <w:color w:val="000000"/>
                <w:kern w:val="0"/>
                <w:sz w:val="25"/>
                <w:szCs w:val="24"/>
              </w:rPr>
            </w:pPr>
            <w:r>
              <w:rPr>
                <w:rFonts w:ascii="Times New Roman" w:hAnsi="Times New Roman"/>
                <w:color w:val="000000"/>
                <w:kern w:val="0"/>
                <w:sz w:val="25"/>
                <w:szCs w:val="24"/>
              </w:rPr>
              <w:t>申购费率</w:t>
            </w:r>
          </w:p>
        </w:tc>
        <w:tc>
          <w:tcPr>
            <w:tcW w:w="750" w:type="pct"/>
            <w:tcBorders>
              <w:top w:val="single" w:sz="4" w:space="0" w:color="auto"/>
              <w:left w:val="single" w:sz="4" w:space="0" w:color="auto"/>
              <w:bottom w:val="single" w:sz="4" w:space="0" w:color="auto"/>
              <w:right w:val="single" w:sz="4" w:space="0" w:color="auto"/>
            </w:tcBorders>
            <w:vAlign w:val="center"/>
          </w:tcPr>
          <w:p w14:paraId="1B89C2F2" w14:textId="77777777" w:rsidR="00FD086C" w:rsidRDefault="004B071E">
            <w:pPr>
              <w:widowControl/>
              <w:snapToGrid w:val="0"/>
              <w:jc w:val="center"/>
              <w:rPr>
                <w:rFonts w:ascii="宋体" w:hAnsi="宋体"/>
                <w:color w:val="000000"/>
                <w:kern w:val="0"/>
                <w:sz w:val="25"/>
                <w:szCs w:val="24"/>
              </w:rPr>
            </w:pPr>
            <w:r>
              <w:rPr>
                <w:rFonts w:ascii="Times New Roman" w:hAnsi="Times New Roman"/>
                <w:color w:val="000000"/>
                <w:kern w:val="0"/>
                <w:sz w:val="25"/>
                <w:szCs w:val="24"/>
              </w:rPr>
              <w:t>申购金额（含申购费）</w:t>
            </w:r>
          </w:p>
        </w:tc>
        <w:tc>
          <w:tcPr>
            <w:tcW w:w="400" w:type="pct"/>
            <w:tcBorders>
              <w:top w:val="single" w:sz="4" w:space="0" w:color="auto"/>
              <w:left w:val="single" w:sz="4" w:space="0" w:color="auto"/>
              <w:bottom w:val="single" w:sz="4" w:space="0" w:color="auto"/>
              <w:right w:val="single" w:sz="4" w:space="0" w:color="auto"/>
            </w:tcBorders>
            <w:vAlign w:val="center"/>
          </w:tcPr>
          <w:p w14:paraId="0F08918A" w14:textId="77777777" w:rsidR="00FD086C" w:rsidRDefault="004B071E">
            <w:pPr>
              <w:widowControl/>
              <w:snapToGrid w:val="0"/>
              <w:jc w:val="center"/>
              <w:rPr>
                <w:rFonts w:ascii="宋体" w:hAnsi="宋体"/>
                <w:color w:val="000000"/>
                <w:kern w:val="0"/>
                <w:sz w:val="25"/>
                <w:szCs w:val="24"/>
              </w:rPr>
            </w:pPr>
            <w:r>
              <w:rPr>
                <w:rFonts w:ascii="Times New Roman" w:hAnsi="Times New Roman"/>
                <w:color w:val="000000"/>
                <w:kern w:val="0"/>
                <w:sz w:val="25"/>
                <w:szCs w:val="24"/>
              </w:rPr>
              <w:t>A</w:t>
            </w:r>
            <w:r>
              <w:rPr>
                <w:rFonts w:ascii="Times New Roman" w:hAnsi="Times New Roman"/>
                <w:color w:val="000000"/>
                <w:kern w:val="0"/>
                <w:sz w:val="25"/>
                <w:szCs w:val="24"/>
              </w:rPr>
              <w:t>类基金份额特定申购费率</w:t>
            </w:r>
          </w:p>
        </w:tc>
      </w:tr>
      <w:tr w:rsidR="00FD086C" w14:paraId="07166BA5"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3A8117A2" w14:textId="77777777" w:rsidR="00FD086C" w:rsidRDefault="00FD086C">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057477B9" w14:textId="77777777" w:rsidR="00FD086C" w:rsidRDefault="004B071E">
            <w:pPr>
              <w:widowControl/>
              <w:snapToGrid w:val="0"/>
              <w:jc w:val="left"/>
              <w:rPr>
                <w:rFonts w:ascii="宋体" w:hAnsi="宋体"/>
                <w:color w:val="000000"/>
                <w:kern w:val="0"/>
                <w:sz w:val="25"/>
                <w:szCs w:val="24"/>
              </w:rPr>
            </w:pPr>
            <w:r>
              <w:rPr>
                <w:rFonts w:ascii="Times New Roman" w:hAnsi="Times New Roman"/>
                <w:color w:val="000000"/>
                <w:kern w:val="0"/>
                <w:sz w:val="25"/>
                <w:szCs w:val="24"/>
              </w:rPr>
              <w:t>100</w:t>
            </w:r>
            <w:r>
              <w:rPr>
                <w:rFonts w:ascii="Times New Roman" w:hAnsi="Times New Roman"/>
                <w:color w:val="000000"/>
                <w:kern w:val="0"/>
                <w:sz w:val="25"/>
                <w:szCs w:val="24"/>
              </w:rPr>
              <w:t>万元以下</w:t>
            </w:r>
          </w:p>
        </w:tc>
        <w:tc>
          <w:tcPr>
            <w:tcW w:w="750" w:type="pct"/>
            <w:tcBorders>
              <w:top w:val="single" w:sz="4" w:space="0" w:color="auto"/>
              <w:left w:val="single" w:sz="4" w:space="0" w:color="auto"/>
              <w:bottom w:val="single" w:sz="4" w:space="0" w:color="auto"/>
              <w:right w:val="single" w:sz="4" w:space="0" w:color="auto"/>
            </w:tcBorders>
            <w:vAlign w:val="center"/>
          </w:tcPr>
          <w:p w14:paraId="6021ADD3" w14:textId="77777777" w:rsidR="00FD086C" w:rsidRDefault="004B071E">
            <w:pPr>
              <w:widowControl/>
              <w:snapToGrid w:val="0"/>
              <w:jc w:val="center"/>
              <w:rPr>
                <w:rFonts w:ascii="宋体" w:hAnsi="宋体"/>
                <w:color w:val="000000"/>
                <w:kern w:val="0"/>
                <w:sz w:val="25"/>
                <w:szCs w:val="24"/>
              </w:rPr>
            </w:pPr>
            <w:r>
              <w:rPr>
                <w:rFonts w:ascii="Times New Roman" w:hAnsi="Times New Roman"/>
                <w:color w:val="000000"/>
                <w:kern w:val="0"/>
                <w:sz w:val="25"/>
                <w:szCs w:val="24"/>
              </w:rPr>
              <w:t>0.24%</w:t>
            </w:r>
          </w:p>
        </w:tc>
      </w:tr>
      <w:tr w:rsidR="00FD086C" w14:paraId="2C5C3B59"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022C5351" w14:textId="77777777" w:rsidR="00FD086C" w:rsidRDefault="00FD086C">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7984EAA4" w14:textId="77777777" w:rsidR="00FD086C" w:rsidRDefault="004B071E">
            <w:pPr>
              <w:widowControl/>
              <w:snapToGrid w:val="0"/>
              <w:jc w:val="left"/>
              <w:rPr>
                <w:rFonts w:ascii="宋体" w:hAnsi="宋体"/>
                <w:color w:val="000000"/>
                <w:kern w:val="0"/>
                <w:sz w:val="25"/>
                <w:szCs w:val="24"/>
              </w:rPr>
            </w:pPr>
            <w:r>
              <w:rPr>
                <w:rFonts w:ascii="Times New Roman" w:hAnsi="Times New Roman"/>
                <w:color w:val="000000"/>
                <w:kern w:val="0"/>
                <w:sz w:val="25"/>
                <w:szCs w:val="24"/>
              </w:rPr>
              <w:t>100</w:t>
            </w:r>
            <w:r>
              <w:rPr>
                <w:rFonts w:ascii="Times New Roman" w:hAnsi="Times New Roman"/>
                <w:color w:val="000000"/>
                <w:kern w:val="0"/>
                <w:sz w:val="25"/>
                <w:szCs w:val="24"/>
              </w:rPr>
              <w:t>万元（含）至</w:t>
            </w:r>
            <w:r>
              <w:rPr>
                <w:rFonts w:ascii="Times New Roman" w:hAnsi="Times New Roman"/>
                <w:color w:val="000000"/>
                <w:kern w:val="0"/>
                <w:sz w:val="25"/>
                <w:szCs w:val="24"/>
              </w:rPr>
              <w:t>200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14:paraId="7B2A99D3" w14:textId="77777777" w:rsidR="00FD086C" w:rsidRDefault="004B071E">
            <w:pPr>
              <w:widowControl/>
              <w:snapToGrid w:val="0"/>
              <w:jc w:val="center"/>
              <w:rPr>
                <w:rFonts w:ascii="宋体" w:hAnsi="宋体"/>
                <w:color w:val="000000"/>
                <w:kern w:val="0"/>
                <w:sz w:val="25"/>
                <w:szCs w:val="24"/>
              </w:rPr>
            </w:pPr>
            <w:r>
              <w:rPr>
                <w:rFonts w:ascii="Times New Roman" w:hAnsi="Times New Roman"/>
                <w:color w:val="000000"/>
                <w:kern w:val="0"/>
                <w:sz w:val="25"/>
                <w:szCs w:val="24"/>
              </w:rPr>
              <w:t>0.16%</w:t>
            </w:r>
          </w:p>
        </w:tc>
      </w:tr>
      <w:tr w:rsidR="00FD086C" w14:paraId="7B783297"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695D9D5F" w14:textId="77777777" w:rsidR="00FD086C" w:rsidRDefault="00FD086C">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476B2FC3" w14:textId="77777777" w:rsidR="00FD086C" w:rsidRDefault="004B071E">
            <w:pPr>
              <w:widowControl/>
              <w:snapToGrid w:val="0"/>
              <w:jc w:val="left"/>
              <w:rPr>
                <w:rFonts w:ascii="宋体" w:hAnsi="宋体"/>
                <w:color w:val="000000"/>
                <w:kern w:val="0"/>
                <w:sz w:val="25"/>
                <w:szCs w:val="24"/>
              </w:rPr>
            </w:pPr>
            <w:r>
              <w:rPr>
                <w:rFonts w:ascii="Times New Roman" w:hAnsi="Times New Roman"/>
                <w:color w:val="000000"/>
                <w:kern w:val="0"/>
                <w:sz w:val="25"/>
                <w:szCs w:val="24"/>
              </w:rPr>
              <w:t>200</w:t>
            </w:r>
            <w:r>
              <w:rPr>
                <w:rFonts w:ascii="Times New Roman" w:hAnsi="Times New Roman"/>
                <w:color w:val="000000"/>
                <w:kern w:val="0"/>
                <w:sz w:val="25"/>
                <w:szCs w:val="24"/>
              </w:rPr>
              <w:t>万元（含）至</w:t>
            </w:r>
            <w:r>
              <w:rPr>
                <w:rFonts w:ascii="Times New Roman" w:hAnsi="Times New Roman"/>
                <w:color w:val="000000"/>
                <w:kern w:val="0"/>
                <w:sz w:val="25"/>
                <w:szCs w:val="24"/>
              </w:rPr>
              <w:t>500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14:paraId="7614150B" w14:textId="77777777" w:rsidR="00FD086C" w:rsidRDefault="004B071E">
            <w:pPr>
              <w:widowControl/>
              <w:snapToGrid w:val="0"/>
              <w:jc w:val="center"/>
              <w:rPr>
                <w:rFonts w:ascii="宋体" w:hAnsi="宋体"/>
                <w:color w:val="000000"/>
                <w:kern w:val="0"/>
                <w:sz w:val="25"/>
                <w:szCs w:val="24"/>
              </w:rPr>
            </w:pPr>
            <w:r>
              <w:rPr>
                <w:rFonts w:ascii="Times New Roman" w:hAnsi="Times New Roman"/>
                <w:color w:val="000000"/>
                <w:kern w:val="0"/>
                <w:sz w:val="25"/>
                <w:szCs w:val="24"/>
              </w:rPr>
              <w:t>0.1%</w:t>
            </w:r>
          </w:p>
        </w:tc>
      </w:tr>
      <w:tr w:rsidR="00FD086C" w14:paraId="698B03C0"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4D39C4C3" w14:textId="77777777" w:rsidR="00FD086C" w:rsidRDefault="00FD086C">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3C3E5B0F" w14:textId="77777777" w:rsidR="00FD086C" w:rsidRDefault="004B071E">
            <w:pPr>
              <w:widowControl/>
              <w:snapToGrid w:val="0"/>
              <w:jc w:val="left"/>
              <w:rPr>
                <w:rFonts w:ascii="宋体" w:hAnsi="宋体"/>
                <w:color w:val="000000"/>
                <w:kern w:val="0"/>
                <w:sz w:val="25"/>
                <w:szCs w:val="24"/>
              </w:rPr>
            </w:pPr>
            <w:r>
              <w:rPr>
                <w:rFonts w:ascii="Times New Roman" w:hAnsi="Times New Roman"/>
                <w:color w:val="000000"/>
                <w:kern w:val="0"/>
                <w:sz w:val="25"/>
                <w:szCs w:val="24"/>
              </w:rPr>
              <w:t>500</w:t>
            </w:r>
            <w:r>
              <w:rPr>
                <w:rFonts w:ascii="Times New Roman" w:hAnsi="Times New Roman"/>
                <w:color w:val="000000"/>
                <w:kern w:val="0"/>
                <w:sz w:val="25"/>
                <w:szCs w:val="24"/>
              </w:rPr>
              <w:t>万元以上（含</w:t>
            </w:r>
            <w:r>
              <w:rPr>
                <w:rFonts w:ascii="Times New Roman" w:hAnsi="Times New Roman"/>
                <w:color w:val="000000"/>
                <w:kern w:val="0"/>
                <w:sz w:val="25"/>
                <w:szCs w:val="24"/>
              </w:rPr>
              <w:t>500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14:paraId="3F382FB5" w14:textId="77777777" w:rsidR="00FD086C" w:rsidRDefault="004B071E">
            <w:pPr>
              <w:widowControl/>
              <w:snapToGrid w:val="0"/>
              <w:jc w:val="center"/>
              <w:rPr>
                <w:rFonts w:ascii="宋体" w:hAnsi="宋体"/>
                <w:color w:val="000000"/>
                <w:kern w:val="0"/>
                <w:sz w:val="25"/>
                <w:szCs w:val="24"/>
              </w:rPr>
            </w:pPr>
            <w:r>
              <w:rPr>
                <w:rFonts w:ascii="Times New Roman" w:hAnsi="Times New Roman"/>
                <w:color w:val="000000"/>
                <w:kern w:val="0"/>
                <w:sz w:val="25"/>
                <w:szCs w:val="24"/>
              </w:rPr>
              <w:t>每笔交易</w:t>
            </w:r>
            <w:r>
              <w:rPr>
                <w:rFonts w:ascii="Times New Roman" w:hAnsi="Times New Roman"/>
                <w:color w:val="000000"/>
                <w:kern w:val="0"/>
                <w:sz w:val="25"/>
                <w:szCs w:val="24"/>
              </w:rPr>
              <w:t>1000</w:t>
            </w:r>
            <w:r>
              <w:rPr>
                <w:rFonts w:ascii="Times New Roman" w:hAnsi="Times New Roman"/>
                <w:color w:val="000000"/>
                <w:kern w:val="0"/>
                <w:sz w:val="25"/>
                <w:szCs w:val="24"/>
              </w:rPr>
              <w:t>元</w:t>
            </w:r>
          </w:p>
        </w:tc>
      </w:tr>
    </w:tbl>
    <w:p w14:paraId="640A30DD"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2、赎回费用</w:t>
      </w:r>
    </w:p>
    <w:p w14:paraId="76016905" w14:textId="0EDC6410"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投资者赎回A类基金份额或C类基金份额收取赎回费用，该费用随基金份额的持有时间</w:t>
      </w:r>
      <w:r w:rsidR="001C7800" w:rsidRPr="001C7800">
        <w:rPr>
          <w:rFonts w:ascii="宋体" w:hAnsi="宋体" w:hint="eastAsia"/>
          <w:sz w:val="24"/>
        </w:rPr>
        <w:t>增加而</w:t>
      </w:r>
      <w:r>
        <w:rPr>
          <w:rFonts w:ascii="宋体" w:hAnsi="宋体"/>
          <w:sz w:val="24"/>
        </w:rPr>
        <w:t>递减。本基金A类基金份额和C类基金份额的赎回费用由赎回该类基金份额的基金份额持有人承担，在基金份额持有人赎回基金份额时收取。对于持续持有期间少于7日的投资者收取的赎回费全额计入基金财产，对于持续持有期间大于等于7日的投资人收取的赎回费总额的25%应归</w:t>
      </w:r>
      <w:r w:rsidR="00E67FA1">
        <w:rPr>
          <w:rFonts w:ascii="宋体" w:hAnsi="宋体" w:hint="eastAsia"/>
          <w:sz w:val="24"/>
        </w:rPr>
        <w:t>入</w:t>
      </w:r>
      <w:r>
        <w:rPr>
          <w:rFonts w:ascii="宋体" w:hAnsi="宋体"/>
          <w:sz w:val="24"/>
        </w:rPr>
        <w:t>基金财产，其余用于支付登记费和其他必要的手续费。</w:t>
      </w:r>
    </w:p>
    <w:p w14:paraId="2F26E3BF"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本基金A类基金份额的赎回费率如下：</w:t>
      </w:r>
    </w:p>
    <w:tbl>
      <w:tblPr>
        <w:tblW w:w="5000" w:type="pct"/>
        <w:tblCellMar>
          <w:left w:w="0" w:type="dxa"/>
          <w:right w:w="0" w:type="dxa"/>
        </w:tblCellMar>
        <w:tblLook w:val="0000" w:firstRow="0" w:lastRow="0" w:firstColumn="0" w:lastColumn="0" w:noHBand="0" w:noVBand="0"/>
      </w:tblPr>
      <w:tblGrid>
        <w:gridCol w:w="1236"/>
        <w:gridCol w:w="3707"/>
        <w:gridCol w:w="3707"/>
      </w:tblGrid>
      <w:tr w:rsidR="00FD086C" w14:paraId="7644B4EA" w14:textId="77777777">
        <w:trPr>
          <w:cantSplit/>
          <w:trHeight w:val="375"/>
        </w:trPr>
        <w:tc>
          <w:tcPr>
            <w:tcW w:w="250" w:type="pct"/>
            <w:vMerge w:val="restart"/>
            <w:tcBorders>
              <w:top w:val="single" w:sz="4" w:space="0" w:color="auto"/>
              <w:left w:val="single" w:sz="4" w:space="0" w:color="auto"/>
              <w:bottom w:val="single" w:sz="4" w:space="0" w:color="auto"/>
              <w:right w:val="single" w:sz="4" w:space="0" w:color="auto"/>
            </w:tcBorders>
            <w:vAlign w:val="center"/>
          </w:tcPr>
          <w:p w14:paraId="01FBE4D7" w14:textId="77777777" w:rsidR="00FD086C" w:rsidRDefault="004B071E">
            <w:pPr>
              <w:widowControl/>
              <w:snapToGrid w:val="0"/>
              <w:jc w:val="center"/>
              <w:rPr>
                <w:rFonts w:ascii="宋体" w:hAnsi="宋体"/>
                <w:color w:val="000000"/>
                <w:kern w:val="0"/>
                <w:sz w:val="25"/>
                <w:szCs w:val="24"/>
              </w:rPr>
            </w:pPr>
            <w:r>
              <w:rPr>
                <w:rFonts w:ascii="Times New Roman" w:hAnsi="Times New Roman"/>
                <w:color w:val="000000"/>
                <w:kern w:val="0"/>
                <w:sz w:val="25"/>
                <w:szCs w:val="24"/>
              </w:rPr>
              <w:t>A</w:t>
            </w:r>
            <w:r>
              <w:rPr>
                <w:rFonts w:ascii="Times New Roman" w:hAnsi="Times New Roman"/>
                <w:color w:val="000000"/>
                <w:kern w:val="0"/>
                <w:sz w:val="25"/>
                <w:szCs w:val="24"/>
              </w:rPr>
              <w:t>类基金份额的赎回费率</w:t>
            </w:r>
          </w:p>
        </w:tc>
        <w:tc>
          <w:tcPr>
            <w:tcW w:w="750" w:type="pct"/>
            <w:tcBorders>
              <w:top w:val="single" w:sz="4" w:space="0" w:color="auto"/>
              <w:left w:val="single" w:sz="4" w:space="0" w:color="auto"/>
              <w:bottom w:val="single" w:sz="4" w:space="0" w:color="auto"/>
              <w:right w:val="single" w:sz="4" w:space="0" w:color="auto"/>
            </w:tcBorders>
            <w:vAlign w:val="center"/>
          </w:tcPr>
          <w:p w14:paraId="3786C667" w14:textId="77777777" w:rsidR="00FD086C" w:rsidRDefault="004B071E">
            <w:pPr>
              <w:widowControl/>
              <w:snapToGrid w:val="0"/>
              <w:jc w:val="center"/>
              <w:rPr>
                <w:rFonts w:ascii="宋体" w:hAnsi="宋体"/>
                <w:color w:val="000000"/>
                <w:kern w:val="0"/>
                <w:sz w:val="25"/>
                <w:szCs w:val="24"/>
              </w:rPr>
            </w:pPr>
            <w:r>
              <w:rPr>
                <w:rFonts w:ascii="Times New Roman" w:hAnsi="Times New Roman"/>
                <w:color w:val="000000"/>
                <w:kern w:val="0"/>
                <w:sz w:val="25"/>
                <w:szCs w:val="24"/>
              </w:rPr>
              <w:t>持有期限</w:t>
            </w:r>
          </w:p>
        </w:tc>
        <w:tc>
          <w:tcPr>
            <w:tcW w:w="400" w:type="pct"/>
            <w:tcBorders>
              <w:top w:val="single" w:sz="4" w:space="0" w:color="auto"/>
              <w:left w:val="single" w:sz="4" w:space="0" w:color="auto"/>
              <w:bottom w:val="single" w:sz="4" w:space="0" w:color="auto"/>
              <w:right w:val="single" w:sz="4" w:space="0" w:color="auto"/>
            </w:tcBorders>
            <w:vAlign w:val="center"/>
          </w:tcPr>
          <w:p w14:paraId="48761D09" w14:textId="77777777" w:rsidR="00FD086C" w:rsidRDefault="004B071E">
            <w:pPr>
              <w:widowControl/>
              <w:snapToGrid w:val="0"/>
              <w:jc w:val="center"/>
              <w:rPr>
                <w:rFonts w:ascii="宋体" w:hAnsi="宋体"/>
                <w:color w:val="000000"/>
                <w:kern w:val="0"/>
                <w:sz w:val="25"/>
                <w:szCs w:val="24"/>
              </w:rPr>
            </w:pPr>
            <w:r>
              <w:rPr>
                <w:rFonts w:ascii="Times New Roman" w:hAnsi="Times New Roman"/>
                <w:color w:val="000000"/>
                <w:kern w:val="0"/>
                <w:sz w:val="25"/>
                <w:szCs w:val="24"/>
              </w:rPr>
              <w:t>赎回费率</w:t>
            </w:r>
          </w:p>
        </w:tc>
      </w:tr>
      <w:tr w:rsidR="00FD086C" w14:paraId="67DD3610"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44DD5C42" w14:textId="77777777" w:rsidR="00FD086C" w:rsidRDefault="00FD086C">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7B293580" w14:textId="77777777" w:rsidR="00FD086C" w:rsidRDefault="004B071E">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r>
              <w:rPr>
                <w:rFonts w:ascii="Times New Roman" w:hAnsi="Times New Roman"/>
                <w:color w:val="000000"/>
                <w:kern w:val="0"/>
                <w:sz w:val="25"/>
                <w:szCs w:val="24"/>
              </w:rPr>
              <w:t>日以内</w:t>
            </w:r>
          </w:p>
        </w:tc>
        <w:tc>
          <w:tcPr>
            <w:tcW w:w="750" w:type="pct"/>
            <w:tcBorders>
              <w:top w:val="single" w:sz="4" w:space="0" w:color="auto"/>
              <w:left w:val="single" w:sz="4" w:space="0" w:color="auto"/>
              <w:bottom w:val="single" w:sz="4" w:space="0" w:color="auto"/>
              <w:right w:val="single" w:sz="4" w:space="0" w:color="auto"/>
            </w:tcBorders>
            <w:vAlign w:val="center"/>
          </w:tcPr>
          <w:p w14:paraId="76F6746B" w14:textId="77777777" w:rsidR="00FD086C" w:rsidRDefault="004B071E">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r>
      <w:tr w:rsidR="00FD086C" w14:paraId="7B9A04B0"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2C6FF422" w14:textId="77777777" w:rsidR="00FD086C" w:rsidRDefault="00FD086C">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5DF57A8A" w14:textId="6FE8C5F7" w:rsidR="00FD086C" w:rsidRDefault="004B071E" w:rsidP="007E67F3">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r>
              <w:rPr>
                <w:rFonts w:ascii="Times New Roman" w:hAnsi="Times New Roman"/>
                <w:color w:val="000000"/>
                <w:kern w:val="0"/>
                <w:sz w:val="25"/>
                <w:szCs w:val="24"/>
              </w:rPr>
              <w:t>日（含）</w:t>
            </w:r>
            <w:r>
              <w:rPr>
                <w:rFonts w:ascii="Times New Roman" w:hAnsi="Times New Roman"/>
                <w:color w:val="000000"/>
                <w:kern w:val="0"/>
                <w:sz w:val="25"/>
                <w:szCs w:val="24"/>
              </w:rPr>
              <w:t>-30</w:t>
            </w:r>
            <w:r>
              <w:rPr>
                <w:rFonts w:ascii="Times New Roman" w:hAnsi="Times New Roman"/>
                <w:color w:val="000000"/>
                <w:kern w:val="0"/>
                <w:sz w:val="25"/>
                <w:szCs w:val="24"/>
              </w:rPr>
              <w:t>日</w:t>
            </w:r>
          </w:p>
        </w:tc>
        <w:tc>
          <w:tcPr>
            <w:tcW w:w="750" w:type="pct"/>
            <w:tcBorders>
              <w:top w:val="single" w:sz="4" w:space="0" w:color="auto"/>
              <w:left w:val="single" w:sz="4" w:space="0" w:color="auto"/>
              <w:bottom w:val="single" w:sz="4" w:space="0" w:color="auto"/>
              <w:right w:val="single" w:sz="4" w:space="0" w:color="auto"/>
            </w:tcBorders>
            <w:vAlign w:val="center"/>
          </w:tcPr>
          <w:p w14:paraId="2D6AF732" w14:textId="77777777" w:rsidR="00FD086C" w:rsidRDefault="004B071E">
            <w:pPr>
              <w:widowControl/>
              <w:snapToGrid w:val="0"/>
              <w:jc w:val="center"/>
              <w:rPr>
                <w:rFonts w:ascii="宋体" w:hAnsi="宋体"/>
                <w:color w:val="000000"/>
                <w:kern w:val="0"/>
                <w:sz w:val="25"/>
                <w:szCs w:val="24"/>
              </w:rPr>
            </w:pPr>
            <w:r>
              <w:rPr>
                <w:rFonts w:ascii="Times New Roman" w:hAnsi="Times New Roman"/>
                <w:color w:val="000000"/>
                <w:kern w:val="0"/>
                <w:sz w:val="25"/>
                <w:szCs w:val="24"/>
              </w:rPr>
              <w:t>0.3%</w:t>
            </w:r>
          </w:p>
        </w:tc>
      </w:tr>
      <w:tr w:rsidR="00FD086C" w14:paraId="7BA8F3EC"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5EB2D7BC" w14:textId="77777777" w:rsidR="00FD086C" w:rsidRDefault="00FD086C">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0E0B349F" w14:textId="4FFF9229" w:rsidR="00FD086C" w:rsidRDefault="004B071E" w:rsidP="007E67F3">
            <w:pPr>
              <w:widowControl/>
              <w:snapToGrid w:val="0"/>
              <w:jc w:val="left"/>
              <w:rPr>
                <w:rFonts w:ascii="宋体" w:hAnsi="宋体"/>
                <w:color w:val="000000"/>
                <w:kern w:val="0"/>
                <w:sz w:val="25"/>
                <w:szCs w:val="24"/>
              </w:rPr>
            </w:pPr>
            <w:r>
              <w:rPr>
                <w:rFonts w:ascii="Times New Roman" w:hAnsi="Times New Roman"/>
                <w:color w:val="000000"/>
                <w:kern w:val="0"/>
                <w:sz w:val="25"/>
                <w:szCs w:val="24"/>
              </w:rPr>
              <w:t>30</w:t>
            </w:r>
            <w:r>
              <w:rPr>
                <w:rFonts w:ascii="Times New Roman" w:hAnsi="Times New Roman"/>
                <w:color w:val="000000"/>
                <w:kern w:val="0"/>
                <w:sz w:val="25"/>
                <w:szCs w:val="24"/>
              </w:rPr>
              <w:t>日</w:t>
            </w:r>
            <w:r w:rsidR="007E67F3">
              <w:rPr>
                <w:rFonts w:ascii="Times New Roman" w:hAnsi="Times New Roman"/>
                <w:color w:val="000000"/>
                <w:kern w:val="0"/>
                <w:sz w:val="25"/>
                <w:szCs w:val="24"/>
              </w:rPr>
              <w:t>（含）</w:t>
            </w:r>
            <w:r>
              <w:rPr>
                <w:rFonts w:ascii="Times New Roman" w:hAnsi="Times New Roman"/>
                <w:color w:val="000000"/>
                <w:kern w:val="0"/>
                <w:sz w:val="25"/>
                <w:szCs w:val="24"/>
              </w:rPr>
              <w:t>-180</w:t>
            </w:r>
            <w:r>
              <w:rPr>
                <w:rFonts w:ascii="Times New Roman" w:hAnsi="Times New Roman"/>
                <w:color w:val="000000"/>
                <w:kern w:val="0"/>
                <w:sz w:val="25"/>
                <w:szCs w:val="24"/>
              </w:rPr>
              <w:t>日</w:t>
            </w:r>
          </w:p>
        </w:tc>
        <w:tc>
          <w:tcPr>
            <w:tcW w:w="750" w:type="pct"/>
            <w:tcBorders>
              <w:top w:val="single" w:sz="4" w:space="0" w:color="auto"/>
              <w:left w:val="single" w:sz="4" w:space="0" w:color="auto"/>
              <w:bottom w:val="single" w:sz="4" w:space="0" w:color="auto"/>
              <w:right w:val="single" w:sz="4" w:space="0" w:color="auto"/>
            </w:tcBorders>
            <w:vAlign w:val="center"/>
          </w:tcPr>
          <w:p w14:paraId="5EEE6BC3" w14:textId="77777777" w:rsidR="00FD086C" w:rsidRDefault="004B071E">
            <w:pPr>
              <w:widowControl/>
              <w:snapToGrid w:val="0"/>
              <w:jc w:val="center"/>
              <w:rPr>
                <w:rFonts w:ascii="宋体" w:hAnsi="宋体"/>
                <w:color w:val="000000"/>
                <w:kern w:val="0"/>
                <w:sz w:val="25"/>
                <w:szCs w:val="24"/>
              </w:rPr>
            </w:pPr>
            <w:r>
              <w:rPr>
                <w:rFonts w:ascii="Times New Roman" w:hAnsi="Times New Roman"/>
                <w:color w:val="000000"/>
                <w:kern w:val="0"/>
                <w:sz w:val="25"/>
                <w:szCs w:val="24"/>
              </w:rPr>
              <w:t>0.1%</w:t>
            </w:r>
          </w:p>
        </w:tc>
      </w:tr>
      <w:tr w:rsidR="00FD086C" w14:paraId="3217DCD3"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1BA2AE01" w14:textId="77777777" w:rsidR="00FD086C" w:rsidRDefault="00FD086C">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4AFA2D36" w14:textId="5AF9894B" w:rsidR="00FD086C" w:rsidRDefault="004B071E">
            <w:pPr>
              <w:widowControl/>
              <w:snapToGrid w:val="0"/>
              <w:jc w:val="left"/>
              <w:rPr>
                <w:rFonts w:ascii="宋体" w:hAnsi="宋体"/>
                <w:color w:val="000000"/>
                <w:kern w:val="0"/>
                <w:sz w:val="25"/>
                <w:szCs w:val="24"/>
              </w:rPr>
            </w:pPr>
            <w:r>
              <w:rPr>
                <w:rFonts w:ascii="Times New Roman" w:hAnsi="Times New Roman"/>
                <w:color w:val="000000"/>
                <w:kern w:val="0"/>
                <w:sz w:val="25"/>
                <w:szCs w:val="24"/>
              </w:rPr>
              <w:t>180</w:t>
            </w:r>
            <w:r>
              <w:rPr>
                <w:rFonts w:ascii="Times New Roman" w:hAnsi="Times New Roman"/>
                <w:color w:val="000000"/>
                <w:kern w:val="0"/>
                <w:sz w:val="25"/>
                <w:szCs w:val="24"/>
              </w:rPr>
              <w:t>日以上</w:t>
            </w:r>
            <w:r w:rsidR="007E67F3">
              <w:rPr>
                <w:rFonts w:ascii="Times New Roman" w:hAnsi="Times New Roman"/>
                <w:color w:val="000000"/>
                <w:kern w:val="0"/>
                <w:sz w:val="25"/>
                <w:szCs w:val="24"/>
              </w:rPr>
              <w:t>（含）</w:t>
            </w:r>
          </w:p>
        </w:tc>
        <w:tc>
          <w:tcPr>
            <w:tcW w:w="750" w:type="pct"/>
            <w:tcBorders>
              <w:top w:val="single" w:sz="4" w:space="0" w:color="auto"/>
              <w:left w:val="single" w:sz="4" w:space="0" w:color="auto"/>
              <w:bottom w:val="single" w:sz="4" w:space="0" w:color="auto"/>
              <w:right w:val="single" w:sz="4" w:space="0" w:color="auto"/>
            </w:tcBorders>
            <w:vAlign w:val="center"/>
          </w:tcPr>
          <w:p w14:paraId="7AA54A14" w14:textId="77777777" w:rsidR="00FD086C" w:rsidRDefault="004B071E">
            <w:pPr>
              <w:widowControl/>
              <w:snapToGrid w:val="0"/>
              <w:jc w:val="center"/>
              <w:rPr>
                <w:rFonts w:ascii="宋体" w:hAnsi="宋体"/>
                <w:color w:val="000000"/>
                <w:kern w:val="0"/>
                <w:sz w:val="25"/>
                <w:szCs w:val="24"/>
              </w:rPr>
            </w:pPr>
            <w:r>
              <w:rPr>
                <w:rFonts w:ascii="Times New Roman" w:hAnsi="Times New Roman"/>
                <w:color w:val="000000"/>
                <w:kern w:val="0"/>
                <w:sz w:val="25"/>
                <w:szCs w:val="24"/>
              </w:rPr>
              <w:t>0</w:t>
            </w:r>
          </w:p>
        </w:tc>
      </w:tr>
    </w:tbl>
    <w:p w14:paraId="587F525C"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本基金C类基金份额的赎回费率如下：</w:t>
      </w:r>
    </w:p>
    <w:tbl>
      <w:tblPr>
        <w:tblW w:w="5000" w:type="pct"/>
        <w:tblCellMar>
          <w:left w:w="0" w:type="dxa"/>
          <w:right w:w="0" w:type="dxa"/>
        </w:tblCellMar>
        <w:tblLook w:val="0000" w:firstRow="0" w:lastRow="0" w:firstColumn="0" w:lastColumn="0" w:noHBand="0" w:noVBand="0"/>
      </w:tblPr>
      <w:tblGrid>
        <w:gridCol w:w="1236"/>
        <w:gridCol w:w="3707"/>
        <w:gridCol w:w="3707"/>
      </w:tblGrid>
      <w:tr w:rsidR="00FD086C" w14:paraId="7C787444" w14:textId="77777777">
        <w:trPr>
          <w:cantSplit/>
          <w:trHeight w:val="375"/>
        </w:trPr>
        <w:tc>
          <w:tcPr>
            <w:tcW w:w="250" w:type="pct"/>
            <w:vMerge w:val="restart"/>
            <w:tcBorders>
              <w:top w:val="single" w:sz="4" w:space="0" w:color="auto"/>
              <w:left w:val="single" w:sz="4" w:space="0" w:color="auto"/>
              <w:bottom w:val="single" w:sz="4" w:space="0" w:color="auto"/>
              <w:right w:val="single" w:sz="4" w:space="0" w:color="auto"/>
            </w:tcBorders>
            <w:vAlign w:val="center"/>
          </w:tcPr>
          <w:p w14:paraId="278766BE" w14:textId="77777777" w:rsidR="00FD086C" w:rsidRDefault="004B071E">
            <w:pPr>
              <w:widowControl/>
              <w:snapToGrid w:val="0"/>
              <w:jc w:val="center"/>
              <w:rPr>
                <w:rFonts w:ascii="宋体" w:hAnsi="宋体"/>
                <w:color w:val="000000"/>
                <w:kern w:val="0"/>
                <w:sz w:val="25"/>
                <w:szCs w:val="24"/>
              </w:rPr>
            </w:pPr>
            <w:r>
              <w:rPr>
                <w:rFonts w:ascii="Times New Roman" w:hAnsi="Times New Roman"/>
                <w:color w:val="000000"/>
                <w:kern w:val="0"/>
                <w:sz w:val="25"/>
                <w:szCs w:val="24"/>
              </w:rPr>
              <w:t>C</w:t>
            </w:r>
            <w:r>
              <w:rPr>
                <w:rFonts w:ascii="Times New Roman" w:hAnsi="Times New Roman"/>
                <w:color w:val="000000"/>
                <w:kern w:val="0"/>
                <w:sz w:val="25"/>
                <w:szCs w:val="24"/>
              </w:rPr>
              <w:t>类基金份额的赎回费率</w:t>
            </w:r>
          </w:p>
        </w:tc>
        <w:tc>
          <w:tcPr>
            <w:tcW w:w="750" w:type="pct"/>
            <w:tcBorders>
              <w:top w:val="single" w:sz="4" w:space="0" w:color="auto"/>
              <w:left w:val="single" w:sz="4" w:space="0" w:color="auto"/>
              <w:bottom w:val="single" w:sz="4" w:space="0" w:color="auto"/>
              <w:right w:val="single" w:sz="4" w:space="0" w:color="auto"/>
            </w:tcBorders>
            <w:vAlign w:val="center"/>
          </w:tcPr>
          <w:p w14:paraId="107D6044" w14:textId="77777777" w:rsidR="00FD086C" w:rsidRDefault="004B071E">
            <w:pPr>
              <w:widowControl/>
              <w:snapToGrid w:val="0"/>
              <w:jc w:val="center"/>
              <w:rPr>
                <w:rFonts w:ascii="宋体" w:hAnsi="宋体"/>
                <w:color w:val="000000"/>
                <w:kern w:val="0"/>
                <w:sz w:val="25"/>
                <w:szCs w:val="24"/>
              </w:rPr>
            </w:pPr>
            <w:r>
              <w:rPr>
                <w:rFonts w:ascii="Times New Roman" w:hAnsi="Times New Roman"/>
                <w:color w:val="000000"/>
                <w:kern w:val="0"/>
                <w:sz w:val="25"/>
                <w:szCs w:val="24"/>
              </w:rPr>
              <w:t>持有期限</w:t>
            </w:r>
          </w:p>
        </w:tc>
        <w:tc>
          <w:tcPr>
            <w:tcW w:w="400" w:type="pct"/>
            <w:tcBorders>
              <w:top w:val="single" w:sz="4" w:space="0" w:color="auto"/>
              <w:left w:val="single" w:sz="4" w:space="0" w:color="auto"/>
              <w:bottom w:val="single" w:sz="4" w:space="0" w:color="auto"/>
              <w:right w:val="single" w:sz="4" w:space="0" w:color="auto"/>
            </w:tcBorders>
            <w:vAlign w:val="center"/>
          </w:tcPr>
          <w:p w14:paraId="34E2D0FE" w14:textId="77777777" w:rsidR="00FD086C" w:rsidRDefault="004B071E">
            <w:pPr>
              <w:widowControl/>
              <w:snapToGrid w:val="0"/>
              <w:jc w:val="center"/>
              <w:rPr>
                <w:rFonts w:ascii="宋体" w:hAnsi="宋体"/>
                <w:color w:val="000000"/>
                <w:kern w:val="0"/>
                <w:sz w:val="25"/>
                <w:szCs w:val="24"/>
              </w:rPr>
            </w:pPr>
            <w:r>
              <w:rPr>
                <w:rFonts w:ascii="Times New Roman" w:hAnsi="Times New Roman"/>
                <w:color w:val="000000"/>
                <w:kern w:val="0"/>
                <w:sz w:val="25"/>
                <w:szCs w:val="24"/>
              </w:rPr>
              <w:t>赎回费率</w:t>
            </w:r>
          </w:p>
        </w:tc>
      </w:tr>
      <w:tr w:rsidR="00FD086C" w14:paraId="3CF00C98"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3411464C" w14:textId="77777777" w:rsidR="00FD086C" w:rsidRDefault="00FD086C">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15C2932D" w14:textId="77777777" w:rsidR="00FD086C" w:rsidRDefault="004B071E">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r>
              <w:rPr>
                <w:rFonts w:ascii="Times New Roman" w:hAnsi="Times New Roman"/>
                <w:color w:val="000000"/>
                <w:kern w:val="0"/>
                <w:sz w:val="25"/>
                <w:szCs w:val="24"/>
              </w:rPr>
              <w:t>日以内</w:t>
            </w:r>
          </w:p>
        </w:tc>
        <w:tc>
          <w:tcPr>
            <w:tcW w:w="750" w:type="pct"/>
            <w:tcBorders>
              <w:top w:val="single" w:sz="4" w:space="0" w:color="auto"/>
              <w:left w:val="single" w:sz="4" w:space="0" w:color="auto"/>
              <w:bottom w:val="single" w:sz="4" w:space="0" w:color="auto"/>
              <w:right w:val="single" w:sz="4" w:space="0" w:color="auto"/>
            </w:tcBorders>
            <w:vAlign w:val="center"/>
          </w:tcPr>
          <w:p w14:paraId="6494D659" w14:textId="77777777" w:rsidR="00FD086C" w:rsidRDefault="004B071E">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r>
      <w:tr w:rsidR="00FD086C" w14:paraId="679F046E"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601FEB26" w14:textId="77777777" w:rsidR="00FD086C" w:rsidRDefault="00FD086C">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438CF908" w14:textId="1A970B6F" w:rsidR="00FD086C" w:rsidRDefault="004B071E" w:rsidP="007E67F3">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r>
              <w:rPr>
                <w:rFonts w:ascii="Times New Roman" w:hAnsi="Times New Roman"/>
                <w:color w:val="000000"/>
                <w:kern w:val="0"/>
                <w:sz w:val="25"/>
                <w:szCs w:val="24"/>
              </w:rPr>
              <w:t>日（含）</w:t>
            </w:r>
            <w:r>
              <w:rPr>
                <w:rFonts w:ascii="Times New Roman" w:hAnsi="Times New Roman"/>
                <w:color w:val="000000"/>
                <w:kern w:val="0"/>
                <w:sz w:val="25"/>
                <w:szCs w:val="24"/>
              </w:rPr>
              <w:t>-30</w:t>
            </w:r>
            <w:r>
              <w:rPr>
                <w:rFonts w:ascii="Times New Roman" w:hAnsi="Times New Roman"/>
                <w:color w:val="000000"/>
                <w:kern w:val="0"/>
                <w:sz w:val="25"/>
                <w:szCs w:val="24"/>
              </w:rPr>
              <w:t>日</w:t>
            </w:r>
          </w:p>
        </w:tc>
        <w:tc>
          <w:tcPr>
            <w:tcW w:w="750" w:type="pct"/>
            <w:tcBorders>
              <w:top w:val="single" w:sz="4" w:space="0" w:color="auto"/>
              <w:left w:val="single" w:sz="4" w:space="0" w:color="auto"/>
              <w:bottom w:val="single" w:sz="4" w:space="0" w:color="auto"/>
              <w:right w:val="single" w:sz="4" w:space="0" w:color="auto"/>
            </w:tcBorders>
            <w:vAlign w:val="center"/>
          </w:tcPr>
          <w:p w14:paraId="123A74C9" w14:textId="77777777" w:rsidR="00FD086C" w:rsidRDefault="004B071E">
            <w:pPr>
              <w:widowControl/>
              <w:snapToGrid w:val="0"/>
              <w:jc w:val="center"/>
              <w:rPr>
                <w:rFonts w:ascii="宋体" w:hAnsi="宋体"/>
                <w:color w:val="000000"/>
                <w:kern w:val="0"/>
                <w:sz w:val="25"/>
                <w:szCs w:val="24"/>
              </w:rPr>
            </w:pPr>
            <w:r>
              <w:rPr>
                <w:rFonts w:ascii="Times New Roman" w:hAnsi="Times New Roman"/>
                <w:color w:val="000000"/>
                <w:kern w:val="0"/>
                <w:sz w:val="25"/>
                <w:szCs w:val="24"/>
              </w:rPr>
              <w:t>0.1%</w:t>
            </w:r>
          </w:p>
        </w:tc>
      </w:tr>
      <w:tr w:rsidR="00FD086C" w14:paraId="76852003"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5A79DFC1" w14:textId="77777777" w:rsidR="00FD086C" w:rsidRDefault="00FD086C">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1089C941" w14:textId="0D1B1900" w:rsidR="00FD086C" w:rsidRDefault="004B071E">
            <w:pPr>
              <w:widowControl/>
              <w:snapToGrid w:val="0"/>
              <w:jc w:val="left"/>
              <w:rPr>
                <w:rFonts w:ascii="宋体" w:hAnsi="宋体"/>
                <w:color w:val="000000"/>
                <w:kern w:val="0"/>
                <w:sz w:val="25"/>
                <w:szCs w:val="24"/>
              </w:rPr>
            </w:pPr>
            <w:r>
              <w:rPr>
                <w:rFonts w:ascii="Times New Roman" w:hAnsi="Times New Roman"/>
                <w:color w:val="000000"/>
                <w:kern w:val="0"/>
                <w:sz w:val="25"/>
                <w:szCs w:val="24"/>
              </w:rPr>
              <w:t>30</w:t>
            </w:r>
            <w:r>
              <w:rPr>
                <w:rFonts w:ascii="Times New Roman" w:hAnsi="Times New Roman"/>
                <w:color w:val="000000"/>
                <w:kern w:val="0"/>
                <w:sz w:val="25"/>
                <w:szCs w:val="24"/>
              </w:rPr>
              <w:t>日以上</w:t>
            </w:r>
            <w:r w:rsidR="007E67F3">
              <w:rPr>
                <w:rFonts w:ascii="Times New Roman" w:hAnsi="Times New Roman"/>
                <w:color w:val="000000"/>
                <w:kern w:val="0"/>
                <w:sz w:val="25"/>
                <w:szCs w:val="24"/>
              </w:rPr>
              <w:t>（含）</w:t>
            </w:r>
          </w:p>
        </w:tc>
        <w:tc>
          <w:tcPr>
            <w:tcW w:w="750" w:type="pct"/>
            <w:tcBorders>
              <w:top w:val="single" w:sz="4" w:space="0" w:color="auto"/>
              <w:left w:val="single" w:sz="4" w:space="0" w:color="auto"/>
              <w:bottom w:val="single" w:sz="4" w:space="0" w:color="auto"/>
              <w:right w:val="single" w:sz="4" w:space="0" w:color="auto"/>
            </w:tcBorders>
            <w:vAlign w:val="center"/>
          </w:tcPr>
          <w:p w14:paraId="10FA89CC" w14:textId="77777777" w:rsidR="00FD086C" w:rsidRDefault="004B071E">
            <w:pPr>
              <w:widowControl/>
              <w:snapToGrid w:val="0"/>
              <w:jc w:val="center"/>
              <w:rPr>
                <w:rFonts w:ascii="宋体" w:hAnsi="宋体"/>
                <w:color w:val="000000"/>
                <w:kern w:val="0"/>
                <w:sz w:val="25"/>
                <w:szCs w:val="24"/>
              </w:rPr>
            </w:pPr>
            <w:r>
              <w:rPr>
                <w:rFonts w:ascii="Times New Roman" w:hAnsi="Times New Roman"/>
                <w:color w:val="000000"/>
                <w:kern w:val="0"/>
                <w:sz w:val="25"/>
                <w:szCs w:val="24"/>
              </w:rPr>
              <w:t>0</w:t>
            </w:r>
          </w:p>
        </w:tc>
      </w:tr>
    </w:tbl>
    <w:p w14:paraId="6C2A092D"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3、基金管理人可以在基金合同约定的范围内调整费率或收费方式，并最迟应于新的费率或收费方式实施日前依照《信息披露办法》的有关规定在规定媒介上公告。</w:t>
      </w:r>
    </w:p>
    <w:p w14:paraId="23AEE761"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4、当本基金发生大额申购或赎回情形时，基金管理人可以采用摆动定价机制，以确保基金估值的公平性。具体处理原则与操作规范遵循相关法律法规以及监管部门、自律规则的规定。</w:t>
      </w:r>
    </w:p>
    <w:p w14:paraId="07EF3A9A" w14:textId="2DED240A"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5、基金管理人可以在不违背法律法规规定及基金合同约定的情况下</w:t>
      </w:r>
      <w:r w:rsidR="00F87164">
        <w:rPr>
          <w:rFonts w:ascii="宋体" w:hAnsi="宋体" w:hint="eastAsia"/>
          <w:sz w:val="24"/>
        </w:rPr>
        <w:t>，</w:t>
      </w:r>
      <w:r>
        <w:rPr>
          <w:rFonts w:ascii="宋体" w:hAnsi="宋体"/>
          <w:sz w:val="24"/>
        </w:rPr>
        <w:t>根据市场情况制定基金促销计划，针对投资人定期和不定期地开展基金促销活动。在基金促销活动期间，基金管理人可以按中国证监会要求履行必要手续后，对投资人适当调低基金销售费用。</w:t>
      </w:r>
    </w:p>
    <w:p w14:paraId="7FA7C88F"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（七）申购和赎回的数额和价格</w:t>
      </w:r>
    </w:p>
    <w:p w14:paraId="62C61301"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1、申购和赎回数额、余额的处理方式</w:t>
      </w:r>
    </w:p>
    <w:p w14:paraId="63D3ED58" w14:textId="2F9E6150"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（1）申购A类基金份额或C类基金份额的有效份额为净申购金额除以当日该类</w:t>
      </w:r>
      <w:r>
        <w:rPr>
          <w:rFonts w:ascii="宋体" w:hAnsi="宋体"/>
          <w:sz w:val="24"/>
        </w:rPr>
        <w:lastRenderedPageBreak/>
        <w:t>基金份额的基金份额净值，有效份额单位为份，申购份额计算结果按四舍五入方法，保留到小数点后2位，由此产生的收益或损失由基金财产承担。</w:t>
      </w:r>
    </w:p>
    <w:p w14:paraId="54453CF5" w14:textId="3AE8F6B2"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（2）A类基金份额或C类基金份额的赎回金额为按实际确认的有效赎回份额乘以当日该类基金份额的基金份额净值并扣除相应的费用</w:t>
      </w:r>
      <w:r w:rsidR="00D75B70">
        <w:rPr>
          <w:rFonts w:ascii="宋体" w:hAnsi="宋体" w:hint="eastAsia"/>
          <w:sz w:val="24"/>
        </w:rPr>
        <w:t>（如有）</w:t>
      </w:r>
      <w:r>
        <w:rPr>
          <w:rFonts w:ascii="宋体" w:hAnsi="宋体"/>
          <w:sz w:val="24"/>
        </w:rPr>
        <w:t>，赎回金额单位为元。赎回金额计算结果按四舍五入方法，保留到小数点后2位，由此产生的收益或损失由基金财产承担。</w:t>
      </w:r>
    </w:p>
    <w:p w14:paraId="7F4063BC" w14:textId="5E2E5B64" w:rsidR="00FD086C" w:rsidRDefault="004B071E">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2、申购份额的计算</w:t>
      </w:r>
    </w:p>
    <w:p w14:paraId="3374F56D" w14:textId="31A01CE0" w:rsidR="004E7CA7" w:rsidRDefault="004E7CA7">
      <w:pPr>
        <w:autoSpaceDE w:val="0"/>
        <w:autoSpaceDN w:val="0"/>
        <w:adjustRightInd w:val="0"/>
        <w:snapToGrid w:val="0"/>
        <w:spacing w:line="360" w:lineRule="auto"/>
        <w:ind w:firstLineChars="200" w:firstLine="480"/>
        <w:jc w:val="left"/>
        <w:rPr>
          <w:rFonts w:ascii="宋体" w:hAnsi="宋体"/>
          <w:szCs w:val="24"/>
        </w:rPr>
      </w:pPr>
      <w:r>
        <w:rPr>
          <w:rFonts w:ascii="宋体" w:hAnsi="宋体" w:hint="eastAsia"/>
          <w:sz w:val="24"/>
        </w:rPr>
        <w:t>本基金采用金额申购的方式。</w:t>
      </w:r>
    </w:p>
    <w:p w14:paraId="643F103E"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（1）A类基金份额的申购</w:t>
      </w:r>
    </w:p>
    <w:p w14:paraId="625EF88F"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申购总金额=申请总金额</w:t>
      </w:r>
    </w:p>
    <w:p w14:paraId="70725E36"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净申购金额=申购总金额/（1+申购费率）</w:t>
      </w:r>
    </w:p>
    <w:p w14:paraId="6E953CC5"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（注：对于适用固定金额申购费用的申购，净申购金额＝申购总金额－固定申购费用金额）</w:t>
      </w:r>
    </w:p>
    <w:p w14:paraId="6E4934D8"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申购费用=申购总金额-净申购金额</w:t>
      </w:r>
    </w:p>
    <w:p w14:paraId="097D363D"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（注：对于适用固定金额申购费用的申购，申购费用＝固定申购费用金额）</w:t>
      </w:r>
    </w:p>
    <w:p w14:paraId="239667B4" w14:textId="1E445D78"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w:t>
      </w:r>
      <w:r w:rsidR="00124032">
        <w:rPr>
          <w:rFonts w:ascii="宋体" w:hAnsi="宋体"/>
          <w:sz w:val="24"/>
        </w:rPr>
        <w:t>净申购金额</w:t>
      </w:r>
      <w:r>
        <w:rPr>
          <w:rFonts w:ascii="宋体" w:hAnsi="宋体"/>
          <w:sz w:val="24"/>
        </w:rPr>
        <w:t>/ T日A类基金份额净值</w:t>
      </w:r>
    </w:p>
    <w:p w14:paraId="5C1517F1" w14:textId="65A0BBF3"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例四：某投资者（非养老金客户）投资100,000</w:t>
      </w:r>
      <w:r w:rsidR="000E3BE2">
        <w:rPr>
          <w:rFonts w:ascii="宋体" w:hAnsi="宋体"/>
          <w:sz w:val="24"/>
        </w:rPr>
        <w:t>.00</w:t>
      </w:r>
      <w:r>
        <w:rPr>
          <w:rFonts w:ascii="宋体" w:hAnsi="宋体"/>
          <w:sz w:val="24"/>
        </w:rPr>
        <w:t>元申购本基金的A类基金份额，假设申购当日A类基金份额净值为1.0400元，申购费率为1.2%，则其可得到的申购份额为：</w:t>
      </w:r>
    </w:p>
    <w:p w14:paraId="30445131" w14:textId="6245FEBF"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申购总金额＝100,000</w:t>
      </w:r>
      <w:r w:rsidR="000E3BE2">
        <w:rPr>
          <w:rFonts w:ascii="宋体" w:hAnsi="宋体"/>
          <w:sz w:val="24"/>
        </w:rPr>
        <w:t>.00</w:t>
      </w:r>
      <w:r>
        <w:rPr>
          <w:rFonts w:ascii="宋体" w:hAnsi="宋体"/>
          <w:sz w:val="24"/>
        </w:rPr>
        <w:t>元</w:t>
      </w:r>
    </w:p>
    <w:p w14:paraId="47EB9A12" w14:textId="0863C632"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净申购金额=100,000</w:t>
      </w:r>
      <w:r w:rsidR="000E3BE2">
        <w:rPr>
          <w:rFonts w:ascii="宋体" w:hAnsi="宋体"/>
          <w:sz w:val="24"/>
        </w:rPr>
        <w:t>.00</w:t>
      </w:r>
      <w:r>
        <w:rPr>
          <w:rFonts w:ascii="宋体" w:hAnsi="宋体"/>
          <w:sz w:val="24"/>
        </w:rPr>
        <w:t>/（1+1.2%）=98,814.23元</w:t>
      </w:r>
    </w:p>
    <w:p w14:paraId="34827324" w14:textId="332F0248"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申购费用=100,000</w:t>
      </w:r>
      <w:r w:rsidR="000E3BE2">
        <w:rPr>
          <w:rFonts w:ascii="宋体" w:hAnsi="宋体"/>
          <w:sz w:val="24"/>
        </w:rPr>
        <w:t>.00</w:t>
      </w:r>
      <w:r>
        <w:rPr>
          <w:rFonts w:ascii="宋体" w:hAnsi="宋体"/>
          <w:sz w:val="24"/>
        </w:rPr>
        <w:t>-98,814.23=1185.77元</w:t>
      </w:r>
    </w:p>
    <w:p w14:paraId="0B87F450" w14:textId="2C3A3A10"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w:t>
      </w:r>
      <w:r w:rsidR="000F2C75">
        <w:rPr>
          <w:rFonts w:ascii="宋体" w:hAnsi="宋体"/>
          <w:sz w:val="24"/>
        </w:rPr>
        <w:t>98,814.23</w:t>
      </w:r>
      <w:r>
        <w:rPr>
          <w:rFonts w:ascii="宋体" w:hAnsi="宋体"/>
          <w:sz w:val="24"/>
        </w:rPr>
        <w:t>/1.0400=95,013.68份</w:t>
      </w:r>
    </w:p>
    <w:p w14:paraId="79B4586E" w14:textId="50D23361"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即：</w:t>
      </w:r>
      <w:r w:rsidR="00CA5A9B">
        <w:rPr>
          <w:rFonts w:ascii="宋体" w:hAnsi="宋体" w:hint="eastAsia"/>
          <w:sz w:val="24"/>
        </w:rPr>
        <w:t>该</w:t>
      </w:r>
      <w:r>
        <w:rPr>
          <w:rFonts w:ascii="宋体" w:hAnsi="宋体"/>
          <w:sz w:val="24"/>
        </w:rPr>
        <w:t>投资者（非养老金客户）投资100,000</w:t>
      </w:r>
      <w:r w:rsidR="000E3BE2">
        <w:rPr>
          <w:rFonts w:ascii="宋体" w:hAnsi="宋体"/>
          <w:sz w:val="24"/>
        </w:rPr>
        <w:t>.00</w:t>
      </w:r>
      <w:r>
        <w:rPr>
          <w:rFonts w:ascii="宋体" w:hAnsi="宋体"/>
          <w:sz w:val="24"/>
        </w:rPr>
        <w:t>元申购本基金A类基金份额，假设申购当日A类基金份额净值为1.0400元，则其可得到95,013.68份A类基金份额。</w:t>
      </w:r>
    </w:p>
    <w:p w14:paraId="16B17D15" w14:textId="3BAAF150"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例五：某养老金客户投资1</w:t>
      </w:r>
      <w:r w:rsidR="00B014D6">
        <w:rPr>
          <w:rFonts w:ascii="宋体" w:hAnsi="宋体"/>
          <w:sz w:val="24"/>
        </w:rPr>
        <w:t>,0</w:t>
      </w:r>
      <w:r>
        <w:rPr>
          <w:rFonts w:ascii="宋体" w:hAnsi="宋体"/>
          <w:sz w:val="24"/>
        </w:rPr>
        <w:t>00,000</w:t>
      </w:r>
      <w:r w:rsidR="000E3BE2">
        <w:rPr>
          <w:rFonts w:ascii="宋体" w:hAnsi="宋体"/>
          <w:sz w:val="24"/>
        </w:rPr>
        <w:t>.00</w:t>
      </w:r>
      <w:r>
        <w:rPr>
          <w:rFonts w:ascii="宋体" w:hAnsi="宋体"/>
          <w:sz w:val="24"/>
        </w:rPr>
        <w:t>元通过基金管理人的直销柜台申购本基金的A类基金份额，假设申购当日A类基金份额净值为1.0400元，申购费率为0.</w:t>
      </w:r>
      <w:r w:rsidR="009947EB">
        <w:rPr>
          <w:rFonts w:ascii="宋体" w:hAnsi="宋体"/>
          <w:sz w:val="24"/>
        </w:rPr>
        <w:t>16</w:t>
      </w:r>
      <w:r>
        <w:rPr>
          <w:rFonts w:ascii="宋体" w:hAnsi="宋体"/>
          <w:sz w:val="24"/>
        </w:rPr>
        <w:t>%，则其可得到的申购份额为：</w:t>
      </w:r>
    </w:p>
    <w:p w14:paraId="321851B1" w14:textId="7621B09D"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申购总金额＝1</w:t>
      </w:r>
      <w:r w:rsidR="00B014D6">
        <w:rPr>
          <w:rFonts w:ascii="宋体" w:hAnsi="宋体"/>
          <w:sz w:val="24"/>
        </w:rPr>
        <w:t>,0</w:t>
      </w:r>
      <w:r>
        <w:rPr>
          <w:rFonts w:ascii="宋体" w:hAnsi="宋体"/>
          <w:sz w:val="24"/>
        </w:rPr>
        <w:t>00,000</w:t>
      </w:r>
      <w:r w:rsidR="001C700A">
        <w:rPr>
          <w:rFonts w:ascii="宋体" w:hAnsi="宋体"/>
          <w:sz w:val="24"/>
        </w:rPr>
        <w:t>.00</w:t>
      </w:r>
      <w:r>
        <w:rPr>
          <w:rFonts w:ascii="宋体" w:hAnsi="宋体"/>
          <w:sz w:val="24"/>
        </w:rPr>
        <w:t>元</w:t>
      </w:r>
    </w:p>
    <w:p w14:paraId="6A02BC94" w14:textId="09B2C0BE"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净申购金额=1</w:t>
      </w:r>
      <w:r w:rsidR="00B014D6">
        <w:rPr>
          <w:rFonts w:ascii="宋体" w:hAnsi="宋体"/>
          <w:sz w:val="24"/>
        </w:rPr>
        <w:t>,0</w:t>
      </w:r>
      <w:r>
        <w:rPr>
          <w:rFonts w:ascii="宋体" w:hAnsi="宋体"/>
          <w:sz w:val="24"/>
        </w:rPr>
        <w:t>00,000</w:t>
      </w:r>
      <w:r w:rsidR="001C700A">
        <w:rPr>
          <w:rFonts w:ascii="宋体" w:hAnsi="宋体"/>
          <w:sz w:val="24"/>
        </w:rPr>
        <w:t>.00</w:t>
      </w:r>
      <w:r>
        <w:rPr>
          <w:rFonts w:ascii="宋体" w:hAnsi="宋体"/>
          <w:sz w:val="24"/>
        </w:rPr>
        <w:t>/（1+0.</w:t>
      </w:r>
      <w:r w:rsidR="00CA55EC">
        <w:rPr>
          <w:rFonts w:ascii="宋体" w:hAnsi="宋体"/>
          <w:sz w:val="24"/>
        </w:rPr>
        <w:t>16</w:t>
      </w:r>
      <w:r>
        <w:rPr>
          <w:rFonts w:ascii="宋体" w:hAnsi="宋体"/>
          <w:sz w:val="24"/>
        </w:rPr>
        <w:t>%）=</w:t>
      </w:r>
      <w:r w:rsidR="00CA55EC">
        <w:rPr>
          <w:rFonts w:ascii="宋体" w:hAnsi="宋体"/>
          <w:sz w:val="24"/>
        </w:rPr>
        <w:t>998,402.56</w:t>
      </w:r>
      <w:r>
        <w:rPr>
          <w:rFonts w:ascii="宋体" w:hAnsi="宋体"/>
          <w:sz w:val="24"/>
        </w:rPr>
        <w:t>元</w:t>
      </w:r>
    </w:p>
    <w:p w14:paraId="06096C56" w14:textId="5485095A"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申购费用=1</w:t>
      </w:r>
      <w:r w:rsidR="00B014D6">
        <w:rPr>
          <w:rFonts w:ascii="宋体" w:hAnsi="宋体"/>
          <w:sz w:val="24"/>
        </w:rPr>
        <w:t>,0</w:t>
      </w:r>
      <w:r>
        <w:rPr>
          <w:rFonts w:ascii="宋体" w:hAnsi="宋体"/>
          <w:sz w:val="24"/>
        </w:rPr>
        <w:t>00,000</w:t>
      </w:r>
      <w:r w:rsidR="001C700A">
        <w:rPr>
          <w:rFonts w:ascii="宋体" w:hAnsi="宋体"/>
          <w:sz w:val="24"/>
        </w:rPr>
        <w:t>.00</w:t>
      </w:r>
      <w:r>
        <w:rPr>
          <w:rFonts w:ascii="宋体" w:hAnsi="宋体"/>
          <w:sz w:val="24"/>
        </w:rPr>
        <w:t>-</w:t>
      </w:r>
      <w:r w:rsidR="00CA55EC">
        <w:rPr>
          <w:rFonts w:ascii="宋体" w:hAnsi="宋体"/>
          <w:sz w:val="24"/>
        </w:rPr>
        <w:t>998,402.56</w:t>
      </w:r>
      <w:r>
        <w:rPr>
          <w:rFonts w:ascii="宋体" w:hAnsi="宋体"/>
          <w:sz w:val="24"/>
        </w:rPr>
        <w:t>=</w:t>
      </w:r>
      <w:r w:rsidR="00CA55EC">
        <w:rPr>
          <w:rFonts w:ascii="宋体" w:hAnsi="宋体"/>
          <w:sz w:val="24"/>
        </w:rPr>
        <w:t>1,597.44</w:t>
      </w:r>
      <w:r>
        <w:rPr>
          <w:rFonts w:ascii="宋体" w:hAnsi="宋体"/>
          <w:sz w:val="24"/>
        </w:rPr>
        <w:t>元</w:t>
      </w:r>
    </w:p>
    <w:p w14:paraId="328DC84E" w14:textId="5FF57C44"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w:t>
      </w:r>
      <w:r w:rsidR="00CA55EC">
        <w:rPr>
          <w:rFonts w:ascii="宋体" w:hAnsi="宋体"/>
          <w:sz w:val="24"/>
        </w:rPr>
        <w:t>998,402.56</w:t>
      </w:r>
      <w:r>
        <w:rPr>
          <w:rFonts w:ascii="宋体" w:hAnsi="宋体"/>
          <w:sz w:val="24"/>
        </w:rPr>
        <w:t>/1.0400=</w:t>
      </w:r>
      <w:r w:rsidR="00CA55EC">
        <w:rPr>
          <w:rFonts w:ascii="宋体" w:hAnsi="宋体"/>
          <w:sz w:val="24"/>
        </w:rPr>
        <w:t>960,002.46</w:t>
      </w:r>
      <w:r>
        <w:rPr>
          <w:rFonts w:ascii="宋体" w:hAnsi="宋体"/>
          <w:sz w:val="24"/>
        </w:rPr>
        <w:t>份</w:t>
      </w:r>
    </w:p>
    <w:p w14:paraId="044A207F" w14:textId="764C63E8"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即：该养老金客户投资1</w:t>
      </w:r>
      <w:r w:rsidR="0042194B">
        <w:rPr>
          <w:rFonts w:ascii="宋体" w:hAnsi="宋体"/>
          <w:sz w:val="24"/>
        </w:rPr>
        <w:t>,0</w:t>
      </w:r>
      <w:r>
        <w:rPr>
          <w:rFonts w:ascii="宋体" w:hAnsi="宋体"/>
          <w:sz w:val="24"/>
        </w:rPr>
        <w:t>00,000</w:t>
      </w:r>
      <w:r w:rsidR="001C700A">
        <w:rPr>
          <w:rFonts w:ascii="宋体" w:hAnsi="宋体"/>
          <w:sz w:val="24"/>
        </w:rPr>
        <w:t>.00</w:t>
      </w:r>
      <w:r>
        <w:rPr>
          <w:rFonts w:ascii="宋体" w:hAnsi="宋体"/>
          <w:sz w:val="24"/>
        </w:rPr>
        <w:t>元通过基金管理人的直销柜台申购本基金的A类基金份额，假设申购当日A类基金份额净值为1.0400元，则其可得到</w:t>
      </w:r>
      <w:r w:rsidR="00C27091">
        <w:rPr>
          <w:rFonts w:ascii="宋体" w:hAnsi="宋体"/>
          <w:sz w:val="24"/>
        </w:rPr>
        <w:t>960,002.46</w:t>
      </w:r>
      <w:r>
        <w:rPr>
          <w:rFonts w:ascii="宋体" w:hAnsi="宋体"/>
          <w:sz w:val="24"/>
        </w:rPr>
        <w:t>份A类基金份额。</w:t>
      </w:r>
    </w:p>
    <w:p w14:paraId="2ACD588B"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（2）C类基金份额的申购</w:t>
      </w:r>
    </w:p>
    <w:p w14:paraId="22CA8D03"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如果投资者选择申购C类基金份额，则申购份额的计算方法如下：</w:t>
      </w:r>
    </w:p>
    <w:p w14:paraId="4F906EA0"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申购总金额=申请总金额</w:t>
      </w:r>
    </w:p>
    <w:p w14:paraId="72F0D55A"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申购份额=申购总金额/T日C类基金份额净值</w:t>
      </w:r>
    </w:p>
    <w:p w14:paraId="1C35C6BF" w14:textId="7424AF12"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例六：某投资者投资100,000</w:t>
      </w:r>
      <w:r w:rsidR="00B80FB0">
        <w:rPr>
          <w:rFonts w:ascii="宋体" w:hAnsi="宋体"/>
          <w:sz w:val="24"/>
        </w:rPr>
        <w:t>.00</w:t>
      </w:r>
      <w:r>
        <w:rPr>
          <w:rFonts w:ascii="宋体" w:hAnsi="宋体"/>
          <w:sz w:val="24"/>
        </w:rPr>
        <w:t>元申购本基金的C类基金份额，假设申购当日C类基金份额净值为1.0400元，则其可得到的申购份额为：</w:t>
      </w:r>
    </w:p>
    <w:p w14:paraId="7CC4F7B8" w14:textId="77777777" w:rsidR="00B80FB0" w:rsidRPr="00B80FB0" w:rsidRDefault="00B80FB0" w:rsidP="00B80FB0">
      <w:pPr>
        <w:autoSpaceDE w:val="0"/>
        <w:autoSpaceDN w:val="0"/>
        <w:adjustRightInd w:val="0"/>
        <w:snapToGrid w:val="0"/>
        <w:spacing w:line="360" w:lineRule="auto"/>
        <w:ind w:firstLineChars="200" w:firstLine="480"/>
        <w:jc w:val="left"/>
        <w:rPr>
          <w:rFonts w:ascii="宋体" w:hAnsi="宋体"/>
          <w:sz w:val="24"/>
        </w:rPr>
      </w:pPr>
      <w:r w:rsidRPr="00B80FB0">
        <w:rPr>
          <w:rFonts w:ascii="宋体" w:hAnsi="宋体" w:hint="eastAsia"/>
          <w:sz w:val="24"/>
        </w:rPr>
        <w:t>申购总金额=100,000.00元</w:t>
      </w:r>
    </w:p>
    <w:p w14:paraId="56165A56" w14:textId="36CE02E4"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申购份额＝100,000</w:t>
      </w:r>
      <w:r w:rsidR="00B80FB0">
        <w:rPr>
          <w:rFonts w:ascii="宋体" w:hAnsi="宋体"/>
          <w:sz w:val="24"/>
        </w:rPr>
        <w:t>.00</w:t>
      </w:r>
      <w:r>
        <w:rPr>
          <w:rFonts w:ascii="宋体" w:hAnsi="宋体"/>
          <w:sz w:val="24"/>
        </w:rPr>
        <w:t>/1.0400＝96,153.85份</w:t>
      </w:r>
    </w:p>
    <w:p w14:paraId="329483FD" w14:textId="42EA51EE"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即：投资者投资100,000</w:t>
      </w:r>
      <w:r w:rsidR="00B80FB0">
        <w:rPr>
          <w:rFonts w:ascii="宋体" w:hAnsi="宋体"/>
          <w:sz w:val="24"/>
        </w:rPr>
        <w:t>.00</w:t>
      </w:r>
      <w:r>
        <w:rPr>
          <w:rFonts w:ascii="宋体" w:hAnsi="宋体"/>
          <w:sz w:val="24"/>
        </w:rPr>
        <w:t>元申购本基金的C类基金份额，假设申购当日C类基金份额净值为1.0400元，则其可得到96,153.85份C类基金份额。</w:t>
      </w:r>
    </w:p>
    <w:p w14:paraId="06984639" w14:textId="748298AE" w:rsidR="00FD086C" w:rsidRDefault="004B071E">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3、赎回金额的计算</w:t>
      </w:r>
    </w:p>
    <w:p w14:paraId="6B674863" w14:textId="3BEF2DDD" w:rsidR="00B80FB0" w:rsidRDefault="00B80FB0" w:rsidP="00B80FB0">
      <w:pPr>
        <w:autoSpaceDE w:val="0"/>
        <w:autoSpaceDN w:val="0"/>
        <w:adjustRightInd w:val="0"/>
        <w:snapToGrid w:val="0"/>
        <w:spacing w:line="360" w:lineRule="auto"/>
        <w:ind w:firstLineChars="200" w:firstLine="480"/>
        <w:jc w:val="left"/>
        <w:rPr>
          <w:rFonts w:hAnsi="宋体"/>
          <w:kern w:val="0"/>
          <w:sz w:val="24"/>
          <w:szCs w:val="24"/>
        </w:rPr>
      </w:pPr>
      <w:r>
        <w:rPr>
          <w:rFonts w:hAnsi="宋体" w:hint="eastAsia"/>
          <w:kern w:val="0"/>
          <w:sz w:val="24"/>
          <w:szCs w:val="24"/>
        </w:rPr>
        <w:t>本基金采用</w:t>
      </w:r>
      <w:r w:rsidR="00C507F0">
        <w:rPr>
          <w:rFonts w:hAnsi="宋体" w:hint="eastAsia"/>
          <w:kern w:val="0"/>
          <w:sz w:val="24"/>
          <w:szCs w:val="24"/>
        </w:rPr>
        <w:t>“</w:t>
      </w:r>
      <w:r>
        <w:rPr>
          <w:rFonts w:hAnsi="宋体" w:hint="eastAsia"/>
          <w:kern w:val="0"/>
          <w:sz w:val="24"/>
          <w:szCs w:val="24"/>
        </w:rPr>
        <w:t>份额赎回</w:t>
      </w:r>
      <w:r w:rsidR="00C507F0">
        <w:rPr>
          <w:rFonts w:hAnsi="宋体" w:hint="eastAsia"/>
          <w:kern w:val="0"/>
          <w:sz w:val="24"/>
          <w:szCs w:val="24"/>
        </w:rPr>
        <w:t>”</w:t>
      </w:r>
      <w:r>
        <w:rPr>
          <w:rFonts w:hAnsi="宋体" w:hint="eastAsia"/>
          <w:kern w:val="0"/>
          <w:sz w:val="24"/>
          <w:szCs w:val="24"/>
        </w:rPr>
        <w:t>的方式。</w:t>
      </w:r>
    </w:p>
    <w:p w14:paraId="1ACAACDC"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（1）A类基金份额的赎回</w:t>
      </w:r>
    </w:p>
    <w:p w14:paraId="6C563794"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如果投资者赎回A类基金份额，则赎回金额的计算方法如下：</w:t>
      </w:r>
    </w:p>
    <w:p w14:paraId="429F29CB"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赎回费用=赎回份额×T日A类基金份额净值×赎回费率</w:t>
      </w:r>
    </w:p>
    <w:p w14:paraId="6F13227E"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赎回金额=赎回份额×T日A类基金份额净值-赎回费用</w:t>
      </w:r>
    </w:p>
    <w:p w14:paraId="4C1F1C21" w14:textId="51069625"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例七：某投资者赎回100,000</w:t>
      </w:r>
      <w:r w:rsidR="0045299B">
        <w:rPr>
          <w:rFonts w:ascii="宋体" w:hAnsi="宋体"/>
          <w:sz w:val="24"/>
        </w:rPr>
        <w:t>.00</w:t>
      </w:r>
      <w:r>
        <w:rPr>
          <w:rFonts w:ascii="宋体" w:hAnsi="宋体"/>
          <w:sz w:val="24"/>
        </w:rPr>
        <w:t>份A类基金份额，持有</w:t>
      </w:r>
      <w:r w:rsidR="00EE788D">
        <w:rPr>
          <w:rFonts w:ascii="宋体" w:hAnsi="宋体" w:hint="eastAsia"/>
          <w:sz w:val="24"/>
        </w:rPr>
        <w:t>期限为</w:t>
      </w:r>
      <w:r>
        <w:rPr>
          <w:rFonts w:ascii="宋体" w:hAnsi="宋体"/>
          <w:sz w:val="24"/>
        </w:rPr>
        <w:t>20日，对应的赎回费率为0.3%，假设赎回当日A类基金份额净值是1.0160元，则其可得到的赎回金额为：</w:t>
      </w:r>
    </w:p>
    <w:p w14:paraId="60870E9B" w14:textId="65BE5C16"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赎回费用=100,000</w:t>
      </w:r>
      <w:r w:rsidR="0045299B">
        <w:rPr>
          <w:rFonts w:ascii="宋体" w:hAnsi="宋体"/>
          <w:sz w:val="24"/>
        </w:rPr>
        <w:t>.00</w:t>
      </w:r>
      <w:r>
        <w:rPr>
          <w:rFonts w:ascii="宋体" w:hAnsi="宋体"/>
          <w:sz w:val="24"/>
        </w:rPr>
        <w:t>×1.0160×0.3%＝304.80元</w:t>
      </w:r>
    </w:p>
    <w:p w14:paraId="38482A60" w14:textId="7C6F687C"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赎回金额=100,000</w:t>
      </w:r>
      <w:r w:rsidR="0045299B">
        <w:rPr>
          <w:rFonts w:ascii="宋体" w:hAnsi="宋体"/>
          <w:sz w:val="24"/>
        </w:rPr>
        <w:t>.00</w:t>
      </w:r>
      <w:r>
        <w:rPr>
          <w:rFonts w:ascii="宋体" w:hAnsi="宋体"/>
          <w:sz w:val="24"/>
        </w:rPr>
        <w:t>×1.0160-304.80＝101,295.20元</w:t>
      </w:r>
    </w:p>
    <w:p w14:paraId="438E6517" w14:textId="726A34F6"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即：</w:t>
      </w:r>
      <w:r w:rsidR="00EE788D">
        <w:rPr>
          <w:rFonts w:ascii="宋体" w:hAnsi="宋体" w:hint="eastAsia"/>
          <w:sz w:val="24"/>
        </w:rPr>
        <w:t>该</w:t>
      </w:r>
      <w:r>
        <w:rPr>
          <w:rFonts w:ascii="宋体" w:hAnsi="宋体"/>
          <w:sz w:val="24"/>
        </w:rPr>
        <w:t>投资者赎回100,000</w:t>
      </w:r>
      <w:r w:rsidR="0045299B">
        <w:rPr>
          <w:rFonts w:ascii="宋体" w:hAnsi="宋体"/>
          <w:sz w:val="24"/>
        </w:rPr>
        <w:t>.00</w:t>
      </w:r>
      <w:r>
        <w:rPr>
          <w:rFonts w:ascii="宋体" w:hAnsi="宋体"/>
          <w:sz w:val="24"/>
        </w:rPr>
        <w:t>份A类基金份额，</w:t>
      </w:r>
      <w:r w:rsidR="00EE788D" w:rsidRPr="00EE788D">
        <w:rPr>
          <w:rFonts w:ascii="宋体" w:hAnsi="宋体" w:hint="eastAsia"/>
          <w:sz w:val="24"/>
        </w:rPr>
        <w:t>持有期限为20日，</w:t>
      </w:r>
      <w:r>
        <w:rPr>
          <w:rFonts w:ascii="宋体" w:hAnsi="宋体"/>
          <w:sz w:val="24"/>
        </w:rPr>
        <w:t>对应的赎回费率为0.3%，假设赎回当日A类基金份额净值是1.0160元，则其可得到的赎回金额为101,295.20元。</w:t>
      </w:r>
    </w:p>
    <w:p w14:paraId="48C8F062"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（2）C类基金份额的赎回</w:t>
      </w:r>
    </w:p>
    <w:p w14:paraId="5FBAAEF3" w14:textId="3AECE088" w:rsidR="00FD086C" w:rsidRDefault="000C3FA1">
      <w:pPr>
        <w:autoSpaceDE w:val="0"/>
        <w:autoSpaceDN w:val="0"/>
        <w:adjustRightInd w:val="0"/>
        <w:snapToGrid w:val="0"/>
        <w:spacing w:line="360" w:lineRule="auto"/>
        <w:ind w:firstLineChars="200" w:firstLine="480"/>
        <w:jc w:val="left"/>
        <w:rPr>
          <w:rFonts w:ascii="宋体" w:hAnsi="宋体"/>
          <w:szCs w:val="24"/>
        </w:rPr>
      </w:pPr>
      <w:r>
        <w:rPr>
          <w:rFonts w:ascii="宋体" w:hAnsi="宋体" w:hint="eastAsia"/>
          <w:sz w:val="24"/>
        </w:rPr>
        <w:t>如果</w:t>
      </w:r>
      <w:r w:rsidR="004B071E">
        <w:rPr>
          <w:rFonts w:ascii="宋体" w:hAnsi="宋体"/>
          <w:sz w:val="24"/>
        </w:rPr>
        <w:t>投资者赎回C类基金份额，赎回金额的计算方法如下：</w:t>
      </w:r>
    </w:p>
    <w:p w14:paraId="17D687D5"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赎回费用=赎回份额×T日C类基金份额净值×赎回费率</w:t>
      </w:r>
    </w:p>
    <w:p w14:paraId="1C25AAE8"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赎回金额=赎回份额×T日C类基金份额净值-赎回费用</w:t>
      </w:r>
    </w:p>
    <w:p w14:paraId="6C1A466B" w14:textId="15DC8D31"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例八：某投资者赎回100,000</w:t>
      </w:r>
      <w:r w:rsidR="00EE788D">
        <w:rPr>
          <w:rFonts w:ascii="宋体" w:hAnsi="宋体"/>
          <w:sz w:val="24"/>
        </w:rPr>
        <w:t>.00</w:t>
      </w:r>
      <w:r>
        <w:rPr>
          <w:rFonts w:ascii="宋体" w:hAnsi="宋体"/>
          <w:sz w:val="24"/>
        </w:rPr>
        <w:t>份C类基金份额，持有</w:t>
      </w:r>
      <w:r w:rsidR="00EE788D">
        <w:rPr>
          <w:rFonts w:ascii="宋体" w:hAnsi="宋体" w:hint="eastAsia"/>
          <w:sz w:val="24"/>
        </w:rPr>
        <w:t>期限为</w:t>
      </w:r>
      <w:r>
        <w:rPr>
          <w:rFonts w:ascii="宋体" w:hAnsi="宋体"/>
          <w:sz w:val="24"/>
        </w:rPr>
        <w:t>20日，对应的赎回费率为0.1%，假设赎回当日C类基金份额净值是1.0160元，则其可得到的赎回金额为：</w:t>
      </w:r>
    </w:p>
    <w:p w14:paraId="470C634B" w14:textId="456B17E2"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赎回费用=100,000</w:t>
      </w:r>
      <w:r w:rsidR="0053719A">
        <w:rPr>
          <w:rFonts w:ascii="宋体" w:hAnsi="宋体"/>
          <w:sz w:val="24"/>
        </w:rPr>
        <w:t>.00</w:t>
      </w:r>
      <w:r>
        <w:rPr>
          <w:rFonts w:ascii="宋体" w:hAnsi="宋体"/>
          <w:sz w:val="24"/>
        </w:rPr>
        <w:t>×1.0160×0.1%＝101.60元</w:t>
      </w:r>
    </w:p>
    <w:p w14:paraId="414A07CB" w14:textId="565A042C"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赎回金额=100,000</w:t>
      </w:r>
      <w:r w:rsidR="0053719A">
        <w:rPr>
          <w:rFonts w:ascii="宋体" w:hAnsi="宋体"/>
          <w:sz w:val="24"/>
        </w:rPr>
        <w:t>.00</w:t>
      </w:r>
      <w:r>
        <w:rPr>
          <w:rFonts w:ascii="宋体" w:hAnsi="宋体"/>
          <w:sz w:val="24"/>
        </w:rPr>
        <w:t>×1.0160-101.60＝101,498.40元</w:t>
      </w:r>
    </w:p>
    <w:p w14:paraId="5019BE87" w14:textId="3A191968"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即：</w:t>
      </w:r>
      <w:r w:rsidR="0053719A">
        <w:rPr>
          <w:rFonts w:ascii="宋体" w:hAnsi="宋体" w:hint="eastAsia"/>
          <w:sz w:val="24"/>
        </w:rPr>
        <w:t>该</w:t>
      </w:r>
      <w:r>
        <w:rPr>
          <w:rFonts w:ascii="宋体" w:hAnsi="宋体"/>
          <w:sz w:val="24"/>
        </w:rPr>
        <w:t>投资者赎回100,000</w:t>
      </w:r>
      <w:r w:rsidR="0053719A">
        <w:rPr>
          <w:rFonts w:ascii="宋体" w:hAnsi="宋体"/>
          <w:sz w:val="24"/>
        </w:rPr>
        <w:t>.00</w:t>
      </w:r>
      <w:r>
        <w:rPr>
          <w:rFonts w:ascii="宋体" w:hAnsi="宋体"/>
          <w:sz w:val="24"/>
        </w:rPr>
        <w:t>份C类基金份额，</w:t>
      </w:r>
      <w:r w:rsidR="0053719A" w:rsidRPr="0053719A">
        <w:rPr>
          <w:rFonts w:ascii="宋体" w:hAnsi="宋体" w:hint="eastAsia"/>
          <w:sz w:val="24"/>
        </w:rPr>
        <w:t>持有期限为20日，</w:t>
      </w:r>
      <w:r>
        <w:rPr>
          <w:rFonts w:ascii="宋体" w:hAnsi="宋体"/>
          <w:sz w:val="24"/>
        </w:rPr>
        <w:t>对应的赎回费率为0.1%，假设赎回当日C类基金份额净值是1.0160元，则其可得到的赎回金额为101,498.40元。</w:t>
      </w:r>
    </w:p>
    <w:p w14:paraId="06AF1B56"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4、基金份额净值的计算公式</w:t>
      </w:r>
    </w:p>
    <w:p w14:paraId="06B86100"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A类基金份额净值＝A类基金份额的基金资产净值总额/发行在外的A类基金份额总数</w:t>
      </w:r>
    </w:p>
    <w:p w14:paraId="6A6DFDA9"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C类基金份额净值＝C类基金份额的基金资产净值总额/发行在外的C类基金份额总数</w:t>
      </w:r>
    </w:p>
    <w:p w14:paraId="18A9333C" w14:textId="32D2BA44"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本基金T日的基金份额净值在当天收市后计算，并在T+1日（包括该日）内公告。遇特殊情况，经履行适当程序，可以适当延迟计算或公告。本基金A类基金份额和C类基金份额的基金份额净值的计算，</w:t>
      </w:r>
      <w:r w:rsidR="00BE7B19">
        <w:rPr>
          <w:rFonts w:ascii="宋体" w:hAnsi="宋体" w:hint="eastAsia"/>
          <w:sz w:val="24"/>
        </w:rPr>
        <w:t>均</w:t>
      </w:r>
      <w:r>
        <w:rPr>
          <w:rFonts w:ascii="宋体" w:hAnsi="宋体"/>
          <w:sz w:val="24"/>
        </w:rPr>
        <w:t>保留到小数点后4位，小数点后第5位四舍五入，由此产生的收益或损失由基金财产承担。</w:t>
      </w:r>
    </w:p>
    <w:p w14:paraId="2E1F3B6C"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（八）拒绝或暂停申购的情形</w:t>
      </w:r>
    </w:p>
    <w:p w14:paraId="7F3761AB"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发生下列情况时，基金管理人可拒绝或暂停接受投资人的申购申请：</w:t>
      </w:r>
    </w:p>
    <w:p w14:paraId="0AAAC93F"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1、因不可抗力导致基金无法正常运作。</w:t>
      </w:r>
    </w:p>
    <w:p w14:paraId="54F72D8F"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2、发生基金合同规定的暂停基金资产估值情况时，基金管理人可暂停接受投资人的申购申请。</w:t>
      </w:r>
    </w:p>
    <w:p w14:paraId="299B9F37"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3、证券/期货交易所交易时间非正常停市，导致基金管理人无法计算当日基金资产净值。</w:t>
      </w:r>
    </w:p>
    <w:p w14:paraId="5237D9C5"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4、接受某笔或某些申购申请可能会影响或损害现有基金份额持有人利益时。</w:t>
      </w:r>
    </w:p>
    <w:p w14:paraId="43AA3DC6"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5、基金资产规模过大，使基金管理人无法找到合适的投资品种，或其他可能</w:t>
      </w:r>
      <w:r>
        <w:rPr>
          <w:rFonts w:ascii="宋体" w:hAnsi="宋体"/>
          <w:sz w:val="24"/>
        </w:rPr>
        <w:lastRenderedPageBreak/>
        <w:t>对基金业绩产生负面影响，或发生其他损害现有基金份额持有人利益的情形。</w:t>
      </w:r>
    </w:p>
    <w:p w14:paraId="75109B49" w14:textId="51B1503B"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6、基金销售机构、基金销售支付结算机构或登记机构的异常情况导致基金销售系统、基金销售支付结算系统、基金注册登记系统或基金会计系统无法正常运行。</w:t>
      </w:r>
    </w:p>
    <w:p w14:paraId="19222EDE"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7、当前一估值日基金资产净值50%以上的资产出现无可参考的活跃市场价格且采用估值技术仍导致公允价值存在重大不确定性时，经与基金托管人协商确认后，基金管理人应当暂停接受基金申购申请。</w:t>
      </w:r>
    </w:p>
    <w:p w14:paraId="4F6CAB20"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8、基金管理人接受某笔或者某些申购申请有可能导致单一投资者持有基金份额的比例超过50%，或者变相规避50%集中度的。出现上述情形时，基金管理人有权将上述申购申请全部或部分确认失败。</w:t>
      </w:r>
    </w:p>
    <w:p w14:paraId="16EDD879"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9、法律法规规定、中国证监会认定或基金合同约定的其他情形。</w:t>
      </w:r>
    </w:p>
    <w:p w14:paraId="3D96585F"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发生上述第1、2、3、5、6、7、9项暂停申购情形之一且基金管理人决定暂停接受投资人申购申请时，基金管理人应当根据有关规定在规定媒介上刊登暂停申购公告。如果投资人的申购申请被拒绝，被拒绝的申购款项将退还给投资人。在暂停申购的情况消除时，基金管理人应及时恢复申购业务的办理。</w:t>
      </w:r>
    </w:p>
    <w:p w14:paraId="4BC91A1D"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（九）暂停赎回或延缓支付赎回款项的情形</w:t>
      </w:r>
    </w:p>
    <w:p w14:paraId="7CFBB00F"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发生下列情形时，基金管理人可暂停接受投资人的赎回申请或延缓支付赎回款项：</w:t>
      </w:r>
    </w:p>
    <w:p w14:paraId="5E9E345F"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1、因不可抗力导致基金管理人不能支付赎回款项。</w:t>
      </w:r>
    </w:p>
    <w:p w14:paraId="764C0357"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2、发生基金合同规定的暂停基金资产估值情况时，基金管理人可暂停接受投资人的赎回申请或延缓支付赎回款项。</w:t>
      </w:r>
    </w:p>
    <w:p w14:paraId="5D2910D9"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3、证券/期货交易所交易时间非正常停市，导致基金管理人无法计算当日基金资产净值。</w:t>
      </w:r>
    </w:p>
    <w:p w14:paraId="0B783292"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4、连续两个或两个以上开放日发生巨额赎回。</w:t>
      </w:r>
    </w:p>
    <w:p w14:paraId="1D38C76F"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5、发生继续接受赎回申请将损害现有基金份额持有人利益的情形时，基金管理人可暂停接受基金份额持有人的赎回申请。</w:t>
      </w:r>
    </w:p>
    <w:p w14:paraId="2647B03D" w14:textId="359EB57D"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6、指数编制单位或指数发布机构因异常情况使</w:t>
      </w:r>
      <w:r w:rsidR="00333BC4">
        <w:rPr>
          <w:rFonts w:ascii="宋体" w:hAnsi="宋体" w:hint="eastAsia"/>
          <w:sz w:val="24"/>
        </w:rPr>
        <w:t>标的</w:t>
      </w:r>
      <w:r>
        <w:rPr>
          <w:rFonts w:ascii="宋体" w:hAnsi="宋体"/>
          <w:sz w:val="24"/>
        </w:rPr>
        <w:t>指数数据无法正常计算、计算错误或发布异常时。</w:t>
      </w:r>
    </w:p>
    <w:p w14:paraId="2740CF81"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7、当前一估值日基金资产净值50%以上的资产出现无可参考的活跃市场价格且采用估值技术仍导致公允价值存在重大不确定性时，经与基金托管人协商确认后，</w:t>
      </w:r>
      <w:r>
        <w:rPr>
          <w:rFonts w:ascii="宋体" w:hAnsi="宋体"/>
          <w:sz w:val="24"/>
        </w:rPr>
        <w:lastRenderedPageBreak/>
        <w:t>基金管理人应当延缓支付赎回款项或暂停接受基金赎回申请。</w:t>
      </w:r>
    </w:p>
    <w:p w14:paraId="7C655C4E"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8、法律法规规定、中国证监会认定或基金合同约定的其他情形。</w:t>
      </w:r>
    </w:p>
    <w:p w14:paraId="5793115F" w14:textId="1A5FD14F"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发生上述情形之一且基金管理人决定暂停接受基金份额持有人的赎回申请或延缓支付赎回款项时，基金管理人应</w:t>
      </w:r>
      <w:r w:rsidR="00A575FB">
        <w:rPr>
          <w:rFonts w:ascii="宋体" w:hAnsi="宋体" w:hint="eastAsia"/>
          <w:sz w:val="24"/>
        </w:rPr>
        <w:t>及时</w:t>
      </w:r>
      <w:r>
        <w:rPr>
          <w:rFonts w:ascii="宋体" w:hAnsi="宋体"/>
          <w:sz w:val="24"/>
        </w:rPr>
        <w:t>报中国证监会备案，已确认的赎回申请，基金管理人应足额支付；如暂时不能足额支付，应将可支付部分按单个账户申请量占申请总量的比例分配给赎回申请人，未支付部分可延期支付。若出现上述第4项所述情形，按基金合同的相关条款处理。基金份额持有人在申请赎回时可事先选择将当日可能未获受理部分予以撤销。在暂停赎回的情况消除时，基金管理人应及时恢复赎回业务的办理并公告。</w:t>
      </w:r>
    </w:p>
    <w:p w14:paraId="400E5F39"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（十）巨额赎回的情形及处理方式</w:t>
      </w:r>
    </w:p>
    <w:p w14:paraId="0267F543"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1、巨额赎回的认定</w:t>
      </w:r>
    </w:p>
    <w:p w14:paraId="6938BFDD"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14:paraId="412567CA"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2、巨额赎回的处理方式</w:t>
      </w:r>
    </w:p>
    <w:p w14:paraId="530B8D71"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当基金出现巨额赎回时，基金管理人可以根据基金当时的资产组合状况决定全额赎回或部分延期赎回。</w:t>
      </w:r>
    </w:p>
    <w:p w14:paraId="7D3E18D0"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（1）全额赎回：当基金管理人认为有能力支付投资人的全部赎回申请时，按正常赎回程序执行。</w:t>
      </w:r>
    </w:p>
    <w:p w14:paraId="524AF1ED" w14:textId="6EFA38A0"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w:t>
      </w:r>
      <w:r w:rsidR="00F97E8C">
        <w:rPr>
          <w:rFonts w:hint="eastAsia"/>
          <w:bCs/>
          <w:sz w:val="24"/>
        </w:rPr>
        <w:t>该类基金份额</w:t>
      </w:r>
      <w:r>
        <w:rPr>
          <w:rFonts w:ascii="宋体" w:hAnsi="宋体"/>
          <w:sz w:val="24"/>
        </w:rPr>
        <w:t>的基金份额净值为基础计算赎回金额，以此类推，直到全部赎回为止。如投资人在提交赎回申请时未作明确选择，投资人未能赎回部分作自动延期赎回处理。</w:t>
      </w:r>
    </w:p>
    <w:p w14:paraId="202FEF6F"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（3）本基金如发生巨额赎回且单个开放日内单个基金份额持有人申请赎回的基金份额超过前一开放日的基金总份额的20%时，本基金管理人有权采取如下措施：</w:t>
      </w:r>
    </w:p>
    <w:p w14:paraId="6A014319" w14:textId="68ED906C"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对于基金份额持有人当日超过20%的赎回申请，可以对其赎回申请延期办理。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w:t>
      </w:r>
      <w:r w:rsidR="00F97E8C">
        <w:rPr>
          <w:rFonts w:hint="eastAsia"/>
          <w:bCs/>
          <w:sz w:val="24"/>
        </w:rPr>
        <w:t>该类基金份额</w:t>
      </w:r>
      <w:r>
        <w:rPr>
          <w:rFonts w:ascii="宋体" w:hAnsi="宋体"/>
          <w:sz w:val="24"/>
        </w:rPr>
        <w:t>的基金份额净值为基础计算赎回金额，以此类推，直到全部赎回为止。</w:t>
      </w:r>
    </w:p>
    <w:p w14:paraId="4D7804C0" w14:textId="15784BF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对于基金份额持有人未超过上述比例的部分，基金管理人可以根据</w:t>
      </w:r>
      <w:r w:rsidR="00F97E8C">
        <w:rPr>
          <w:rFonts w:ascii="宋体" w:hAnsi="宋体" w:hint="eastAsia"/>
          <w:sz w:val="24"/>
        </w:rPr>
        <w:t>前述</w:t>
      </w:r>
      <w:r>
        <w:rPr>
          <w:rFonts w:ascii="宋体" w:hAnsi="宋体"/>
          <w:sz w:val="24"/>
        </w:rPr>
        <w:t>“（1）全额赎回”或“（2）部分延期赎回”的约定方式与其他基金份额持有人的赎回申请一并办理。但是，如基金份额持有人在当日选择取消赎回，则其当日未获受理的部分赎回申请将被撤销。</w:t>
      </w:r>
    </w:p>
    <w:p w14:paraId="105B1E75"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暂停赎回：连续2个开放日以上（含本数）发生巨额赎回，如基金管理人认为有必要，可暂停接受基金的赎回申请；已经接受的赎回申请可以延缓支付赎回款项，但不得超过20个工作日，并应当在规定媒介上进行公告。</w:t>
      </w:r>
    </w:p>
    <w:p w14:paraId="12AC26C7"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3、巨额赎回的公告</w:t>
      </w:r>
    </w:p>
    <w:p w14:paraId="71586393"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当发生上述巨额赎回并延期办理时，基金管理人应当通过邮寄、传真、刊登公告或者通知销售机构代为告知等方式在3个交易日内通知基金份额持有人，说明有关处理方法，并在2日内在规定媒介上刊登公告。</w:t>
      </w:r>
    </w:p>
    <w:p w14:paraId="66F102F3"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（十一）暂停申购或赎回的公告和重新开放申购或赎回的公告</w:t>
      </w:r>
    </w:p>
    <w:p w14:paraId="470B0A8E"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1、发生上述暂停申购或赎回情况的，基金管理人应在规定期限内在规定媒介上刊登暂停公告。</w:t>
      </w:r>
    </w:p>
    <w:p w14:paraId="0DA0C11B" w14:textId="2893B70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2、如发生暂停的时间为1日，基金管理人应于重新开放日，在规定媒介上刊登基金重新开放申购或赎回公告，并公布最近1个开放日的各类基金份额</w:t>
      </w:r>
      <w:r w:rsidR="00A24CE3">
        <w:rPr>
          <w:rFonts w:hint="eastAsia"/>
          <w:bCs/>
          <w:sz w:val="24"/>
        </w:rPr>
        <w:t>的基金份额</w:t>
      </w:r>
      <w:r>
        <w:rPr>
          <w:rFonts w:ascii="宋体" w:hAnsi="宋体"/>
          <w:sz w:val="24"/>
        </w:rPr>
        <w:t>净值。</w:t>
      </w:r>
    </w:p>
    <w:p w14:paraId="6B1CE247"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如发生暂停的时间超过1日，基金管理人可以根据暂停申购或赎回的时间，依照《信息披露办法》的有关规定，最迟于重新开放日在规定媒介上刊登重新开放申购或赎回的公告；也可以根据实际情况在暂停公告中明确重新开放申购或赎回的时间，届时不再另行发布重新开放的公告。</w:t>
      </w:r>
    </w:p>
    <w:p w14:paraId="1F9F3CFD" w14:textId="77777777" w:rsidR="00EE3D5C" w:rsidRPr="00EE3D5C" w:rsidRDefault="004B071E" w:rsidP="00EE3D5C">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lastRenderedPageBreak/>
        <w:t>（十二）</w:t>
      </w:r>
      <w:r w:rsidR="00EE3D5C" w:rsidRPr="00EE3D5C">
        <w:rPr>
          <w:rFonts w:ascii="宋体" w:hAnsi="宋体" w:hint="eastAsia"/>
          <w:sz w:val="24"/>
        </w:rPr>
        <w:t>基金转换</w:t>
      </w:r>
    </w:p>
    <w:p w14:paraId="3AF37CDE" w14:textId="77777777" w:rsidR="00EE3D5C" w:rsidRPr="00EE3D5C" w:rsidRDefault="00EE3D5C" w:rsidP="00EE3D5C">
      <w:pPr>
        <w:autoSpaceDE w:val="0"/>
        <w:autoSpaceDN w:val="0"/>
        <w:adjustRightInd w:val="0"/>
        <w:snapToGrid w:val="0"/>
        <w:spacing w:line="360" w:lineRule="auto"/>
        <w:ind w:firstLineChars="200" w:firstLine="480"/>
        <w:jc w:val="left"/>
        <w:rPr>
          <w:rFonts w:ascii="宋体" w:hAnsi="宋体"/>
          <w:sz w:val="24"/>
        </w:rPr>
      </w:pPr>
      <w:r w:rsidRPr="00EE3D5C">
        <w:rPr>
          <w:rFonts w:ascii="宋体" w:hAnsi="宋体" w:hint="eastAsia"/>
          <w:sz w:val="24"/>
        </w:rPr>
        <w:t>基金管理人可以根据相关法律法规以及基金合同的规定决定开办本基金与基金管理人管理的其他基金之间的转换业务，基金转换可以收取一定的转换费，相关规则由基金管理人届时根据相关法律法规及基金合同的规定制定并公告，并提前告知基金托管人与相关机构。</w:t>
      </w:r>
    </w:p>
    <w:p w14:paraId="4E21A3D8" w14:textId="2A0A2B03" w:rsidR="00FD086C" w:rsidRDefault="00EE3D5C" w:rsidP="00EE3D5C">
      <w:pPr>
        <w:autoSpaceDE w:val="0"/>
        <w:autoSpaceDN w:val="0"/>
        <w:adjustRightInd w:val="0"/>
        <w:snapToGrid w:val="0"/>
        <w:spacing w:line="360" w:lineRule="auto"/>
        <w:ind w:firstLineChars="200" w:firstLine="480"/>
        <w:jc w:val="left"/>
        <w:rPr>
          <w:rFonts w:ascii="宋体" w:hAnsi="宋体"/>
          <w:szCs w:val="24"/>
        </w:rPr>
      </w:pPr>
      <w:r w:rsidRPr="00EE3D5C">
        <w:rPr>
          <w:rFonts w:ascii="宋体" w:hAnsi="宋体" w:hint="eastAsia"/>
          <w:sz w:val="24"/>
        </w:rPr>
        <w:t>（十三）</w:t>
      </w:r>
      <w:r w:rsidR="004B071E">
        <w:rPr>
          <w:rFonts w:ascii="宋体" w:hAnsi="宋体"/>
          <w:sz w:val="24"/>
        </w:rPr>
        <w:t>基金的非交易过户</w:t>
      </w:r>
    </w:p>
    <w:p w14:paraId="7B977E97"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14:paraId="7DE060FC"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23F5A6C0" w14:textId="4306F89B"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w:t>
      </w:r>
      <w:r w:rsidR="00EE3D5C">
        <w:rPr>
          <w:rFonts w:ascii="宋体" w:hAnsi="宋体" w:hint="eastAsia"/>
          <w:sz w:val="24"/>
        </w:rPr>
        <w:t>四</w:t>
      </w:r>
      <w:r>
        <w:rPr>
          <w:rFonts w:ascii="宋体" w:hAnsi="宋体"/>
          <w:sz w:val="24"/>
        </w:rPr>
        <w:t>）基金的转托管</w:t>
      </w:r>
    </w:p>
    <w:p w14:paraId="220AC953"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基金份额持有人可办理已持有基金份额在不同销售机构之间的转托管，基金销售机构可以按照规定的标准收取转托管费。</w:t>
      </w:r>
    </w:p>
    <w:p w14:paraId="12DA4A20" w14:textId="7D7C1CC9"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w:t>
      </w:r>
      <w:r w:rsidR="00EE3D5C">
        <w:rPr>
          <w:rFonts w:ascii="宋体" w:hAnsi="宋体" w:hint="eastAsia"/>
          <w:sz w:val="24"/>
        </w:rPr>
        <w:t>五</w:t>
      </w:r>
      <w:r>
        <w:rPr>
          <w:rFonts w:ascii="宋体" w:hAnsi="宋体"/>
          <w:sz w:val="24"/>
        </w:rPr>
        <w:t>）定期定额投资计划</w:t>
      </w:r>
    </w:p>
    <w:p w14:paraId="5B5A605A"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6F20D961" w14:textId="126F4408"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w:t>
      </w:r>
      <w:r w:rsidR="00EE3D5C">
        <w:rPr>
          <w:rFonts w:ascii="宋体" w:hAnsi="宋体" w:hint="eastAsia"/>
          <w:sz w:val="24"/>
        </w:rPr>
        <w:t>六</w:t>
      </w:r>
      <w:r>
        <w:rPr>
          <w:rFonts w:ascii="宋体" w:hAnsi="宋体"/>
          <w:sz w:val="24"/>
        </w:rPr>
        <w:t>）基金份额的冻结和解冻</w:t>
      </w:r>
    </w:p>
    <w:p w14:paraId="5A404F14"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基金登记机构只受理国家有权机关依法要求的基金份额的冻结与解冻，以及登记机构认可、符合法律法规的其他情况下的冻结与解冻。</w:t>
      </w:r>
    </w:p>
    <w:p w14:paraId="7026A162" w14:textId="51918FD1"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w:t>
      </w:r>
      <w:r w:rsidR="00EE3D5C">
        <w:rPr>
          <w:rFonts w:ascii="宋体" w:hAnsi="宋体" w:hint="eastAsia"/>
          <w:sz w:val="24"/>
        </w:rPr>
        <w:t>七</w:t>
      </w:r>
      <w:r>
        <w:rPr>
          <w:rFonts w:ascii="宋体" w:hAnsi="宋体"/>
          <w:sz w:val="24"/>
        </w:rPr>
        <w:t>）基金份额的转让</w:t>
      </w:r>
    </w:p>
    <w:p w14:paraId="150A14C1"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w:t>
      </w:r>
      <w:r>
        <w:rPr>
          <w:rFonts w:ascii="宋体" w:hAnsi="宋体"/>
          <w:sz w:val="24"/>
        </w:rPr>
        <w:lastRenderedPageBreak/>
        <w:t>额持有人应根据基金管理人公告的业务规则办理基金份额转让业务。</w:t>
      </w:r>
    </w:p>
    <w:p w14:paraId="23A97600" w14:textId="77777777" w:rsidR="0095280D" w:rsidRDefault="0095280D" w:rsidP="009528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w:t>
      </w:r>
      <w:r>
        <w:rPr>
          <w:rFonts w:ascii="宋体" w:hAnsi="宋体" w:hint="eastAsia"/>
          <w:sz w:val="24"/>
        </w:rPr>
        <w:t>八</w:t>
      </w:r>
      <w:r>
        <w:rPr>
          <w:rFonts w:ascii="宋体" w:hAnsi="宋体"/>
          <w:sz w:val="24"/>
        </w:rPr>
        <w:t>）实施侧袋机制期间本基金的申购与赎回</w:t>
      </w:r>
    </w:p>
    <w:p w14:paraId="372096F2" w14:textId="77777777" w:rsidR="0095280D" w:rsidRDefault="0095280D" w:rsidP="009528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本基金实施侧袋机制的，本基金的申购和赎回安排详见本招募说明书“侧袋机制”部分的规定或相关公告。</w:t>
      </w:r>
    </w:p>
    <w:p w14:paraId="3ECAF62C" w14:textId="58472582" w:rsidR="00FD086C" w:rsidRDefault="0095280D" w:rsidP="009528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w:t>
      </w:r>
      <w:r>
        <w:rPr>
          <w:rFonts w:ascii="宋体" w:hAnsi="宋体" w:hint="eastAsia"/>
          <w:sz w:val="24"/>
        </w:rPr>
        <w:t>九</w:t>
      </w:r>
      <w:r>
        <w:rPr>
          <w:rFonts w:ascii="宋体" w:hAnsi="宋体"/>
          <w:sz w:val="24"/>
        </w:rPr>
        <w:t>）</w:t>
      </w:r>
      <w:r w:rsidR="004B071E">
        <w:rPr>
          <w:rFonts w:ascii="宋体" w:hAnsi="宋体"/>
          <w:sz w:val="24"/>
        </w:rPr>
        <w:t>其他业务</w:t>
      </w:r>
    </w:p>
    <w:p w14:paraId="0B52C975"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不违反法律法规及中国证监会规定的前提下，基金管理人可在对基金份额持有人利益无实质性不利影响的情形下，办理基金份额的质押业务或其他基金业务，基金管理人可制定相应的业务规则，并依照《信息披露办法》的有关规定进行公告。</w:t>
      </w:r>
    </w:p>
    <w:p w14:paraId="02074E52" w14:textId="77777777" w:rsidR="00A37EB9" w:rsidRDefault="004B071E" w:rsidP="00A37EB9">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7584A2E0" w14:textId="7EE2D9BD" w:rsidR="00FD086C" w:rsidRDefault="00ED75FC">
      <w:pPr>
        <w:pStyle w:val="1"/>
        <w:snapToGrid w:val="0"/>
        <w:spacing w:beforeLines="0" w:before="240" w:after="240"/>
        <w:rPr>
          <w:rFonts w:ascii="宋体" w:hAnsi="宋体"/>
          <w:szCs w:val="30"/>
        </w:rPr>
      </w:pPr>
      <w:bookmarkStart w:id="22" w:name="_Toc147840627"/>
      <w:r>
        <w:rPr>
          <w:rFonts w:ascii="Times New Roman" w:hAnsi="Times New Roman" w:hint="eastAsia"/>
          <w:sz w:val="30"/>
        </w:rPr>
        <w:lastRenderedPageBreak/>
        <w:t>九</w:t>
      </w:r>
      <w:r>
        <w:rPr>
          <w:rFonts w:ascii="Times New Roman" w:hAnsi="Times New Roman"/>
          <w:sz w:val="30"/>
        </w:rPr>
        <w:t>、基金的投资</w:t>
      </w:r>
      <w:bookmarkEnd w:id="22"/>
    </w:p>
    <w:p w14:paraId="7C695878" w14:textId="77777777" w:rsidR="00FD086C" w:rsidRDefault="004B071E">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（一）投资目标</w:t>
      </w:r>
    </w:p>
    <w:p w14:paraId="7073DF6A" w14:textId="7F387735"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本基金采用指数化投资策略，紧密跟踪</w:t>
      </w:r>
      <w:r w:rsidR="001F0BB5">
        <w:rPr>
          <w:rFonts w:hint="eastAsia"/>
          <w:bCs/>
          <w:sz w:val="24"/>
        </w:rPr>
        <w:t>中证红利低波动</w:t>
      </w:r>
      <w:r w:rsidR="001F0BB5">
        <w:rPr>
          <w:rFonts w:hint="eastAsia"/>
          <w:bCs/>
          <w:sz w:val="24"/>
        </w:rPr>
        <w:t>100</w:t>
      </w:r>
      <w:r w:rsidR="001F0BB5">
        <w:rPr>
          <w:rFonts w:hint="eastAsia"/>
          <w:bCs/>
          <w:sz w:val="24"/>
        </w:rPr>
        <w:t>指数</w:t>
      </w:r>
      <w:r>
        <w:rPr>
          <w:rFonts w:ascii="宋体" w:hAnsi="宋体"/>
          <w:sz w:val="24"/>
        </w:rPr>
        <w:t>，追求跟踪偏离度与跟踪误差最小化。</w:t>
      </w:r>
    </w:p>
    <w:p w14:paraId="284ECE09" w14:textId="77777777" w:rsidR="00FD086C" w:rsidRDefault="004B071E">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（二）投资范围</w:t>
      </w:r>
    </w:p>
    <w:p w14:paraId="5DAFE01E" w14:textId="77777777" w:rsidR="001F0BB5" w:rsidRPr="001F0BB5" w:rsidRDefault="001F0BB5" w:rsidP="001F0BB5">
      <w:pPr>
        <w:autoSpaceDE w:val="0"/>
        <w:autoSpaceDN w:val="0"/>
        <w:adjustRightInd w:val="0"/>
        <w:snapToGrid w:val="0"/>
        <w:spacing w:line="360" w:lineRule="auto"/>
        <w:ind w:firstLineChars="200" w:firstLine="480"/>
        <w:jc w:val="left"/>
        <w:rPr>
          <w:rFonts w:ascii="宋体" w:hAnsi="宋体"/>
          <w:sz w:val="24"/>
        </w:rPr>
      </w:pPr>
      <w:r w:rsidRPr="001F0BB5">
        <w:rPr>
          <w:rFonts w:ascii="宋体" w:hAnsi="宋体" w:hint="eastAsia"/>
          <w:sz w:val="24"/>
        </w:rPr>
        <w:t>本基金的投资范围为具有良好流动性的金融工具，包括中证红利低波动100指数的成份股（含存托凭证）及备选成份股（含存托凭证）、其他股票（含创业板、科创板及其他经中国证监会核准或注册上市的股票、存托凭证）、债券（含国债、央行票据、金融债券、政府支持债券、政府支持机构债券、地方政府债券、企业债券、公司债券、可转换债券（含可分离交易可转换债券）、可交换公司债券、次级债券、中期票据、短期融资券、超短期融资券等）、资产支持证券、货币市场工具、债券回购、同业存单、银行存款（含协议存款、定期存款及其他银行存款）、股指期货以及法律法规或中国证监会允许基金投资的其他金融工具（但须符合中国证监会相关规定）。</w:t>
      </w:r>
    </w:p>
    <w:p w14:paraId="3F35D4FC" w14:textId="77777777" w:rsidR="001F0BB5" w:rsidRPr="001F0BB5" w:rsidRDefault="001F0BB5" w:rsidP="001F0BB5">
      <w:pPr>
        <w:autoSpaceDE w:val="0"/>
        <w:autoSpaceDN w:val="0"/>
        <w:adjustRightInd w:val="0"/>
        <w:snapToGrid w:val="0"/>
        <w:spacing w:line="360" w:lineRule="auto"/>
        <w:ind w:firstLineChars="200" w:firstLine="480"/>
        <w:jc w:val="left"/>
        <w:rPr>
          <w:rFonts w:ascii="宋体" w:hAnsi="宋体"/>
          <w:sz w:val="24"/>
        </w:rPr>
      </w:pPr>
      <w:r w:rsidRPr="001F0BB5">
        <w:rPr>
          <w:rFonts w:ascii="宋体" w:hAnsi="宋体" w:hint="eastAsia"/>
          <w:sz w:val="24"/>
        </w:rPr>
        <w:t>如法律法规或监管机构以后允许基金投资其他品种，基金管理人在履行适当程序后，可以将其纳入投资范围。</w:t>
      </w:r>
    </w:p>
    <w:p w14:paraId="0F38AB94" w14:textId="77777777" w:rsidR="001F0BB5" w:rsidRPr="001F0BB5" w:rsidRDefault="001F0BB5" w:rsidP="001F0BB5">
      <w:pPr>
        <w:autoSpaceDE w:val="0"/>
        <w:autoSpaceDN w:val="0"/>
        <w:adjustRightInd w:val="0"/>
        <w:snapToGrid w:val="0"/>
        <w:spacing w:line="360" w:lineRule="auto"/>
        <w:ind w:firstLineChars="200" w:firstLine="480"/>
        <w:jc w:val="left"/>
        <w:rPr>
          <w:rFonts w:ascii="宋体" w:hAnsi="宋体"/>
          <w:sz w:val="24"/>
        </w:rPr>
      </w:pPr>
      <w:r w:rsidRPr="001F0BB5">
        <w:rPr>
          <w:rFonts w:ascii="宋体" w:hAnsi="宋体" w:hint="eastAsia"/>
          <w:sz w:val="24"/>
        </w:rPr>
        <w:t>基金的投资组合比例为：本基金投资于中证红利低波动100指数成份股（含存托凭证）及备选成份股（含存托凭证）的比例不低于基金资产净值的90%；每个交易日日终在扣除股指期货合约需缴纳的交易保证金后，本基金持有的现金或者到期日在一年以内的政府债券的比例合计不低于基金资产净值的5%，其中现金不包括结算备付金、存出保证金、应收申购款等。</w:t>
      </w:r>
    </w:p>
    <w:p w14:paraId="2BF46114" w14:textId="77777777" w:rsidR="001F0BB5" w:rsidRDefault="001F0BB5">
      <w:pPr>
        <w:autoSpaceDE w:val="0"/>
        <w:autoSpaceDN w:val="0"/>
        <w:adjustRightInd w:val="0"/>
        <w:snapToGrid w:val="0"/>
        <w:spacing w:line="360" w:lineRule="auto"/>
        <w:ind w:firstLineChars="200" w:firstLine="480"/>
        <w:jc w:val="left"/>
        <w:rPr>
          <w:rFonts w:ascii="宋体" w:hAnsi="宋体"/>
          <w:sz w:val="24"/>
        </w:rPr>
      </w:pPr>
      <w:r w:rsidRPr="001F0BB5">
        <w:rPr>
          <w:rFonts w:ascii="宋体" w:hAnsi="宋体" w:hint="eastAsia"/>
          <w:sz w:val="24"/>
        </w:rPr>
        <w:t>如果法律法规或中国证监会变更投资品种的投资比例限制，基金管理人在履行适当程序后，可以调整上述投资品种的投资比例。</w:t>
      </w:r>
    </w:p>
    <w:p w14:paraId="7BBF5B5C" w14:textId="77777777" w:rsidR="00FD086C" w:rsidRDefault="004B071E">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（三）投资策略</w:t>
      </w:r>
    </w:p>
    <w:p w14:paraId="593F693E" w14:textId="77777777" w:rsidR="00C871AD" w:rsidRDefault="00C871AD" w:rsidP="00C871AD">
      <w:pPr>
        <w:spacing w:line="360" w:lineRule="auto"/>
        <w:ind w:firstLineChars="200" w:firstLine="480"/>
        <w:rPr>
          <w:bCs/>
          <w:sz w:val="24"/>
        </w:rPr>
      </w:pPr>
      <w:r w:rsidRPr="0099431C">
        <w:rPr>
          <w:rFonts w:hint="eastAsia"/>
          <w:bCs/>
          <w:sz w:val="24"/>
        </w:rPr>
        <w:t>本基金主要采用组合复制策略及适当的替代性策略以更好的跟踪标的指数，实现基金投资目标。在正常市场情况下，力争控制本基金日均跟踪偏离度的绝对值不超过</w:t>
      </w:r>
      <w:r w:rsidRPr="0099431C">
        <w:rPr>
          <w:rFonts w:hint="eastAsia"/>
          <w:bCs/>
          <w:sz w:val="24"/>
        </w:rPr>
        <w:t>0.</w:t>
      </w:r>
      <w:r>
        <w:rPr>
          <w:bCs/>
          <w:sz w:val="24"/>
        </w:rPr>
        <w:t>35</w:t>
      </w:r>
      <w:r w:rsidRPr="0099431C">
        <w:rPr>
          <w:rFonts w:hint="eastAsia"/>
          <w:bCs/>
          <w:sz w:val="24"/>
        </w:rPr>
        <w:t>%</w:t>
      </w:r>
      <w:r w:rsidRPr="0099431C">
        <w:rPr>
          <w:rFonts w:hint="eastAsia"/>
          <w:bCs/>
          <w:sz w:val="24"/>
        </w:rPr>
        <w:t>，年跟踪误差不超过</w:t>
      </w:r>
      <w:r>
        <w:rPr>
          <w:bCs/>
          <w:sz w:val="24"/>
        </w:rPr>
        <w:t>4</w:t>
      </w:r>
      <w:r w:rsidRPr="0099431C">
        <w:rPr>
          <w:rFonts w:hint="eastAsia"/>
          <w:bCs/>
          <w:sz w:val="24"/>
        </w:rPr>
        <w:t>%</w:t>
      </w:r>
      <w:r w:rsidRPr="0099431C">
        <w:rPr>
          <w:rFonts w:hint="eastAsia"/>
          <w:bCs/>
          <w:sz w:val="24"/>
        </w:rPr>
        <w:t>。在条件允许的情况下，本基金也可以适当参与</w:t>
      </w:r>
      <w:r>
        <w:rPr>
          <w:rFonts w:hint="eastAsia"/>
          <w:bCs/>
          <w:sz w:val="24"/>
        </w:rPr>
        <w:t>中证红利低波动</w:t>
      </w:r>
      <w:r>
        <w:rPr>
          <w:rFonts w:hint="eastAsia"/>
          <w:bCs/>
          <w:sz w:val="24"/>
        </w:rPr>
        <w:t>100</w:t>
      </w:r>
      <w:r>
        <w:rPr>
          <w:rFonts w:hint="eastAsia"/>
          <w:bCs/>
          <w:sz w:val="24"/>
        </w:rPr>
        <w:t>指数</w:t>
      </w:r>
      <w:r w:rsidRPr="0099431C">
        <w:rPr>
          <w:rFonts w:hint="eastAsia"/>
          <w:bCs/>
          <w:sz w:val="24"/>
        </w:rPr>
        <w:t>所包含指数成份</w:t>
      </w:r>
      <w:r>
        <w:rPr>
          <w:rFonts w:hint="eastAsia"/>
          <w:bCs/>
          <w:sz w:val="24"/>
        </w:rPr>
        <w:t>股</w:t>
      </w:r>
      <w:r w:rsidRPr="0099431C">
        <w:rPr>
          <w:rFonts w:hint="eastAsia"/>
          <w:bCs/>
          <w:sz w:val="24"/>
        </w:rPr>
        <w:t>以外的其他</w:t>
      </w:r>
      <w:r>
        <w:rPr>
          <w:rFonts w:hint="eastAsia"/>
          <w:bCs/>
          <w:sz w:val="24"/>
        </w:rPr>
        <w:t>个股</w:t>
      </w:r>
      <w:r w:rsidRPr="0099431C">
        <w:rPr>
          <w:rFonts w:hint="eastAsia"/>
          <w:bCs/>
          <w:sz w:val="24"/>
        </w:rPr>
        <w:t>（非标的指数成份</w:t>
      </w:r>
      <w:r>
        <w:rPr>
          <w:rFonts w:hint="eastAsia"/>
          <w:bCs/>
          <w:sz w:val="24"/>
        </w:rPr>
        <w:t>股</w:t>
      </w:r>
      <w:r w:rsidRPr="0099431C">
        <w:rPr>
          <w:rFonts w:hint="eastAsia"/>
          <w:bCs/>
          <w:sz w:val="24"/>
        </w:rPr>
        <w:t>及备选成份</w:t>
      </w:r>
      <w:r>
        <w:rPr>
          <w:rFonts w:hint="eastAsia"/>
          <w:bCs/>
          <w:sz w:val="24"/>
        </w:rPr>
        <w:t>股</w:t>
      </w:r>
      <w:r w:rsidRPr="0099431C">
        <w:rPr>
          <w:rFonts w:hint="eastAsia"/>
          <w:bCs/>
          <w:sz w:val="24"/>
        </w:rPr>
        <w:t>），以更好地跟踪指数。如因指数编制规则调整或其他因素导致跟踪偏</w:t>
      </w:r>
      <w:r w:rsidRPr="0099431C">
        <w:rPr>
          <w:rFonts w:hint="eastAsia"/>
          <w:bCs/>
          <w:sz w:val="24"/>
        </w:rPr>
        <w:lastRenderedPageBreak/>
        <w:t>离度和跟踪误差超过上述范围，基金管理人应采取合理措施避免跟踪偏离度、跟踪误差进一步扩大。</w:t>
      </w:r>
    </w:p>
    <w:p w14:paraId="70B560F6" w14:textId="77777777" w:rsidR="00C871AD" w:rsidRDefault="00C871AD" w:rsidP="00C871AD">
      <w:pPr>
        <w:spacing w:line="360" w:lineRule="auto"/>
        <w:ind w:firstLineChars="200" w:firstLine="480"/>
        <w:rPr>
          <w:bCs/>
          <w:sz w:val="24"/>
        </w:rPr>
      </w:pPr>
      <w:r w:rsidRPr="0099431C">
        <w:rPr>
          <w:rFonts w:hint="eastAsia"/>
          <w:bCs/>
          <w:sz w:val="24"/>
        </w:rPr>
        <w:t>当指数编制方法变更、成份股发生变更、成份股权重由于自由流通量调整而发生变化、成份股派发现金股息、配股及增发、股票长期停牌、市场流动性不足等情况发生时，基金管理人将对投资组合进行优化，尽量降低跟踪误差。</w:t>
      </w:r>
    </w:p>
    <w:p w14:paraId="7955BDB7" w14:textId="77777777" w:rsidR="00C871AD" w:rsidRDefault="00C871AD" w:rsidP="00C871AD">
      <w:pPr>
        <w:spacing w:line="360" w:lineRule="auto"/>
        <w:ind w:firstLineChars="200" w:firstLine="480"/>
        <w:rPr>
          <w:bCs/>
          <w:sz w:val="24"/>
        </w:rPr>
      </w:pPr>
      <w:r w:rsidRPr="0099431C">
        <w:rPr>
          <w:rFonts w:hint="eastAsia"/>
          <w:bCs/>
          <w:sz w:val="24"/>
        </w:rPr>
        <w:t>1</w:t>
      </w:r>
      <w:r w:rsidRPr="0099431C">
        <w:rPr>
          <w:rFonts w:hint="eastAsia"/>
          <w:bCs/>
          <w:sz w:val="24"/>
        </w:rPr>
        <w:t>、</w:t>
      </w:r>
      <w:r>
        <w:rPr>
          <w:rFonts w:hint="eastAsia"/>
          <w:bCs/>
          <w:sz w:val="24"/>
        </w:rPr>
        <w:t>股票投资策略</w:t>
      </w:r>
    </w:p>
    <w:p w14:paraId="695C1B86" w14:textId="77777777" w:rsidR="00C871AD" w:rsidRPr="0099431C" w:rsidRDefault="00C871AD" w:rsidP="00C871AD">
      <w:pPr>
        <w:spacing w:line="360" w:lineRule="auto"/>
        <w:ind w:firstLineChars="200" w:firstLine="480"/>
        <w:rPr>
          <w:bCs/>
          <w:sz w:val="24"/>
        </w:rPr>
      </w:pPr>
      <w:r>
        <w:rPr>
          <w:rFonts w:hint="eastAsia"/>
          <w:bCs/>
          <w:sz w:val="24"/>
        </w:rPr>
        <w:t>（</w:t>
      </w:r>
      <w:r>
        <w:rPr>
          <w:rFonts w:hint="eastAsia"/>
          <w:bCs/>
          <w:sz w:val="24"/>
        </w:rPr>
        <w:t>1</w:t>
      </w:r>
      <w:r>
        <w:rPr>
          <w:rFonts w:hint="eastAsia"/>
          <w:bCs/>
          <w:sz w:val="24"/>
        </w:rPr>
        <w:t>）</w:t>
      </w:r>
      <w:r w:rsidRPr="0099431C">
        <w:rPr>
          <w:rFonts w:hint="eastAsia"/>
          <w:bCs/>
          <w:sz w:val="24"/>
        </w:rPr>
        <w:t>组合复制策略</w:t>
      </w:r>
    </w:p>
    <w:p w14:paraId="0D98E23D" w14:textId="77777777" w:rsidR="00C871AD" w:rsidRDefault="00C871AD" w:rsidP="00C871AD">
      <w:pPr>
        <w:spacing w:line="360" w:lineRule="auto"/>
        <w:ind w:firstLineChars="200" w:firstLine="480"/>
        <w:rPr>
          <w:bCs/>
          <w:sz w:val="24"/>
        </w:rPr>
      </w:pPr>
      <w:r w:rsidRPr="0099431C">
        <w:rPr>
          <w:rFonts w:hint="eastAsia"/>
          <w:bCs/>
          <w:sz w:val="24"/>
        </w:rPr>
        <w:t>本基金主要采取</w:t>
      </w:r>
      <w:r>
        <w:rPr>
          <w:rFonts w:hint="eastAsia"/>
          <w:bCs/>
          <w:sz w:val="24"/>
        </w:rPr>
        <w:t>完全</w:t>
      </w:r>
      <w:r w:rsidRPr="0099431C">
        <w:rPr>
          <w:rFonts w:hint="eastAsia"/>
          <w:bCs/>
          <w:sz w:val="24"/>
        </w:rPr>
        <w:t>复制法，即按照标的指数成份股及其权重构建基金的股票投资组合，并根据标的指数成份股及其权重的变动对股票投资组合进行相应地调整。</w:t>
      </w:r>
    </w:p>
    <w:p w14:paraId="3D2BE99E" w14:textId="77777777" w:rsidR="00C871AD" w:rsidRPr="0099431C" w:rsidRDefault="00C871AD" w:rsidP="00C871AD">
      <w:pPr>
        <w:spacing w:line="360" w:lineRule="auto"/>
        <w:ind w:firstLineChars="200" w:firstLine="480"/>
        <w:rPr>
          <w:bCs/>
          <w:sz w:val="24"/>
        </w:rPr>
      </w:pPr>
      <w:r>
        <w:rPr>
          <w:rFonts w:hint="eastAsia"/>
          <w:bCs/>
          <w:sz w:val="24"/>
        </w:rPr>
        <w:t>（</w:t>
      </w:r>
      <w:r>
        <w:rPr>
          <w:rFonts w:hint="eastAsia"/>
          <w:bCs/>
          <w:sz w:val="24"/>
        </w:rPr>
        <w:t>2</w:t>
      </w:r>
      <w:r>
        <w:rPr>
          <w:rFonts w:hint="eastAsia"/>
          <w:bCs/>
          <w:sz w:val="24"/>
        </w:rPr>
        <w:t>）</w:t>
      </w:r>
      <w:r w:rsidRPr="0099431C">
        <w:rPr>
          <w:rFonts w:hint="eastAsia"/>
          <w:bCs/>
          <w:sz w:val="24"/>
        </w:rPr>
        <w:t>替代性策略</w:t>
      </w:r>
    </w:p>
    <w:p w14:paraId="58AE39B9" w14:textId="77777777" w:rsidR="00C871AD" w:rsidRPr="0099431C" w:rsidRDefault="00C871AD" w:rsidP="00C871AD">
      <w:pPr>
        <w:spacing w:line="360" w:lineRule="auto"/>
        <w:ind w:firstLineChars="200" w:firstLine="480"/>
        <w:rPr>
          <w:bCs/>
          <w:sz w:val="24"/>
        </w:rPr>
      </w:pPr>
      <w:r w:rsidRPr="0099431C">
        <w:rPr>
          <w:rFonts w:hint="eastAsia"/>
          <w:bCs/>
          <w:sz w:val="24"/>
        </w:rPr>
        <w:t>对于出现市场流动性不足、因法律法规原因个别成份股被限制投资等情况，导致本基金无法获得足够数量的股票时，基金管理人将通过投资成份股、非成份股等进行替代。</w:t>
      </w:r>
    </w:p>
    <w:p w14:paraId="2EE95A8E" w14:textId="77777777" w:rsidR="00C871AD" w:rsidRPr="00900243" w:rsidRDefault="00C871AD" w:rsidP="00C871AD">
      <w:pPr>
        <w:spacing w:line="360" w:lineRule="auto"/>
        <w:ind w:firstLineChars="200" w:firstLine="480"/>
        <w:rPr>
          <w:bCs/>
          <w:sz w:val="24"/>
        </w:rPr>
      </w:pPr>
      <w:r>
        <w:rPr>
          <w:bCs/>
          <w:sz w:val="24"/>
        </w:rPr>
        <w:t>2</w:t>
      </w:r>
      <w:r w:rsidRPr="00900243">
        <w:rPr>
          <w:rFonts w:hint="eastAsia"/>
          <w:bCs/>
          <w:sz w:val="24"/>
        </w:rPr>
        <w:t>、债券投资策略</w:t>
      </w:r>
    </w:p>
    <w:p w14:paraId="4943C616" w14:textId="77777777" w:rsidR="00C871AD" w:rsidRDefault="00C871AD" w:rsidP="00C871AD">
      <w:pPr>
        <w:spacing w:line="360" w:lineRule="auto"/>
        <w:ind w:firstLineChars="200" w:firstLine="480"/>
        <w:rPr>
          <w:bCs/>
          <w:sz w:val="24"/>
        </w:rPr>
      </w:pPr>
      <w:r w:rsidRPr="00D03AE7">
        <w:rPr>
          <w:rFonts w:hint="eastAsia"/>
          <w:bCs/>
          <w:sz w:val="24"/>
        </w:rPr>
        <w:t>本基金将以降低跟踪误差和流动性管理为目的，综合考虑流动性和收益性，适当参与债券投资。</w:t>
      </w:r>
    </w:p>
    <w:p w14:paraId="4813254A" w14:textId="77777777" w:rsidR="00C871AD" w:rsidRPr="0099431C" w:rsidRDefault="00C871AD" w:rsidP="00C871AD">
      <w:pPr>
        <w:spacing w:line="360" w:lineRule="auto"/>
        <w:ind w:firstLineChars="200" w:firstLine="480"/>
        <w:rPr>
          <w:bCs/>
          <w:sz w:val="24"/>
        </w:rPr>
      </w:pPr>
      <w:r w:rsidRPr="0099431C">
        <w:rPr>
          <w:rFonts w:hint="eastAsia"/>
          <w:bCs/>
          <w:sz w:val="24"/>
        </w:rPr>
        <w:t>3</w:t>
      </w:r>
      <w:r w:rsidRPr="0099431C">
        <w:rPr>
          <w:rFonts w:hint="eastAsia"/>
          <w:bCs/>
          <w:sz w:val="24"/>
        </w:rPr>
        <w:t>、股指期货投资策略</w:t>
      </w:r>
    </w:p>
    <w:p w14:paraId="218A65EC" w14:textId="77777777" w:rsidR="00C871AD" w:rsidRPr="0099431C" w:rsidRDefault="00C871AD" w:rsidP="00C871AD">
      <w:pPr>
        <w:spacing w:line="360" w:lineRule="auto"/>
        <w:ind w:firstLineChars="200" w:firstLine="480"/>
        <w:rPr>
          <w:bCs/>
          <w:sz w:val="24"/>
        </w:rPr>
      </w:pPr>
      <w:r w:rsidRPr="0099431C">
        <w:rPr>
          <w:rFonts w:hint="eastAsia"/>
          <w:bCs/>
          <w:sz w:val="24"/>
        </w:rPr>
        <w:t>本基金投资股指期货将根据风险管理的原则，以套期保值为目的，主要选择流动性好、交易活跃的股指期货合约，以降低股票仓位调整的交易成本，提高投资效率，从而更好地跟踪标的指数，实现投资目标。</w:t>
      </w:r>
    </w:p>
    <w:p w14:paraId="5574C0A3" w14:textId="77777777" w:rsidR="00C871AD" w:rsidRDefault="00C871AD" w:rsidP="00C871AD">
      <w:pPr>
        <w:spacing w:line="360" w:lineRule="auto"/>
        <w:ind w:firstLineChars="200" w:firstLine="480"/>
        <w:rPr>
          <w:bCs/>
          <w:sz w:val="24"/>
        </w:rPr>
      </w:pPr>
      <w:r>
        <w:rPr>
          <w:rFonts w:hint="eastAsia"/>
          <w:bCs/>
          <w:sz w:val="24"/>
        </w:rPr>
        <w:t>4</w:t>
      </w:r>
      <w:r>
        <w:rPr>
          <w:rFonts w:hint="eastAsia"/>
          <w:bCs/>
          <w:sz w:val="24"/>
        </w:rPr>
        <w:t>、资产支持证券投资策略</w:t>
      </w:r>
    </w:p>
    <w:p w14:paraId="7B0F0600" w14:textId="77777777" w:rsidR="00C871AD" w:rsidRPr="00567545" w:rsidRDefault="00C871AD" w:rsidP="00C871AD">
      <w:pPr>
        <w:spacing w:line="360" w:lineRule="auto"/>
        <w:ind w:firstLineChars="200" w:firstLine="480"/>
        <w:rPr>
          <w:bCs/>
          <w:sz w:val="24"/>
        </w:rPr>
      </w:pPr>
      <w:r w:rsidRPr="001A3E74">
        <w:rPr>
          <w:rFonts w:hint="eastAsia"/>
          <w:bCs/>
          <w:sz w:val="24"/>
        </w:rPr>
        <w:t>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w:t>
      </w:r>
      <w:r>
        <w:rPr>
          <w:rFonts w:hint="eastAsia"/>
          <w:bCs/>
          <w:sz w:val="24"/>
        </w:rPr>
        <w:t>健</w:t>
      </w:r>
      <w:r w:rsidRPr="001A3E74">
        <w:rPr>
          <w:rFonts w:hint="eastAsia"/>
          <w:bCs/>
          <w:sz w:val="24"/>
        </w:rPr>
        <w:t>收益。</w:t>
      </w:r>
    </w:p>
    <w:p w14:paraId="0A663792" w14:textId="77777777" w:rsidR="00C871AD" w:rsidRDefault="00C871AD" w:rsidP="00C871AD">
      <w:pPr>
        <w:spacing w:line="360" w:lineRule="auto"/>
        <w:ind w:firstLineChars="200" w:firstLine="480"/>
        <w:rPr>
          <w:bCs/>
          <w:sz w:val="24"/>
        </w:rPr>
      </w:pPr>
      <w:r>
        <w:rPr>
          <w:rFonts w:hint="eastAsia"/>
          <w:bCs/>
          <w:sz w:val="24"/>
        </w:rPr>
        <w:t>5</w:t>
      </w:r>
      <w:r>
        <w:rPr>
          <w:rFonts w:hint="eastAsia"/>
          <w:bCs/>
          <w:sz w:val="24"/>
        </w:rPr>
        <w:t>、存托凭证投资策略</w:t>
      </w:r>
    </w:p>
    <w:p w14:paraId="0E6EA266" w14:textId="77777777" w:rsidR="00C871AD" w:rsidRPr="00035652" w:rsidRDefault="00C871AD" w:rsidP="00C871AD">
      <w:pPr>
        <w:spacing w:line="360" w:lineRule="auto"/>
        <w:ind w:firstLineChars="200" w:firstLine="480"/>
        <w:rPr>
          <w:bCs/>
          <w:sz w:val="24"/>
        </w:rPr>
      </w:pPr>
      <w:r w:rsidRPr="005E1D32">
        <w:rPr>
          <w:rFonts w:hint="eastAsia"/>
          <w:bCs/>
          <w:sz w:val="24"/>
        </w:rPr>
        <w:t>本基金投资存托凭证的策略依照</w:t>
      </w:r>
      <w:r>
        <w:rPr>
          <w:rFonts w:hint="eastAsia"/>
          <w:bCs/>
          <w:sz w:val="24"/>
        </w:rPr>
        <w:t>境内</w:t>
      </w:r>
      <w:r w:rsidRPr="005E1D32">
        <w:rPr>
          <w:rFonts w:hint="eastAsia"/>
          <w:bCs/>
          <w:sz w:val="24"/>
        </w:rPr>
        <w:t>上市交易的股票投资策略执行</w:t>
      </w:r>
      <w:r>
        <w:rPr>
          <w:rFonts w:hint="eastAsia"/>
          <w:bCs/>
          <w:sz w:val="24"/>
        </w:rPr>
        <w:t>。</w:t>
      </w:r>
    </w:p>
    <w:p w14:paraId="4558EC09" w14:textId="77777777" w:rsidR="00C871AD" w:rsidRDefault="00C871AD" w:rsidP="00C871AD">
      <w:pPr>
        <w:spacing w:line="360" w:lineRule="auto"/>
        <w:ind w:firstLineChars="200" w:firstLine="480"/>
        <w:rPr>
          <w:bCs/>
        </w:rPr>
      </w:pPr>
      <w:r w:rsidRPr="00F07FEF">
        <w:rPr>
          <w:rFonts w:hint="eastAsia"/>
          <w:bCs/>
          <w:sz w:val="24"/>
        </w:rPr>
        <w:t>未来，随着投资工具的发展和丰富，基金管理人可以在不改变投资目标的前提</w:t>
      </w:r>
      <w:r w:rsidRPr="00F07FEF">
        <w:rPr>
          <w:rFonts w:hint="eastAsia"/>
          <w:bCs/>
          <w:sz w:val="24"/>
        </w:rPr>
        <w:lastRenderedPageBreak/>
        <w:t>下，</w:t>
      </w:r>
      <w:r>
        <w:rPr>
          <w:rFonts w:hint="eastAsia"/>
          <w:bCs/>
          <w:sz w:val="24"/>
        </w:rPr>
        <w:t>在履行适当程序后</w:t>
      </w:r>
      <w:r w:rsidRPr="00F07FEF">
        <w:rPr>
          <w:rFonts w:hint="eastAsia"/>
          <w:bCs/>
          <w:sz w:val="24"/>
        </w:rPr>
        <w:t>相应调整和更新相关投资策略，</w:t>
      </w:r>
      <w:r w:rsidRPr="00572B99">
        <w:rPr>
          <w:rFonts w:hint="eastAsia"/>
          <w:bCs/>
          <w:sz w:val="24"/>
        </w:rPr>
        <w:t>并在招募说明</w:t>
      </w:r>
      <w:r>
        <w:rPr>
          <w:rFonts w:hint="eastAsia"/>
          <w:bCs/>
          <w:sz w:val="24"/>
        </w:rPr>
        <w:t>书</w:t>
      </w:r>
      <w:r w:rsidRPr="00572B99">
        <w:rPr>
          <w:rFonts w:hint="eastAsia"/>
          <w:bCs/>
          <w:sz w:val="24"/>
        </w:rPr>
        <w:t>中更新</w:t>
      </w:r>
      <w:r>
        <w:rPr>
          <w:rFonts w:hint="eastAsia"/>
          <w:bCs/>
          <w:sz w:val="24"/>
        </w:rPr>
        <w:t>，而无需召开基金份额持有人大会</w:t>
      </w:r>
      <w:r w:rsidRPr="0099431C">
        <w:rPr>
          <w:rFonts w:hint="eastAsia"/>
          <w:bCs/>
          <w:sz w:val="24"/>
        </w:rPr>
        <w:t>。</w:t>
      </w:r>
    </w:p>
    <w:p w14:paraId="31942CFC" w14:textId="77777777" w:rsidR="00FD086C" w:rsidRDefault="004B071E">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（四）投资限制</w:t>
      </w:r>
    </w:p>
    <w:p w14:paraId="1C8E9F15"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1、组合限制</w:t>
      </w:r>
    </w:p>
    <w:p w14:paraId="2679B2CF"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基金的投资组合应遵循以下限制：</w:t>
      </w:r>
    </w:p>
    <w:p w14:paraId="4E8E3448" w14:textId="77777777" w:rsidR="00C871AD" w:rsidRPr="00C871AD" w:rsidRDefault="00C871AD" w:rsidP="00C871AD">
      <w:pPr>
        <w:autoSpaceDE w:val="0"/>
        <w:autoSpaceDN w:val="0"/>
        <w:adjustRightInd w:val="0"/>
        <w:snapToGrid w:val="0"/>
        <w:spacing w:line="360" w:lineRule="auto"/>
        <w:ind w:firstLineChars="200" w:firstLine="480"/>
        <w:jc w:val="left"/>
        <w:rPr>
          <w:rFonts w:ascii="宋体" w:hAnsi="宋体"/>
          <w:sz w:val="24"/>
        </w:rPr>
      </w:pPr>
      <w:r w:rsidRPr="00C871AD">
        <w:rPr>
          <w:rFonts w:ascii="宋体" w:hAnsi="宋体" w:hint="eastAsia"/>
          <w:sz w:val="24"/>
        </w:rPr>
        <w:t>（1）本基金投资于中证红利低波动100指数成份股（含存托凭证）及备选成份股（含存托凭证）的比例不低于基金资产净值的90%；</w:t>
      </w:r>
    </w:p>
    <w:p w14:paraId="407890FD" w14:textId="77777777" w:rsidR="00C871AD" w:rsidRPr="00C871AD" w:rsidRDefault="00C871AD" w:rsidP="00C871AD">
      <w:pPr>
        <w:autoSpaceDE w:val="0"/>
        <w:autoSpaceDN w:val="0"/>
        <w:adjustRightInd w:val="0"/>
        <w:snapToGrid w:val="0"/>
        <w:spacing w:line="360" w:lineRule="auto"/>
        <w:ind w:firstLineChars="200" w:firstLine="480"/>
        <w:jc w:val="left"/>
        <w:rPr>
          <w:rFonts w:ascii="宋体" w:hAnsi="宋体"/>
          <w:sz w:val="24"/>
        </w:rPr>
      </w:pPr>
      <w:r w:rsidRPr="00C871AD">
        <w:rPr>
          <w:rFonts w:ascii="宋体" w:hAnsi="宋体" w:hint="eastAsia"/>
          <w:sz w:val="24"/>
        </w:rPr>
        <w:t>（2）每个交易日日终在扣除股指期货合约需缴纳的交易保证金后，本基金持有的现金或者到期日在一年以内的政府债券的比例合计不低于基金资产净值的5%，其中现金不包括结算备付金、存出保证金、应收申购款等；</w:t>
      </w:r>
    </w:p>
    <w:p w14:paraId="6C5F03C9" w14:textId="77777777" w:rsidR="00C871AD" w:rsidRPr="00C871AD" w:rsidRDefault="00C871AD" w:rsidP="00C871AD">
      <w:pPr>
        <w:autoSpaceDE w:val="0"/>
        <w:autoSpaceDN w:val="0"/>
        <w:adjustRightInd w:val="0"/>
        <w:snapToGrid w:val="0"/>
        <w:spacing w:line="360" w:lineRule="auto"/>
        <w:ind w:firstLineChars="200" w:firstLine="480"/>
        <w:jc w:val="left"/>
        <w:rPr>
          <w:rFonts w:ascii="宋体" w:hAnsi="宋体"/>
          <w:sz w:val="24"/>
        </w:rPr>
      </w:pPr>
      <w:r w:rsidRPr="00C871AD">
        <w:rPr>
          <w:rFonts w:ascii="宋体" w:hAnsi="宋体" w:hint="eastAsia"/>
          <w:sz w:val="24"/>
        </w:rPr>
        <w:t>（3）本基金投资于同一原始权益人的各类资产支持证券的比例，不得超过基金资产净值的10％；</w:t>
      </w:r>
    </w:p>
    <w:p w14:paraId="142139F9" w14:textId="77777777" w:rsidR="00C871AD" w:rsidRPr="00C871AD" w:rsidRDefault="00C871AD" w:rsidP="00C871AD">
      <w:pPr>
        <w:autoSpaceDE w:val="0"/>
        <w:autoSpaceDN w:val="0"/>
        <w:adjustRightInd w:val="0"/>
        <w:snapToGrid w:val="0"/>
        <w:spacing w:line="360" w:lineRule="auto"/>
        <w:ind w:firstLineChars="200" w:firstLine="480"/>
        <w:jc w:val="left"/>
        <w:rPr>
          <w:rFonts w:ascii="宋体" w:hAnsi="宋体"/>
          <w:sz w:val="24"/>
        </w:rPr>
      </w:pPr>
      <w:r w:rsidRPr="00C871AD">
        <w:rPr>
          <w:rFonts w:ascii="宋体" w:hAnsi="宋体" w:hint="eastAsia"/>
          <w:sz w:val="24"/>
        </w:rPr>
        <w:t>（4）本基金持有的全部资产支持证券，其市值不得超过基金资产净值的20％；</w:t>
      </w:r>
    </w:p>
    <w:p w14:paraId="59B9B3FC" w14:textId="77777777" w:rsidR="00C871AD" w:rsidRPr="00C871AD" w:rsidRDefault="00C871AD" w:rsidP="00C871AD">
      <w:pPr>
        <w:autoSpaceDE w:val="0"/>
        <w:autoSpaceDN w:val="0"/>
        <w:adjustRightInd w:val="0"/>
        <w:snapToGrid w:val="0"/>
        <w:spacing w:line="360" w:lineRule="auto"/>
        <w:ind w:firstLineChars="200" w:firstLine="480"/>
        <w:jc w:val="left"/>
        <w:rPr>
          <w:rFonts w:ascii="宋体" w:hAnsi="宋体"/>
          <w:sz w:val="24"/>
        </w:rPr>
      </w:pPr>
      <w:r w:rsidRPr="00C871AD">
        <w:rPr>
          <w:rFonts w:ascii="宋体" w:hAnsi="宋体" w:hint="eastAsia"/>
          <w:sz w:val="24"/>
        </w:rPr>
        <w:t>（5）本基金持有的同一（指同一信用级别）资产支持证券的比例，不得超过该资产支持证券规模的10％；</w:t>
      </w:r>
    </w:p>
    <w:p w14:paraId="443AC308" w14:textId="77777777" w:rsidR="00C871AD" w:rsidRPr="00C871AD" w:rsidRDefault="00C871AD" w:rsidP="00C871AD">
      <w:pPr>
        <w:autoSpaceDE w:val="0"/>
        <w:autoSpaceDN w:val="0"/>
        <w:adjustRightInd w:val="0"/>
        <w:snapToGrid w:val="0"/>
        <w:spacing w:line="360" w:lineRule="auto"/>
        <w:ind w:firstLineChars="200" w:firstLine="480"/>
        <w:jc w:val="left"/>
        <w:rPr>
          <w:rFonts w:ascii="宋体" w:hAnsi="宋体"/>
          <w:sz w:val="24"/>
        </w:rPr>
      </w:pPr>
      <w:r w:rsidRPr="00C871AD">
        <w:rPr>
          <w:rFonts w:ascii="宋体" w:hAnsi="宋体" w:hint="eastAsia"/>
          <w:sz w:val="24"/>
        </w:rPr>
        <w:t>（6）本基金管理人管理的全部基金投资于同一原始权益人的各类资产支持证券，不得超过其各类资产支持证券合计规模的10％；</w:t>
      </w:r>
    </w:p>
    <w:p w14:paraId="1D58E6BF" w14:textId="77777777" w:rsidR="00C871AD" w:rsidRPr="00C871AD" w:rsidRDefault="00C871AD" w:rsidP="00C871AD">
      <w:pPr>
        <w:autoSpaceDE w:val="0"/>
        <w:autoSpaceDN w:val="0"/>
        <w:adjustRightInd w:val="0"/>
        <w:snapToGrid w:val="0"/>
        <w:spacing w:line="360" w:lineRule="auto"/>
        <w:ind w:firstLineChars="200" w:firstLine="480"/>
        <w:jc w:val="left"/>
        <w:rPr>
          <w:rFonts w:ascii="宋体" w:hAnsi="宋体"/>
          <w:sz w:val="24"/>
        </w:rPr>
      </w:pPr>
      <w:r w:rsidRPr="00C871AD">
        <w:rPr>
          <w:rFonts w:ascii="宋体" w:hAnsi="宋体" w:hint="eastAsia"/>
          <w:sz w:val="24"/>
        </w:rPr>
        <w:t>（7）本基金应投资于信用级别评级为BBB以上（含BBB）的资产支持证券。基金持有资产支持证券期间，如果其信用等级下降、不再符合投资标准，应在评级报告发布之日起3个月内予以全部卖出；</w:t>
      </w:r>
    </w:p>
    <w:p w14:paraId="7698E2E2" w14:textId="77777777" w:rsidR="00C871AD" w:rsidRPr="00C871AD" w:rsidRDefault="00C871AD" w:rsidP="00C871AD">
      <w:pPr>
        <w:autoSpaceDE w:val="0"/>
        <w:autoSpaceDN w:val="0"/>
        <w:adjustRightInd w:val="0"/>
        <w:snapToGrid w:val="0"/>
        <w:spacing w:line="360" w:lineRule="auto"/>
        <w:ind w:firstLineChars="200" w:firstLine="480"/>
        <w:jc w:val="left"/>
        <w:rPr>
          <w:rFonts w:ascii="宋体" w:hAnsi="宋体"/>
          <w:sz w:val="24"/>
        </w:rPr>
      </w:pPr>
      <w:r w:rsidRPr="00C871AD">
        <w:rPr>
          <w:rFonts w:ascii="宋体" w:hAnsi="宋体" w:hint="eastAsia"/>
          <w:sz w:val="24"/>
        </w:rPr>
        <w:t>（8）基金财产参与股票发行申购，本基金所申报的金额不超过本基金的总资产，本基金所申报的股票数量不超过拟发行股票公司本次发行股票的总量；</w:t>
      </w:r>
    </w:p>
    <w:p w14:paraId="6244EC77" w14:textId="77777777" w:rsidR="00C871AD" w:rsidRPr="00C871AD" w:rsidRDefault="00C871AD" w:rsidP="00C871AD">
      <w:pPr>
        <w:autoSpaceDE w:val="0"/>
        <w:autoSpaceDN w:val="0"/>
        <w:adjustRightInd w:val="0"/>
        <w:snapToGrid w:val="0"/>
        <w:spacing w:line="360" w:lineRule="auto"/>
        <w:ind w:firstLineChars="200" w:firstLine="480"/>
        <w:jc w:val="left"/>
        <w:rPr>
          <w:rFonts w:ascii="宋体" w:hAnsi="宋体"/>
          <w:sz w:val="24"/>
        </w:rPr>
      </w:pPr>
      <w:r w:rsidRPr="00C871AD">
        <w:rPr>
          <w:rFonts w:ascii="宋体" w:hAnsi="宋体" w:hint="eastAsia"/>
          <w:sz w:val="24"/>
        </w:rPr>
        <w:t>（9）本基金主动投资于流动性受限资产的市值合计不得超过该基金资产净值的15%；因证券市场波动、上市公司股票停牌、基金规模变动等基金管理人之外的因素致使基金不符合该比例限制的，基金管理人不得主动新增流动性受限资产的投资；</w:t>
      </w:r>
    </w:p>
    <w:p w14:paraId="09306E85" w14:textId="4AC58EE8" w:rsidR="00C871AD" w:rsidRPr="00C871AD" w:rsidRDefault="00C871AD" w:rsidP="00C871AD">
      <w:pPr>
        <w:autoSpaceDE w:val="0"/>
        <w:autoSpaceDN w:val="0"/>
        <w:adjustRightInd w:val="0"/>
        <w:snapToGrid w:val="0"/>
        <w:spacing w:line="360" w:lineRule="auto"/>
        <w:ind w:firstLineChars="200" w:firstLine="480"/>
        <w:jc w:val="left"/>
        <w:rPr>
          <w:rFonts w:ascii="宋体" w:hAnsi="宋体"/>
          <w:sz w:val="24"/>
        </w:rPr>
      </w:pPr>
      <w:r w:rsidRPr="00C871AD">
        <w:rPr>
          <w:rFonts w:ascii="宋体" w:hAnsi="宋体" w:hint="eastAsia"/>
          <w:sz w:val="24"/>
        </w:rPr>
        <w:t>（10）本基金与私募类证券资管产品及中国证监会认定的其他主体为交易对手开展逆回购交易的，可接受质押品的资质要求应当与基金合同约定的投资范围保持一致；</w:t>
      </w:r>
    </w:p>
    <w:p w14:paraId="220C9D44" w14:textId="77777777" w:rsidR="00C871AD" w:rsidRPr="00C871AD" w:rsidRDefault="00C871AD" w:rsidP="00C871AD">
      <w:pPr>
        <w:autoSpaceDE w:val="0"/>
        <w:autoSpaceDN w:val="0"/>
        <w:adjustRightInd w:val="0"/>
        <w:snapToGrid w:val="0"/>
        <w:spacing w:line="360" w:lineRule="auto"/>
        <w:ind w:firstLineChars="200" w:firstLine="480"/>
        <w:jc w:val="left"/>
        <w:rPr>
          <w:rFonts w:ascii="宋体" w:hAnsi="宋体"/>
          <w:sz w:val="24"/>
        </w:rPr>
      </w:pPr>
      <w:r w:rsidRPr="00C871AD">
        <w:rPr>
          <w:rFonts w:ascii="宋体" w:hAnsi="宋体" w:hint="eastAsia"/>
          <w:sz w:val="24"/>
        </w:rPr>
        <w:lastRenderedPageBreak/>
        <w:t>（11）本基金资产总值不超过基金资产净值的140%；</w:t>
      </w:r>
    </w:p>
    <w:p w14:paraId="58F9EEFA" w14:textId="77777777" w:rsidR="00C871AD" w:rsidRPr="00C871AD" w:rsidRDefault="00C871AD" w:rsidP="00C871AD">
      <w:pPr>
        <w:autoSpaceDE w:val="0"/>
        <w:autoSpaceDN w:val="0"/>
        <w:adjustRightInd w:val="0"/>
        <w:snapToGrid w:val="0"/>
        <w:spacing w:line="360" w:lineRule="auto"/>
        <w:ind w:firstLineChars="200" w:firstLine="480"/>
        <w:jc w:val="left"/>
        <w:rPr>
          <w:rFonts w:ascii="宋体" w:hAnsi="宋体"/>
          <w:sz w:val="24"/>
        </w:rPr>
      </w:pPr>
      <w:r w:rsidRPr="00C871AD">
        <w:rPr>
          <w:rFonts w:ascii="宋体" w:hAnsi="宋体" w:hint="eastAsia"/>
          <w:sz w:val="24"/>
        </w:rPr>
        <w:t>（12）本基金参与股指期货交易，则：</w:t>
      </w:r>
    </w:p>
    <w:p w14:paraId="0751CC48" w14:textId="77777777" w:rsidR="00C871AD" w:rsidRPr="00C871AD" w:rsidRDefault="00C871AD" w:rsidP="00C871AD">
      <w:pPr>
        <w:autoSpaceDE w:val="0"/>
        <w:autoSpaceDN w:val="0"/>
        <w:adjustRightInd w:val="0"/>
        <w:snapToGrid w:val="0"/>
        <w:spacing w:line="360" w:lineRule="auto"/>
        <w:ind w:firstLineChars="200" w:firstLine="480"/>
        <w:jc w:val="left"/>
        <w:rPr>
          <w:rFonts w:ascii="宋体" w:hAnsi="宋体"/>
          <w:sz w:val="24"/>
        </w:rPr>
      </w:pPr>
      <w:r w:rsidRPr="00C871AD">
        <w:rPr>
          <w:rFonts w:ascii="宋体" w:hAnsi="宋体" w:hint="eastAsia"/>
          <w:sz w:val="24"/>
        </w:rPr>
        <w:t>1）本基金在任何交易日日终，持有的买入股指期货合约价值，不得超过基金资产净值的10%；</w:t>
      </w:r>
    </w:p>
    <w:p w14:paraId="6816A95D" w14:textId="77777777" w:rsidR="00C871AD" w:rsidRPr="00C871AD" w:rsidRDefault="00C871AD" w:rsidP="00C871AD">
      <w:pPr>
        <w:autoSpaceDE w:val="0"/>
        <w:autoSpaceDN w:val="0"/>
        <w:adjustRightInd w:val="0"/>
        <w:snapToGrid w:val="0"/>
        <w:spacing w:line="360" w:lineRule="auto"/>
        <w:ind w:firstLineChars="200" w:firstLine="480"/>
        <w:jc w:val="left"/>
        <w:rPr>
          <w:rFonts w:ascii="宋体" w:hAnsi="宋体"/>
          <w:sz w:val="24"/>
        </w:rPr>
      </w:pPr>
      <w:r w:rsidRPr="00C871AD">
        <w:rPr>
          <w:rFonts w:ascii="宋体" w:hAnsi="宋体" w:hint="eastAsia"/>
          <w:sz w:val="24"/>
        </w:rPr>
        <w:t>2）本基金在任何交易日日终，持有的买入股指期货合约价值与有价证券市值之和，不得超过基金资产净值的100%。其中，有价证券指股票、债券（不含到期日在一年以内的政府债券）、资产支持证券、买入返售金融资产（不含质押式回购）等；</w:t>
      </w:r>
    </w:p>
    <w:p w14:paraId="486C525D" w14:textId="77777777" w:rsidR="00C871AD" w:rsidRPr="00C871AD" w:rsidRDefault="00C871AD" w:rsidP="00C871AD">
      <w:pPr>
        <w:autoSpaceDE w:val="0"/>
        <w:autoSpaceDN w:val="0"/>
        <w:adjustRightInd w:val="0"/>
        <w:snapToGrid w:val="0"/>
        <w:spacing w:line="360" w:lineRule="auto"/>
        <w:ind w:firstLineChars="200" w:firstLine="480"/>
        <w:jc w:val="left"/>
        <w:rPr>
          <w:rFonts w:ascii="宋体" w:hAnsi="宋体"/>
          <w:sz w:val="24"/>
        </w:rPr>
      </w:pPr>
      <w:r w:rsidRPr="00C871AD">
        <w:rPr>
          <w:rFonts w:ascii="宋体" w:hAnsi="宋体" w:hint="eastAsia"/>
          <w:sz w:val="24"/>
        </w:rPr>
        <w:t>3）本基金在任何交易日日终，持有的卖出股指期货合约价值不得超过基金持有的股票总市值的20%；</w:t>
      </w:r>
    </w:p>
    <w:p w14:paraId="7EA0A41B" w14:textId="77777777" w:rsidR="00C871AD" w:rsidRPr="00C871AD" w:rsidRDefault="00C871AD" w:rsidP="00C871AD">
      <w:pPr>
        <w:autoSpaceDE w:val="0"/>
        <w:autoSpaceDN w:val="0"/>
        <w:adjustRightInd w:val="0"/>
        <w:snapToGrid w:val="0"/>
        <w:spacing w:line="360" w:lineRule="auto"/>
        <w:ind w:firstLineChars="200" w:firstLine="480"/>
        <w:jc w:val="left"/>
        <w:rPr>
          <w:rFonts w:ascii="宋体" w:hAnsi="宋体"/>
          <w:sz w:val="24"/>
        </w:rPr>
      </w:pPr>
      <w:r w:rsidRPr="00C871AD">
        <w:rPr>
          <w:rFonts w:ascii="宋体" w:hAnsi="宋体" w:hint="eastAsia"/>
          <w:sz w:val="24"/>
        </w:rPr>
        <w:t>4）本基金所持有的股票市值和买入、卖出股指期货合约价值，合计（轧差计算）应当符合基金合同关于股票投资比例的有关约定；</w:t>
      </w:r>
    </w:p>
    <w:p w14:paraId="73C49658" w14:textId="77777777" w:rsidR="00C871AD" w:rsidRPr="00C871AD" w:rsidRDefault="00C871AD" w:rsidP="00C871AD">
      <w:pPr>
        <w:autoSpaceDE w:val="0"/>
        <w:autoSpaceDN w:val="0"/>
        <w:adjustRightInd w:val="0"/>
        <w:snapToGrid w:val="0"/>
        <w:spacing w:line="360" w:lineRule="auto"/>
        <w:ind w:firstLineChars="200" w:firstLine="480"/>
        <w:jc w:val="left"/>
        <w:rPr>
          <w:rFonts w:ascii="宋体" w:hAnsi="宋体"/>
          <w:sz w:val="24"/>
        </w:rPr>
      </w:pPr>
      <w:r w:rsidRPr="00C871AD">
        <w:rPr>
          <w:rFonts w:ascii="宋体" w:hAnsi="宋体" w:hint="eastAsia"/>
          <w:sz w:val="24"/>
        </w:rPr>
        <w:t>5）本基金在任何交易日内交易（不包括平仓）的股指期货合约的成交金额不得超过上一交易日基金资产净值的20%；</w:t>
      </w:r>
    </w:p>
    <w:p w14:paraId="57C89598" w14:textId="77777777" w:rsidR="00C871AD" w:rsidRPr="00C871AD" w:rsidRDefault="00C871AD" w:rsidP="00C871AD">
      <w:pPr>
        <w:autoSpaceDE w:val="0"/>
        <w:autoSpaceDN w:val="0"/>
        <w:adjustRightInd w:val="0"/>
        <w:snapToGrid w:val="0"/>
        <w:spacing w:line="360" w:lineRule="auto"/>
        <w:ind w:firstLineChars="200" w:firstLine="480"/>
        <w:jc w:val="left"/>
        <w:rPr>
          <w:rFonts w:ascii="宋体" w:hAnsi="宋体"/>
          <w:sz w:val="24"/>
        </w:rPr>
      </w:pPr>
      <w:r w:rsidRPr="00C871AD">
        <w:rPr>
          <w:rFonts w:ascii="宋体" w:hAnsi="宋体" w:hint="eastAsia"/>
          <w:sz w:val="24"/>
        </w:rPr>
        <w:t>（13）本基金投资存托凭证的比例限制依照境内上市交易的股票执行；</w:t>
      </w:r>
    </w:p>
    <w:p w14:paraId="451FCA26" w14:textId="77777777" w:rsidR="00C871AD" w:rsidRPr="00C871AD" w:rsidRDefault="00C871AD" w:rsidP="00C871AD">
      <w:pPr>
        <w:autoSpaceDE w:val="0"/>
        <w:autoSpaceDN w:val="0"/>
        <w:adjustRightInd w:val="0"/>
        <w:snapToGrid w:val="0"/>
        <w:spacing w:line="360" w:lineRule="auto"/>
        <w:ind w:firstLineChars="200" w:firstLine="480"/>
        <w:jc w:val="left"/>
        <w:rPr>
          <w:rFonts w:ascii="宋体" w:hAnsi="宋体"/>
          <w:sz w:val="24"/>
        </w:rPr>
      </w:pPr>
      <w:r w:rsidRPr="00C871AD">
        <w:rPr>
          <w:rFonts w:ascii="宋体" w:hAnsi="宋体" w:hint="eastAsia"/>
          <w:sz w:val="24"/>
        </w:rPr>
        <w:t>（14）法律法规及中国证监会规定的和《基金合同》约定的其他投资限制。</w:t>
      </w:r>
    </w:p>
    <w:p w14:paraId="6F9AFD27" w14:textId="77777777" w:rsidR="00C871AD" w:rsidRPr="00C871AD" w:rsidRDefault="00C871AD" w:rsidP="00C871AD">
      <w:pPr>
        <w:autoSpaceDE w:val="0"/>
        <w:autoSpaceDN w:val="0"/>
        <w:adjustRightInd w:val="0"/>
        <w:snapToGrid w:val="0"/>
        <w:spacing w:line="360" w:lineRule="auto"/>
        <w:ind w:firstLineChars="200" w:firstLine="480"/>
        <w:jc w:val="left"/>
        <w:rPr>
          <w:rFonts w:ascii="宋体" w:hAnsi="宋体"/>
          <w:sz w:val="24"/>
        </w:rPr>
      </w:pPr>
      <w:r w:rsidRPr="00C871AD">
        <w:rPr>
          <w:rFonts w:ascii="宋体" w:hAnsi="宋体" w:hint="eastAsia"/>
          <w:sz w:val="24"/>
        </w:rPr>
        <w:t>除上述（2）、（7）、（9）、（10）情形之外，因证券、期货市场波动、证券发行人合并、基金规模变动、标的指数成份股调整、标的指数成份股流动性限制等基金管理人之外的因素致使基金投资比例不符合上述规定投资比例的，基金管理人应当在10个交易日内进行调整，但中国证监会规定的特殊情形除外。法律法规另有规定的，从其规定。</w:t>
      </w:r>
    </w:p>
    <w:p w14:paraId="27EEA9D8" w14:textId="18083E03" w:rsidR="00C871AD" w:rsidRPr="00C871AD" w:rsidRDefault="00C871AD" w:rsidP="00C871AD">
      <w:pPr>
        <w:autoSpaceDE w:val="0"/>
        <w:autoSpaceDN w:val="0"/>
        <w:adjustRightInd w:val="0"/>
        <w:snapToGrid w:val="0"/>
        <w:spacing w:line="360" w:lineRule="auto"/>
        <w:ind w:firstLineChars="200" w:firstLine="480"/>
        <w:jc w:val="left"/>
        <w:rPr>
          <w:rFonts w:ascii="宋体" w:hAnsi="宋体"/>
          <w:sz w:val="24"/>
        </w:rPr>
      </w:pPr>
      <w:r w:rsidRPr="00C871AD">
        <w:rPr>
          <w:rFonts w:ascii="宋体" w:hAnsi="宋体" w:hint="eastAsia"/>
          <w:sz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14:paraId="4AA6706A" w14:textId="77777777" w:rsidR="00C871AD" w:rsidRDefault="00C871AD">
      <w:pPr>
        <w:autoSpaceDE w:val="0"/>
        <w:autoSpaceDN w:val="0"/>
        <w:adjustRightInd w:val="0"/>
        <w:snapToGrid w:val="0"/>
        <w:spacing w:line="360" w:lineRule="auto"/>
        <w:ind w:firstLineChars="200" w:firstLine="480"/>
        <w:jc w:val="left"/>
        <w:rPr>
          <w:rFonts w:ascii="宋体" w:hAnsi="宋体"/>
          <w:sz w:val="24"/>
        </w:rPr>
      </w:pPr>
      <w:r w:rsidRPr="00C871AD">
        <w:rPr>
          <w:rFonts w:ascii="宋体" w:hAnsi="宋体" w:hint="eastAsia"/>
          <w:sz w:val="24"/>
        </w:rPr>
        <w:t>法律法规或监管部门取消或变更上述限制，如适用于本基金，基金管理人在履行适当程序后，则本基金投资不再受相关限制或以变更后的规定为准。</w:t>
      </w:r>
    </w:p>
    <w:p w14:paraId="5EE7DB60"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2、禁止行为</w:t>
      </w:r>
    </w:p>
    <w:p w14:paraId="7FD7E76F"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为维护基金份额持有人的合法权益，基金财产不得用于下列投资或者活动：</w:t>
      </w:r>
    </w:p>
    <w:p w14:paraId="18D68D4E"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（1）承销证券；</w:t>
      </w:r>
    </w:p>
    <w:p w14:paraId="79F7A619"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（2）违反规定向他人贷款或者提供担保；</w:t>
      </w:r>
    </w:p>
    <w:p w14:paraId="2CAC1933"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（3）从事承担无限责任的投资；</w:t>
      </w:r>
    </w:p>
    <w:p w14:paraId="614F86C7"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（4）买卖其他基金份额，但是中国证监会另有规定的除外；</w:t>
      </w:r>
    </w:p>
    <w:p w14:paraId="42F2648C"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（5）向其基金管理人、基金托管人出资；</w:t>
      </w:r>
    </w:p>
    <w:p w14:paraId="68082A0C"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（6）从事内幕交易、操纵证券交易价格及其他不正当的证券交易活动；</w:t>
      </w:r>
    </w:p>
    <w:p w14:paraId="1C41EA60"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（7）法律、行政法规和中国证监会规定禁止的其他活动。</w:t>
      </w:r>
    </w:p>
    <w:p w14:paraId="27C91A73"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690882BE" w14:textId="7AAAD5C0"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如法律、行政法规或监管部门取消</w:t>
      </w:r>
      <w:r w:rsidR="00A05202">
        <w:rPr>
          <w:rFonts w:hint="eastAsia"/>
          <w:bCs/>
          <w:sz w:val="24"/>
        </w:rPr>
        <w:t>或变更</w:t>
      </w:r>
      <w:r>
        <w:rPr>
          <w:rFonts w:ascii="宋体" w:hAnsi="宋体"/>
          <w:sz w:val="24"/>
        </w:rPr>
        <w:t>上述规定，如适用于本基金，基金管理人在履行适当程序后，本基金可不受上述规定的限制</w:t>
      </w:r>
      <w:r w:rsidR="00A05202">
        <w:rPr>
          <w:rFonts w:hint="eastAsia"/>
          <w:bCs/>
          <w:sz w:val="24"/>
        </w:rPr>
        <w:t>或以变更后的规定为准</w:t>
      </w:r>
      <w:r>
        <w:rPr>
          <w:rFonts w:ascii="宋体" w:hAnsi="宋体"/>
          <w:sz w:val="24"/>
        </w:rPr>
        <w:t>。</w:t>
      </w:r>
    </w:p>
    <w:p w14:paraId="068CB27B" w14:textId="77777777" w:rsidR="00FD086C" w:rsidRDefault="004B071E">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（五）业绩比较基准</w:t>
      </w:r>
    </w:p>
    <w:p w14:paraId="5EA7CB09" w14:textId="7F04A509"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本基金业绩比较基准：</w:t>
      </w:r>
      <w:r w:rsidR="00A05202" w:rsidRPr="00A05202">
        <w:rPr>
          <w:rFonts w:ascii="宋体" w:hAnsi="宋体" w:hint="eastAsia"/>
          <w:sz w:val="24"/>
        </w:rPr>
        <w:t>中证红利低波动100指数</w:t>
      </w:r>
      <w:r>
        <w:rPr>
          <w:rFonts w:ascii="宋体" w:hAnsi="宋体"/>
          <w:sz w:val="24"/>
        </w:rPr>
        <w:t>收益率×95%＋人民币银行活期存款利率（税后）×5%</w:t>
      </w:r>
    </w:p>
    <w:p w14:paraId="6624F481"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未来若出现标的指数不符合要求（不包括因成份股价格波动等指数编制方法变动之外的因素致使标的指数不符合要求的情形）、指数编制机构退出等情形，基金管理人应当自该情形发生之日起十个工作日内向中国证监会报告并提出解决方案，如更换基金标的指数、转换运作方式，与其他基金合并或者终止基金合同等，并在6个月内召集基金份额持有人大会进行表决，基金份额持有人大会未成功召开或就上述事项表决未通过的，基金合同终止。</w:t>
      </w:r>
    </w:p>
    <w:p w14:paraId="32C4E9B5"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自指数编制机构停止标的指数的编制及发布至解决方案确定期间，基金管理人应按照指数编制机构提供的最近一个交易日的指数信息遵循基金份额持有人利益优先原则维持基金投资运作。</w:t>
      </w:r>
    </w:p>
    <w:p w14:paraId="57CBBCED" w14:textId="77777777" w:rsidR="00A05202" w:rsidRDefault="00A05202">
      <w:pPr>
        <w:autoSpaceDE w:val="0"/>
        <w:autoSpaceDN w:val="0"/>
        <w:adjustRightInd w:val="0"/>
        <w:snapToGrid w:val="0"/>
        <w:spacing w:line="360" w:lineRule="auto"/>
        <w:ind w:firstLineChars="200" w:firstLine="480"/>
        <w:jc w:val="left"/>
        <w:rPr>
          <w:rFonts w:ascii="宋体" w:hAnsi="宋体"/>
          <w:sz w:val="24"/>
        </w:rPr>
      </w:pPr>
      <w:r w:rsidRPr="00A05202">
        <w:rPr>
          <w:rFonts w:ascii="宋体" w:hAnsi="宋体" w:hint="eastAsia"/>
          <w:sz w:val="24"/>
        </w:rPr>
        <w:t>本基金运作过程中，当标的指数成份股发生明显负面事件面临退市风险，且指数编制机构暂未作出调整的，基金管理人应当按照持有人利益优先的原则，履行内部决策程序后及时对相关成份券进行调整。</w:t>
      </w:r>
    </w:p>
    <w:p w14:paraId="47468D5C" w14:textId="50DA1A1E"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若基金标的指数发生变更，基金业绩比较基准随之变更，由基金管理人根据标</w:t>
      </w:r>
      <w:r>
        <w:rPr>
          <w:rFonts w:ascii="宋体" w:hAnsi="宋体"/>
          <w:sz w:val="24"/>
        </w:rPr>
        <w:lastRenderedPageBreak/>
        <w:t>的指数变更情形履行对应适当程序，并在调整实施前依照《信息披露办法》的有关规定在</w:t>
      </w:r>
      <w:r w:rsidR="00A05202">
        <w:rPr>
          <w:rFonts w:ascii="宋体" w:hAnsi="宋体" w:hint="eastAsia"/>
          <w:sz w:val="24"/>
        </w:rPr>
        <w:t>规定</w:t>
      </w:r>
      <w:r>
        <w:rPr>
          <w:rFonts w:ascii="宋体" w:hAnsi="宋体"/>
          <w:sz w:val="24"/>
        </w:rPr>
        <w:t>媒介上刊登公告。</w:t>
      </w:r>
    </w:p>
    <w:p w14:paraId="78A9DCA2" w14:textId="77777777" w:rsidR="00FD086C" w:rsidRDefault="004B071E">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（六）风险收益特征</w:t>
      </w:r>
    </w:p>
    <w:p w14:paraId="2782275E" w14:textId="4CF09495"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本基金是一只股票型基金，其预期风险和预期收益</w:t>
      </w:r>
      <w:r w:rsidR="008A11BE">
        <w:rPr>
          <w:rFonts w:ascii="宋体" w:hAnsi="宋体" w:hint="eastAsia"/>
          <w:sz w:val="24"/>
        </w:rPr>
        <w:t>理论上</w:t>
      </w:r>
      <w:r>
        <w:rPr>
          <w:rFonts w:ascii="宋体" w:hAnsi="宋体"/>
          <w:sz w:val="24"/>
        </w:rPr>
        <w:t>高于混合型基金、债券型基金和货币市场基金。</w:t>
      </w:r>
    </w:p>
    <w:p w14:paraId="472D0602" w14:textId="15766E18"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本基金为指数型基金，主要采用</w:t>
      </w:r>
      <w:r w:rsidR="005F72DF" w:rsidRPr="005F72DF">
        <w:rPr>
          <w:rFonts w:ascii="宋体" w:hAnsi="宋体" w:hint="eastAsia"/>
          <w:sz w:val="24"/>
        </w:rPr>
        <w:t>完全复制法跟踪中证红利低波动100指数，具有与标的指数相似的风险收益特征。</w:t>
      </w:r>
    </w:p>
    <w:p w14:paraId="254C51CC" w14:textId="77777777" w:rsidR="00FD086C" w:rsidRDefault="004B071E">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（七）基金管理人代表基金行使股东或债权人权利的处理原则及方法</w:t>
      </w:r>
    </w:p>
    <w:p w14:paraId="7BEAB521"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1、基金管理人按照国家有关规定代表基金独立行使股东或债权人权利，保护基金份额持有人的利益；</w:t>
      </w:r>
    </w:p>
    <w:p w14:paraId="7633B1C4"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2、不谋求对上市公司的控股；</w:t>
      </w:r>
    </w:p>
    <w:p w14:paraId="383792EE"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3、有利于基金财产的安全与增值；</w:t>
      </w:r>
    </w:p>
    <w:p w14:paraId="470C8F80"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4、不通过关联交易为自身、雇员、授权代理人或任何存在利害关系的第三人牟取任何不当利益。</w:t>
      </w:r>
    </w:p>
    <w:p w14:paraId="3091371B" w14:textId="77777777" w:rsidR="005F72DF" w:rsidRPr="00040D5C" w:rsidRDefault="004B071E" w:rsidP="005F72DF">
      <w:pPr>
        <w:spacing w:line="360" w:lineRule="auto"/>
        <w:ind w:firstLineChars="200" w:firstLine="482"/>
        <w:rPr>
          <w:rFonts w:ascii="宋体" w:hAnsi="宋体"/>
          <w:b/>
          <w:kern w:val="0"/>
          <w:sz w:val="24"/>
        </w:rPr>
      </w:pPr>
      <w:r w:rsidRPr="00BB248E">
        <w:rPr>
          <w:rFonts w:ascii="宋体" w:hAnsi="宋体" w:hint="eastAsia"/>
          <w:b/>
          <w:kern w:val="0"/>
          <w:sz w:val="24"/>
        </w:rPr>
        <w:t>（八）</w:t>
      </w:r>
      <w:r w:rsidR="005F72DF" w:rsidRPr="00040D5C">
        <w:rPr>
          <w:rFonts w:ascii="宋体" w:hAnsi="宋体" w:hint="eastAsia"/>
          <w:b/>
          <w:kern w:val="0"/>
          <w:sz w:val="24"/>
        </w:rPr>
        <w:t>侧袋机制的实施和投资运作安排</w:t>
      </w:r>
    </w:p>
    <w:p w14:paraId="4DFBDDCD" w14:textId="77777777" w:rsidR="005F72DF" w:rsidRPr="00B64101" w:rsidRDefault="005F72DF" w:rsidP="005F72DF">
      <w:pPr>
        <w:spacing w:line="360" w:lineRule="auto"/>
        <w:ind w:firstLineChars="200" w:firstLine="480"/>
        <w:rPr>
          <w:bCs/>
          <w:sz w:val="24"/>
        </w:rPr>
      </w:pPr>
      <w:r w:rsidRPr="00B64101">
        <w:rPr>
          <w:rFonts w:hint="eastAsia"/>
          <w:bCs/>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5278D6E4" w14:textId="77777777" w:rsidR="005F72DF" w:rsidRPr="00B64101" w:rsidRDefault="005F72DF" w:rsidP="005F72DF">
      <w:pPr>
        <w:spacing w:line="360" w:lineRule="auto"/>
        <w:ind w:firstLineChars="200" w:firstLine="480"/>
        <w:rPr>
          <w:bCs/>
          <w:sz w:val="24"/>
        </w:rPr>
      </w:pPr>
      <w:r w:rsidRPr="00B64101">
        <w:rPr>
          <w:rFonts w:hint="eastAsia"/>
          <w:bCs/>
          <w:sz w:val="24"/>
        </w:rPr>
        <w:t>侧袋机制实施期间，本部分约定的投资组合比例、投资策略、组合限制、业绩比较基准、风险收益特征等约定仅适用于主袋账户。</w:t>
      </w:r>
    </w:p>
    <w:p w14:paraId="00D8C55E" w14:textId="19D46B53" w:rsidR="00445D0B" w:rsidRDefault="005F72DF" w:rsidP="005F72DF">
      <w:pPr>
        <w:spacing w:line="360" w:lineRule="auto"/>
        <w:ind w:firstLineChars="200" w:firstLine="480"/>
        <w:rPr>
          <w:bCs/>
          <w:sz w:val="24"/>
        </w:rPr>
      </w:pPr>
      <w:r w:rsidRPr="00B64101">
        <w:rPr>
          <w:rFonts w:hint="eastAsia"/>
          <w:bCs/>
          <w:sz w:val="24"/>
        </w:rPr>
        <w:t>侧袋账户的实施条件、实施程序、运作安排、投资安排、特定资产的处置变现和支付等对投资者权益有重大影响的事项详见</w:t>
      </w:r>
      <w:r w:rsidR="00445D0B">
        <w:rPr>
          <w:rFonts w:hint="eastAsia"/>
          <w:bCs/>
          <w:sz w:val="24"/>
        </w:rPr>
        <w:t>本</w:t>
      </w:r>
      <w:r w:rsidRPr="00B64101">
        <w:rPr>
          <w:rFonts w:hint="eastAsia"/>
          <w:bCs/>
          <w:sz w:val="24"/>
        </w:rPr>
        <w:t>招募说明书</w:t>
      </w:r>
      <w:r w:rsidR="00445D0B">
        <w:rPr>
          <w:rFonts w:hint="eastAsia"/>
          <w:bCs/>
          <w:sz w:val="24"/>
        </w:rPr>
        <w:t>“侧袋机制”部分</w:t>
      </w:r>
      <w:r w:rsidRPr="00B64101">
        <w:rPr>
          <w:rFonts w:hint="eastAsia"/>
          <w:bCs/>
          <w:sz w:val="24"/>
        </w:rPr>
        <w:t>的规定。</w:t>
      </w:r>
    </w:p>
    <w:p w14:paraId="0526203B" w14:textId="77777777" w:rsidR="00445D0B" w:rsidRDefault="00445D0B">
      <w:pPr>
        <w:widowControl/>
        <w:jc w:val="left"/>
        <w:rPr>
          <w:bCs/>
          <w:sz w:val="24"/>
        </w:rPr>
      </w:pPr>
      <w:r>
        <w:rPr>
          <w:bCs/>
          <w:sz w:val="24"/>
        </w:rPr>
        <w:br w:type="page"/>
      </w:r>
    </w:p>
    <w:p w14:paraId="1642C035" w14:textId="77777777" w:rsidR="005F72DF" w:rsidRPr="00B64101" w:rsidRDefault="005F72DF" w:rsidP="005F72DF">
      <w:pPr>
        <w:spacing w:line="360" w:lineRule="auto"/>
        <w:ind w:firstLineChars="200" w:firstLine="480"/>
        <w:rPr>
          <w:bCs/>
          <w:sz w:val="24"/>
        </w:rPr>
      </w:pPr>
    </w:p>
    <w:p w14:paraId="5B173057" w14:textId="4DF1E2CA" w:rsidR="00FD086C" w:rsidRDefault="004B071E">
      <w:pPr>
        <w:pStyle w:val="1"/>
        <w:snapToGrid w:val="0"/>
        <w:spacing w:beforeLines="0" w:before="240" w:after="240"/>
        <w:rPr>
          <w:rFonts w:ascii="宋体" w:hAnsi="宋体"/>
          <w:szCs w:val="30"/>
        </w:rPr>
      </w:pPr>
      <w:bookmarkStart w:id="23" w:name="_Toc147840628"/>
      <w:r>
        <w:rPr>
          <w:rFonts w:ascii="Times New Roman" w:hAnsi="Times New Roman"/>
          <w:sz w:val="30"/>
        </w:rPr>
        <w:t>十、基金的财产</w:t>
      </w:r>
      <w:bookmarkEnd w:id="23"/>
    </w:p>
    <w:p w14:paraId="23A6643B" w14:textId="77777777" w:rsidR="00FD086C" w:rsidRPr="00040D5C" w:rsidRDefault="004B071E">
      <w:pPr>
        <w:autoSpaceDE w:val="0"/>
        <w:autoSpaceDN w:val="0"/>
        <w:adjustRightInd w:val="0"/>
        <w:snapToGrid w:val="0"/>
        <w:spacing w:line="360" w:lineRule="auto"/>
        <w:ind w:firstLineChars="200" w:firstLine="482"/>
        <w:jc w:val="left"/>
        <w:rPr>
          <w:rFonts w:ascii="宋体" w:hAnsi="宋体"/>
          <w:b/>
          <w:szCs w:val="24"/>
        </w:rPr>
      </w:pPr>
      <w:r w:rsidRPr="00040D5C">
        <w:rPr>
          <w:rFonts w:ascii="宋体" w:hAnsi="宋体"/>
          <w:b/>
          <w:sz w:val="24"/>
        </w:rPr>
        <w:t>（一）基金资产总值</w:t>
      </w:r>
    </w:p>
    <w:p w14:paraId="5B5F0B14" w14:textId="7340F379" w:rsidR="00644DDB" w:rsidRDefault="005F37ED">
      <w:pPr>
        <w:autoSpaceDE w:val="0"/>
        <w:autoSpaceDN w:val="0"/>
        <w:adjustRightInd w:val="0"/>
        <w:snapToGrid w:val="0"/>
        <w:spacing w:line="360" w:lineRule="auto"/>
        <w:ind w:firstLineChars="200" w:firstLine="480"/>
        <w:jc w:val="left"/>
        <w:rPr>
          <w:rFonts w:ascii="宋体" w:hAnsi="宋体"/>
          <w:szCs w:val="24"/>
        </w:rPr>
      </w:pPr>
      <w:r w:rsidRPr="005F37ED">
        <w:rPr>
          <w:rFonts w:ascii="宋体" w:hAnsi="宋体" w:hint="eastAsia"/>
          <w:sz w:val="24"/>
        </w:rPr>
        <w:t>基金资产总值是指基金拥有的各类有价证券、股指期货合约、银行存款本息、基金应收款项及其他资产的价值总和。</w:t>
      </w:r>
    </w:p>
    <w:p w14:paraId="18B1E2E5" w14:textId="77777777" w:rsidR="00FD086C" w:rsidRPr="00040D5C" w:rsidRDefault="004B071E">
      <w:pPr>
        <w:autoSpaceDE w:val="0"/>
        <w:autoSpaceDN w:val="0"/>
        <w:adjustRightInd w:val="0"/>
        <w:snapToGrid w:val="0"/>
        <w:spacing w:line="360" w:lineRule="auto"/>
        <w:ind w:firstLineChars="200" w:firstLine="482"/>
        <w:jc w:val="left"/>
        <w:rPr>
          <w:rFonts w:ascii="宋体" w:hAnsi="宋体"/>
          <w:b/>
          <w:szCs w:val="24"/>
        </w:rPr>
      </w:pPr>
      <w:r w:rsidRPr="00040D5C">
        <w:rPr>
          <w:rFonts w:ascii="宋体" w:hAnsi="宋体"/>
          <w:b/>
          <w:sz w:val="24"/>
        </w:rPr>
        <w:t>（二）基金资产净值</w:t>
      </w:r>
    </w:p>
    <w:p w14:paraId="7B5A1A3E"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基金资产净值是指基金资产总值减去基金负债后的价值。</w:t>
      </w:r>
    </w:p>
    <w:p w14:paraId="4AADBF6C" w14:textId="77777777" w:rsidR="00FD086C" w:rsidRPr="00040D5C" w:rsidRDefault="004B071E">
      <w:pPr>
        <w:autoSpaceDE w:val="0"/>
        <w:autoSpaceDN w:val="0"/>
        <w:adjustRightInd w:val="0"/>
        <w:snapToGrid w:val="0"/>
        <w:spacing w:line="360" w:lineRule="auto"/>
        <w:ind w:firstLineChars="200" w:firstLine="482"/>
        <w:jc w:val="left"/>
        <w:rPr>
          <w:rFonts w:ascii="宋体" w:hAnsi="宋体"/>
          <w:b/>
          <w:szCs w:val="24"/>
        </w:rPr>
      </w:pPr>
      <w:r w:rsidRPr="00040D5C">
        <w:rPr>
          <w:rFonts w:ascii="宋体" w:hAnsi="宋体"/>
          <w:b/>
          <w:sz w:val="24"/>
        </w:rPr>
        <w:t>（三）基金财产的账户</w:t>
      </w:r>
    </w:p>
    <w:p w14:paraId="069578AA" w14:textId="1DC95109"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14:paraId="2F42D0D9" w14:textId="77777777" w:rsidR="00FD086C" w:rsidRPr="00040D5C" w:rsidRDefault="004B071E">
      <w:pPr>
        <w:autoSpaceDE w:val="0"/>
        <w:autoSpaceDN w:val="0"/>
        <w:adjustRightInd w:val="0"/>
        <w:snapToGrid w:val="0"/>
        <w:spacing w:line="360" w:lineRule="auto"/>
        <w:ind w:firstLineChars="200" w:firstLine="482"/>
        <w:jc w:val="left"/>
        <w:rPr>
          <w:rFonts w:ascii="宋体" w:hAnsi="宋体"/>
          <w:b/>
          <w:szCs w:val="24"/>
        </w:rPr>
      </w:pPr>
      <w:r w:rsidRPr="00040D5C">
        <w:rPr>
          <w:rFonts w:ascii="宋体" w:hAnsi="宋体"/>
          <w:b/>
          <w:sz w:val="24"/>
        </w:rPr>
        <w:t>（四）基金财产的保管和处分</w:t>
      </w:r>
    </w:p>
    <w:p w14:paraId="3152EC6D"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5544D209"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14:paraId="4C3A8533" w14:textId="4F368549" w:rsidR="00A37EB9" w:rsidRDefault="00A37EB9" w:rsidP="00040D5C">
      <w:pPr>
        <w:autoSpaceDE w:val="0"/>
        <w:autoSpaceDN w:val="0"/>
        <w:adjustRightInd w:val="0"/>
        <w:spacing w:line="360" w:lineRule="auto"/>
        <w:rPr>
          <w:rFonts w:ascii="宋体" w:hAnsi="宋体"/>
          <w:szCs w:val="24"/>
        </w:rPr>
      </w:pPr>
    </w:p>
    <w:p w14:paraId="7C14DEE0" w14:textId="79A41224" w:rsidR="00FD086C" w:rsidRDefault="005F37ED">
      <w:pPr>
        <w:pStyle w:val="1"/>
        <w:snapToGrid w:val="0"/>
        <w:spacing w:beforeLines="0" w:before="240" w:after="240"/>
        <w:rPr>
          <w:rFonts w:ascii="宋体" w:hAnsi="宋体"/>
          <w:szCs w:val="30"/>
        </w:rPr>
      </w:pPr>
      <w:r>
        <w:rPr>
          <w:rFonts w:ascii="Times New Roman" w:hAnsi="Times New Roman"/>
          <w:sz w:val="30"/>
        </w:rPr>
        <w:br w:type="page"/>
      </w:r>
      <w:bookmarkStart w:id="24" w:name="_Toc147840629"/>
      <w:r w:rsidR="004B071E">
        <w:rPr>
          <w:rFonts w:ascii="Times New Roman" w:hAnsi="Times New Roman"/>
          <w:sz w:val="30"/>
        </w:rPr>
        <w:lastRenderedPageBreak/>
        <w:t>十</w:t>
      </w:r>
      <w:r>
        <w:rPr>
          <w:rFonts w:ascii="Times New Roman" w:hAnsi="Times New Roman" w:hint="eastAsia"/>
          <w:sz w:val="30"/>
        </w:rPr>
        <w:t>一</w:t>
      </w:r>
      <w:r w:rsidR="004B071E">
        <w:rPr>
          <w:rFonts w:ascii="Times New Roman" w:hAnsi="Times New Roman"/>
          <w:sz w:val="30"/>
        </w:rPr>
        <w:t>、基金资产的估值</w:t>
      </w:r>
      <w:bookmarkEnd w:id="24"/>
    </w:p>
    <w:p w14:paraId="47B7200D" w14:textId="77777777" w:rsidR="00FD086C" w:rsidRPr="00040D5C" w:rsidRDefault="004B071E">
      <w:pPr>
        <w:autoSpaceDE w:val="0"/>
        <w:autoSpaceDN w:val="0"/>
        <w:adjustRightInd w:val="0"/>
        <w:snapToGrid w:val="0"/>
        <w:spacing w:line="360" w:lineRule="auto"/>
        <w:ind w:firstLineChars="200" w:firstLine="482"/>
        <w:jc w:val="left"/>
        <w:rPr>
          <w:rFonts w:ascii="宋体" w:hAnsi="宋体"/>
          <w:b/>
          <w:szCs w:val="24"/>
        </w:rPr>
      </w:pPr>
      <w:r w:rsidRPr="00040D5C">
        <w:rPr>
          <w:rFonts w:ascii="宋体" w:hAnsi="宋体"/>
          <w:b/>
          <w:sz w:val="24"/>
        </w:rPr>
        <w:t>（一）估值日</w:t>
      </w:r>
    </w:p>
    <w:p w14:paraId="5755631F"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本基金的估值日为本基金相关的证券交易场所的交易日以及国家法律法规规定需要对外披露基金净值的非交易日。</w:t>
      </w:r>
    </w:p>
    <w:p w14:paraId="01C87249" w14:textId="77777777" w:rsidR="00FD086C" w:rsidRPr="00040D5C" w:rsidRDefault="004B071E">
      <w:pPr>
        <w:autoSpaceDE w:val="0"/>
        <w:autoSpaceDN w:val="0"/>
        <w:adjustRightInd w:val="0"/>
        <w:snapToGrid w:val="0"/>
        <w:spacing w:line="360" w:lineRule="auto"/>
        <w:ind w:firstLineChars="200" w:firstLine="482"/>
        <w:jc w:val="left"/>
        <w:rPr>
          <w:rFonts w:ascii="宋体" w:hAnsi="宋体"/>
          <w:b/>
          <w:szCs w:val="24"/>
        </w:rPr>
      </w:pPr>
      <w:r w:rsidRPr="00040D5C">
        <w:rPr>
          <w:rFonts w:ascii="宋体" w:hAnsi="宋体"/>
          <w:b/>
          <w:sz w:val="24"/>
        </w:rPr>
        <w:t>（二）估值对象</w:t>
      </w:r>
    </w:p>
    <w:p w14:paraId="6518CA0F" w14:textId="77777777" w:rsidR="005F37ED" w:rsidRDefault="005F37ED" w:rsidP="005F37ED">
      <w:pPr>
        <w:spacing w:line="360" w:lineRule="auto"/>
        <w:ind w:firstLineChars="200" w:firstLine="480"/>
        <w:rPr>
          <w:bCs/>
          <w:sz w:val="24"/>
        </w:rPr>
      </w:pPr>
      <w:r>
        <w:rPr>
          <w:bCs/>
          <w:sz w:val="24"/>
        </w:rPr>
        <w:t>基金所拥有的股票、债券</w:t>
      </w:r>
      <w:r>
        <w:rPr>
          <w:rFonts w:hint="eastAsia"/>
          <w:bCs/>
          <w:sz w:val="24"/>
        </w:rPr>
        <w:t>、资产支持证券、</w:t>
      </w:r>
      <w:r>
        <w:rPr>
          <w:bCs/>
          <w:sz w:val="24"/>
        </w:rPr>
        <w:t>衍生工具和</w:t>
      </w:r>
      <w:r w:rsidRPr="002263F5">
        <w:rPr>
          <w:rFonts w:hint="eastAsia"/>
          <w:bCs/>
          <w:sz w:val="24"/>
        </w:rPr>
        <w:t>其他投资等持续以公允价值计量的金融资产及负债</w:t>
      </w:r>
      <w:r>
        <w:rPr>
          <w:bCs/>
          <w:sz w:val="24"/>
        </w:rPr>
        <w:t>。</w:t>
      </w:r>
    </w:p>
    <w:p w14:paraId="62C960DD" w14:textId="77777777" w:rsidR="00FD086C" w:rsidRPr="00040D5C" w:rsidRDefault="004B071E">
      <w:pPr>
        <w:autoSpaceDE w:val="0"/>
        <w:autoSpaceDN w:val="0"/>
        <w:adjustRightInd w:val="0"/>
        <w:snapToGrid w:val="0"/>
        <w:spacing w:line="360" w:lineRule="auto"/>
        <w:ind w:firstLineChars="200" w:firstLine="482"/>
        <w:jc w:val="left"/>
        <w:rPr>
          <w:rFonts w:ascii="宋体" w:hAnsi="宋体"/>
          <w:b/>
          <w:szCs w:val="24"/>
        </w:rPr>
      </w:pPr>
      <w:r w:rsidRPr="00040D5C">
        <w:rPr>
          <w:rFonts w:ascii="宋体" w:hAnsi="宋体"/>
          <w:b/>
          <w:sz w:val="24"/>
        </w:rPr>
        <w:t>（三）估值原则</w:t>
      </w:r>
    </w:p>
    <w:p w14:paraId="6295F6C3"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基金管理人在确定相关金融资产和金融负债的公允价值时，应符合《企业会计准则》、监管部门有关规定。</w:t>
      </w:r>
    </w:p>
    <w:p w14:paraId="2E289266"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65851AAF" w14:textId="41E6BF0C"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与上述投资品种</w:t>
      </w:r>
      <w:r w:rsidR="005F37ED">
        <w:rPr>
          <w:rFonts w:ascii="宋体" w:hAnsi="宋体" w:hint="eastAsia"/>
          <w:sz w:val="24"/>
        </w:rPr>
        <w:t>相</w:t>
      </w:r>
      <w:r>
        <w:rPr>
          <w:rFonts w:ascii="宋体" w:hAnsi="宋体"/>
          <w:sz w:val="24"/>
        </w:rPr>
        <w:t>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3E5D9E4A"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288E5A3F"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3、如经济环境发生重大变化或证券发行人发生影响证券价格的重大事件，使潜在估值调整对前一估值日的基金资产净值的影响在0.25%以上的，应对估值进行调整并确定公允价值。</w:t>
      </w:r>
    </w:p>
    <w:p w14:paraId="7828E2CC" w14:textId="77777777" w:rsidR="00FD086C" w:rsidRPr="00040D5C" w:rsidRDefault="004B071E">
      <w:pPr>
        <w:autoSpaceDE w:val="0"/>
        <w:autoSpaceDN w:val="0"/>
        <w:adjustRightInd w:val="0"/>
        <w:snapToGrid w:val="0"/>
        <w:spacing w:line="360" w:lineRule="auto"/>
        <w:ind w:firstLineChars="200" w:firstLine="482"/>
        <w:jc w:val="left"/>
        <w:rPr>
          <w:rFonts w:ascii="宋体" w:hAnsi="宋体"/>
          <w:b/>
          <w:szCs w:val="24"/>
        </w:rPr>
      </w:pPr>
      <w:r w:rsidRPr="00040D5C">
        <w:rPr>
          <w:rFonts w:ascii="宋体" w:hAnsi="宋体"/>
          <w:b/>
          <w:sz w:val="24"/>
        </w:rPr>
        <w:t>（四）估值方法</w:t>
      </w:r>
    </w:p>
    <w:p w14:paraId="5391A9FD"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1、证券交易所上市的有价证券的估值</w:t>
      </w:r>
    </w:p>
    <w:p w14:paraId="0D1C6872" w14:textId="77777777" w:rsidR="00E56C38" w:rsidRPr="00E56C38" w:rsidRDefault="00E56C38" w:rsidP="00E56C38">
      <w:pPr>
        <w:autoSpaceDE w:val="0"/>
        <w:autoSpaceDN w:val="0"/>
        <w:adjustRightInd w:val="0"/>
        <w:snapToGrid w:val="0"/>
        <w:spacing w:line="360" w:lineRule="auto"/>
        <w:ind w:firstLineChars="200" w:firstLine="480"/>
        <w:jc w:val="left"/>
        <w:rPr>
          <w:rFonts w:ascii="宋体" w:hAnsi="宋体"/>
          <w:sz w:val="24"/>
        </w:rPr>
      </w:pPr>
      <w:r w:rsidRPr="00E56C38">
        <w:rPr>
          <w:rFonts w:ascii="宋体" w:hAnsi="宋体" w:hint="eastAsia"/>
          <w:sz w:val="24"/>
        </w:rPr>
        <w:lastRenderedPageBreak/>
        <w:t>（1）交易所上市的有价证券，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15DFA4AC" w14:textId="77777777" w:rsidR="00E56C38" w:rsidRPr="00E56C38" w:rsidRDefault="00E56C38" w:rsidP="00E56C38">
      <w:pPr>
        <w:autoSpaceDE w:val="0"/>
        <w:autoSpaceDN w:val="0"/>
        <w:adjustRightInd w:val="0"/>
        <w:snapToGrid w:val="0"/>
        <w:spacing w:line="360" w:lineRule="auto"/>
        <w:ind w:firstLineChars="200" w:firstLine="480"/>
        <w:jc w:val="left"/>
        <w:rPr>
          <w:rFonts w:ascii="宋体" w:hAnsi="宋体"/>
          <w:sz w:val="24"/>
        </w:rPr>
      </w:pPr>
      <w:r w:rsidRPr="00E56C38">
        <w:rPr>
          <w:rFonts w:ascii="宋体" w:hAnsi="宋体" w:hint="eastAsia"/>
          <w:sz w:val="24"/>
        </w:rPr>
        <w:t>（2）交易所上市交易或挂牌转让的固定收益品种（另有规定的除外），选取估值日第三方估值机构提供的相应品种当日的估值净价进行估值；</w:t>
      </w:r>
    </w:p>
    <w:p w14:paraId="18B31007" w14:textId="77777777" w:rsidR="00E56C38" w:rsidRDefault="00E56C38">
      <w:pPr>
        <w:autoSpaceDE w:val="0"/>
        <w:autoSpaceDN w:val="0"/>
        <w:adjustRightInd w:val="0"/>
        <w:snapToGrid w:val="0"/>
        <w:spacing w:line="360" w:lineRule="auto"/>
        <w:ind w:firstLineChars="200" w:firstLine="480"/>
        <w:jc w:val="left"/>
        <w:rPr>
          <w:rFonts w:ascii="宋体" w:hAnsi="宋体"/>
          <w:sz w:val="24"/>
        </w:rPr>
      </w:pPr>
      <w:r w:rsidRPr="00E56C38">
        <w:rPr>
          <w:rFonts w:ascii="宋体" w:hAnsi="宋体" w:hint="eastAsia"/>
          <w:sz w:val="24"/>
        </w:rPr>
        <w:t>（3）交易所上市交易的可转换债券，按估值日收盘价减去可转换债券收盘价中所含债券（税后）应收利息后得到的净价进行估值；估值日没有交易的，且最近交易日后经济环境未发生重大变化，按最近交易日债券收盘价减去可转换债券收盘价中所含债券（税后）应收利息后得到的净价进行估值。如最近交易日后经济环境发生了重大变化的，可参考类似投资品种现行市价及重大变化因素，调整最近交易市价，确定公允价格；</w:t>
      </w:r>
    </w:p>
    <w:p w14:paraId="5B1C1792" w14:textId="2F8E287A"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（4）交易所上市实行全价交易的债券（可转债除外），选取第三方估值机构提供的估值全价减去估值全价中所含的债券（税后）应收利息得到的净价进行估值；</w:t>
      </w:r>
    </w:p>
    <w:p w14:paraId="5FC120F7"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（5）交易所上市不存在活跃市场的有价证券，采用估值技术确定公允价值。交易所市场挂牌转让的资产支持证券，采用估值技术确定公允价值；</w:t>
      </w:r>
    </w:p>
    <w:p w14:paraId="0F1A9746"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0A2A0F5B"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2、处于未上市期间的有价证券应区分如下情况处理：</w:t>
      </w:r>
    </w:p>
    <w:p w14:paraId="0A9BCF02"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（1）送股、转增股、配股和公开增发的新股，按估值日在证券交易所挂牌的同一股票的估值方法估值；该日无交易的，以最近一日的市价（收盘价）估值；</w:t>
      </w:r>
    </w:p>
    <w:p w14:paraId="16613501" w14:textId="374310AE"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（2）首次公开发行未上市的股票</w:t>
      </w:r>
      <w:r w:rsidR="008543CB">
        <w:rPr>
          <w:rFonts w:ascii="宋体" w:hAnsi="宋体" w:hint="eastAsia"/>
          <w:sz w:val="24"/>
        </w:rPr>
        <w:t>和</w:t>
      </w:r>
      <w:r>
        <w:rPr>
          <w:rFonts w:ascii="宋体" w:hAnsi="宋体"/>
          <w:sz w:val="24"/>
        </w:rPr>
        <w:t>债券，采用估值技术确定公允价值，在估值技术难以可靠计量公允价值的情况下，按成本估值</w:t>
      </w:r>
      <w:r w:rsidR="00352422">
        <w:rPr>
          <w:rFonts w:ascii="宋体" w:hAnsi="宋体" w:hint="eastAsia"/>
          <w:sz w:val="24"/>
        </w:rPr>
        <w:t>；</w:t>
      </w:r>
    </w:p>
    <w:p w14:paraId="2A3B2076"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（3）在发行时明确一定期限限售期的股票，包括但不限于非公开发行股票、首次公开发行股票时公司股东公开发售股份、通过大宗交易取得的带限售期的股票</w:t>
      </w:r>
      <w:r>
        <w:rPr>
          <w:rFonts w:ascii="宋体" w:hAnsi="宋体"/>
          <w:sz w:val="24"/>
        </w:rPr>
        <w:lastRenderedPageBreak/>
        <w:t>等，不包括停牌、新发行未上市、回购交易中的质押券等流通受限股票，按监管机构或行业协会有关规定确定公允价值。</w:t>
      </w:r>
    </w:p>
    <w:p w14:paraId="39591214"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2917607C"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4、本基金投资股指期货合约，一般以估值当日结算价进行估值，估值当日无结算价的，且最近交易日后经济环境未发生重大变化的，采用最近交易日结算价估值。</w:t>
      </w:r>
    </w:p>
    <w:p w14:paraId="45E35DFA" w14:textId="77777777" w:rsidR="001E6E58" w:rsidRPr="001E6E58" w:rsidRDefault="004B071E" w:rsidP="001E6E58">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5、</w:t>
      </w:r>
      <w:r w:rsidR="001E6E58" w:rsidRPr="001E6E58">
        <w:rPr>
          <w:rFonts w:ascii="宋体" w:hAnsi="宋体" w:hint="eastAsia"/>
          <w:sz w:val="24"/>
        </w:rPr>
        <w:t>同一证券同时在两个或两个以上市场交易的，按证券所处的市场分别估值。</w:t>
      </w:r>
    </w:p>
    <w:p w14:paraId="3E9914CA" w14:textId="77777777" w:rsidR="001E6E58" w:rsidRPr="001E6E58" w:rsidRDefault="001E6E58" w:rsidP="001E6E58">
      <w:pPr>
        <w:autoSpaceDE w:val="0"/>
        <w:autoSpaceDN w:val="0"/>
        <w:adjustRightInd w:val="0"/>
        <w:snapToGrid w:val="0"/>
        <w:spacing w:line="360" w:lineRule="auto"/>
        <w:ind w:firstLineChars="200" w:firstLine="480"/>
        <w:jc w:val="left"/>
        <w:rPr>
          <w:rFonts w:ascii="宋体" w:hAnsi="宋体"/>
          <w:sz w:val="24"/>
        </w:rPr>
      </w:pPr>
      <w:r w:rsidRPr="001E6E58">
        <w:rPr>
          <w:rFonts w:ascii="宋体" w:hAnsi="宋体" w:hint="eastAsia"/>
          <w:sz w:val="24"/>
        </w:rPr>
        <w:t>6、对于因税收规定调整或其他原因导致产品实际交纳税金与估算的应交税金有差异的，产品将在相关税金调整日或实际支付日进行相应的会计处理。</w:t>
      </w:r>
    </w:p>
    <w:p w14:paraId="00DD3903" w14:textId="11BF627A" w:rsidR="00FD086C" w:rsidRDefault="001E6E58" w:rsidP="001E6E58">
      <w:pPr>
        <w:autoSpaceDE w:val="0"/>
        <w:autoSpaceDN w:val="0"/>
        <w:adjustRightInd w:val="0"/>
        <w:snapToGrid w:val="0"/>
        <w:spacing w:line="360" w:lineRule="auto"/>
        <w:ind w:firstLineChars="200" w:firstLine="480"/>
        <w:jc w:val="left"/>
        <w:rPr>
          <w:rFonts w:ascii="宋体" w:hAnsi="宋体"/>
          <w:szCs w:val="24"/>
        </w:rPr>
      </w:pPr>
      <w:r w:rsidRPr="001E6E58">
        <w:rPr>
          <w:rFonts w:ascii="宋体" w:hAnsi="宋体" w:hint="eastAsia"/>
          <w:sz w:val="24"/>
        </w:rPr>
        <w:t>7、</w:t>
      </w:r>
      <w:r w:rsidR="004B071E">
        <w:rPr>
          <w:rFonts w:ascii="宋体" w:hAnsi="宋体"/>
          <w:sz w:val="24"/>
        </w:rPr>
        <w:t>如有确凿证据表明按上述方法进行估值不能客观反映其公允价值的，基金管理人可根据具体情况与基金托管人商定后，按最能反映公允价值的价格估值。</w:t>
      </w:r>
    </w:p>
    <w:p w14:paraId="41E0D1E6" w14:textId="22E3A779" w:rsidR="00FD086C" w:rsidRDefault="001E6E58">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w:t>
      </w:r>
      <w:r w:rsidR="004B071E">
        <w:rPr>
          <w:rFonts w:ascii="宋体" w:hAnsi="宋体"/>
          <w:sz w:val="24"/>
        </w:rPr>
        <w:t>、当发生大额申购或赎回情形时，基金管理人可以采用摆动定价机制，以确保基金估值的公平性。</w:t>
      </w:r>
    </w:p>
    <w:p w14:paraId="68E14C08" w14:textId="129C92A5" w:rsidR="00FD086C" w:rsidRDefault="001E6E58">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w:t>
      </w:r>
      <w:r w:rsidR="004B071E">
        <w:rPr>
          <w:rFonts w:ascii="宋体" w:hAnsi="宋体"/>
          <w:sz w:val="24"/>
        </w:rPr>
        <w:t>、本基金投资存托凭证的估值核算依照境内上市交易的股票执行。</w:t>
      </w:r>
    </w:p>
    <w:p w14:paraId="262EAE4B" w14:textId="1BB27493" w:rsidR="00FD086C" w:rsidRDefault="001E6E58">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w:t>
      </w:r>
      <w:r w:rsidR="004B071E">
        <w:rPr>
          <w:rFonts w:ascii="宋体" w:hAnsi="宋体"/>
          <w:sz w:val="24"/>
        </w:rPr>
        <w:t>、相关法律法规以及监管部门有强制规定的，从其规定。如有新增事项，按国家最新规定估值。</w:t>
      </w:r>
    </w:p>
    <w:p w14:paraId="67E12F7D"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44E7A9BF" w14:textId="282EDA76"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w:t>
      </w:r>
      <w:r w:rsidR="00C414D0">
        <w:rPr>
          <w:rFonts w:ascii="宋体" w:hAnsi="宋体" w:hint="eastAsia"/>
          <w:sz w:val="24"/>
        </w:rPr>
        <w:t>信息</w:t>
      </w:r>
      <w:r>
        <w:rPr>
          <w:rFonts w:ascii="宋体" w:hAnsi="宋体"/>
          <w:sz w:val="24"/>
        </w:rPr>
        <w:t>的计算结果对外予以公布。</w:t>
      </w:r>
    </w:p>
    <w:p w14:paraId="0667EE57" w14:textId="77777777" w:rsidR="00FD086C" w:rsidRPr="00040D5C" w:rsidRDefault="004B071E">
      <w:pPr>
        <w:autoSpaceDE w:val="0"/>
        <w:autoSpaceDN w:val="0"/>
        <w:adjustRightInd w:val="0"/>
        <w:snapToGrid w:val="0"/>
        <w:spacing w:line="360" w:lineRule="auto"/>
        <w:ind w:firstLineChars="200" w:firstLine="482"/>
        <w:jc w:val="left"/>
        <w:rPr>
          <w:rFonts w:ascii="宋体" w:hAnsi="宋体"/>
          <w:b/>
          <w:szCs w:val="24"/>
        </w:rPr>
      </w:pPr>
      <w:r w:rsidRPr="00040D5C">
        <w:rPr>
          <w:rFonts w:ascii="宋体" w:hAnsi="宋体"/>
          <w:b/>
          <w:sz w:val="24"/>
        </w:rPr>
        <w:lastRenderedPageBreak/>
        <w:t>（五）估值程序</w:t>
      </w:r>
    </w:p>
    <w:p w14:paraId="5C2F2CF0" w14:textId="226AE83E"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1、各类基金份额的基金份额净值是按照每个工作日闭市后，该类基金份额的基金资产净值除以当日</w:t>
      </w:r>
      <w:r w:rsidR="005B4828">
        <w:rPr>
          <w:rFonts w:ascii="宋体" w:hAnsi="宋体" w:hint="eastAsia"/>
          <w:sz w:val="24"/>
        </w:rPr>
        <w:t>该类</w:t>
      </w:r>
      <w:r>
        <w:rPr>
          <w:rFonts w:ascii="宋体" w:hAnsi="宋体"/>
          <w:sz w:val="24"/>
        </w:rPr>
        <w:t>基金份额的余额数量计算，精确到0.0001元，小数点后第5位四舍五入。基金管理人可以设立大额赎回情形下的净值精度应急调整机制，具体可参见相关公告。国家另有规定的，从其规定。</w:t>
      </w:r>
    </w:p>
    <w:p w14:paraId="18DBC8E8" w14:textId="287F970B"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基金管理人于每个工作日计算各类基金份额的基金资产净值及基金份额净值，并按规定公告。如遇特殊情况，经</w:t>
      </w:r>
      <w:r w:rsidR="005B4828" w:rsidRPr="007D625F">
        <w:rPr>
          <w:rFonts w:hint="eastAsia"/>
          <w:bCs/>
          <w:sz w:val="24"/>
        </w:rPr>
        <w:t>履行适当程序</w:t>
      </w:r>
      <w:r>
        <w:rPr>
          <w:rFonts w:ascii="宋体" w:hAnsi="宋体"/>
          <w:sz w:val="24"/>
        </w:rPr>
        <w:t>，可以适当延迟计算或公告。</w:t>
      </w:r>
    </w:p>
    <w:p w14:paraId="42B73E54" w14:textId="3DD2DAD2"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2、基金管理人应每个工作日对基金资产估值。但基金管理人根据法律法规或基金合同的规定暂停估值时除外。基金管理人每个工作日对基金资产估值后，将</w:t>
      </w:r>
      <w:r w:rsidR="005B4828">
        <w:rPr>
          <w:rFonts w:hint="eastAsia"/>
          <w:bCs/>
          <w:sz w:val="24"/>
        </w:rPr>
        <w:t>基金资产净值、</w:t>
      </w:r>
      <w:r>
        <w:rPr>
          <w:rFonts w:ascii="宋体" w:hAnsi="宋体"/>
          <w:sz w:val="24"/>
        </w:rPr>
        <w:t>各类基金份额净值结果发送基金托管人，经基金托管人复核无误后，由基金管理人依据基金合同和相关法律法规的规定对外公布。</w:t>
      </w:r>
    </w:p>
    <w:p w14:paraId="0ADEF263" w14:textId="77777777" w:rsidR="00FD086C" w:rsidRPr="00040D5C" w:rsidRDefault="004B071E">
      <w:pPr>
        <w:autoSpaceDE w:val="0"/>
        <w:autoSpaceDN w:val="0"/>
        <w:adjustRightInd w:val="0"/>
        <w:snapToGrid w:val="0"/>
        <w:spacing w:line="360" w:lineRule="auto"/>
        <w:ind w:firstLineChars="200" w:firstLine="482"/>
        <w:jc w:val="left"/>
        <w:rPr>
          <w:rFonts w:ascii="宋体" w:hAnsi="宋体"/>
          <w:b/>
          <w:szCs w:val="24"/>
        </w:rPr>
      </w:pPr>
      <w:r w:rsidRPr="00040D5C">
        <w:rPr>
          <w:rFonts w:ascii="宋体" w:hAnsi="宋体"/>
          <w:b/>
          <w:sz w:val="24"/>
        </w:rPr>
        <w:t>（六）估值错误的处理</w:t>
      </w:r>
    </w:p>
    <w:p w14:paraId="26057996" w14:textId="41D240FC"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基金管理人和基金托管人将采取必要、适当、合理的措施确保基金资产估值的准确性、及时性。当基金份额净值小数点后4位以内（含第4位）发生估值错误时，视为基金份额净值错误。</w:t>
      </w:r>
    </w:p>
    <w:p w14:paraId="3B163D1E"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基金合同的当事人应按照以下约定处理：</w:t>
      </w:r>
    </w:p>
    <w:p w14:paraId="5F3388A1"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1、估值错误类型</w:t>
      </w:r>
    </w:p>
    <w:p w14:paraId="570D756F"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14:paraId="3A5F0136"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上述估值错误的主要类型包括但不限于：资料申报差错、数据传输差错、数据计算差错、系统故障差错、下达指令差错等。</w:t>
      </w:r>
    </w:p>
    <w:p w14:paraId="7A2DBBB0" w14:textId="77777777" w:rsidR="007B2295" w:rsidRDefault="007B2295" w:rsidP="007B2295">
      <w:pPr>
        <w:spacing w:line="360" w:lineRule="auto"/>
        <w:ind w:firstLineChars="200" w:firstLine="480"/>
        <w:rPr>
          <w:bCs/>
          <w:sz w:val="24"/>
        </w:rPr>
      </w:pPr>
      <w:r>
        <w:rPr>
          <w:rFonts w:hint="eastAsia"/>
          <w:bCs/>
          <w:sz w:val="24"/>
        </w:rPr>
        <w:t>对于因技术原因引起的差错，若系同行业现有技术水平无法预见、无法避免、无法抗拒，则属不可抗力，按照下述规定执行。</w:t>
      </w:r>
    </w:p>
    <w:p w14:paraId="47865A74" w14:textId="77777777" w:rsidR="007B2295" w:rsidRPr="007D625F" w:rsidRDefault="007B2295" w:rsidP="007B2295">
      <w:pPr>
        <w:spacing w:line="360" w:lineRule="auto"/>
        <w:ind w:firstLineChars="200" w:firstLine="480"/>
        <w:rPr>
          <w:bCs/>
          <w:sz w:val="24"/>
        </w:rPr>
      </w:pPr>
      <w:r>
        <w:rPr>
          <w:rFonts w:hint="eastAsia"/>
          <w:bCs/>
          <w:sz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14:paraId="69BE3EF2"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2、估值错误处理原则</w:t>
      </w:r>
    </w:p>
    <w:p w14:paraId="4281AAF2"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（1）估值错误已发生，但尚未给当事人造成损失时，估值错误责任方应及时</w:t>
      </w:r>
      <w:r>
        <w:rPr>
          <w:rFonts w:ascii="宋体" w:hAnsi="宋体"/>
          <w:sz w:val="24"/>
        </w:rPr>
        <w:lastRenderedPageBreak/>
        <w:t>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0387E860"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（2）估值错误的责任方对有关当事人的直接损失负责，不对间接损失负责，并且仅对估值错误的有关直接当事人负责，不对第三方负责。</w:t>
      </w:r>
    </w:p>
    <w:p w14:paraId="0FEA51EA"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2B5549D6"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（4）估值错误调整采用尽量恢复至假设未发生估值错误的正确情形的方式。</w:t>
      </w:r>
    </w:p>
    <w:p w14:paraId="01FE69B1"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（5）按法律法规规定的其他原则处理估值错误。</w:t>
      </w:r>
    </w:p>
    <w:p w14:paraId="182961B4"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3、估值错误处理程序</w:t>
      </w:r>
    </w:p>
    <w:p w14:paraId="0695E4ED"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估值错误被发现后，有关的当事人应当及时进行处理，处理的程序如下：</w:t>
      </w:r>
    </w:p>
    <w:p w14:paraId="3F7C1ADC"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（1）查明估值错误发生的原因，列明所有的当事人，并根据估值错误发生的原因确定估值错误的责任方；</w:t>
      </w:r>
    </w:p>
    <w:p w14:paraId="171F3DB2"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（2）根据估值错误处理原则或当事人协商的方法对因估值错误造成的损失进行评估；</w:t>
      </w:r>
    </w:p>
    <w:p w14:paraId="248E8BFD"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（3）根据估值错误处理原则或当事人协商的方法由估值错误的责任方进行更正和赔偿损失；</w:t>
      </w:r>
    </w:p>
    <w:p w14:paraId="0B9D36D7"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（4）根据估值错误处理的方法，需要修改基金登记机构交易数据的，由基金登记机构进行更正，并就估值错误的更正向有关当事人进行确认。</w:t>
      </w:r>
    </w:p>
    <w:p w14:paraId="294D85FD"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4、基金份额净值估值错误处理的方法如下：</w:t>
      </w:r>
    </w:p>
    <w:p w14:paraId="1E19F103"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（1）基金份额净值计算出现错误时，基金管理人应当立即予以纠正，通报基金托管人，并采取合理的措施防止损失进一步扩大。</w:t>
      </w:r>
    </w:p>
    <w:p w14:paraId="643FB91C" w14:textId="11055BB1"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（2）错误偏差达到</w:t>
      </w:r>
      <w:r w:rsidR="007B2295">
        <w:rPr>
          <w:rFonts w:ascii="宋体" w:hAnsi="宋体" w:hint="eastAsia"/>
          <w:sz w:val="24"/>
        </w:rPr>
        <w:t>该类</w:t>
      </w:r>
      <w:r>
        <w:rPr>
          <w:rFonts w:ascii="宋体" w:hAnsi="宋体"/>
          <w:sz w:val="24"/>
        </w:rPr>
        <w:t>基金份额净值的0.25%时，基金管理人应当通报基金托</w:t>
      </w:r>
      <w:r>
        <w:rPr>
          <w:rFonts w:ascii="宋体" w:hAnsi="宋体"/>
          <w:sz w:val="24"/>
        </w:rPr>
        <w:lastRenderedPageBreak/>
        <w:t>管人并报中国证监会备案；错误偏差达到</w:t>
      </w:r>
      <w:r w:rsidR="007B2295">
        <w:rPr>
          <w:rFonts w:ascii="宋体" w:hAnsi="宋体" w:hint="eastAsia"/>
          <w:sz w:val="24"/>
        </w:rPr>
        <w:t>该类</w:t>
      </w:r>
      <w:r>
        <w:rPr>
          <w:rFonts w:ascii="宋体" w:hAnsi="宋体"/>
          <w:sz w:val="24"/>
        </w:rPr>
        <w:t>基金份额净值的0.5%时，基金管理人应当公告，并报中国证监会备案。</w:t>
      </w:r>
    </w:p>
    <w:p w14:paraId="5429159C" w14:textId="78A75487" w:rsidR="006037DF" w:rsidRDefault="004B071E">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（3）前述内容</w:t>
      </w:r>
      <w:r w:rsidR="007B2295" w:rsidRPr="007B2295">
        <w:rPr>
          <w:rFonts w:ascii="宋体" w:hAnsi="宋体" w:hint="eastAsia"/>
          <w:sz w:val="24"/>
        </w:rPr>
        <w:t>如法律法规或监管机关另有规定的，从其规定处理。</w:t>
      </w:r>
    </w:p>
    <w:p w14:paraId="763C7AFA" w14:textId="77777777" w:rsidR="00FD086C" w:rsidRPr="00040D5C" w:rsidRDefault="004B071E">
      <w:pPr>
        <w:autoSpaceDE w:val="0"/>
        <w:autoSpaceDN w:val="0"/>
        <w:adjustRightInd w:val="0"/>
        <w:snapToGrid w:val="0"/>
        <w:spacing w:line="360" w:lineRule="auto"/>
        <w:ind w:firstLineChars="200" w:firstLine="482"/>
        <w:jc w:val="left"/>
        <w:rPr>
          <w:rFonts w:ascii="宋体" w:hAnsi="宋体"/>
          <w:b/>
          <w:szCs w:val="24"/>
        </w:rPr>
      </w:pPr>
      <w:r w:rsidRPr="00040D5C">
        <w:rPr>
          <w:rFonts w:ascii="宋体" w:hAnsi="宋体"/>
          <w:b/>
          <w:sz w:val="24"/>
        </w:rPr>
        <w:t>（七）暂停估值的情形</w:t>
      </w:r>
    </w:p>
    <w:p w14:paraId="0946BA91"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1、基金投资所涉及的证券/期货交易市场遇法定节假日或因其他原因暂停营业时；</w:t>
      </w:r>
    </w:p>
    <w:p w14:paraId="796FF5F5"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2、因不可抗力致使基金管理人、基金托管人无法准确评估基金资产价值时；</w:t>
      </w:r>
    </w:p>
    <w:p w14:paraId="6D57DFFB" w14:textId="77777777" w:rsidR="00F62E90" w:rsidRDefault="00F62E90">
      <w:pPr>
        <w:autoSpaceDE w:val="0"/>
        <w:autoSpaceDN w:val="0"/>
        <w:adjustRightInd w:val="0"/>
        <w:snapToGrid w:val="0"/>
        <w:spacing w:line="360" w:lineRule="auto"/>
        <w:ind w:firstLineChars="200" w:firstLine="480"/>
        <w:jc w:val="left"/>
        <w:rPr>
          <w:rFonts w:ascii="宋体" w:hAnsi="宋体"/>
          <w:sz w:val="24"/>
        </w:rPr>
      </w:pPr>
      <w:r w:rsidRPr="00F62E90">
        <w:rPr>
          <w:rFonts w:ascii="宋体" w:hAnsi="宋体" w:hint="eastAsia"/>
          <w:sz w:val="24"/>
        </w:rPr>
        <w:t>3、当特定资产占前一估值日基金资产净值 50%以上的，经与基金托管人协商确认后，基金管理人应当暂停估值；</w:t>
      </w:r>
    </w:p>
    <w:p w14:paraId="29923584"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4、法律法规、中国证监会和基金合同认定的其它情形。</w:t>
      </w:r>
    </w:p>
    <w:p w14:paraId="691BD886" w14:textId="77777777" w:rsidR="00FD086C" w:rsidRPr="00040D5C" w:rsidRDefault="004B071E">
      <w:pPr>
        <w:autoSpaceDE w:val="0"/>
        <w:autoSpaceDN w:val="0"/>
        <w:adjustRightInd w:val="0"/>
        <w:snapToGrid w:val="0"/>
        <w:spacing w:line="360" w:lineRule="auto"/>
        <w:ind w:firstLineChars="200" w:firstLine="482"/>
        <w:jc w:val="left"/>
        <w:rPr>
          <w:rFonts w:ascii="宋体" w:hAnsi="宋体"/>
          <w:b/>
          <w:szCs w:val="24"/>
        </w:rPr>
      </w:pPr>
      <w:r w:rsidRPr="00040D5C">
        <w:rPr>
          <w:rFonts w:ascii="宋体" w:hAnsi="宋体"/>
          <w:b/>
          <w:sz w:val="24"/>
        </w:rPr>
        <w:t>（八）基金净值的确认</w:t>
      </w:r>
    </w:p>
    <w:p w14:paraId="6C4E8922" w14:textId="044C5CFA"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各类基金份额的基金资产净值和基金份额净值由基金管理人负责计算，基金托管人负责进行复核。基金管理人应于每个开放日交易结束后计算当日各类基金份额的基金资产净值和基金份额净值并发送给基金托管人。基金托管人对净值计算结果复核确认后发送给基金管理人，由基金管理人依据基金合同和相关法律法规的规定对基金净值予以公布。</w:t>
      </w:r>
    </w:p>
    <w:p w14:paraId="1BEFD23E" w14:textId="77777777" w:rsidR="00FD086C" w:rsidRPr="00040D5C" w:rsidRDefault="004B071E">
      <w:pPr>
        <w:autoSpaceDE w:val="0"/>
        <w:autoSpaceDN w:val="0"/>
        <w:adjustRightInd w:val="0"/>
        <w:snapToGrid w:val="0"/>
        <w:spacing w:line="360" w:lineRule="auto"/>
        <w:ind w:firstLineChars="200" w:firstLine="482"/>
        <w:jc w:val="left"/>
        <w:rPr>
          <w:rFonts w:ascii="宋体" w:hAnsi="宋体"/>
          <w:b/>
          <w:szCs w:val="24"/>
        </w:rPr>
      </w:pPr>
      <w:r w:rsidRPr="00040D5C">
        <w:rPr>
          <w:rFonts w:ascii="宋体" w:hAnsi="宋体"/>
          <w:b/>
          <w:sz w:val="24"/>
        </w:rPr>
        <w:t>（九）特殊情形的处理</w:t>
      </w:r>
    </w:p>
    <w:p w14:paraId="5A6155C9" w14:textId="0097A583"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1、基金管理人或基金托管人按估值方法的第</w:t>
      </w:r>
      <w:r w:rsidR="00F62E90">
        <w:rPr>
          <w:rFonts w:ascii="宋体" w:hAnsi="宋体"/>
          <w:sz w:val="24"/>
        </w:rPr>
        <w:t>7</w:t>
      </w:r>
      <w:r>
        <w:rPr>
          <w:rFonts w:ascii="宋体" w:hAnsi="宋体"/>
          <w:sz w:val="24"/>
        </w:rPr>
        <w:t>项进行估值时，所造成的误差不作为基金资产估值错误处理。</w:t>
      </w:r>
    </w:p>
    <w:p w14:paraId="18FA30C2" w14:textId="6C512ADD" w:rsidR="00FD086C" w:rsidRDefault="004B071E" w:rsidP="00F62E90">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2、由于不可抗力原因，或由于证券/期货交易所、证券/期货经纪机构、登记结算公司及存款银行等第三方机构发送的数据错误，或国家会计政策变更、市场规则变更等，基金管理人和基金托管人虽然已经采取必要、适当、合理的措施进行检查，但是未能发现该错误而造成的基金资产估值错误，基金管理人、基金托管人免除赔偿责任。但基金管理人、基金托管人应积极采取必要的措施减轻或消除由此造成的影响。</w:t>
      </w:r>
    </w:p>
    <w:p w14:paraId="394B6A0F" w14:textId="77777777" w:rsidR="00F62E90" w:rsidRPr="00040D5C" w:rsidRDefault="00F62E90" w:rsidP="00F62E90">
      <w:pPr>
        <w:autoSpaceDE w:val="0"/>
        <w:autoSpaceDN w:val="0"/>
        <w:adjustRightInd w:val="0"/>
        <w:snapToGrid w:val="0"/>
        <w:spacing w:line="360" w:lineRule="auto"/>
        <w:ind w:firstLineChars="200" w:firstLine="482"/>
        <w:jc w:val="left"/>
        <w:rPr>
          <w:rFonts w:ascii="宋体" w:hAnsi="宋体"/>
          <w:b/>
          <w:szCs w:val="24"/>
        </w:rPr>
      </w:pPr>
      <w:r w:rsidRPr="00040D5C">
        <w:rPr>
          <w:rFonts w:ascii="宋体" w:hAnsi="宋体"/>
          <w:b/>
          <w:sz w:val="24"/>
        </w:rPr>
        <w:t>（十）实施侧袋机制期间的基金资产估值</w:t>
      </w:r>
    </w:p>
    <w:p w14:paraId="1D30991E" w14:textId="77777777" w:rsidR="00F62E90" w:rsidRDefault="00F62E90" w:rsidP="00F62E9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本基金实施侧袋机制的，应根据本部分的约定对主袋账户资产进行估值并披露主袋账户的基金净值信息，暂停披露侧袋账户份额净值。</w:t>
      </w:r>
    </w:p>
    <w:p w14:paraId="512D48E9" w14:textId="00E640A6" w:rsidR="00A37EB9" w:rsidRDefault="00A37EB9" w:rsidP="00040D5C">
      <w:pPr>
        <w:autoSpaceDE w:val="0"/>
        <w:autoSpaceDN w:val="0"/>
        <w:adjustRightInd w:val="0"/>
        <w:spacing w:line="360" w:lineRule="auto"/>
        <w:rPr>
          <w:rFonts w:ascii="宋体" w:hAnsi="宋体"/>
          <w:szCs w:val="24"/>
        </w:rPr>
      </w:pPr>
    </w:p>
    <w:p w14:paraId="5152E298" w14:textId="1C4AC433" w:rsidR="00FD086C" w:rsidRDefault="004B071E">
      <w:pPr>
        <w:pStyle w:val="1"/>
        <w:snapToGrid w:val="0"/>
        <w:spacing w:beforeLines="0" w:before="240" w:after="240"/>
        <w:rPr>
          <w:rFonts w:ascii="宋体" w:hAnsi="宋体"/>
          <w:szCs w:val="30"/>
        </w:rPr>
      </w:pPr>
      <w:bookmarkStart w:id="25" w:name="_Toc147840630"/>
      <w:r>
        <w:rPr>
          <w:rFonts w:ascii="Times New Roman" w:hAnsi="Times New Roman"/>
          <w:sz w:val="30"/>
        </w:rPr>
        <w:lastRenderedPageBreak/>
        <w:t>十</w:t>
      </w:r>
      <w:r w:rsidR="00092BD8">
        <w:rPr>
          <w:rFonts w:ascii="Times New Roman" w:hAnsi="Times New Roman" w:hint="eastAsia"/>
          <w:sz w:val="30"/>
        </w:rPr>
        <w:t>二</w:t>
      </w:r>
      <w:r>
        <w:rPr>
          <w:rFonts w:ascii="Times New Roman" w:hAnsi="Times New Roman"/>
          <w:sz w:val="30"/>
        </w:rPr>
        <w:t>、基金收益与分配</w:t>
      </w:r>
      <w:bookmarkEnd w:id="25"/>
    </w:p>
    <w:p w14:paraId="73CBB3C9" w14:textId="77777777" w:rsidR="00FD086C" w:rsidRPr="00040D5C" w:rsidRDefault="004B071E">
      <w:pPr>
        <w:autoSpaceDE w:val="0"/>
        <w:autoSpaceDN w:val="0"/>
        <w:adjustRightInd w:val="0"/>
        <w:snapToGrid w:val="0"/>
        <w:spacing w:line="360" w:lineRule="auto"/>
        <w:ind w:firstLineChars="200" w:firstLine="482"/>
        <w:jc w:val="left"/>
        <w:rPr>
          <w:rFonts w:ascii="宋体" w:hAnsi="宋体"/>
          <w:b/>
          <w:szCs w:val="24"/>
        </w:rPr>
      </w:pPr>
      <w:r w:rsidRPr="00040D5C">
        <w:rPr>
          <w:rFonts w:ascii="宋体" w:hAnsi="宋体"/>
          <w:b/>
          <w:sz w:val="24"/>
        </w:rPr>
        <w:t>（一）基金利润的构成</w:t>
      </w:r>
    </w:p>
    <w:p w14:paraId="68BD2CAA"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基金利润指基金利息收入、投资收益、公允价值变动收益和其他收入扣除相关费用后的余额，基金已实现收益指基金利润减去公允价值变动收益后的余额。</w:t>
      </w:r>
    </w:p>
    <w:p w14:paraId="3C675F55" w14:textId="77777777" w:rsidR="00FD086C" w:rsidRPr="00040D5C" w:rsidRDefault="004B071E">
      <w:pPr>
        <w:autoSpaceDE w:val="0"/>
        <w:autoSpaceDN w:val="0"/>
        <w:adjustRightInd w:val="0"/>
        <w:snapToGrid w:val="0"/>
        <w:spacing w:line="360" w:lineRule="auto"/>
        <w:ind w:firstLineChars="200" w:firstLine="482"/>
        <w:jc w:val="left"/>
        <w:rPr>
          <w:rFonts w:ascii="宋体" w:hAnsi="宋体"/>
          <w:b/>
          <w:szCs w:val="24"/>
        </w:rPr>
      </w:pPr>
      <w:r w:rsidRPr="00040D5C">
        <w:rPr>
          <w:rFonts w:ascii="宋体" w:hAnsi="宋体"/>
          <w:b/>
          <w:sz w:val="24"/>
        </w:rPr>
        <w:t>（二）基金可供分配利润</w:t>
      </w:r>
    </w:p>
    <w:p w14:paraId="64C11718"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基金可供分配利润指截至收益分配基准日基金未分配利润与未分配利润中已实现收益的孰低数。</w:t>
      </w:r>
    </w:p>
    <w:p w14:paraId="5E9FDE0A" w14:textId="77777777" w:rsidR="00FD086C" w:rsidRPr="00040D5C" w:rsidRDefault="004B071E">
      <w:pPr>
        <w:autoSpaceDE w:val="0"/>
        <w:autoSpaceDN w:val="0"/>
        <w:adjustRightInd w:val="0"/>
        <w:snapToGrid w:val="0"/>
        <w:spacing w:line="360" w:lineRule="auto"/>
        <w:ind w:firstLineChars="200" w:firstLine="482"/>
        <w:jc w:val="left"/>
        <w:rPr>
          <w:rFonts w:ascii="宋体" w:hAnsi="宋体"/>
          <w:b/>
          <w:szCs w:val="24"/>
        </w:rPr>
      </w:pPr>
      <w:r w:rsidRPr="00040D5C">
        <w:rPr>
          <w:rFonts w:ascii="宋体" w:hAnsi="宋体"/>
          <w:b/>
          <w:sz w:val="24"/>
        </w:rPr>
        <w:t>（三）基金收益分配原则</w:t>
      </w:r>
    </w:p>
    <w:p w14:paraId="36161C2C"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1、由于本基金A类基金份额不收取销售服务费，C类基金份额收取销售服务费，各基金份额类别对应的可供分配利润将有所不同；</w:t>
      </w:r>
    </w:p>
    <w:p w14:paraId="0943851A"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2、在符合有关基金分红条件的前提下，本基金管理人可以根据实际情况进行收益分配，具体分配方案以公告为准，若《基金合同》生效不满3个月可不进行收益分配；</w:t>
      </w:r>
    </w:p>
    <w:p w14:paraId="7E55E400"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本基金收益分配方式分两种：现金分红与红利再投资，投资者可选择现金红利或将现金红利自动转为相应类别的基金份额进行再投资；若投资者不选择，本基金默认的收益分配方式是现金分红；基金份额持有人可对其持有的A类基金份额和C类基金份额分别选择不同的收益分配方式；</w:t>
      </w:r>
    </w:p>
    <w:p w14:paraId="4018BEA0"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4、本基金同一基金份额类别的每一基金份额享有同等分配权；</w:t>
      </w:r>
    </w:p>
    <w:p w14:paraId="1055C5E3"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5、法律法规或监管机关另有规定的，从其规定。</w:t>
      </w:r>
    </w:p>
    <w:p w14:paraId="45954D10" w14:textId="77777777" w:rsidR="00FD086C" w:rsidRPr="00040D5C" w:rsidRDefault="004B071E">
      <w:pPr>
        <w:autoSpaceDE w:val="0"/>
        <w:autoSpaceDN w:val="0"/>
        <w:adjustRightInd w:val="0"/>
        <w:snapToGrid w:val="0"/>
        <w:spacing w:line="360" w:lineRule="auto"/>
        <w:ind w:firstLineChars="200" w:firstLine="482"/>
        <w:jc w:val="left"/>
        <w:rPr>
          <w:rFonts w:ascii="宋体" w:hAnsi="宋体"/>
          <w:b/>
          <w:szCs w:val="24"/>
        </w:rPr>
      </w:pPr>
      <w:r w:rsidRPr="00040D5C">
        <w:rPr>
          <w:rFonts w:ascii="宋体" w:hAnsi="宋体"/>
          <w:b/>
          <w:sz w:val="24"/>
        </w:rPr>
        <w:t>（四）收益分配方案</w:t>
      </w:r>
    </w:p>
    <w:p w14:paraId="0BBA301D"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基金收益分配方案中应载明截止收益分配基准日的可供分配利润、基金收益分配对象、分配时间、分配数额及比例、分配方式等内容。</w:t>
      </w:r>
    </w:p>
    <w:p w14:paraId="00D47F16" w14:textId="77777777" w:rsidR="00FD086C" w:rsidRPr="00040D5C" w:rsidRDefault="004B071E">
      <w:pPr>
        <w:autoSpaceDE w:val="0"/>
        <w:autoSpaceDN w:val="0"/>
        <w:adjustRightInd w:val="0"/>
        <w:snapToGrid w:val="0"/>
        <w:spacing w:line="360" w:lineRule="auto"/>
        <w:ind w:firstLineChars="200" w:firstLine="482"/>
        <w:jc w:val="left"/>
        <w:rPr>
          <w:rFonts w:ascii="宋体" w:hAnsi="宋体"/>
          <w:b/>
          <w:szCs w:val="24"/>
        </w:rPr>
      </w:pPr>
      <w:r w:rsidRPr="00040D5C">
        <w:rPr>
          <w:rFonts w:ascii="宋体" w:hAnsi="宋体"/>
          <w:b/>
          <w:sz w:val="24"/>
        </w:rPr>
        <w:t>（五）收益分配方案的确定、公告与实施</w:t>
      </w:r>
    </w:p>
    <w:p w14:paraId="731C2B75"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本基金收益分配方案由基金管理人拟定，并由基金托管人复核，依照《信息披露办法》的规定在规定媒介公告。</w:t>
      </w:r>
    </w:p>
    <w:p w14:paraId="1ABC17C0"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法律法规或监管机关另有规定的，从其规定。</w:t>
      </w:r>
    </w:p>
    <w:p w14:paraId="3CE7E383" w14:textId="77777777" w:rsidR="00FD086C" w:rsidRPr="00040D5C" w:rsidRDefault="004B071E">
      <w:pPr>
        <w:autoSpaceDE w:val="0"/>
        <w:autoSpaceDN w:val="0"/>
        <w:adjustRightInd w:val="0"/>
        <w:snapToGrid w:val="0"/>
        <w:spacing w:line="360" w:lineRule="auto"/>
        <w:ind w:firstLineChars="200" w:firstLine="482"/>
        <w:jc w:val="left"/>
        <w:rPr>
          <w:rFonts w:ascii="宋体" w:hAnsi="宋体"/>
          <w:b/>
          <w:szCs w:val="24"/>
        </w:rPr>
      </w:pPr>
      <w:r w:rsidRPr="00040D5C">
        <w:rPr>
          <w:rFonts w:ascii="宋体" w:hAnsi="宋体"/>
          <w:b/>
          <w:sz w:val="24"/>
        </w:rPr>
        <w:t>（六）基金收益分配中发生的费用</w:t>
      </w:r>
    </w:p>
    <w:p w14:paraId="270FEC5D"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基金收益分配时所发生的银行转账或其他手续费用由投资者自行承担。当投资者的现金红利小于一定金额，不足以支付银行转账或其他手续费用时，基金登记机</w:t>
      </w:r>
      <w:r>
        <w:rPr>
          <w:rFonts w:ascii="宋体" w:hAnsi="宋体"/>
          <w:sz w:val="24"/>
        </w:rPr>
        <w:lastRenderedPageBreak/>
        <w:t>构可将基金份额持有人的现金红利自动转为相应类别的基金份额。红利再投资的计算方法，依照《业务规则》执行。</w:t>
      </w:r>
    </w:p>
    <w:p w14:paraId="28EB621C" w14:textId="77777777" w:rsidR="00FD086C" w:rsidRPr="00040D5C" w:rsidRDefault="004B071E">
      <w:pPr>
        <w:autoSpaceDE w:val="0"/>
        <w:autoSpaceDN w:val="0"/>
        <w:adjustRightInd w:val="0"/>
        <w:snapToGrid w:val="0"/>
        <w:spacing w:line="360" w:lineRule="auto"/>
        <w:ind w:firstLineChars="200" w:firstLine="482"/>
        <w:jc w:val="left"/>
        <w:rPr>
          <w:rFonts w:ascii="宋体" w:hAnsi="宋体"/>
          <w:b/>
          <w:szCs w:val="24"/>
        </w:rPr>
      </w:pPr>
      <w:r w:rsidRPr="00040D5C">
        <w:rPr>
          <w:rFonts w:ascii="宋体" w:hAnsi="宋体"/>
          <w:b/>
          <w:sz w:val="24"/>
        </w:rPr>
        <w:t>（七）收益分配方式的修改</w:t>
      </w:r>
    </w:p>
    <w:p w14:paraId="691F9A18" w14:textId="50544033"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投资人可至销售机构办理收益分配方式的修改，投资人对本基金不同的</w:t>
      </w:r>
      <w:r w:rsidR="00636BB5">
        <w:rPr>
          <w:rFonts w:ascii="宋体" w:hAnsi="宋体" w:hint="eastAsia"/>
          <w:sz w:val="24"/>
        </w:rPr>
        <w:t>基金</w:t>
      </w:r>
      <w:r>
        <w:rPr>
          <w:rFonts w:ascii="宋体" w:hAnsi="宋体"/>
          <w:sz w:val="24"/>
        </w:rPr>
        <w:t>交易账户可设置不同的收益分配方式。</w:t>
      </w:r>
    </w:p>
    <w:p w14:paraId="7C678752" w14:textId="6A7DC619" w:rsidR="00FD086C" w:rsidRDefault="004B071E">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投资人同一日多次申报收益分配方式变更的，按照《业务规则》执行，最终确认的收益分配方式以登记机构记录为准。</w:t>
      </w:r>
    </w:p>
    <w:p w14:paraId="0B960155" w14:textId="77777777" w:rsidR="006A539F" w:rsidRPr="00040D5C" w:rsidRDefault="006A539F" w:rsidP="00040D5C">
      <w:pPr>
        <w:autoSpaceDE w:val="0"/>
        <w:autoSpaceDN w:val="0"/>
        <w:adjustRightInd w:val="0"/>
        <w:snapToGrid w:val="0"/>
        <w:spacing w:line="360" w:lineRule="auto"/>
        <w:ind w:firstLineChars="200" w:firstLine="482"/>
        <w:jc w:val="left"/>
        <w:rPr>
          <w:rFonts w:ascii="宋体" w:hAnsi="宋体"/>
          <w:b/>
          <w:sz w:val="24"/>
        </w:rPr>
      </w:pPr>
      <w:r w:rsidRPr="00040D5C">
        <w:rPr>
          <w:rFonts w:ascii="宋体" w:hAnsi="宋体" w:hint="eastAsia"/>
          <w:b/>
          <w:sz w:val="24"/>
        </w:rPr>
        <w:t>（八）实施侧袋机制期间的收益分配</w:t>
      </w:r>
    </w:p>
    <w:p w14:paraId="762589FD" w14:textId="14BDE0D7" w:rsidR="006A539F" w:rsidRPr="00040D5C" w:rsidRDefault="006A539F" w:rsidP="00040D5C">
      <w:pPr>
        <w:autoSpaceDE w:val="0"/>
        <w:autoSpaceDN w:val="0"/>
        <w:adjustRightInd w:val="0"/>
        <w:snapToGrid w:val="0"/>
        <w:spacing w:line="360" w:lineRule="auto"/>
        <w:ind w:firstLineChars="200" w:firstLine="480"/>
        <w:jc w:val="left"/>
        <w:rPr>
          <w:rFonts w:ascii="宋体" w:hAnsi="宋体"/>
          <w:sz w:val="24"/>
        </w:rPr>
      </w:pPr>
      <w:r w:rsidRPr="00040D5C">
        <w:rPr>
          <w:rFonts w:ascii="宋体" w:hAnsi="宋体" w:hint="eastAsia"/>
          <w:sz w:val="24"/>
        </w:rPr>
        <w:t>本基金实施侧袋机制的，侧袋账户不进行收益分配。</w:t>
      </w:r>
    </w:p>
    <w:p w14:paraId="2ABF579E" w14:textId="22629B54" w:rsidR="00A37EB9" w:rsidRDefault="00A37EB9" w:rsidP="00040D5C">
      <w:pPr>
        <w:autoSpaceDE w:val="0"/>
        <w:autoSpaceDN w:val="0"/>
        <w:adjustRightInd w:val="0"/>
        <w:spacing w:line="360" w:lineRule="auto"/>
        <w:rPr>
          <w:rFonts w:ascii="宋体" w:hAnsi="宋体"/>
          <w:szCs w:val="24"/>
        </w:rPr>
      </w:pPr>
    </w:p>
    <w:p w14:paraId="09910193" w14:textId="3BEDAA60" w:rsidR="00FD086C" w:rsidRDefault="006A539F">
      <w:pPr>
        <w:pStyle w:val="1"/>
        <w:snapToGrid w:val="0"/>
        <w:spacing w:beforeLines="0" w:before="240" w:after="240"/>
        <w:rPr>
          <w:rFonts w:ascii="宋体" w:hAnsi="宋体"/>
          <w:szCs w:val="30"/>
        </w:rPr>
      </w:pPr>
      <w:r>
        <w:rPr>
          <w:rFonts w:ascii="Times New Roman" w:hAnsi="Times New Roman"/>
          <w:sz w:val="30"/>
        </w:rPr>
        <w:br w:type="page"/>
      </w:r>
      <w:bookmarkStart w:id="26" w:name="_Toc147840631"/>
      <w:r w:rsidR="004B071E">
        <w:rPr>
          <w:rFonts w:ascii="Times New Roman" w:hAnsi="Times New Roman"/>
          <w:sz w:val="30"/>
        </w:rPr>
        <w:lastRenderedPageBreak/>
        <w:t>十</w:t>
      </w:r>
      <w:r w:rsidR="0023744F">
        <w:rPr>
          <w:rFonts w:ascii="Times New Roman" w:hAnsi="Times New Roman" w:hint="eastAsia"/>
          <w:sz w:val="30"/>
        </w:rPr>
        <w:t>三</w:t>
      </w:r>
      <w:r w:rsidR="004B071E">
        <w:rPr>
          <w:rFonts w:ascii="Times New Roman" w:hAnsi="Times New Roman"/>
          <w:sz w:val="30"/>
        </w:rPr>
        <w:t>、基金的费用与税收</w:t>
      </w:r>
      <w:bookmarkEnd w:id="26"/>
    </w:p>
    <w:p w14:paraId="1AF60838" w14:textId="77777777" w:rsidR="00FD086C" w:rsidRPr="00040D5C" w:rsidRDefault="004B071E">
      <w:pPr>
        <w:autoSpaceDE w:val="0"/>
        <w:autoSpaceDN w:val="0"/>
        <w:adjustRightInd w:val="0"/>
        <w:snapToGrid w:val="0"/>
        <w:spacing w:line="360" w:lineRule="auto"/>
        <w:ind w:firstLineChars="200" w:firstLine="482"/>
        <w:jc w:val="left"/>
        <w:rPr>
          <w:rFonts w:ascii="宋体" w:hAnsi="宋体"/>
          <w:b/>
          <w:szCs w:val="24"/>
        </w:rPr>
      </w:pPr>
      <w:r w:rsidRPr="00040D5C">
        <w:rPr>
          <w:rFonts w:ascii="宋体" w:hAnsi="宋体"/>
          <w:b/>
          <w:sz w:val="24"/>
        </w:rPr>
        <w:t>（一）基金费用的种类</w:t>
      </w:r>
    </w:p>
    <w:p w14:paraId="6BA61F70"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1、基金管理人的管理费；</w:t>
      </w:r>
    </w:p>
    <w:p w14:paraId="5F10F662"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2、基金托管人的托管费；</w:t>
      </w:r>
    </w:p>
    <w:p w14:paraId="28C9009E"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3、《基金合同》生效后与基金相关的信息披露费用；</w:t>
      </w:r>
    </w:p>
    <w:p w14:paraId="42298045"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4、《基金合同》生效后与基金相关的会计师费、律师费、仲裁费和诉讼费；</w:t>
      </w:r>
    </w:p>
    <w:p w14:paraId="4D2AACDC"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5、基金份额持有人大会费用；</w:t>
      </w:r>
    </w:p>
    <w:p w14:paraId="79364CEF"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6、基金的证券/期货交易费用；</w:t>
      </w:r>
    </w:p>
    <w:p w14:paraId="333264EF"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7、基金的银行汇划费用；</w:t>
      </w:r>
    </w:p>
    <w:p w14:paraId="2F570542"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8、基金的开户费用、账户维护费用；</w:t>
      </w:r>
    </w:p>
    <w:p w14:paraId="3871860D"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9、本基金从C类基金份额的基金财产中计提的销售服务费；</w:t>
      </w:r>
    </w:p>
    <w:p w14:paraId="3A2E96C4" w14:textId="1DBABC50" w:rsidR="00FD086C" w:rsidRDefault="004B071E" w:rsidP="006A539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10、按照国家有关规定和《基金合同》约定，可以在基金财产中列支的其他费用。</w:t>
      </w:r>
    </w:p>
    <w:p w14:paraId="285AA5F6" w14:textId="77777777" w:rsidR="00FD086C" w:rsidRPr="00040D5C" w:rsidRDefault="004B071E">
      <w:pPr>
        <w:autoSpaceDE w:val="0"/>
        <w:autoSpaceDN w:val="0"/>
        <w:adjustRightInd w:val="0"/>
        <w:snapToGrid w:val="0"/>
        <w:spacing w:line="360" w:lineRule="auto"/>
        <w:ind w:firstLineChars="200" w:firstLine="482"/>
        <w:jc w:val="left"/>
        <w:rPr>
          <w:rFonts w:ascii="宋体" w:hAnsi="宋体"/>
          <w:b/>
          <w:szCs w:val="24"/>
        </w:rPr>
      </w:pPr>
      <w:r w:rsidRPr="00040D5C">
        <w:rPr>
          <w:rFonts w:ascii="宋体" w:hAnsi="宋体"/>
          <w:b/>
          <w:sz w:val="24"/>
        </w:rPr>
        <w:t>（二）基金费用计提方法、计提标准和支付方式</w:t>
      </w:r>
    </w:p>
    <w:p w14:paraId="389D9028"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1、与基金运作有关的费用</w:t>
      </w:r>
    </w:p>
    <w:p w14:paraId="0FB01471"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（1）基金管理人的管理费</w:t>
      </w:r>
    </w:p>
    <w:p w14:paraId="710CF895"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本基金的管理费按前一日基金资产净值的0.5%年费率计提。管理费的计算方法如下：</w:t>
      </w:r>
    </w:p>
    <w:p w14:paraId="19A95B8D"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H＝E×0.5%÷当年天数</w:t>
      </w:r>
    </w:p>
    <w:p w14:paraId="1129E799"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H为每日应计提的基金管理费</w:t>
      </w:r>
    </w:p>
    <w:p w14:paraId="0FA694FA"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E为前一日的基金资产净值</w:t>
      </w:r>
    </w:p>
    <w:p w14:paraId="20144DEA" w14:textId="6A20D42A" w:rsidR="006A539F" w:rsidRDefault="006A539F">
      <w:pPr>
        <w:autoSpaceDE w:val="0"/>
        <w:autoSpaceDN w:val="0"/>
        <w:adjustRightInd w:val="0"/>
        <w:snapToGrid w:val="0"/>
        <w:spacing w:line="360" w:lineRule="auto"/>
        <w:ind w:firstLineChars="200" w:firstLine="480"/>
        <w:jc w:val="left"/>
        <w:rPr>
          <w:rFonts w:ascii="宋体" w:hAnsi="宋体"/>
          <w:sz w:val="24"/>
        </w:rPr>
      </w:pPr>
      <w:r w:rsidRPr="006A539F">
        <w:rPr>
          <w:rFonts w:ascii="宋体" w:hAnsi="宋体" w:hint="eastAsia"/>
          <w:sz w:val="24"/>
        </w:rPr>
        <w:t>基金管理费每日计提，逐日累计至每月月末，按月支付。由基金管理人</w:t>
      </w:r>
      <w:r w:rsidR="00213A21">
        <w:rPr>
          <w:rFonts w:hint="eastAsia"/>
          <w:bCs/>
          <w:sz w:val="24"/>
        </w:rPr>
        <w:t>根据双方核对一致的数据</w:t>
      </w:r>
      <w:r w:rsidRPr="006A539F">
        <w:rPr>
          <w:rFonts w:ascii="宋体" w:hAnsi="宋体" w:hint="eastAsia"/>
          <w:sz w:val="24"/>
        </w:rPr>
        <w:t>向</w:t>
      </w:r>
      <w:r w:rsidR="00213A21">
        <w:rPr>
          <w:rFonts w:ascii="宋体" w:hAnsi="宋体" w:hint="eastAsia"/>
          <w:sz w:val="24"/>
        </w:rPr>
        <w:t>基金托管人发送划付指令，基金托管人</w:t>
      </w:r>
      <w:r w:rsidRPr="006A539F">
        <w:rPr>
          <w:rFonts w:ascii="宋体" w:hAnsi="宋体" w:hint="eastAsia"/>
          <w:sz w:val="24"/>
        </w:rPr>
        <w:t>于次月首日起3个工作日内从基金财产中一次性支付给基金管理人。若遇法定节假日、休息日或不可抗力致使无法按时支付的，顺延至最近可支付日支付。</w:t>
      </w:r>
    </w:p>
    <w:p w14:paraId="21EBD0A4"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（2）基金托管人的托管费</w:t>
      </w:r>
    </w:p>
    <w:p w14:paraId="6EAFF805" w14:textId="1EDFF3CF"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本基金的托管费按前一日基金资产净值的0.1%的年费率计提。托管费的计算方法如下：</w:t>
      </w:r>
    </w:p>
    <w:p w14:paraId="6FCACCDA" w14:textId="1099158F"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H＝E×0.1%÷当年天数</w:t>
      </w:r>
    </w:p>
    <w:p w14:paraId="5221BCE8"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H为每日应计提的基金托管费</w:t>
      </w:r>
    </w:p>
    <w:p w14:paraId="7358F7E7"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E为前一日的基金资产净值</w:t>
      </w:r>
    </w:p>
    <w:p w14:paraId="6CE853D9" w14:textId="65D82B6B" w:rsidR="006A539F" w:rsidRDefault="006A539F">
      <w:pPr>
        <w:autoSpaceDE w:val="0"/>
        <w:autoSpaceDN w:val="0"/>
        <w:adjustRightInd w:val="0"/>
        <w:snapToGrid w:val="0"/>
        <w:spacing w:line="360" w:lineRule="auto"/>
        <w:ind w:firstLineChars="200" w:firstLine="480"/>
        <w:jc w:val="left"/>
        <w:rPr>
          <w:rFonts w:ascii="宋体" w:hAnsi="宋体"/>
          <w:sz w:val="24"/>
        </w:rPr>
      </w:pPr>
      <w:r w:rsidRPr="006A539F">
        <w:rPr>
          <w:rFonts w:ascii="宋体" w:hAnsi="宋体" w:hint="eastAsia"/>
          <w:sz w:val="24"/>
        </w:rPr>
        <w:t>基金托管费每日计提，逐日累计至每月月末，按月支付。由基金管理人</w:t>
      </w:r>
      <w:r w:rsidR="00213A21">
        <w:rPr>
          <w:rFonts w:hint="eastAsia"/>
          <w:bCs/>
          <w:sz w:val="24"/>
        </w:rPr>
        <w:t>根据双方核对一致的数据</w:t>
      </w:r>
      <w:r w:rsidRPr="006A539F">
        <w:rPr>
          <w:rFonts w:ascii="宋体" w:hAnsi="宋体" w:hint="eastAsia"/>
          <w:sz w:val="24"/>
        </w:rPr>
        <w:t>向</w:t>
      </w:r>
      <w:r w:rsidR="00213A21">
        <w:rPr>
          <w:rFonts w:ascii="宋体" w:hAnsi="宋体" w:hint="eastAsia"/>
          <w:sz w:val="24"/>
        </w:rPr>
        <w:t>基金托管人发送划付指令，基金托管人</w:t>
      </w:r>
      <w:r w:rsidRPr="006A539F">
        <w:rPr>
          <w:rFonts w:ascii="宋体" w:hAnsi="宋体" w:hint="eastAsia"/>
          <w:sz w:val="24"/>
        </w:rPr>
        <w:t>于次月首日起3个工作日内从基金财产中一次性支取。若遇法定节假日、休息日或不可抗力致使无法按时支付的，顺延至最近可支付日支付。</w:t>
      </w:r>
    </w:p>
    <w:p w14:paraId="163A5E40"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（3）C类基金份额的销售服务费</w:t>
      </w:r>
    </w:p>
    <w:p w14:paraId="583E6B41" w14:textId="4FB14DAF"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本基金A类基金份额不收取销售服务费，C类基金份额的销售服务费按前一日C类基金资产净值的0.</w:t>
      </w:r>
      <w:r w:rsidR="006A539F">
        <w:rPr>
          <w:rFonts w:ascii="宋体" w:hAnsi="宋体"/>
          <w:sz w:val="24"/>
        </w:rPr>
        <w:t>25</w:t>
      </w:r>
      <w:r>
        <w:rPr>
          <w:rFonts w:ascii="宋体" w:hAnsi="宋体"/>
          <w:sz w:val="24"/>
        </w:rPr>
        <w:t>%年费率计提。计算方法如下：</w:t>
      </w:r>
    </w:p>
    <w:p w14:paraId="6DA58AAE" w14:textId="5FFE04D8"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H＝E×0.</w:t>
      </w:r>
      <w:r w:rsidR="006A539F">
        <w:rPr>
          <w:rFonts w:ascii="宋体" w:hAnsi="宋体"/>
          <w:sz w:val="24"/>
        </w:rPr>
        <w:t>25</w:t>
      </w:r>
      <w:r>
        <w:rPr>
          <w:rFonts w:ascii="宋体" w:hAnsi="宋体"/>
          <w:sz w:val="24"/>
        </w:rPr>
        <w:t>%÷当年天数</w:t>
      </w:r>
    </w:p>
    <w:p w14:paraId="02C62EE6"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H为C类基金份额每日应计提的销售服务费</w:t>
      </w:r>
    </w:p>
    <w:p w14:paraId="0801E06F"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E为C类基金份额前一日基金资产净值</w:t>
      </w:r>
    </w:p>
    <w:p w14:paraId="497C3287" w14:textId="1C41A64A" w:rsidR="006A539F" w:rsidRDefault="006A539F">
      <w:pPr>
        <w:autoSpaceDE w:val="0"/>
        <w:autoSpaceDN w:val="0"/>
        <w:adjustRightInd w:val="0"/>
        <w:snapToGrid w:val="0"/>
        <w:spacing w:line="360" w:lineRule="auto"/>
        <w:ind w:firstLineChars="200" w:firstLine="480"/>
        <w:jc w:val="left"/>
        <w:rPr>
          <w:rFonts w:ascii="宋体" w:hAnsi="宋体"/>
          <w:sz w:val="24"/>
        </w:rPr>
      </w:pPr>
      <w:r w:rsidRPr="006A539F">
        <w:rPr>
          <w:rFonts w:ascii="宋体" w:hAnsi="宋体" w:hint="eastAsia"/>
          <w:sz w:val="24"/>
        </w:rPr>
        <w:t>C类基金份额销售服务费每日计提，逐日累计至每月月末，按月支付。由基金管理人</w:t>
      </w:r>
      <w:r w:rsidR="00213A21">
        <w:rPr>
          <w:rFonts w:hint="eastAsia"/>
          <w:bCs/>
          <w:sz w:val="24"/>
        </w:rPr>
        <w:t>根据双方核对一致的数据</w:t>
      </w:r>
      <w:r w:rsidRPr="006A539F">
        <w:rPr>
          <w:rFonts w:ascii="宋体" w:hAnsi="宋体" w:hint="eastAsia"/>
          <w:sz w:val="24"/>
        </w:rPr>
        <w:t>向</w:t>
      </w:r>
      <w:r w:rsidR="00213A21">
        <w:rPr>
          <w:rFonts w:ascii="宋体" w:hAnsi="宋体" w:hint="eastAsia"/>
          <w:sz w:val="24"/>
        </w:rPr>
        <w:t>基金托管人发送销售服务费划付指令，基金托管人</w:t>
      </w:r>
      <w:r w:rsidRPr="006A539F">
        <w:rPr>
          <w:rFonts w:ascii="宋体" w:hAnsi="宋体" w:hint="eastAsia"/>
          <w:sz w:val="24"/>
        </w:rPr>
        <w:t>于次月首日起3个工作日内从基金财产中一次性支付给基金管理人，由基金管理人代付给销售机构。若遇法定节假日、休息日或不可抗力致使无法按时支付的，顺延至最近可支付日支付。</w:t>
      </w:r>
    </w:p>
    <w:p w14:paraId="1D35EC07"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C类基金份额的销售服务费将专门用于本基金的推广、销售与基金份额持有人服务。</w:t>
      </w:r>
    </w:p>
    <w:p w14:paraId="6B62337F" w14:textId="07F6B16C" w:rsidR="00FD086C" w:rsidRDefault="004B071E" w:rsidP="006A539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（4）上述“（一）基金费用的种类”中第3－8项、第10项费用，根据有关法规及相应协议规定，按费用实际支出金额列入当期费用，由基金托管人从基金财产中支付。</w:t>
      </w:r>
    </w:p>
    <w:p w14:paraId="315E7D6F"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2、与基金销售有关的费用</w:t>
      </w:r>
    </w:p>
    <w:p w14:paraId="10FECD30"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（1）申购费</w:t>
      </w:r>
    </w:p>
    <w:p w14:paraId="1A127751"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本基金申购费的费率水平、计算公式和收取方式详见“基金份额的申购与赎回”一章。</w:t>
      </w:r>
    </w:p>
    <w:p w14:paraId="51781FD6"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（2）赎回费</w:t>
      </w:r>
    </w:p>
    <w:p w14:paraId="086A448A"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本基金赎回费的费率水平、计算公式和收取方式详见“基金份额的申购与赎回”一章。</w:t>
      </w:r>
    </w:p>
    <w:p w14:paraId="6FD415E8" w14:textId="77777777" w:rsidR="00FD086C" w:rsidRPr="00040D5C" w:rsidRDefault="004B071E">
      <w:pPr>
        <w:autoSpaceDE w:val="0"/>
        <w:autoSpaceDN w:val="0"/>
        <w:adjustRightInd w:val="0"/>
        <w:snapToGrid w:val="0"/>
        <w:spacing w:line="360" w:lineRule="auto"/>
        <w:ind w:firstLineChars="200" w:firstLine="482"/>
        <w:jc w:val="left"/>
        <w:rPr>
          <w:rFonts w:ascii="宋体" w:hAnsi="宋体"/>
          <w:b/>
          <w:szCs w:val="24"/>
        </w:rPr>
      </w:pPr>
      <w:r w:rsidRPr="00040D5C">
        <w:rPr>
          <w:rFonts w:ascii="宋体" w:hAnsi="宋体"/>
          <w:b/>
          <w:sz w:val="24"/>
        </w:rPr>
        <w:t>（三）不列入基金费用的项目</w:t>
      </w:r>
    </w:p>
    <w:p w14:paraId="365952D4"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下列费用不列入基金费用：</w:t>
      </w:r>
    </w:p>
    <w:p w14:paraId="1BCB5813"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1、基金管理人和基金托管人因未履行或未完全履行义务导致的费用支出或基金财产的损失；</w:t>
      </w:r>
    </w:p>
    <w:p w14:paraId="62FE8833"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2、基金管理人和基金托管人处理与基金运作无关的事项发生的费用；</w:t>
      </w:r>
    </w:p>
    <w:p w14:paraId="59BBE850"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3、《基金合同》生效前的相关费用；</w:t>
      </w:r>
    </w:p>
    <w:p w14:paraId="0B160A2C" w14:textId="77777777" w:rsidR="0023744F" w:rsidRPr="0023744F" w:rsidRDefault="004B071E" w:rsidP="0023744F">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4、</w:t>
      </w:r>
      <w:r w:rsidR="0023744F" w:rsidRPr="0023744F">
        <w:rPr>
          <w:rFonts w:ascii="宋体" w:hAnsi="宋体" w:hint="eastAsia"/>
          <w:sz w:val="24"/>
        </w:rPr>
        <w:t>标的指数许可使用费（由基金管理人承担）；</w:t>
      </w:r>
    </w:p>
    <w:p w14:paraId="18CC3276" w14:textId="6790F16E" w:rsidR="00FD086C" w:rsidRDefault="0023744F" w:rsidP="0023744F">
      <w:pPr>
        <w:autoSpaceDE w:val="0"/>
        <w:autoSpaceDN w:val="0"/>
        <w:adjustRightInd w:val="0"/>
        <w:snapToGrid w:val="0"/>
        <w:spacing w:line="360" w:lineRule="auto"/>
        <w:ind w:firstLineChars="200" w:firstLine="480"/>
        <w:jc w:val="left"/>
        <w:rPr>
          <w:rFonts w:ascii="宋体" w:hAnsi="宋体"/>
          <w:szCs w:val="24"/>
        </w:rPr>
      </w:pPr>
      <w:r w:rsidRPr="0023744F">
        <w:rPr>
          <w:rFonts w:ascii="宋体" w:hAnsi="宋体" w:hint="eastAsia"/>
          <w:sz w:val="24"/>
        </w:rPr>
        <w:t>5、</w:t>
      </w:r>
      <w:r w:rsidR="004B071E">
        <w:rPr>
          <w:rFonts w:ascii="宋体" w:hAnsi="宋体"/>
          <w:sz w:val="24"/>
        </w:rPr>
        <w:t>其他根据相关法律法规及中国证监会的有关规定不得列入基金费用的项目。</w:t>
      </w:r>
    </w:p>
    <w:p w14:paraId="77FF95B1" w14:textId="77777777" w:rsidR="0023744F" w:rsidRPr="00040D5C" w:rsidRDefault="004B071E" w:rsidP="0023744F">
      <w:pPr>
        <w:autoSpaceDE w:val="0"/>
        <w:autoSpaceDN w:val="0"/>
        <w:adjustRightInd w:val="0"/>
        <w:snapToGrid w:val="0"/>
        <w:spacing w:line="360" w:lineRule="auto"/>
        <w:ind w:firstLineChars="200" w:firstLine="482"/>
        <w:jc w:val="left"/>
        <w:rPr>
          <w:rFonts w:ascii="宋体" w:hAnsi="宋体"/>
          <w:b/>
          <w:sz w:val="24"/>
        </w:rPr>
      </w:pPr>
      <w:r w:rsidRPr="00040D5C">
        <w:rPr>
          <w:rFonts w:ascii="宋体" w:hAnsi="宋体"/>
          <w:b/>
          <w:sz w:val="24"/>
        </w:rPr>
        <w:t>（四）</w:t>
      </w:r>
      <w:r w:rsidR="0023744F" w:rsidRPr="00040D5C">
        <w:rPr>
          <w:rFonts w:ascii="宋体" w:hAnsi="宋体" w:hint="eastAsia"/>
          <w:b/>
          <w:sz w:val="24"/>
        </w:rPr>
        <w:t>实施侧袋机制期间的基金费用</w:t>
      </w:r>
    </w:p>
    <w:p w14:paraId="231E99DE" w14:textId="77777777" w:rsidR="0023744F" w:rsidRPr="0023744F" w:rsidRDefault="0023744F" w:rsidP="0023744F">
      <w:pPr>
        <w:autoSpaceDE w:val="0"/>
        <w:autoSpaceDN w:val="0"/>
        <w:adjustRightInd w:val="0"/>
        <w:snapToGrid w:val="0"/>
        <w:spacing w:line="360" w:lineRule="auto"/>
        <w:ind w:firstLineChars="200" w:firstLine="480"/>
        <w:jc w:val="left"/>
        <w:rPr>
          <w:rFonts w:ascii="宋体" w:hAnsi="宋体"/>
          <w:sz w:val="24"/>
        </w:rPr>
      </w:pPr>
      <w:r w:rsidRPr="0023744F">
        <w:rPr>
          <w:rFonts w:ascii="宋体" w:hAnsi="宋体" w:hint="eastAsia"/>
          <w:sz w:val="24"/>
        </w:rPr>
        <w:t>本基金实施侧袋机制的，与侧袋账户有关的费用可以从侧袋账户中列支，但应待侧袋账户资产变现后方可列支，有关费用可酌情收取或减免，但不得收取管理费，详见本招募说明书“侧袋机制”部分的规定。</w:t>
      </w:r>
    </w:p>
    <w:p w14:paraId="6CB893D5" w14:textId="6801A925" w:rsidR="00FD086C" w:rsidRPr="00040D5C" w:rsidRDefault="0023744F" w:rsidP="0023744F">
      <w:pPr>
        <w:autoSpaceDE w:val="0"/>
        <w:autoSpaceDN w:val="0"/>
        <w:adjustRightInd w:val="0"/>
        <w:snapToGrid w:val="0"/>
        <w:spacing w:line="360" w:lineRule="auto"/>
        <w:ind w:firstLineChars="200" w:firstLine="482"/>
        <w:jc w:val="left"/>
        <w:rPr>
          <w:rFonts w:ascii="宋体" w:hAnsi="宋体"/>
          <w:b/>
          <w:szCs w:val="24"/>
        </w:rPr>
      </w:pPr>
      <w:r w:rsidRPr="00040D5C">
        <w:rPr>
          <w:rFonts w:ascii="宋体" w:hAnsi="宋体" w:hint="eastAsia"/>
          <w:b/>
          <w:sz w:val="24"/>
        </w:rPr>
        <w:t>（五）</w:t>
      </w:r>
      <w:r w:rsidR="004B071E" w:rsidRPr="00040D5C">
        <w:rPr>
          <w:rFonts w:ascii="宋体" w:hAnsi="宋体"/>
          <w:b/>
          <w:sz w:val="24"/>
        </w:rPr>
        <w:t>基金税收</w:t>
      </w:r>
    </w:p>
    <w:p w14:paraId="7381132E" w14:textId="1E0139E7" w:rsidR="00FD086C" w:rsidRDefault="004B071E" w:rsidP="00D80A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39C9CD57" w14:textId="30171934" w:rsidR="00A37EB9" w:rsidRDefault="00A37EB9" w:rsidP="00040D5C">
      <w:pPr>
        <w:autoSpaceDE w:val="0"/>
        <w:autoSpaceDN w:val="0"/>
        <w:adjustRightInd w:val="0"/>
        <w:spacing w:line="360" w:lineRule="auto"/>
        <w:rPr>
          <w:rFonts w:ascii="宋体" w:hAnsi="宋体"/>
          <w:szCs w:val="24"/>
        </w:rPr>
      </w:pPr>
    </w:p>
    <w:p w14:paraId="0DD74D03" w14:textId="012EA1E8" w:rsidR="00FD086C" w:rsidRDefault="0023744F">
      <w:pPr>
        <w:pStyle w:val="1"/>
        <w:snapToGrid w:val="0"/>
        <w:spacing w:beforeLines="0" w:before="240" w:after="240"/>
        <w:rPr>
          <w:rFonts w:ascii="宋体" w:hAnsi="宋体"/>
          <w:szCs w:val="30"/>
        </w:rPr>
      </w:pPr>
      <w:r>
        <w:rPr>
          <w:rFonts w:ascii="Times New Roman" w:hAnsi="Times New Roman"/>
          <w:sz w:val="30"/>
        </w:rPr>
        <w:br w:type="page"/>
      </w:r>
      <w:bookmarkStart w:id="27" w:name="_Toc147840632"/>
      <w:r w:rsidR="004B071E">
        <w:rPr>
          <w:rFonts w:ascii="Times New Roman" w:hAnsi="Times New Roman"/>
          <w:sz w:val="30"/>
        </w:rPr>
        <w:lastRenderedPageBreak/>
        <w:t>十</w:t>
      </w:r>
      <w:r>
        <w:rPr>
          <w:rFonts w:ascii="Times New Roman" w:hAnsi="Times New Roman" w:hint="eastAsia"/>
          <w:sz w:val="30"/>
        </w:rPr>
        <w:t>四</w:t>
      </w:r>
      <w:r w:rsidR="004B071E">
        <w:rPr>
          <w:rFonts w:ascii="Times New Roman" w:hAnsi="Times New Roman"/>
          <w:sz w:val="30"/>
        </w:rPr>
        <w:t>、基金的会计与审计</w:t>
      </w:r>
      <w:bookmarkEnd w:id="27"/>
    </w:p>
    <w:p w14:paraId="17B22DBB" w14:textId="77777777" w:rsidR="00FD086C" w:rsidRPr="00040D5C" w:rsidRDefault="004B071E">
      <w:pPr>
        <w:autoSpaceDE w:val="0"/>
        <w:autoSpaceDN w:val="0"/>
        <w:adjustRightInd w:val="0"/>
        <w:snapToGrid w:val="0"/>
        <w:spacing w:line="360" w:lineRule="auto"/>
        <w:ind w:firstLineChars="200" w:firstLine="482"/>
        <w:jc w:val="left"/>
        <w:rPr>
          <w:rFonts w:ascii="宋体" w:hAnsi="宋体"/>
          <w:b/>
          <w:szCs w:val="24"/>
        </w:rPr>
      </w:pPr>
      <w:r w:rsidRPr="00040D5C">
        <w:rPr>
          <w:rFonts w:ascii="宋体" w:hAnsi="宋体"/>
          <w:b/>
          <w:sz w:val="24"/>
        </w:rPr>
        <w:t>（一）基金会计政策</w:t>
      </w:r>
    </w:p>
    <w:p w14:paraId="299116E8"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1、基金管理人为本基金的基金会计责任方；</w:t>
      </w:r>
    </w:p>
    <w:p w14:paraId="3E28900F"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2、基金的会计年度为公历年度的1月1日至12月31日；基金首次募集的会计年度按如下原则：如果《基金合同》生效少于2个月，可以并入下一个会计年度披露；</w:t>
      </w:r>
    </w:p>
    <w:p w14:paraId="352B57C2"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3、基金核算以人民币为记账本位币，以人民币元为记账单位；</w:t>
      </w:r>
    </w:p>
    <w:p w14:paraId="5AD26BD1"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4、会计制度执行国家有关会计制度；</w:t>
      </w:r>
    </w:p>
    <w:p w14:paraId="557F0F8F"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5、本基金独立建账、独立核算；</w:t>
      </w:r>
    </w:p>
    <w:p w14:paraId="0684CA9A"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6、基金管理人及基金托管人各自保留完整的会计账目、凭证并进行日常的会计核算，按照有关规定编制基金会计报表；</w:t>
      </w:r>
    </w:p>
    <w:p w14:paraId="2F5D2DC5" w14:textId="5410B5E3"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7、基金托管人每月与基金管理人就基金的会计核算、报表编制等进行核对并以</w:t>
      </w:r>
      <w:r w:rsidR="002A4E69" w:rsidRPr="002A4E69">
        <w:rPr>
          <w:rFonts w:ascii="宋体" w:hAnsi="宋体" w:hint="eastAsia"/>
          <w:sz w:val="24"/>
        </w:rPr>
        <w:t>双方认可的</w:t>
      </w:r>
      <w:r>
        <w:rPr>
          <w:rFonts w:ascii="宋体" w:hAnsi="宋体"/>
          <w:sz w:val="24"/>
        </w:rPr>
        <w:t>方式确认。</w:t>
      </w:r>
    </w:p>
    <w:p w14:paraId="24B19E68" w14:textId="77777777" w:rsidR="00FD086C" w:rsidRPr="00040D5C" w:rsidRDefault="004B071E">
      <w:pPr>
        <w:autoSpaceDE w:val="0"/>
        <w:autoSpaceDN w:val="0"/>
        <w:adjustRightInd w:val="0"/>
        <w:snapToGrid w:val="0"/>
        <w:spacing w:line="360" w:lineRule="auto"/>
        <w:ind w:firstLineChars="200" w:firstLine="482"/>
        <w:jc w:val="left"/>
        <w:rPr>
          <w:rFonts w:ascii="宋体" w:hAnsi="宋体"/>
          <w:b/>
          <w:szCs w:val="24"/>
        </w:rPr>
      </w:pPr>
      <w:r w:rsidRPr="00040D5C">
        <w:rPr>
          <w:rFonts w:ascii="宋体" w:hAnsi="宋体"/>
          <w:b/>
          <w:sz w:val="24"/>
        </w:rPr>
        <w:t>（二）基金的年度审计</w:t>
      </w:r>
    </w:p>
    <w:p w14:paraId="4D16CC54"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1、基金管理人聘请与基金管理人、基金托管人相互独立的符合《中华人民共和国证券法》规定的会计师事务所及其注册会计师对本基金的年度财务报表进行审计。</w:t>
      </w:r>
    </w:p>
    <w:p w14:paraId="7EA99677"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2、会计师事务所更换经办注册会计师，应事先征得基金管理人同意。</w:t>
      </w:r>
    </w:p>
    <w:p w14:paraId="4AFE5F45" w14:textId="5478A67C"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3、基金管理人认为有充足理由更换会计师事务所，须通报基金托管人。更换会计师事务所需</w:t>
      </w:r>
      <w:r w:rsidR="00BD113A">
        <w:rPr>
          <w:rFonts w:ascii="宋体" w:hAnsi="宋体" w:hint="eastAsia"/>
          <w:sz w:val="24"/>
        </w:rPr>
        <w:t>依</w:t>
      </w:r>
      <w:r>
        <w:rPr>
          <w:rFonts w:ascii="宋体" w:hAnsi="宋体"/>
          <w:sz w:val="24"/>
        </w:rPr>
        <w:t>照《信息披露办法》的规定在规定媒介公告。</w:t>
      </w:r>
    </w:p>
    <w:p w14:paraId="1B99C6A4" w14:textId="3397D550" w:rsidR="00A37EB9" w:rsidRDefault="00A37EB9" w:rsidP="00040D5C">
      <w:pPr>
        <w:autoSpaceDE w:val="0"/>
        <w:autoSpaceDN w:val="0"/>
        <w:adjustRightInd w:val="0"/>
        <w:spacing w:line="360" w:lineRule="auto"/>
        <w:rPr>
          <w:rFonts w:ascii="宋体" w:hAnsi="宋体"/>
          <w:szCs w:val="24"/>
        </w:rPr>
      </w:pPr>
    </w:p>
    <w:p w14:paraId="75663C9E" w14:textId="62DF37FA" w:rsidR="00FD086C" w:rsidRDefault="002A4E69">
      <w:pPr>
        <w:pStyle w:val="1"/>
        <w:snapToGrid w:val="0"/>
        <w:spacing w:beforeLines="0" w:before="240" w:after="240"/>
        <w:rPr>
          <w:rFonts w:ascii="宋体" w:hAnsi="宋体"/>
          <w:szCs w:val="30"/>
        </w:rPr>
      </w:pPr>
      <w:r>
        <w:rPr>
          <w:rFonts w:ascii="Times New Roman" w:hAnsi="Times New Roman"/>
          <w:sz w:val="30"/>
        </w:rPr>
        <w:br w:type="page"/>
      </w:r>
      <w:bookmarkStart w:id="28" w:name="_Toc147840633"/>
      <w:r w:rsidR="004B071E">
        <w:rPr>
          <w:rFonts w:ascii="Times New Roman" w:hAnsi="Times New Roman"/>
          <w:sz w:val="30"/>
        </w:rPr>
        <w:lastRenderedPageBreak/>
        <w:t>十</w:t>
      </w:r>
      <w:r>
        <w:rPr>
          <w:rFonts w:ascii="Times New Roman" w:hAnsi="Times New Roman" w:hint="eastAsia"/>
          <w:sz w:val="30"/>
        </w:rPr>
        <w:t>五</w:t>
      </w:r>
      <w:r w:rsidR="004B071E">
        <w:rPr>
          <w:rFonts w:ascii="Times New Roman" w:hAnsi="Times New Roman"/>
          <w:sz w:val="30"/>
        </w:rPr>
        <w:t>、基金的信息披露</w:t>
      </w:r>
      <w:bookmarkEnd w:id="28"/>
    </w:p>
    <w:p w14:paraId="6E307EB2" w14:textId="28E03C51" w:rsidR="00FD086C" w:rsidRPr="00040D5C" w:rsidRDefault="004B071E">
      <w:pPr>
        <w:autoSpaceDE w:val="0"/>
        <w:autoSpaceDN w:val="0"/>
        <w:adjustRightInd w:val="0"/>
        <w:snapToGrid w:val="0"/>
        <w:spacing w:line="360" w:lineRule="auto"/>
        <w:ind w:firstLineChars="200" w:firstLine="482"/>
        <w:jc w:val="left"/>
        <w:rPr>
          <w:rFonts w:ascii="宋体" w:hAnsi="宋体"/>
          <w:b/>
          <w:szCs w:val="24"/>
        </w:rPr>
      </w:pPr>
      <w:r w:rsidRPr="00040D5C">
        <w:rPr>
          <w:rFonts w:ascii="宋体" w:hAnsi="宋体"/>
          <w:b/>
          <w:sz w:val="24"/>
        </w:rPr>
        <w:t>（一）本基金的信息披露应符合《基金法》、《运作办法》、《信息披露办法》、《流动性风险管理规定》、《基金合同》及其他有关规定。</w:t>
      </w:r>
      <w:r w:rsidR="002A4E69" w:rsidRPr="00040D5C">
        <w:rPr>
          <w:rFonts w:ascii="宋体" w:hAnsi="宋体" w:hint="eastAsia"/>
          <w:b/>
          <w:sz w:val="24"/>
        </w:rPr>
        <w:t>相关法律法规关于信息披露的规定发生变化时，本基金从其最新规定。</w:t>
      </w:r>
    </w:p>
    <w:p w14:paraId="557951E6" w14:textId="77777777" w:rsidR="00FD086C" w:rsidRPr="00040D5C" w:rsidRDefault="004B071E">
      <w:pPr>
        <w:autoSpaceDE w:val="0"/>
        <w:autoSpaceDN w:val="0"/>
        <w:adjustRightInd w:val="0"/>
        <w:snapToGrid w:val="0"/>
        <w:spacing w:line="360" w:lineRule="auto"/>
        <w:ind w:firstLineChars="200" w:firstLine="482"/>
        <w:jc w:val="left"/>
        <w:rPr>
          <w:rFonts w:ascii="宋体" w:hAnsi="宋体"/>
          <w:b/>
          <w:szCs w:val="24"/>
        </w:rPr>
      </w:pPr>
      <w:r w:rsidRPr="00040D5C">
        <w:rPr>
          <w:rFonts w:ascii="宋体" w:hAnsi="宋体"/>
          <w:b/>
          <w:sz w:val="24"/>
        </w:rPr>
        <w:t>（二）信息披露义务人</w:t>
      </w:r>
    </w:p>
    <w:p w14:paraId="2A47B94D"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本基金信息披露义务人包括基金管理人、基金托管人、召集基金份额持有人大会的基金份额持有人等法律、行政法规和中国证监会规定的自然人、法人和非法人组织。</w:t>
      </w:r>
    </w:p>
    <w:p w14:paraId="1C9C8329"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本基金信息披露义务人以保护基金份额持有人利益为根本出发点，按照法律法规和中国证监会的规定披露基金信息，并保证所披露信息的真实性、准确性、完整性、及时性、简明性和易得性。</w:t>
      </w:r>
    </w:p>
    <w:p w14:paraId="3B607A9C"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信息披露义务人应当在中国证监会规定时间内，将应予披露的基金信息通过符合中国证监会规定条件的全国性报刊（以下简称“规定报刊”）及《信息披露办法》规定的互联网网站（以下简称“规定网站”）等媒介披露，并保证基金投资者能够按照《基金合同》约定的时间和方式查阅或者复制公开披露的信息资料。</w:t>
      </w:r>
    </w:p>
    <w:p w14:paraId="7F4C8DC8" w14:textId="77777777" w:rsidR="00FD086C" w:rsidRPr="00040D5C" w:rsidRDefault="004B071E">
      <w:pPr>
        <w:autoSpaceDE w:val="0"/>
        <w:autoSpaceDN w:val="0"/>
        <w:adjustRightInd w:val="0"/>
        <w:snapToGrid w:val="0"/>
        <w:spacing w:line="360" w:lineRule="auto"/>
        <w:ind w:firstLineChars="200" w:firstLine="482"/>
        <w:jc w:val="left"/>
        <w:rPr>
          <w:rFonts w:ascii="宋体" w:hAnsi="宋体"/>
          <w:b/>
          <w:szCs w:val="24"/>
        </w:rPr>
      </w:pPr>
      <w:r w:rsidRPr="00040D5C">
        <w:rPr>
          <w:rFonts w:ascii="宋体" w:hAnsi="宋体"/>
          <w:b/>
          <w:sz w:val="24"/>
        </w:rPr>
        <w:t>（三）本基金信息披露义务人承诺公开披露的基金信息，不得有下列行为：</w:t>
      </w:r>
    </w:p>
    <w:p w14:paraId="36E82D10"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1、虚假记载、误导性陈述或者重大遗漏；</w:t>
      </w:r>
    </w:p>
    <w:p w14:paraId="04159EF3"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2、对证券投资业绩进行预测；</w:t>
      </w:r>
    </w:p>
    <w:p w14:paraId="4C7F857A"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3、违规承诺收益或者承担损失；</w:t>
      </w:r>
    </w:p>
    <w:p w14:paraId="533071CF"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4、诋毁其他基金管理人、基金托管人或者基金销售机构；</w:t>
      </w:r>
    </w:p>
    <w:p w14:paraId="048AFFE6"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5、登载任何自然人、法人和非法人组织的祝贺性、恭维性或推荐性的文字；</w:t>
      </w:r>
    </w:p>
    <w:p w14:paraId="6387CB08"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6、中国证监会禁止的其他行为。</w:t>
      </w:r>
    </w:p>
    <w:p w14:paraId="6B84DFC0" w14:textId="77777777" w:rsidR="00FD086C" w:rsidRPr="00040D5C" w:rsidRDefault="004B071E">
      <w:pPr>
        <w:autoSpaceDE w:val="0"/>
        <w:autoSpaceDN w:val="0"/>
        <w:adjustRightInd w:val="0"/>
        <w:snapToGrid w:val="0"/>
        <w:spacing w:line="360" w:lineRule="auto"/>
        <w:ind w:firstLineChars="200" w:firstLine="482"/>
        <w:jc w:val="left"/>
        <w:rPr>
          <w:rFonts w:ascii="宋体" w:hAnsi="宋体"/>
          <w:b/>
          <w:szCs w:val="24"/>
        </w:rPr>
      </w:pPr>
      <w:r w:rsidRPr="00040D5C">
        <w:rPr>
          <w:rFonts w:ascii="宋体" w:hAnsi="宋体"/>
          <w:b/>
          <w:sz w:val="24"/>
        </w:rPr>
        <w:t>（四）本基金公开披露的信息应采用中文文本。如同时采用外文文本的，基金信息披露义务人应保证不同文本的内容一致。不同文本之间发生歧义的，以中文文本为准。</w:t>
      </w:r>
    </w:p>
    <w:p w14:paraId="6388AD87"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本基金公开披露的信息采用阿拉伯数字；除特别说明外，货币单位为人民币元。</w:t>
      </w:r>
    </w:p>
    <w:p w14:paraId="0D75F9B9" w14:textId="77777777" w:rsidR="00FD086C" w:rsidRPr="00040D5C" w:rsidRDefault="004B071E">
      <w:pPr>
        <w:autoSpaceDE w:val="0"/>
        <w:autoSpaceDN w:val="0"/>
        <w:adjustRightInd w:val="0"/>
        <w:snapToGrid w:val="0"/>
        <w:spacing w:line="360" w:lineRule="auto"/>
        <w:ind w:firstLineChars="200" w:firstLine="482"/>
        <w:jc w:val="left"/>
        <w:rPr>
          <w:rFonts w:ascii="宋体" w:hAnsi="宋体"/>
          <w:b/>
          <w:szCs w:val="24"/>
        </w:rPr>
      </w:pPr>
      <w:r w:rsidRPr="00040D5C">
        <w:rPr>
          <w:rFonts w:ascii="宋体" w:hAnsi="宋体"/>
          <w:b/>
          <w:sz w:val="24"/>
        </w:rPr>
        <w:t>（五）公开披露的基金信息</w:t>
      </w:r>
    </w:p>
    <w:p w14:paraId="01F9F458"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公开披露的基金信息包括：</w:t>
      </w:r>
    </w:p>
    <w:p w14:paraId="6D1F880B"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1、基金招募说明书、《基金合同》、基金托管协议、基金产品资料概要</w:t>
      </w:r>
    </w:p>
    <w:p w14:paraId="6DB2F10D"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（1）《基金合同》是界定《基金合同》当事人的各项权利、义务关系，明确基金份额持有人大会召开的规则及具体程序，说明基金产品的特性等涉及基金投资者重大利益的事项的法律文件。</w:t>
      </w:r>
    </w:p>
    <w:p w14:paraId="04D67597"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w:t>
      </w:r>
    </w:p>
    <w:p w14:paraId="3269CAB1"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（3）基金托管协议是界定基金托管人和基金管理人在基金财产保管及基金运作监督等活动中的权利、义务关系的法律文件。</w:t>
      </w:r>
    </w:p>
    <w:p w14:paraId="1F91C1EB"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w:t>
      </w:r>
    </w:p>
    <w:p w14:paraId="2AF2FB39" w14:textId="77777777" w:rsidR="002A4E69" w:rsidRDefault="002A4E69" w:rsidP="002A4E69">
      <w:pPr>
        <w:spacing w:line="360" w:lineRule="auto"/>
        <w:ind w:firstLineChars="200" w:firstLine="480"/>
        <w:rPr>
          <w:bCs/>
          <w:sz w:val="24"/>
        </w:rPr>
      </w:pPr>
      <w:r w:rsidRPr="006840F7">
        <w:rPr>
          <w:rFonts w:hint="eastAsia"/>
          <w:bCs/>
          <w:sz w:val="24"/>
        </w:rPr>
        <w:t>基金募集申请经中国证监会注册后，基金管理人在基金份额发售的三日前，将基金份额发售公告、基金招募说明书提示性公告和《基金合同》提示性公告登载在规定报刊上，将基金份额发售公告、基金招募说明书、基金产品资料概要、《基金合同》和基金托管协议登载在规定网站上，并将基金产品资料概要登载在基金销售机构网站或营业网点；基金托管人应当同时将《基金合同》、基金托管协议登载在网站上。</w:t>
      </w:r>
    </w:p>
    <w:p w14:paraId="7DA35177"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2、基金份额发售公告</w:t>
      </w:r>
    </w:p>
    <w:p w14:paraId="7D7935B1"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基金管理人应当就基金份额发售的具体事宜编制基金份额发售公告，并在披露招募说明书的当日登载于规定媒介上。</w:t>
      </w:r>
    </w:p>
    <w:p w14:paraId="2E0DC40F"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3、《基金合同》生效公告</w:t>
      </w:r>
    </w:p>
    <w:p w14:paraId="6127378F"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基金管理人应当在收到中国证监会确认文件的次日在规定媒介上登载《基金合同》生效公告。</w:t>
      </w:r>
    </w:p>
    <w:p w14:paraId="388B470F"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4、基金净值信息</w:t>
      </w:r>
    </w:p>
    <w:p w14:paraId="582C5ADA" w14:textId="77777777" w:rsidR="002A4E69" w:rsidRDefault="002A4E69">
      <w:pPr>
        <w:autoSpaceDE w:val="0"/>
        <w:autoSpaceDN w:val="0"/>
        <w:adjustRightInd w:val="0"/>
        <w:snapToGrid w:val="0"/>
        <w:spacing w:line="360" w:lineRule="auto"/>
        <w:ind w:firstLineChars="200" w:firstLine="480"/>
        <w:jc w:val="left"/>
        <w:rPr>
          <w:rFonts w:ascii="宋体" w:hAnsi="宋体"/>
          <w:sz w:val="24"/>
        </w:rPr>
      </w:pPr>
      <w:r w:rsidRPr="002A4E69">
        <w:rPr>
          <w:rFonts w:ascii="宋体" w:hAnsi="宋体" w:hint="eastAsia"/>
          <w:sz w:val="24"/>
        </w:rPr>
        <w:t>《基金合同》生效后，在开始办理基金份额申购或者赎回前，基金管理人应当至少每周在规定网站分别披露一次A类基金份额和C类基金份额所对应的基金份额净值和基金份额累计净值。</w:t>
      </w:r>
    </w:p>
    <w:p w14:paraId="5FDEB33E"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开始办理基金份额申购或者赎回后，基金管理人应当在不晚于每个开放日的次日，通过规定网站、基金销售机构网站或者营业网点分别披露开放日的A类基金份额和C类基金份额所对应的基金份额净值和基金份额累计净值。</w:t>
      </w:r>
    </w:p>
    <w:p w14:paraId="7D8F351A" w14:textId="4C329261"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基金管理人应当在不晚于半年度和年度最后一日的次日，在规定网站披露半年度和年度最后一日A类基金份额和C类基金份额所对应的基金份额净值和基金份额累计净值。</w:t>
      </w:r>
    </w:p>
    <w:p w14:paraId="79F50FA4"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5、基金份额申购、赎回价格</w:t>
      </w:r>
    </w:p>
    <w:p w14:paraId="496607AE"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基金管理人应当在《基金合同》、招募说明书等信息披露文件上载明基金份额申购、赎回价格的计算方式及有关申购、赎回费率，并保证投资者能够在基金销售机构网站或营业网点查阅或者复制前述信息资料。</w:t>
      </w:r>
    </w:p>
    <w:p w14:paraId="6A4176D9"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6、基金定期报告，包括基金年度报告、基金中期报告和基金季度报告</w:t>
      </w:r>
    </w:p>
    <w:p w14:paraId="6C795E76" w14:textId="78DAFA99"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基金管理人应当在每年结束之日起三个月内，编制完成基金年度报告，将年度报告登载在规定网站上，并将年度报告提示性公告登载在规定报刊上。基金年度报告中的财务会计报告应当经</w:t>
      </w:r>
      <w:r w:rsidR="0052506D">
        <w:rPr>
          <w:rFonts w:ascii="宋体" w:hAnsi="宋体" w:hint="eastAsia"/>
          <w:sz w:val="24"/>
        </w:rPr>
        <w:t>过</w:t>
      </w:r>
      <w:r>
        <w:rPr>
          <w:rFonts w:ascii="宋体" w:hAnsi="宋体"/>
          <w:sz w:val="24"/>
        </w:rPr>
        <w:t>符合《中华人民共和国证券法》规定的会计师事务所审计。</w:t>
      </w:r>
    </w:p>
    <w:p w14:paraId="0729C9D6"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基金管理人应当在上半年结束之日起两个月内，编制完成基金中期报告，将中期报告登载在规定网站上，并将中期报告提示性公告登载在规定报刊上。</w:t>
      </w:r>
    </w:p>
    <w:p w14:paraId="6930B8AF"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基金管理人应当在季度结束之日起15个工作日内，编制完成基金季度报告，将季度报告登载在规定网站上，并将季度报告提示性公告登载在规定报刊上。</w:t>
      </w:r>
    </w:p>
    <w:p w14:paraId="0D29F648"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《基金合同》生效不足2个月的，基金管理人可以不编制当期季度报告、中期报告或者年度报告。</w:t>
      </w:r>
    </w:p>
    <w:p w14:paraId="1DD9E06E"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报告期内出现单一投资者持有基金份额达到或超过基金总份额20%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4A839F3F"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基金管理人应当在基金年度报告和中期报告中披露基金组合资产情况及其流动</w:t>
      </w:r>
      <w:r>
        <w:rPr>
          <w:rFonts w:ascii="宋体" w:hAnsi="宋体"/>
          <w:sz w:val="24"/>
        </w:rPr>
        <w:lastRenderedPageBreak/>
        <w:t>性风险分析等。</w:t>
      </w:r>
    </w:p>
    <w:p w14:paraId="36811213"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7、临时报告</w:t>
      </w:r>
    </w:p>
    <w:p w14:paraId="109F22BF"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本基金发生重大事件，有关信息披露义务人应当依照《信息披露办法》的规定编制临时报告书，并登载在规定报刊和规定网站上。</w:t>
      </w:r>
    </w:p>
    <w:p w14:paraId="4404A392"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前款所称重大事件，是指可能对基金份额持有人权益或者基金份额的价格产生重大影响的下列事件：</w:t>
      </w:r>
    </w:p>
    <w:p w14:paraId="0103FBFF"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（1）基金份额持有人大会的召开及决定的事项；</w:t>
      </w:r>
    </w:p>
    <w:p w14:paraId="10E724F4"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（2）《基金合同》终止、基金清算；</w:t>
      </w:r>
    </w:p>
    <w:p w14:paraId="0E816AC7"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（3）转换基金运作方式、基金合并；</w:t>
      </w:r>
    </w:p>
    <w:p w14:paraId="15EA13DF"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（4）更换基金管理人、基金托管人、基金份额登记机构，基金改聘会计师事务所；</w:t>
      </w:r>
    </w:p>
    <w:p w14:paraId="50091D5A"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（5）基金管理人委托基金服务机构代为办理基金的份额登记、核算、估值等事项，基金托管人委托基金服务机构代为办理基金的核算、估值、复核等事项；</w:t>
      </w:r>
    </w:p>
    <w:p w14:paraId="08B7E4E5"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（6）基金管理人、基金托管人的法定名称、住所发生变更；</w:t>
      </w:r>
    </w:p>
    <w:p w14:paraId="11D4E33C"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（7）基金管理人变更持有百分之五以上股权的股东、基金管理人的实际控制人变更；</w:t>
      </w:r>
    </w:p>
    <w:p w14:paraId="2F1E378F"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（8）基金募集期延长或提前结束募集；</w:t>
      </w:r>
    </w:p>
    <w:p w14:paraId="35463CB8"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（9）基金管理人的高级管理人员、基金经理和基金托管人专门基金托管部门负责人发生变动；</w:t>
      </w:r>
    </w:p>
    <w:p w14:paraId="62943B87"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（10）基金管理人的董事在最近12个月内变更超过百分之五十，基金管理人、基金托管人专门基金托管部门的主要业务人员在最近12个月内变动超过百分之三十；</w:t>
      </w:r>
    </w:p>
    <w:p w14:paraId="6BBC9E54"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（11）涉及基金财产、基金管理业务、基金托管业务的诉讼或仲裁；</w:t>
      </w:r>
    </w:p>
    <w:p w14:paraId="3E12F91F"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（12）基金管理人或其高级管理人员、基金经理因基金管理业务相关行为受到重大行政处罚、刑事处罚，基金托管人或其专门基金托管部门负责人因基金托管业务相关行为受到重大行政处罚、刑事处罚；</w:t>
      </w:r>
    </w:p>
    <w:p w14:paraId="78EBF6CC"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0F67D677"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（14）基金收益分配事项；</w:t>
      </w:r>
    </w:p>
    <w:p w14:paraId="1D9B4B81" w14:textId="4B2676D1"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（15）管理费、托管费、销售服务费、申购费、赎回费等费用计提标准、计提方式和费率发生变更；</w:t>
      </w:r>
    </w:p>
    <w:p w14:paraId="69AC5726"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（16）任一类基金份额净值计价错误达该类基金份额净值百分之零点五；</w:t>
      </w:r>
    </w:p>
    <w:p w14:paraId="13982AFE"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（17）本基金开始办理申购、赎回；</w:t>
      </w:r>
    </w:p>
    <w:p w14:paraId="4FB6121D"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（18）本基金发生巨额赎回并延期办理；</w:t>
      </w:r>
    </w:p>
    <w:p w14:paraId="16E1B316"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（19）本基金连续发生巨额赎回并暂停接受赎回申请或延缓支付赎回款项；</w:t>
      </w:r>
    </w:p>
    <w:p w14:paraId="6BA01095"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（20）本基金暂停接受申购、赎回申请或重新接受申购、赎回申请；</w:t>
      </w:r>
    </w:p>
    <w:p w14:paraId="76A909CE"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（21）发生涉及基金申购、赎回事项调整或潜在影响投资者赎回等重大事项时；</w:t>
      </w:r>
    </w:p>
    <w:p w14:paraId="4DEA1068"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（22）基金管理人采用摆动定价机制进行估值；</w:t>
      </w:r>
    </w:p>
    <w:p w14:paraId="27844744"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（23）本基金增加或调整基金份额类别；</w:t>
      </w:r>
    </w:p>
    <w:p w14:paraId="60315434" w14:textId="77777777" w:rsidR="0052506D" w:rsidRPr="0052506D" w:rsidRDefault="004B071E" w:rsidP="0052506D">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（24）</w:t>
      </w:r>
      <w:r w:rsidR="0052506D" w:rsidRPr="0052506D">
        <w:rPr>
          <w:rFonts w:ascii="宋体" w:hAnsi="宋体" w:hint="eastAsia"/>
          <w:sz w:val="24"/>
        </w:rPr>
        <w:t>本基金推出新业务或服务；</w:t>
      </w:r>
    </w:p>
    <w:p w14:paraId="18AEBB3F" w14:textId="4A988808" w:rsidR="00FD086C" w:rsidRDefault="0052506D" w:rsidP="0052506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（25）</w:t>
      </w:r>
      <w:r w:rsidR="004B071E">
        <w:rPr>
          <w:rFonts w:ascii="宋体" w:hAnsi="宋体"/>
          <w:sz w:val="24"/>
        </w:rPr>
        <w:t>本基金变更标的指数；</w:t>
      </w:r>
    </w:p>
    <w:p w14:paraId="02521491" w14:textId="2246944F"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w:t>
      </w:r>
      <w:r w:rsidR="0052506D">
        <w:rPr>
          <w:rFonts w:ascii="宋体" w:hAnsi="宋体"/>
          <w:sz w:val="24"/>
        </w:rPr>
        <w:t>6</w:t>
      </w:r>
      <w:r>
        <w:rPr>
          <w:rFonts w:ascii="宋体" w:hAnsi="宋体"/>
          <w:sz w:val="24"/>
        </w:rPr>
        <w:t>）《基金合同》生效后，</w:t>
      </w:r>
      <w:r w:rsidR="0052506D" w:rsidRPr="0052506D">
        <w:rPr>
          <w:rFonts w:ascii="宋体" w:hAnsi="宋体" w:hint="eastAsia"/>
          <w:sz w:val="24"/>
        </w:rPr>
        <w:t>连续30、40、45个工作日出现基金份额持有人数量不满200人或者基金资产净值低于5000万元情形，基金管理人应当发布提示性公告；</w:t>
      </w:r>
    </w:p>
    <w:p w14:paraId="21EBA664" w14:textId="08B46E19"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w:t>
      </w:r>
      <w:r w:rsidR="0052506D">
        <w:rPr>
          <w:rFonts w:ascii="宋体" w:hAnsi="宋体"/>
          <w:sz w:val="24"/>
        </w:rPr>
        <w:t>7</w:t>
      </w:r>
      <w:r>
        <w:rPr>
          <w:rFonts w:ascii="宋体" w:hAnsi="宋体"/>
          <w:sz w:val="24"/>
        </w:rPr>
        <w:t>）基金信息披露义务人认为可能对基金份额持有人权益或者基金份额的价格产生重大影响的其他事项或中国证监会规定</w:t>
      </w:r>
      <w:r w:rsidR="00CE77A3">
        <w:rPr>
          <w:rFonts w:hint="eastAsia"/>
          <w:bCs/>
          <w:sz w:val="24"/>
        </w:rPr>
        <w:t>和基金合同约定</w:t>
      </w:r>
      <w:r>
        <w:rPr>
          <w:rFonts w:ascii="宋体" w:hAnsi="宋体"/>
          <w:sz w:val="24"/>
        </w:rPr>
        <w:t>的其他事项。</w:t>
      </w:r>
    </w:p>
    <w:p w14:paraId="685B0825"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8、澄清公告</w:t>
      </w:r>
    </w:p>
    <w:p w14:paraId="07545EAB" w14:textId="0CF06EEE"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w:t>
      </w:r>
    </w:p>
    <w:p w14:paraId="4AC076D3"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9、基金份额持有人大会决议</w:t>
      </w:r>
    </w:p>
    <w:p w14:paraId="549B590A"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基金份额持有人大会决定的事项，应当依法报中国证监会备案，并予以公告。</w:t>
      </w:r>
    </w:p>
    <w:p w14:paraId="66B3AD0C"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基金份额持有人依法自行召集基金份额持有人大会，基金管理人、基金托管人对基金份额持有人大会决定的事项不依法履行信息披露义务的，召集人应当履行相关信息披露义务。</w:t>
      </w:r>
    </w:p>
    <w:p w14:paraId="4060D0C2" w14:textId="77777777" w:rsidR="0073755C" w:rsidRPr="0073755C" w:rsidRDefault="004B071E" w:rsidP="0073755C">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10、</w:t>
      </w:r>
      <w:r w:rsidR="0073755C" w:rsidRPr="0073755C">
        <w:rPr>
          <w:rFonts w:ascii="宋体" w:hAnsi="宋体" w:hint="eastAsia"/>
          <w:sz w:val="24"/>
        </w:rPr>
        <w:t>实施侧袋机制期间的信息披露</w:t>
      </w:r>
    </w:p>
    <w:p w14:paraId="5D35799E" w14:textId="77777777" w:rsidR="0073755C" w:rsidRPr="0073755C" w:rsidRDefault="0073755C" w:rsidP="0073755C">
      <w:pPr>
        <w:autoSpaceDE w:val="0"/>
        <w:autoSpaceDN w:val="0"/>
        <w:adjustRightInd w:val="0"/>
        <w:snapToGrid w:val="0"/>
        <w:spacing w:line="360" w:lineRule="auto"/>
        <w:ind w:firstLineChars="200" w:firstLine="480"/>
        <w:jc w:val="left"/>
        <w:rPr>
          <w:rFonts w:ascii="宋体" w:hAnsi="宋体"/>
          <w:sz w:val="24"/>
        </w:rPr>
      </w:pPr>
      <w:r w:rsidRPr="0073755C">
        <w:rPr>
          <w:rFonts w:ascii="宋体" w:hAnsi="宋体" w:hint="eastAsia"/>
          <w:sz w:val="24"/>
        </w:rPr>
        <w:t>本基金实施侧袋机制的，相关信息披露义务人应当根据法律法规、基金合同和招募说明书的规定进行信息披露，详见本招募说明书“侧袋机制”部分的规定。</w:t>
      </w:r>
    </w:p>
    <w:p w14:paraId="59739EF1" w14:textId="77777777" w:rsidR="004E45CF" w:rsidRPr="004E45CF" w:rsidRDefault="0073755C" w:rsidP="004E45CF">
      <w:pPr>
        <w:autoSpaceDE w:val="0"/>
        <w:autoSpaceDN w:val="0"/>
        <w:adjustRightInd w:val="0"/>
        <w:snapToGrid w:val="0"/>
        <w:spacing w:line="360" w:lineRule="auto"/>
        <w:ind w:firstLineChars="200" w:firstLine="480"/>
        <w:jc w:val="left"/>
        <w:rPr>
          <w:rFonts w:ascii="宋体" w:hAnsi="宋体"/>
          <w:sz w:val="24"/>
        </w:rPr>
      </w:pPr>
      <w:r w:rsidRPr="0073755C">
        <w:rPr>
          <w:rFonts w:ascii="宋体" w:hAnsi="宋体" w:hint="eastAsia"/>
          <w:sz w:val="24"/>
        </w:rPr>
        <w:lastRenderedPageBreak/>
        <w:t>11、</w:t>
      </w:r>
      <w:r w:rsidR="004E45CF" w:rsidRPr="004E45CF">
        <w:rPr>
          <w:rFonts w:ascii="宋体" w:hAnsi="宋体" w:hint="eastAsia"/>
          <w:sz w:val="24"/>
        </w:rPr>
        <w:t>清算报告</w:t>
      </w:r>
    </w:p>
    <w:p w14:paraId="43A55CB7" w14:textId="77777777" w:rsidR="004E45CF" w:rsidRPr="004E45CF" w:rsidRDefault="004E45CF" w:rsidP="004E45CF">
      <w:pPr>
        <w:autoSpaceDE w:val="0"/>
        <w:autoSpaceDN w:val="0"/>
        <w:adjustRightInd w:val="0"/>
        <w:snapToGrid w:val="0"/>
        <w:spacing w:line="360" w:lineRule="auto"/>
        <w:ind w:firstLineChars="200" w:firstLine="480"/>
        <w:jc w:val="left"/>
        <w:rPr>
          <w:rFonts w:ascii="宋体" w:hAnsi="宋体"/>
          <w:sz w:val="24"/>
        </w:rPr>
      </w:pPr>
      <w:r w:rsidRPr="004E45CF">
        <w:rPr>
          <w:rFonts w:ascii="宋体" w:hAnsi="宋体" w:hint="eastAsia"/>
          <w:sz w:val="24"/>
        </w:rPr>
        <w:t>基金合同终止的，基金管理人应当依法组织清算小组对基金财产进行清算并作出清算报告。清算报告应当经过符合《中华人民共和国证券法》规定的会计师事务所审计，并由律师事务所出具法律意见书。清算小组应当将清算报告登载在规定网站上，并将清算报告提示性公告登载在规定报刊上。</w:t>
      </w:r>
    </w:p>
    <w:p w14:paraId="16028C17" w14:textId="39E2B82A" w:rsidR="00FD086C" w:rsidRDefault="004E45CF" w:rsidP="004E45CF">
      <w:pPr>
        <w:autoSpaceDE w:val="0"/>
        <w:autoSpaceDN w:val="0"/>
        <w:adjustRightInd w:val="0"/>
        <w:snapToGrid w:val="0"/>
        <w:spacing w:line="360" w:lineRule="auto"/>
        <w:ind w:firstLineChars="200" w:firstLine="480"/>
        <w:jc w:val="left"/>
        <w:rPr>
          <w:rFonts w:ascii="宋体" w:hAnsi="宋体"/>
          <w:szCs w:val="24"/>
        </w:rPr>
      </w:pPr>
      <w:r w:rsidRPr="004E45CF">
        <w:rPr>
          <w:rFonts w:ascii="宋体" w:hAnsi="宋体" w:hint="eastAsia"/>
          <w:sz w:val="24"/>
        </w:rPr>
        <w:t>12、</w:t>
      </w:r>
      <w:r w:rsidR="004B071E">
        <w:rPr>
          <w:rFonts w:ascii="宋体" w:hAnsi="宋体"/>
          <w:sz w:val="24"/>
        </w:rPr>
        <w:t>基金投资资产支持证券情况</w:t>
      </w:r>
    </w:p>
    <w:p w14:paraId="7AC502F4" w14:textId="22CCDFA1"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本基金可投资资产支持证券，基金管理人应在</w:t>
      </w:r>
      <w:r w:rsidR="004E45CF">
        <w:rPr>
          <w:rFonts w:ascii="宋体" w:hAnsi="宋体" w:hint="eastAsia"/>
          <w:sz w:val="24"/>
        </w:rPr>
        <w:t>基金</w:t>
      </w:r>
      <w:r>
        <w:rPr>
          <w:rFonts w:ascii="宋体" w:hAnsi="宋体"/>
          <w:sz w:val="24"/>
        </w:rPr>
        <w:t>年度报告及中期报告中披露其持有的资产支持证券总额、资产支持证券市值占基金净资产的比例和报告期末所有的资产支持证券明细。基金管理人应在基金季度报告中披露其持有的资产支持证券总额、资产支持证券市值占基金净资产的比例和报告期末按市值占基金净资产比例大小排序的前10名资产支持证券明细。</w:t>
      </w:r>
    </w:p>
    <w:p w14:paraId="730F381C" w14:textId="7EDC5CA0" w:rsidR="00FD086C" w:rsidRDefault="0073755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w:t>
      </w:r>
      <w:r w:rsidR="004E45CF">
        <w:rPr>
          <w:rFonts w:ascii="宋体" w:hAnsi="宋体"/>
          <w:sz w:val="24"/>
        </w:rPr>
        <w:t>3</w:t>
      </w:r>
      <w:r w:rsidR="004B071E">
        <w:rPr>
          <w:rFonts w:ascii="宋体" w:hAnsi="宋体"/>
          <w:sz w:val="24"/>
        </w:rPr>
        <w:t>、基金投资股指期货情况</w:t>
      </w:r>
    </w:p>
    <w:p w14:paraId="092FC633" w14:textId="77777777" w:rsidR="004E45CF" w:rsidRDefault="004E45CF">
      <w:pPr>
        <w:autoSpaceDE w:val="0"/>
        <w:autoSpaceDN w:val="0"/>
        <w:adjustRightInd w:val="0"/>
        <w:snapToGrid w:val="0"/>
        <w:spacing w:line="360" w:lineRule="auto"/>
        <w:ind w:firstLineChars="200" w:firstLine="480"/>
        <w:jc w:val="left"/>
        <w:rPr>
          <w:rFonts w:ascii="宋体" w:hAnsi="宋体"/>
          <w:sz w:val="24"/>
        </w:rPr>
      </w:pPr>
      <w:r w:rsidRPr="004E45CF">
        <w:rPr>
          <w:rFonts w:ascii="宋体" w:hAnsi="宋体" w:hint="eastAsia"/>
          <w:sz w:val="24"/>
        </w:rPr>
        <w:t>本基金可投资股指期货，基金管理人需按照法规要求在季度报告、中期报告、年度报告等定期报告和招募说明书（更新）等文件中披露股指期货交易情况，包括交易政策、持仓情况、损益情况、风险指标等，并充分揭示股指期货交易对基金总体风险的影响以及是否符合既定的投资政策和投资目标等。</w:t>
      </w:r>
    </w:p>
    <w:p w14:paraId="366DB8E3" w14:textId="41E2FB5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w:t>
      </w:r>
      <w:r w:rsidR="004E45CF">
        <w:rPr>
          <w:rFonts w:ascii="宋体" w:hAnsi="宋体"/>
          <w:sz w:val="24"/>
        </w:rPr>
        <w:t>4</w:t>
      </w:r>
      <w:r>
        <w:rPr>
          <w:rFonts w:ascii="宋体" w:hAnsi="宋体"/>
          <w:sz w:val="24"/>
        </w:rPr>
        <w:t>、中国证监会规定的其他信息。</w:t>
      </w:r>
    </w:p>
    <w:p w14:paraId="2A5AAFF0" w14:textId="77777777" w:rsidR="00FD086C" w:rsidRPr="00040D5C" w:rsidRDefault="004B071E">
      <w:pPr>
        <w:autoSpaceDE w:val="0"/>
        <w:autoSpaceDN w:val="0"/>
        <w:adjustRightInd w:val="0"/>
        <w:snapToGrid w:val="0"/>
        <w:spacing w:line="360" w:lineRule="auto"/>
        <w:ind w:firstLineChars="200" w:firstLine="482"/>
        <w:jc w:val="left"/>
        <w:rPr>
          <w:rFonts w:ascii="宋体" w:hAnsi="宋体"/>
          <w:b/>
          <w:szCs w:val="24"/>
        </w:rPr>
      </w:pPr>
      <w:r w:rsidRPr="00040D5C">
        <w:rPr>
          <w:rFonts w:ascii="宋体" w:hAnsi="宋体"/>
          <w:b/>
          <w:sz w:val="24"/>
        </w:rPr>
        <w:t>（六）信息披露事务管理</w:t>
      </w:r>
    </w:p>
    <w:p w14:paraId="741C4AFF"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基金管理人、基金托管人应当建立健全信息披露管理制度，指定专门部门及高级管理人员负责管理信息披露事务。</w:t>
      </w:r>
    </w:p>
    <w:p w14:paraId="7C761D68" w14:textId="127A6F31"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基金信息披露义务人公开披露基金信息，应当符合中国证监会相关基金信息披露内容与格式准则等法律法规</w:t>
      </w:r>
      <w:r w:rsidR="00FF05A6">
        <w:rPr>
          <w:rFonts w:hint="eastAsia"/>
          <w:bCs/>
          <w:sz w:val="24"/>
        </w:rPr>
        <w:t>的</w:t>
      </w:r>
      <w:r>
        <w:rPr>
          <w:rFonts w:ascii="宋体" w:hAnsi="宋体"/>
          <w:sz w:val="24"/>
        </w:rPr>
        <w:t>规定。</w:t>
      </w:r>
    </w:p>
    <w:p w14:paraId="5A5319E3" w14:textId="3BD10110"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基金托管人应当按照相关法律法规、中国证监会的规定和《基金合同》的约定，对基金管理人编制的基金资产净值、</w:t>
      </w:r>
      <w:r w:rsidR="00FF05A6">
        <w:rPr>
          <w:rFonts w:hint="eastAsia"/>
          <w:bCs/>
          <w:sz w:val="24"/>
        </w:rPr>
        <w:t>各类基金份额的</w:t>
      </w:r>
      <w:r>
        <w:rPr>
          <w:rFonts w:ascii="宋体" w:hAnsi="宋体"/>
          <w:sz w:val="24"/>
        </w:rPr>
        <w:t>基金份额净值、基金份额申购赎回价格、基金定期报告、更新的招募说明书、基金产品资料概要、基金清算报告等相关基金信息进行复核、审查，并向基金管理人进行书面或电子确认。</w:t>
      </w:r>
    </w:p>
    <w:p w14:paraId="41150417" w14:textId="34D83BC0"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基金管理人、基金托管人应当在规定报刊中选择一家披露信息</w:t>
      </w:r>
      <w:r w:rsidR="00FF05A6">
        <w:rPr>
          <w:rFonts w:hint="eastAsia"/>
          <w:bCs/>
          <w:sz w:val="24"/>
        </w:rPr>
        <w:t>的报刊</w:t>
      </w:r>
      <w:r>
        <w:rPr>
          <w:rFonts w:ascii="宋体" w:hAnsi="宋体"/>
          <w:sz w:val="24"/>
        </w:rPr>
        <w:t>。基金管理人、基金托管人应当向中国证监会基金电子披露网站报送拟披露的基金信息，并保证相关报送信息的真实、准确、完整、及时。</w:t>
      </w:r>
    </w:p>
    <w:p w14:paraId="5E4AAC0A"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基金管理人、基金托管人除依法在规定媒介上披露信息外，还可以根据需要在</w:t>
      </w:r>
      <w:r>
        <w:rPr>
          <w:rFonts w:ascii="宋体" w:hAnsi="宋体"/>
          <w:sz w:val="24"/>
        </w:rPr>
        <w:lastRenderedPageBreak/>
        <w:t>其他公共媒介披露信息，但是其他公共媒介不得早于规定媒介披露信息，并且在不同媒介上披露同一信息的内容应当一致。</w:t>
      </w:r>
    </w:p>
    <w:p w14:paraId="71B6D29F"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为基金信息披露义务人公开披露的基金信息出具审计报告、法律意见书的专业机构，应当制作工作底稿，并将相关档案至少保存到《基金合同》终止后10年。</w:t>
      </w:r>
    </w:p>
    <w:p w14:paraId="0DBB198C"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5DCFC608" w14:textId="77777777" w:rsidR="00FD086C" w:rsidRPr="00040D5C" w:rsidRDefault="004B071E">
      <w:pPr>
        <w:autoSpaceDE w:val="0"/>
        <w:autoSpaceDN w:val="0"/>
        <w:adjustRightInd w:val="0"/>
        <w:snapToGrid w:val="0"/>
        <w:spacing w:line="360" w:lineRule="auto"/>
        <w:ind w:firstLineChars="200" w:firstLine="482"/>
        <w:jc w:val="left"/>
        <w:rPr>
          <w:rFonts w:ascii="宋体" w:hAnsi="宋体"/>
          <w:b/>
          <w:szCs w:val="24"/>
        </w:rPr>
      </w:pPr>
      <w:r w:rsidRPr="00040D5C">
        <w:rPr>
          <w:rFonts w:ascii="宋体" w:hAnsi="宋体"/>
          <w:b/>
          <w:sz w:val="24"/>
        </w:rPr>
        <w:t>（七）信息披露文件的存放与查阅</w:t>
      </w:r>
    </w:p>
    <w:p w14:paraId="06ED0743" w14:textId="6678F8C8"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依法必须披露的信息发布后，基金管理人、基金托管人应当按照相关法律法规规定将信息置备于各自</w:t>
      </w:r>
      <w:r w:rsidR="00FF05A6">
        <w:rPr>
          <w:rFonts w:hint="eastAsia"/>
          <w:bCs/>
          <w:sz w:val="24"/>
        </w:rPr>
        <w:t>办公场所</w:t>
      </w:r>
      <w:r>
        <w:rPr>
          <w:rFonts w:ascii="宋体" w:hAnsi="宋体"/>
          <w:sz w:val="24"/>
        </w:rPr>
        <w:t>，供社会公众查阅、复制。</w:t>
      </w:r>
    </w:p>
    <w:p w14:paraId="7C3B88AB" w14:textId="77777777" w:rsidR="001F15F4" w:rsidRDefault="004B071E" w:rsidP="00C30450">
      <w:pPr>
        <w:pStyle w:val="1"/>
        <w:snapToGrid w:val="0"/>
        <w:spacing w:beforeLines="0" w:before="240" w:after="240"/>
        <w:rPr>
          <w:rFonts w:ascii="宋体" w:hAnsi="宋体"/>
          <w:b w:val="0"/>
          <w:kern w:val="0"/>
          <w:sz w:val="30"/>
        </w:rPr>
      </w:pPr>
      <w:r>
        <w:rPr>
          <w:rFonts w:ascii="宋体" w:hAnsi="宋体"/>
          <w:sz w:val="24"/>
        </w:rPr>
        <w:br w:type="page"/>
      </w:r>
      <w:bookmarkStart w:id="29" w:name="_Toc48122017"/>
      <w:bookmarkStart w:id="30" w:name="_Toc147840634"/>
      <w:r w:rsidR="001F15F4" w:rsidRPr="00C30450">
        <w:rPr>
          <w:rFonts w:ascii="Times New Roman" w:hAnsi="Times New Roman" w:hint="eastAsia"/>
          <w:sz w:val="30"/>
        </w:rPr>
        <w:lastRenderedPageBreak/>
        <w:t>十六、侧袋机制</w:t>
      </w:r>
      <w:bookmarkEnd w:id="29"/>
      <w:bookmarkEnd w:id="30"/>
    </w:p>
    <w:p w14:paraId="12F70EB2" w14:textId="77777777" w:rsidR="001F15F4" w:rsidRPr="00040D5C" w:rsidRDefault="001F15F4" w:rsidP="001F15F4">
      <w:pPr>
        <w:adjustRightInd w:val="0"/>
        <w:snapToGrid w:val="0"/>
        <w:spacing w:line="360" w:lineRule="auto"/>
        <w:ind w:firstLineChars="200" w:firstLine="482"/>
        <w:outlineLvl w:val="1"/>
        <w:rPr>
          <w:rFonts w:ascii="宋体" w:hAnsi="宋体"/>
          <w:b/>
          <w:sz w:val="24"/>
        </w:rPr>
      </w:pPr>
      <w:r w:rsidRPr="00040D5C">
        <w:rPr>
          <w:rFonts w:ascii="宋体" w:hAnsi="宋体" w:hint="eastAsia"/>
          <w:b/>
          <w:sz w:val="24"/>
        </w:rPr>
        <w:t>（一）侧袋机制的实施条件</w:t>
      </w:r>
    </w:p>
    <w:p w14:paraId="2AFB7ED5" w14:textId="77777777" w:rsidR="001F15F4" w:rsidRPr="00040D5C" w:rsidRDefault="001F15F4" w:rsidP="001F15F4">
      <w:pPr>
        <w:adjustRightInd w:val="0"/>
        <w:snapToGrid w:val="0"/>
        <w:spacing w:line="360" w:lineRule="auto"/>
        <w:ind w:firstLineChars="200" w:firstLine="480"/>
        <w:rPr>
          <w:rFonts w:ascii="宋体" w:hAnsi="宋体"/>
          <w:sz w:val="24"/>
        </w:rPr>
      </w:pPr>
      <w:r w:rsidRPr="00040D5C">
        <w:rPr>
          <w:rFonts w:ascii="宋体" w:hAnsi="宋体" w:hint="eastAsia"/>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0D3D85C0" w14:textId="77777777" w:rsidR="001F15F4" w:rsidRPr="00040D5C" w:rsidRDefault="001F15F4" w:rsidP="001F15F4">
      <w:pPr>
        <w:adjustRightInd w:val="0"/>
        <w:snapToGrid w:val="0"/>
        <w:spacing w:line="360" w:lineRule="auto"/>
        <w:ind w:firstLineChars="200" w:firstLine="480"/>
        <w:rPr>
          <w:rFonts w:ascii="宋体" w:hAnsi="宋体"/>
          <w:sz w:val="24"/>
        </w:rPr>
      </w:pPr>
      <w:r w:rsidRPr="00040D5C">
        <w:rPr>
          <w:rFonts w:ascii="宋体" w:hAnsi="宋体" w:hint="eastAsia"/>
          <w:sz w:val="24"/>
        </w:rPr>
        <w:t>基金管理人应当在启用侧袋机制后及时发布临时公告，</w:t>
      </w:r>
      <w:bookmarkStart w:id="31" w:name="_Hlk45746268"/>
      <w:r w:rsidRPr="00040D5C">
        <w:rPr>
          <w:rFonts w:ascii="宋体" w:hAnsi="宋体" w:hint="eastAsia"/>
          <w:sz w:val="24"/>
        </w:rPr>
        <w:t>并在</w:t>
      </w:r>
      <w:bookmarkStart w:id="32" w:name="_Hlk45746204"/>
      <w:r w:rsidRPr="00040D5C">
        <w:rPr>
          <w:rFonts w:ascii="宋体" w:hAnsi="宋体" w:hint="eastAsia"/>
          <w:sz w:val="24"/>
        </w:rPr>
        <w:t>五个工作日内</w:t>
      </w:r>
      <w:bookmarkEnd w:id="31"/>
      <w:bookmarkEnd w:id="32"/>
      <w:r w:rsidRPr="00040D5C">
        <w:rPr>
          <w:rFonts w:ascii="宋体" w:hAnsi="宋体" w:hint="eastAsia"/>
          <w:sz w:val="24"/>
        </w:rPr>
        <w:t>聘请</w:t>
      </w:r>
      <w:bookmarkStart w:id="33" w:name="_Hlk45746277"/>
      <w:r w:rsidRPr="00040D5C">
        <w:rPr>
          <w:rFonts w:ascii="宋体" w:hAnsi="宋体" w:hint="eastAsia"/>
          <w:sz w:val="24"/>
        </w:rPr>
        <w:t>侧袋机制启用日发表意见且</w:t>
      </w:r>
      <w:bookmarkEnd w:id="33"/>
      <w:r w:rsidRPr="00040D5C">
        <w:rPr>
          <w:rFonts w:ascii="宋体" w:hAnsi="宋体" w:hint="eastAsia"/>
          <w:sz w:val="24"/>
        </w:rPr>
        <w:t>符合《中华人民共和国证券法》规定的会计师事务所</w:t>
      </w:r>
      <w:bookmarkStart w:id="34" w:name="_Hlk45746299"/>
      <w:r w:rsidRPr="00040D5C">
        <w:rPr>
          <w:rFonts w:ascii="宋体" w:hAnsi="宋体" w:hint="eastAsia"/>
          <w:sz w:val="24"/>
        </w:rPr>
        <w:t>进行审计并披露</w:t>
      </w:r>
      <w:bookmarkEnd w:id="34"/>
      <w:r w:rsidRPr="00040D5C">
        <w:rPr>
          <w:rFonts w:ascii="宋体" w:hAnsi="宋体" w:hint="eastAsia"/>
          <w:sz w:val="24"/>
        </w:rPr>
        <w:t>专项审计意见。</w:t>
      </w:r>
    </w:p>
    <w:p w14:paraId="0C40DE76" w14:textId="77777777" w:rsidR="001F15F4" w:rsidRPr="00040D5C" w:rsidRDefault="001F15F4" w:rsidP="001F15F4">
      <w:pPr>
        <w:adjustRightInd w:val="0"/>
        <w:snapToGrid w:val="0"/>
        <w:spacing w:line="360" w:lineRule="auto"/>
        <w:ind w:firstLineChars="200" w:firstLine="482"/>
        <w:outlineLvl w:val="1"/>
        <w:rPr>
          <w:rFonts w:ascii="宋体" w:hAnsi="宋体"/>
          <w:b/>
          <w:sz w:val="24"/>
        </w:rPr>
      </w:pPr>
      <w:r w:rsidRPr="00040D5C">
        <w:rPr>
          <w:rFonts w:ascii="宋体" w:hAnsi="宋体" w:hint="eastAsia"/>
          <w:b/>
          <w:sz w:val="24"/>
        </w:rPr>
        <w:t>（二）实施侧袋机制期间基金份额的申购与赎回</w:t>
      </w:r>
    </w:p>
    <w:p w14:paraId="2FA301D3" w14:textId="77777777" w:rsidR="001F15F4" w:rsidRPr="00040D5C" w:rsidRDefault="001F15F4" w:rsidP="001F15F4">
      <w:pPr>
        <w:adjustRightInd w:val="0"/>
        <w:snapToGrid w:val="0"/>
        <w:spacing w:line="360" w:lineRule="auto"/>
        <w:ind w:firstLineChars="200" w:firstLine="480"/>
        <w:rPr>
          <w:rFonts w:ascii="宋体" w:hAnsi="宋体"/>
          <w:sz w:val="24"/>
        </w:rPr>
      </w:pPr>
      <w:r w:rsidRPr="00040D5C">
        <w:rPr>
          <w:rFonts w:ascii="宋体" w:hAnsi="宋体"/>
          <w:sz w:val="24"/>
        </w:rPr>
        <w:t>1</w:t>
      </w:r>
      <w:r w:rsidRPr="00040D5C">
        <w:rPr>
          <w:rFonts w:ascii="宋体" w:hAnsi="宋体" w:hint="eastAsia"/>
          <w:sz w:val="24"/>
        </w:rPr>
        <w:t>、启用侧袋机制当日，基金登记机构以基金份额持有人的原有账户份额为基础，确认相应侧袋账户基金份额持有人名册和份额；当日收到的申购申请，按照启用侧袋机制后的主袋账户份额办理；当日收到的赎回申请，仅办理主袋账户的赎回申请并支付赎回款项。</w:t>
      </w:r>
    </w:p>
    <w:p w14:paraId="1B89D4E5" w14:textId="77777777" w:rsidR="001F15F4" w:rsidRPr="00040D5C" w:rsidRDefault="001F15F4" w:rsidP="001F15F4">
      <w:pPr>
        <w:adjustRightInd w:val="0"/>
        <w:snapToGrid w:val="0"/>
        <w:spacing w:line="360" w:lineRule="auto"/>
        <w:ind w:firstLineChars="200" w:firstLine="480"/>
        <w:rPr>
          <w:rFonts w:ascii="宋体" w:hAnsi="宋体"/>
          <w:sz w:val="24"/>
        </w:rPr>
      </w:pPr>
      <w:r w:rsidRPr="00040D5C">
        <w:rPr>
          <w:rFonts w:ascii="宋体" w:hAnsi="宋体"/>
          <w:sz w:val="24"/>
        </w:rPr>
        <w:t>2</w:t>
      </w:r>
      <w:r w:rsidRPr="00040D5C">
        <w:rPr>
          <w:rFonts w:ascii="宋体" w:hAnsi="宋体" w:hint="eastAsia"/>
          <w:sz w:val="24"/>
        </w:rPr>
        <w:t>、实施侧袋机制期间，基金管理人不办理侧袋账户份额的申购、赎回和转换；同时，基金管理人按照基金合同和招募说明书的约定办理主袋账户份额的赎回，并根据主袋账户运作情况确定是否暂停申购。</w:t>
      </w:r>
    </w:p>
    <w:p w14:paraId="11B9157C" w14:textId="77777777" w:rsidR="001F15F4" w:rsidRPr="00040D5C" w:rsidRDefault="001F15F4" w:rsidP="001F15F4">
      <w:pPr>
        <w:adjustRightInd w:val="0"/>
        <w:snapToGrid w:val="0"/>
        <w:spacing w:line="360" w:lineRule="auto"/>
        <w:ind w:firstLineChars="200" w:firstLine="480"/>
        <w:rPr>
          <w:rFonts w:ascii="宋体" w:hAnsi="宋体"/>
          <w:sz w:val="24"/>
        </w:rPr>
      </w:pPr>
      <w:r w:rsidRPr="00040D5C">
        <w:rPr>
          <w:rFonts w:ascii="宋体" w:hAnsi="宋体"/>
          <w:sz w:val="24"/>
        </w:rPr>
        <w:t>3</w:t>
      </w:r>
      <w:r w:rsidRPr="00040D5C">
        <w:rPr>
          <w:rFonts w:ascii="宋体" w:hAnsi="宋体" w:hint="eastAsia"/>
          <w:sz w:val="24"/>
        </w:rPr>
        <w:t>、除基金管理人应按照主袋账户的份额净值办理主袋账户份额的申购和赎回外，本招募说明书“基金份额的申购与赎回”部分的申购、赎回规定适用于主袋账户份额。巨额赎回按照单个开放日内主袋账户份额净赎回申请超过前一开放日主袋账户总份额的</w:t>
      </w:r>
      <w:r w:rsidRPr="00040D5C">
        <w:rPr>
          <w:rFonts w:ascii="宋体" w:hAnsi="宋体"/>
          <w:sz w:val="24"/>
        </w:rPr>
        <w:t>10%</w:t>
      </w:r>
      <w:r w:rsidRPr="00040D5C">
        <w:rPr>
          <w:rFonts w:ascii="宋体" w:hAnsi="宋体" w:hint="eastAsia"/>
          <w:sz w:val="24"/>
        </w:rPr>
        <w:t>认定。</w:t>
      </w:r>
    </w:p>
    <w:p w14:paraId="0479E3AF" w14:textId="77777777" w:rsidR="001F15F4" w:rsidRPr="00040D5C" w:rsidRDefault="001F15F4" w:rsidP="001F15F4">
      <w:pPr>
        <w:adjustRightInd w:val="0"/>
        <w:snapToGrid w:val="0"/>
        <w:spacing w:line="360" w:lineRule="auto"/>
        <w:ind w:firstLineChars="200" w:firstLine="482"/>
        <w:outlineLvl w:val="1"/>
        <w:rPr>
          <w:rFonts w:ascii="宋体" w:hAnsi="宋体"/>
          <w:b/>
          <w:sz w:val="24"/>
        </w:rPr>
      </w:pPr>
      <w:r w:rsidRPr="00040D5C">
        <w:rPr>
          <w:rFonts w:ascii="宋体" w:hAnsi="宋体" w:hint="eastAsia"/>
          <w:b/>
          <w:sz w:val="24"/>
        </w:rPr>
        <w:t>（三）实施侧袋机制期间的基金投资</w:t>
      </w:r>
    </w:p>
    <w:p w14:paraId="53205570" w14:textId="77777777" w:rsidR="001F15F4" w:rsidRPr="00040D5C" w:rsidRDefault="001F15F4" w:rsidP="001F15F4">
      <w:pPr>
        <w:adjustRightInd w:val="0"/>
        <w:snapToGrid w:val="0"/>
        <w:spacing w:line="360" w:lineRule="auto"/>
        <w:ind w:firstLineChars="200" w:firstLine="480"/>
        <w:rPr>
          <w:rFonts w:ascii="宋体" w:hAnsi="宋体"/>
          <w:sz w:val="24"/>
        </w:rPr>
      </w:pPr>
      <w:r w:rsidRPr="00040D5C">
        <w:rPr>
          <w:rFonts w:ascii="宋体" w:hAnsi="宋体" w:hint="eastAsia"/>
          <w:sz w:val="24"/>
        </w:rPr>
        <w:t>侧袋机制实施期间，招募说明书“基金的投资”部分约定的</w:t>
      </w:r>
      <w:r w:rsidRPr="00040D5C">
        <w:rPr>
          <w:rFonts w:ascii="宋体" w:hAnsi="宋体"/>
          <w:sz w:val="24"/>
        </w:rPr>
        <w:t>投资组合比例</w:t>
      </w:r>
      <w:r w:rsidRPr="00040D5C">
        <w:rPr>
          <w:rFonts w:ascii="宋体" w:hAnsi="宋体" w:hint="eastAsia"/>
          <w:sz w:val="24"/>
        </w:rPr>
        <w:t>、投资策略、</w:t>
      </w:r>
      <w:r w:rsidRPr="00040D5C">
        <w:rPr>
          <w:rFonts w:ascii="宋体" w:hAnsi="宋体"/>
          <w:sz w:val="24"/>
        </w:rPr>
        <w:t>组合限制</w:t>
      </w:r>
      <w:r w:rsidRPr="00040D5C">
        <w:rPr>
          <w:rFonts w:ascii="宋体" w:hAnsi="宋体" w:hint="eastAsia"/>
          <w:sz w:val="24"/>
        </w:rPr>
        <w:t>、业绩比较基准、风险收益特征等约定仅适用于主袋账户。基金管理人计算各项投资运作指标和基金业绩指标时仅需考虑主袋账户资产。</w:t>
      </w:r>
    </w:p>
    <w:p w14:paraId="1A7A919E" w14:textId="77777777" w:rsidR="001F15F4" w:rsidRPr="00040D5C" w:rsidRDefault="001F15F4" w:rsidP="001F15F4">
      <w:pPr>
        <w:adjustRightInd w:val="0"/>
        <w:snapToGrid w:val="0"/>
        <w:spacing w:line="360" w:lineRule="auto"/>
        <w:ind w:firstLineChars="200" w:firstLine="480"/>
        <w:rPr>
          <w:rFonts w:ascii="宋体" w:hAnsi="宋体"/>
          <w:sz w:val="24"/>
        </w:rPr>
      </w:pPr>
      <w:r w:rsidRPr="00040D5C">
        <w:rPr>
          <w:rFonts w:ascii="宋体" w:hAnsi="宋体" w:hint="eastAsia"/>
          <w:sz w:val="24"/>
        </w:rPr>
        <w:t>基金管理人原则上应当在侧袋</w:t>
      </w:r>
      <w:r w:rsidRPr="00040D5C">
        <w:rPr>
          <w:rFonts w:ascii="宋体" w:hAnsi="宋体"/>
          <w:sz w:val="24"/>
        </w:rPr>
        <w:t>机制启用后20个交易日内完成对主袋账户投资组合的调整，</w:t>
      </w:r>
      <w:r w:rsidRPr="00040D5C">
        <w:rPr>
          <w:rFonts w:ascii="宋体" w:hAnsi="宋体" w:hint="eastAsia"/>
          <w:sz w:val="24"/>
        </w:rPr>
        <w:t>因资产流动性受限等中国证监会规定的情形除外。</w:t>
      </w:r>
    </w:p>
    <w:p w14:paraId="6B310B66" w14:textId="77777777" w:rsidR="001F15F4" w:rsidRPr="00040D5C" w:rsidRDefault="001F15F4" w:rsidP="001F15F4">
      <w:pPr>
        <w:adjustRightInd w:val="0"/>
        <w:snapToGrid w:val="0"/>
        <w:spacing w:line="360" w:lineRule="auto"/>
        <w:ind w:firstLineChars="200" w:firstLine="480"/>
        <w:rPr>
          <w:rFonts w:ascii="宋体" w:hAnsi="宋体"/>
          <w:sz w:val="24"/>
        </w:rPr>
      </w:pPr>
      <w:r w:rsidRPr="00040D5C">
        <w:rPr>
          <w:rFonts w:ascii="宋体" w:hAnsi="宋体" w:hint="eastAsia"/>
          <w:sz w:val="24"/>
        </w:rPr>
        <w:t>基金管理人不得在侧袋账户中进行除特定资产处置变现以外的其他投资操作。</w:t>
      </w:r>
    </w:p>
    <w:p w14:paraId="538F4050" w14:textId="77777777" w:rsidR="001F15F4" w:rsidRPr="00040D5C" w:rsidRDefault="001F15F4" w:rsidP="001F15F4">
      <w:pPr>
        <w:adjustRightInd w:val="0"/>
        <w:snapToGrid w:val="0"/>
        <w:spacing w:line="360" w:lineRule="auto"/>
        <w:ind w:firstLineChars="200" w:firstLine="482"/>
        <w:outlineLvl w:val="1"/>
        <w:rPr>
          <w:rFonts w:ascii="宋体" w:hAnsi="宋体"/>
          <w:b/>
          <w:sz w:val="24"/>
        </w:rPr>
      </w:pPr>
      <w:r w:rsidRPr="00040D5C">
        <w:rPr>
          <w:rFonts w:ascii="宋体" w:hAnsi="宋体" w:hint="eastAsia"/>
          <w:b/>
          <w:sz w:val="24"/>
        </w:rPr>
        <w:t>（四）实施侧袋机制期间的基金估值</w:t>
      </w:r>
    </w:p>
    <w:p w14:paraId="39A32B6F" w14:textId="77777777" w:rsidR="001F15F4" w:rsidRPr="00040D5C" w:rsidRDefault="001F15F4" w:rsidP="001F15F4">
      <w:pPr>
        <w:adjustRightInd w:val="0"/>
        <w:snapToGrid w:val="0"/>
        <w:spacing w:line="360" w:lineRule="auto"/>
        <w:ind w:firstLineChars="200" w:firstLine="480"/>
        <w:rPr>
          <w:rFonts w:ascii="宋体" w:hAnsi="宋体"/>
          <w:sz w:val="24"/>
        </w:rPr>
      </w:pPr>
      <w:r w:rsidRPr="00040D5C">
        <w:rPr>
          <w:rFonts w:ascii="宋体" w:hAnsi="宋体" w:hint="eastAsia"/>
          <w:sz w:val="24"/>
        </w:rPr>
        <w:t>本基金实施侧袋机制的，基金管理人和基金托管人应对主袋账户资产进行估值</w:t>
      </w:r>
      <w:r w:rsidRPr="00040D5C">
        <w:rPr>
          <w:rFonts w:ascii="宋体" w:hAnsi="宋体" w:hint="eastAsia"/>
          <w:sz w:val="24"/>
        </w:rPr>
        <w:lastRenderedPageBreak/>
        <w:t>并披露主袋账户的基金净值信息，暂停披露侧袋账户份额净值。侧袋账户的会计核算应符合《企业会计准则》的相关要求。</w:t>
      </w:r>
    </w:p>
    <w:p w14:paraId="43C60A28" w14:textId="77777777" w:rsidR="001F15F4" w:rsidRPr="00040D5C" w:rsidRDefault="001F15F4" w:rsidP="001F15F4">
      <w:pPr>
        <w:adjustRightInd w:val="0"/>
        <w:snapToGrid w:val="0"/>
        <w:spacing w:line="360" w:lineRule="auto"/>
        <w:ind w:firstLineChars="200" w:firstLine="482"/>
        <w:outlineLvl w:val="1"/>
        <w:rPr>
          <w:rFonts w:ascii="宋体" w:hAnsi="宋体"/>
          <w:b/>
          <w:sz w:val="24"/>
        </w:rPr>
      </w:pPr>
      <w:r w:rsidRPr="00040D5C">
        <w:rPr>
          <w:rFonts w:ascii="宋体" w:hAnsi="宋体" w:hint="eastAsia"/>
          <w:b/>
          <w:sz w:val="24"/>
        </w:rPr>
        <w:t>（五）实施侧袋账户期间的基金费用</w:t>
      </w:r>
    </w:p>
    <w:p w14:paraId="1F80694A" w14:textId="77777777" w:rsidR="001F15F4" w:rsidRPr="00040D5C" w:rsidRDefault="001F15F4" w:rsidP="001F15F4">
      <w:pPr>
        <w:adjustRightInd w:val="0"/>
        <w:snapToGrid w:val="0"/>
        <w:spacing w:line="360" w:lineRule="auto"/>
        <w:ind w:firstLineChars="200" w:firstLine="480"/>
        <w:rPr>
          <w:rFonts w:ascii="宋体" w:hAnsi="宋体"/>
          <w:sz w:val="24"/>
        </w:rPr>
      </w:pPr>
      <w:r w:rsidRPr="00040D5C">
        <w:rPr>
          <w:rFonts w:ascii="宋体" w:hAnsi="宋体"/>
          <w:sz w:val="24"/>
        </w:rPr>
        <w:t>1</w:t>
      </w:r>
      <w:r w:rsidRPr="00040D5C">
        <w:rPr>
          <w:rFonts w:ascii="宋体" w:hAnsi="宋体" w:hint="eastAsia"/>
          <w:sz w:val="24"/>
        </w:rPr>
        <w:t>、本基金实施侧袋机制的，管理费和托管费等按主袋账户基金资产净值作为基数计提。</w:t>
      </w:r>
    </w:p>
    <w:p w14:paraId="1C53FDAC" w14:textId="77777777" w:rsidR="001F15F4" w:rsidRPr="00040D5C" w:rsidRDefault="001F15F4" w:rsidP="001F15F4">
      <w:pPr>
        <w:adjustRightInd w:val="0"/>
        <w:snapToGrid w:val="0"/>
        <w:spacing w:line="360" w:lineRule="auto"/>
        <w:ind w:firstLineChars="200" w:firstLine="480"/>
        <w:rPr>
          <w:rFonts w:ascii="宋体" w:hAnsi="宋体"/>
          <w:sz w:val="24"/>
        </w:rPr>
      </w:pPr>
      <w:r w:rsidRPr="00040D5C">
        <w:rPr>
          <w:rFonts w:ascii="宋体" w:hAnsi="宋体"/>
          <w:sz w:val="24"/>
        </w:rPr>
        <w:t>2</w:t>
      </w:r>
      <w:r w:rsidRPr="00040D5C">
        <w:rPr>
          <w:rFonts w:ascii="宋体" w:hAnsi="宋体" w:hint="eastAsia"/>
          <w:sz w:val="24"/>
        </w:rPr>
        <w:t>、与侧袋账户有关的费用可从侧袋账户中列支，但应待侧袋账户资产变现后方可列支，有关费用可酌情收取或减免，但不得收取管理费。</w:t>
      </w:r>
    </w:p>
    <w:p w14:paraId="5D377564" w14:textId="77777777" w:rsidR="001F15F4" w:rsidRPr="00040D5C" w:rsidRDefault="001F15F4" w:rsidP="001F15F4">
      <w:pPr>
        <w:adjustRightInd w:val="0"/>
        <w:snapToGrid w:val="0"/>
        <w:spacing w:line="360" w:lineRule="auto"/>
        <w:ind w:firstLineChars="200" w:firstLine="482"/>
        <w:outlineLvl w:val="1"/>
        <w:rPr>
          <w:rFonts w:ascii="宋体" w:hAnsi="宋体"/>
          <w:b/>
          <w:sz w:val="24"/>
        </w:rPr>
      </w:pPr>
      <w:r w:rsidRPr="00040D5C">
        <w:rPr>
          <w:rFonts w:ascii="宋体" w:hAnsi="宋体" w:hint="eastAsia"/>
          <w:b/>
          <w:sz w:val="24"/>
        </w:rPr>
        <w:t>（六）侧袋账户中特定资产的处置变现和支付</w:t>
      </w:r>
    </w:p>
    <w:p w14:paraId="339F693A" w14:textId="77777777" w:rsidR="001F15F4" w:rsidRPr="00040D5C" w:rsidRDefault="001F15F4" w:rsidP="001F15F4">
      <w:pPr>
        <w:adjustRightInd w:val="0"/>
        <w:snapToGrid w:val="0"/>
        <w:spacing w:line="360" w:lineRule="auto"/>
        <w:ind w:firstLineChars="200" w:firstLine="480"/>
        <w:rPr>
          <w:rFonts w:ascii="宋体" w:hAnsi="宋体"/>
          <w:sz w:val="24"/>
        </w:rPr>
      </w:pPr>
      <w:r w:rsidRPr="00040D5C">
        <w:rPr>
          <w:rFonts w:ascii="宋体" w:hAnsi="宋体" w:hint="eastAsia"/>
          <w:sz w:val="24"/>
        </w:rPr>
        <w:t>特定资产以可出售、可转让、恢复交易等方式恢复流动性后，基金管理人应当按照基金份额持有人利益最大化原则，采取将特定资产予以处置变现等方式，及时向侧袋账户份额持有人支付对应变现款项。</w:t>
      </w:r>
    </w:p>
    <w:p w14:paraId="05949F21" w14:textId="77777777" w:rsidR="001F15F4" w:rsidRPr="00040D5C" w:rsidRDefault="001F15F4" w:rsidP="001F15F4">
      <w:pPr>
        <w:adjustRightInd w:val="0"/>
        <w:snapToGrid w:val="0"/>
        <w:spacing w:line="360" w:lineRule="auto"/>
        <w:ind w:firstLineChars="200" w:firstLine="480"/>
        <w:rPr>
          <w:rFonts w:ascii="宋体" w:hAnsi="宋体"/>
          <w:sz w:val="24"/>
        </w:rPr>
      </w:pPr>
      <w:r w:rsidRPr="00040D5C">
        <w:rPr>
          <w:rFonts w:ascii="宋体" w:hAnsi="宋体" w:hint="eastAsia"/>
          <w:sz w:val="24"/>
        </w:rPr>
        <w:t>侧袋机制实施期间，无论侧袋账户资产是否全部完成变现，基金管理人都应当及时向侧袋账户全部份额持有人支付已变现部分对应的款项。若侧袋账户资产无法一次性完成处置变现，基金管理人在每次处置变现后均应按照相关法律法规要求及时发布临时公告。</w:t>
      </w:r>
    </w:p>
    <w:p w14:paraId="31A96C49" w14:textId="77777777" w:rsidR="001F15F4" w:rsidRPr="00040D5C" w:rsidRDefault="001F15F4" w:rsidP="001F15F4">
      <w:pPr>
        <w:adjustRightInd w:val="0"/>
        <w:snapToGrid w:val="0"/>
        <w:spacing w:line="360" w:lineRule="auto"/>
        <w:ind w:firstLineChars="200" w:firstLine="480"/>
        <w:rPr>
          <w:rFonts w:ascii="宋体" w:hAnsi="宋体"/>
          <w:sz w:val="24"/>
        </w:rPr>
      </w:pPr>
      <w:r w:rsidRPr="00040D5C">
        <w:rPr>
          <w:rFonts w:ascii="宋体" w:hAnsi="宋体" w:hint="eastAsia"/>
          <w:sz w:val="24"/>
        </w:rPr>
        <w:t>侧袋账户资产全部完成变现并终止侧袋机制后，基金管理人应及时聘请符合《中华人民共和国证券法》规定的会计师事务所进行审计并披露专项审计意见。</w:t>
      </w:r>
    </w:p>
    <w:p w14:paraId="4BAC084E" w14:textId="77777777" w:rsidR="001F15F4" w:rsidRPr="00040D5C" w:rsidRDefault="001F15F4" w:rsidP="001F15F4">
      <w:pPr>
        <w:adjustRightInd w:val="0"/>
        <w:snapToGrid w:val="0"/>
        <w:spacing w:line="360" w:lineRule="auto"/>
        <w:ind w:firstLineChars="200" w:firstLine="482"/>
        <w:outlineLvl w:val="1"/>
        <w:rPr>
          <w:rFonts w:ascii="宋体" w:hAnsi="宋体"/>
          <w:b/>
          <w:sz w:val="24"/>
        </w:rPr>
      </w:pPr>
      <w:r w:rsidRPr="00040D5C">
        <w:rPr>
          <w:rFonts w:ascii="宋体" w:hAnsi="宋体" w:hint="eastAsia"/>
          <w:b/>
          <w:sz w:val="24"/>
        </w:rPr>
        <w:t>（七）侧袋机制的信息披露</w:t>
      </w:r>
    </w:p>
    <w:p w14:paraId="21C785BC" w14:textId="77777777" w:rsidR="001F15F4" w:rsidRPr="00040D5C" w:rsidRDefault="001F15F4" w:rsidP="001F15F4">
      <w:pPr>
        <w:adjustRightInd w:val="0"/>
        <w:snapToGrid w:val="0"/>
        <w:spacing w:line="360" w:lineRule="auto"/>
        <w:ind w:firstLineChars="200" w:firstLine="480"/>
        <w:outlineLvl w:val="2"/>
        <w:rPr>
          <w:rFonts w:ascii="宋体" w:hAnsi="宋体"/>
          <w:sz w:val="24"/>
        </w:rPr>
      </w:pPr>
      <w:r w:rsidRPr="00040D5C">
        <w:rPr>
          <w:rFonts w:ascii="宋体" w:hAnsi="宋体"/>
          <w:sz w:val="24"/>
        </w:rPr>
        <w:t>1</w:t>
      </w:r>
      <w:r w:rsidRPr="00040D5C">
        <w:rPr>
          <w:rFonts w:ascii="宋体" w:hAnsi="宋体" w:hint="eastAsia"/>
          <w:sz w:val="24"/>
        </w:rPr>
        <w:t>、临时公告</w:t>
      </w:r>
    </w:p>
    <w:p w14:paraId="7E623843" w14:textId="77777777" w:rsidR="001F15F4" w:rsidRPr="00040D5C" w:rsidRDefault="001F15F4" w:rsidP="001F15F4">
      <w:pPr>
        <w:adjustRightInd w:val="0"/>
        <w:snapToGrid w:val="0"/>
        <w:spacing w:line="360" w:lineRule="auto"/>
        <w:ind w:firstLineChars="200" w:firstLine="480"/>
        <w:rPr>
          <w:rFonts w:ascii="宋体" w:hAnsi="宋体"/>
          <w:sz w:val="24"/>
        </w:rPr>
      </w:pPr>
      <w:r w:rsidRPr="00040D5C">
        <w:rPr>
          <w:rFonts w:ascii="宋体" w:hAnsi="宋体" w:hint="eastAsia"/>
          <w:sz w:val="24"/>
        </w:rPr>
        <w:t>在启用侧袋机制、处置特定资产、终止侧袋机制以及发生其他可能对投资者利益产生重大影响的事项后基金管理人应及时发布临时公告。</w:t>
      </w:r>
    </w:p>
    <w:p w14:paraId="191560AC" w14:textId="77777777" w:rsidR="001F15F4" w:rsidRPr="00040D5C" w:rsidRDefault="001F15F4" w:rsidP="001F15F4">
      <w:pPr>
        <w:adjustRightInd w:val="0"/>
        <w:snapToGrid w:val="0"/>
        <w:spacing w:line="360" w:lineRule="auto"/>
        <w:ind w:firstLineChars="200" w:firstLine="480"/>
        <w:outlineLvl w:val="2"/>
        <w:rPr>
          <w:rFonts w:ascii="宋体" w:hAnsi="宋体"/>
          <w:sz w:val="24"/>
        </w:rPr>
      </w:pPr>
      <w:r w:rsidRPr="00040D5C">
        <w:rPr>
          <w:rFonts w:ascii="宋体" w:hAnsi="宋体"/>
          <w:sz w:val="24"/>
        </w:rPr>
        <w:t>2</w:t>
      </w:r>
      <w:r w:rsidRPr="00040D5C">
        <w:rPr>
          <w:rFonts w:ascii="宋体" w:hAnsi="宋体" w:hint="eastAsia"/>
          <w:sz w:val="24"/>
        </w:rPr>
        <w:t>、基金净值信息</w:t>
      </w:r>
    </w:p>
    <w:p w14:paraId="642A638D" w14:textId="77777777" w:rsidR="001F15F4" w:rsidRPr="00040D5C" w:rsidRDefault="001F15F4" w:rsidP="001F15F4">
      <w:pPr>
        <w:adjustRightInd w:val="0"/>
        <w:snapToGrid w:val="0"/>
        <w:spacing w:line="360" w:lineRule="auto"/>
        <w:ind w:firstLineChars="200" w:firstLine="480"/>
        <w:rPr>
          <w:rFonts w:ascii="宋体" w:hAnsi="宋体"/>
          <w:sz w:val="24"/>
        </w:rPr>
      </w:pPr>
      <w:r w:rsidRPr="00040D5C">
        <w:rPr>
          <w:rFonts w:ascii="宋体" w:hAnsi="宋体" w:hint="eastAsia"/>
          <w:sz w:val="24"/>
        </w:rPr>
        <w:t>基金管理人应按照招募说明书“基金的信息披露”部分规定的基金净值信息披露方式和频率披露主袋账户份额的基金净值信息。实施侧袋机制期间本基金暂停披露侧袋账户份额净值和累计净值。</w:t>
      </w:r>
    </w:p>
    <w:p w14:paraId="4939F37C" w14:textId="77777777" w:rsidR="001F15F4" w:rsidRPr="00040D5C" w:rsidRDefault="001F15F4" w:rsidP="001F15F4">
      <w:pPr>
        <w:adjustRightInd w:val="0"/>
        <w:snapToGrid w:val="0"/>
        <w:spacing w:line="360" w:lineRule="auto"/>
        <w:ind w:firstLineChars="200" w:firstLine="480"/>
        <w:outlineLvl w:val="2"/>
        <w:rPr>
          <w:rFonts w:ascii="宋体" w:hAnsi="宋体"/>
          <w:sz w:val="24"/>
        </w:rPr>
      </w:pPr>
      <w:r w:rsidRPr="00040D5C">
        <w:rPr>
          <w:rFonts w:ascii="宋体" w:hAnsi="宋体"/>
          <w:sz w:val="24"/>
        </w:rPr>
        <w:t>3</w:t>
      </w:r>
      <w:r w:rsidRPr="00040D5C">
        <w:rPr>
          <w:rFonts w:ascii="宋体" w:hAnsi="宋体" w:hint="eastAsia"/>
          <w:sz w:val="24"/>
        </w:rPr>
        <w:t>、定期报告</w:t>
      </w:r>
    </w:p>
    <w:p w14:paraId="7A748394" w14:textId="1EDC9168" w:rsidR="00A37EB9" w:rsidRPr="00040D5C" w:rsidRDefault="001F15F4" w:rsidP="00040D5C">
      <w:pPr>
        <w:adjustRightInd w:val="0"/>
        <w:snapToGrid w:val="0"/>
        <w:spacing w:line="360" w:lineRule="auto"/>
        <w:ind w:firstLineChars="200" w:firstLine="480"/>
        <w:rPr>
          <w:rFonts w:ascii="宋体" w:hAnsi="宋体"/>
          <w:sz w:val="24"/>
        </w:rPr>
      </w:pPr>
      <w:r w:rsidRPr="00040D5C">
        <w:rPr>
          <w:rFonts w:ascii="宋体" w:hAnsi="宋体" w:hint="eastAsia"/>
          <w:sz w:val="24"/>
        </w:rPr>
        <w:t>侧袋机制实施期间，基金管理人应当在基金定期报告中披露报告期内侧袋账户相关信息，基金定期报告中的基金会计报表仅需针对主袋账户进行编制。</w:t>
      </w:r>
      <w:bookmarkStart w:id="35" w:name="_Hlk45747214"/>
      <w:r w:rsidRPr="00040D5C">
        <w:rPr>
          <w:rFonts w:ascii="宋体" w:hAnsi="宋体" w:hint="eastAsia"/>
          <w:sz w:val="24"/>
        </w:rPr>
        <w:t>会计师事务所对基金年度报告进行审计时，应对报告期内基金侧袋机制运行相关的会计核算和年度报告披露等发表审计意见。</w:t>
      </w:r>
      <w:bookmarkEnd w:id="35"/>
    </w:p>
    <w:p w14:paraId="62E8AB31" w14:textId="27A767CF" w:rsidR="00FD086C" w:rsidRDefault="004B071E">
      <w:pPr>
        <w:pStyle w:val="1"/>
        <w:snapToGrid w:val="0"/>
        <w:spacing w:beforeLines="0" w:before="240" w:after="240"/>
        <w:rPr>
          <w:rFonts w:ascii="宋体" w:hAnsi="宋体"/>
          <w:szCs w:val="30"/>
        </w:rPr>
      </w:pPr>
      <w:bookmarkStart w:id="36" w:name="_Toc147840635"/>
      <w:r>
        <w:rPr>
          <w:rFonts w:ascii="Times New Roman" w:hAnsi="Times New Roman"/>
          <w:sz w:val="30"/>
        </w:rPr>
        <w:lastRenderedPageBreak/>
        <w:t>十</w:t>
      </w:r>
      <w:r w:rsidR="001D433E">
        <w:rPr>
          <w:rFonts w:ascii="Times New Roman" w:hAnsi="Times New Roman" w:hint="eastAsia"/>
          <w:sz w:val="30"/>
        </w:rPr>
        <w:t>七</w:t>
      </w:r>
      <w:r>
        <w:rPr>
          <w:rFonts w:ascii="Times New Roman" w:hAnsi="Times New Roman"/>
          <w:sz w:val="30"/>
        </w:rPr>
        <w:t>、风险揭示</w:t>
      </w:r>
      <w:bookmarkEnd w:id="36"/>
    </w:p>
    <w:p w14:paraId="12FC5C55"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证券投资基金（以下简称“基金”）是一种长期投资工具，其主要功能是分散投资，降低投资单一证券所带来的个别风险。基金不同于银行储蓄和债券等能够提供固定收益预期的金融工具，投资人购买基金，既可能按其持有份额分享基金投资所产生的收益，也可能承担基金投资所带来的损失。</w:t>
      </w:r>
    </w:p>
    <w:p w14:paraId="766EE112" w14:textId="0D919821"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在投资运作过程中可能面临各种风险，既包括市场风险，也包括基金自身的管理风险、技术风险和合规风险等。巨额赎回风险是开放式基金所特有的一种风险，即当单个开放日基金的净赎回申请（赎回申请份额总数加上基金转换中转出申请份额总数</w:t>
      </w:r>
      <w:r w:rsidR="004532C6">
        <w:rPr>
          <w:rFonts w:ascii="宋体" w:hAnsi="宋体" w:hint="eastAsia"/>
          <w:sz w:val="24"/>
        </w:rPr>
        <w:t>后</w:t>
      </w:r>
      <w:r>
        <w:rPr>
          <w:rFonts w:ascii="宋体" w:hAnsi="宋体"/>
          <w:sz w:val="24"/>
        </w:rPr>
        <w:t>扣除申购申请份额总数及基金转换中转入申请份额总数后的余额）超过上一开放日基金总份额的百分之十时，投资人将可能无法及时赎回持有的全部基金份额。</w:t>
      </w:r>
    </w:p>
    <w:p w14:paraId="16BD7896"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分为股票型基金、混合型基金、债券型基金、货币市场基金等不同类型，投资人投资不同类型的基金将获得不同的收益预期，也将承担不同程度的风险。一般来说，基金的收益预期越高，投资人承担的风险也越大。</w:t>
      </w:r>
    </w:p>
    <w:p w14:paraId="7DC7CE82"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应当认真阅读《基金合同》、《招募说明书》、基金产品资料概要等基金法律文件，了解基金的风险收益特征，并根据自身的投资目的、投资期限、投资经验、资产状况等判断基金是否和投资人的风险承受能力相适应。</w:t>
      </w:r>
    </w:p>
    <w:p w14:paraId="754A3E05"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3C3A3C21"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因拆分、分红等行为导致基金份额净值变化，不会改变基金的风险收益特征，不会降低基金投资风险或提高基金投资收益。以1元初始面值开展基金募集或因拆分、分红等行为导致基金份额净值调整至1元初始面值或1元附近，在市场波动等因素的影响下，基金投资仍有可能出现亏损或基金净值仍有可能低于初始面值。</w:t>
      </w:r>
    </w:p>
    <w:p w14:paraId="212190A3" w14:textId="567D5D9B"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基金管理人承诺以诚实信用、</w:t>
      </w:r>
      <w:r w:rsidR="00F35953">
        <w:rPr>
          <w:rFonts w:ascii="宋体" w:hAnsi="宋体" w:hint="eastAsia"/>
          <w:sz w:val="24"/>
        </w:rPr>
        <w:t>谨慎</w:t>
      </w:r>
      <w:r>
        <w:rPr>
          <w:rFonts w:ascii="宋体" w:hAnsi="宋体"/>
          <w:sz w:val="24"/>
        </w:rPr>
        <w:t>勤勉的原则管理和运用基金资产，但不保证</w:t>
      </w:r>
      <w:r w:rsidR="001D41BA">
        <w:rPr>
          <w:rFonts w:ascii="宋体" w:hAnsi="宋体"/>
          <w:sz w:val="24"/>
        </w:rPr>
        <w:t>投资于</w:t>
      </w:r>
      <w:r>
        <w:rPr>
          <w:rFonts w:ascii="宋体" w:hAnsi="宋体"/>
          <w:sz w:val="24"/>
        </w:rPr>
        <w:t>本基金一定盈利，也不保证最低收益。基金管理人管理的其他基金的业绩不构成对本基金业绩表现的保证。基金管理人提醒投资人基金投资的“买者自负”原则，在做出投资决策后，基金运营状况与基金净值变化引致的投资风险，由投资人</w:t>
      </w:r>
      <w:r>
        <w:rPr>
          <w:rFonts w:ascii="宋体" w:hAnsi="宋体"/>
          <w:sz w:val="24"/>
        </w:rPr>
        <w:lastRenderedPageBreak/>
        <w:t>自行负担。</w:t>
      </w:r>
    </w:p>
    <w:p w14:paraId="1FB67E1B"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基金份额持有人须了解并承受以下风险：</w:t>
      </w:r>
    </w:p>
    <w:p w14:paraId="371090D3" w14:textId="77777777" w:rsidR="00FD086C" w:rsidRPr="00040D5C" w:rsidRDefault="004B071E">
      <w:pPr>
        <w:autoSpaceDE w:val="0"/>
        <w:autoSpaceDN w:val="0"/>
        <w:adjustRightInd w:val="0"/>
        <w:snapToGrid w:val="0"/>
        <w:spacing w:line="360" w:lineRule="auto"/>
        <w:ind w:firstLineChars="200" w:firstLine="482"/>
        <w:jc w:val="left"/>
        <w:rPr>
          <w:rFonts w:ascii="宋体" w:hAnsi="宋体"/>
          <w:b/>
          <w:szCs w:val="24"/>
        </w:rPr>
      </w:pPr>
      <w:r w:rsidRPr="00040D5C">
        <w:rPr>
          <w:rFonts w:ascii="宋体" w:hAnsi="宋体"/>
          <w:b/>
          <w:sz w:val="24"/>
        </w:rPr>
        <w:t>（一）市场风险</w:t>
      </w:r>
    </w:p>
    <w:p w14:paraId="1190BF47"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证券市场价格因受到经济因素、政治因素、投资心理和交易制度等各种因素的影响而引起的波动，将对基金收益水平产生潜在风险，主要包括：</w:t>
      </w:r>
    </w:p>
    <w:p w14:paraId="7906CB59"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1、政策风险。因国家宏观政策（如货币政策、财政政策、行业政策、地区发展政策等）和证券市场监管政策发生变化，导致市场价格波动而产生风险。</w:t>
      </w:r>
    </w:p>
    <w:p w14:paraId="14B41D41"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2、经济周期风险。证券市场受宏观经济运行的影响，而经济运行具有周期性的特点，宏观经济运行状况将对证券市场的收益水平产生影响，从而对基金收益造成影响。</w:t>
      </w:r>
    </w:p>
    <w:p w14:paraId="5CD30D45"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p>
    <w:p w14:paraId="27B0F4EC"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上市公司经营风险。上市公司的经营状况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14:paraId="4AB0C7F1"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5、购买力风险。基金投资的目的是基金资产的保值增值，如果发生通货膨胀，基金投资于证券所获得的收益可能会被通货膨胀抵消，从而使基金的实际收益下降，影响基金资产的保值增值。</w:t>
      </w:r>
    </w:p>
    <w:p w14:paraId="7AF349F4" w14:textId="77777777" w:rsidR="00FD086C" w:rsidRPr="00040D5C" w:rsidRDefault="004B071E">
      <w:pPr>
        <w:autoSpaceDE w:val="0"/>
        <w:autoSpaceDN w:val="0"/>
        <w:adjustRightInd w:val="0"/>
        <w:snapToGrid w:val="0"/>
        <w:spacing w:line="360" w:lineRule="auto"/>
        <w:ind w:firstLineChars="200" w:firstLine="482"/>
        <w:jc w:val="left"/>
        <w:rPr>
          <w:rFonts w:ascii="宋体" w:hAnsi="宋体"/>
          <w:b/>
          <w:szCs w:val="24"/>
        </w:rPr>
      </w:pPr>
      <w:r w:rsidRPr="00040D5C">
        <w:rPr>
          <w:rFonts w:ascii="宋体" w:hAnsi="宋体"/>
          <w:b/>
          <w:sz w:val="24"/>
        </w:rPr>
        <w:t>（二）管理风险</w:t>
      </w:r>
    </w:p>
    <w:p w14:paraId="62691AF0"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p>
    <w:p w14:paraId="753B486B" w14:textId="77777777" w:rsidR="00FD086C" w:rsidRPr="00040D5C" w:rsidRDefault="004B071E">
      <w:pPr>
        <w:autoSpaceDE w:val="0"/>
        <w:autoSpaceDN w:val="0"/>
        <w:adjustRightInd w:val="0"/>
        <w:snapToGrid w:val="0"/>
        <w:spacing w:line="360" w:lineRule="auto"/>
        <w:ind w:firstLineChars="200" w:firstLine="482"/>
        <w:jc w:val="left"/>
        <w:rPr>
          <w:rFonts w:ascii="宋体" w:hAnsi="宋体"/>
          <w:b/>
          <w:szCs w:val="24"/>
        </w:rPr>
      </w:pPr>
      <w:r w:rsidRPr="00040D5C">
        <w:rPr>
          <w:rFonts w:ascii="宋体" w:hAnsi="宋体"/>
          <w:b/>
          <w:sz w:val="24"/>
        </w:rPr>
        <w:t>（三）流动性风险</w:t>
      </w:r>
    </w:p>
    <w:p w14:paraId="7E562BE6"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属于开放式基金，在基金的所有开放日，基金管理人都有义务接受投资人的赎回。如果基金资产不能迅速转变成现金，或者变现为现金时使资金净值产生不利的影响，都会影响基金运作和收益水平。尤其是在发生巨额赎回时，如果基金</w:t>
      </w:r>
      <w:r>
        <w:rPr>
          <w:rFonts w:ascii="宋体" w:hAnsi="宋体"/>
          <w:sz w:val="24"/>
        </w:rPr>
        <w:lastRenderedPageBreak/>
        <w:t>资产变现能力差，可能会产生基金仓位调整的困难，导致流动性风险，可能影响基金份额净值。</w:t>
      </w:r>
    </w:p>
    <w:p w14:paraId="4ADF20A6"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1、本基金的申购、赎回安排</w:t>
      </w:r>
    </w:p>
    <w:p w14:paraId="6CF45126" w14:textId="2D423533"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采用开放方式运作，基金管理人在开放日办理基金份额的申购和赎回，具体办理时间为上海证券交易所、深圳证券交易所的正常交易日的交易时间，但基金管理人根据法律法规、中国证监会的要求或基金合同的规定公告暂停申购、赎回时除外。基金管理人</w:t>
      </w:r>
      <w:r w:rsidR="008C0DA3" w:rsidRPr="001B692B">
        <w:rPr>
          <w:rFonts w:hint="eastAsia"/>
          <w:bCs/>
          <w:sz w:val="24"/>
        </w:rPr>
        <w:t>可根据实际情况依法决定本基金开始办理申购的具体日期</w:t>
      </w:r>
      <w:r w:rsidR="00AC09D4" w:rsidRPr="00AC09D4">
        <w:rPr>
          <w:rFonts w:hint="eastAsia"/>
          <w:bCs/>
          <w:sz w:val="24"/>
        </w:rPr>
        <w:t>，具体业务办理时间在申购开始公告中规定</w:t>
      </w:r>
      <w:r w:rsidR="00AC09D4">
        <w:rPr>
          <w:rFonts w:hint="eastAsia"/>
          <w:bCs/>
          <w:sz w:val="24"/>
        </w:rPr>
        <w:t>。</w:t>
      </w:r>
      <w:r w:rsidR="00380E30">
        <w:rPr>
          <w:rFonts w:hint="eastAsia"/>
          <w:bCs/>
          <w:sz w:val="24"/>
        </w:rPr>
        <w:t>基金管理人</w:t>
      </w:r>
      <w:r>
        <w:rPr>
          <w:rFonts w:ascii="宋体" w:hAnsi="宋体"/>
          <w:sz w:val="24"/>
        </w:rPr>
        <w:t>自基金合同生效之日起不超过3个月开始办理赎回业务，具体业务办理时间在赎回开始公告中规定。</w:t>
      </w:r>
    </w:p>
    <w:p w14:paraId="73DA1EA1"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2、投资市场、行业及资产的流动性风险评估</w:t>
      </w:r>
    </w:p>
    <w:p w14:paraId="11D60233"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投资市场主要为证券交易所、全国银行间债券市场等流动性较好的规范型交易场所，主要投资对象为具有良好流动性的金融工具，同时本基金基于分散投资的原则在行业和个券方面未有高集中度的特征，综合评估在正常市场环境下本基金的流动性风险适中。</w:t>
      </w:r>
    </w:p>
    <w:p w14:paraId="5A1F0DCE"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3、巨额赎回情形下的流动性风险管理措施</w:t>
      </w:r>
    </w:p>
    <w:p w14:paraId="74618946"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14:paraId="5CDC42C8"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当基金出现巨额赎回时，基金管理人可以根据基金当时的资产组合状况决定全额赎回或部分延期赎回。</w:t>
      </w:r>
    </w:p>
    <w:p w14:paraId="08FAD258"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（1）全额赎回：当基金管理人认为有能力支付投资人的全部赎回申请时，按正常赎回程序执行。</w:t>
      </w:r>
    </w:p>
    <w:p w14:paraId="19642BB9" w14:textId="5FFFB20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w:t>
      </w:r>
      <w:r>
        <w:rPr>
          <w:rFonts w:ascii="宋体" w:hAnsi="宋体"/>
          <w:sz w:val="24"/>
        </w:rPr>
        <w:lastRenderedPageBreak/>
        <w:t>以下一开放日</w:t>
      </w:r>
      <w:r w:rsidR="00493D88" w:rsidRPr="00493D88">
        <w:rPr>
          <w:rFonts w:ascii="宋体" w:hAnsi="宋体" w:hint="eastAsia"/>
          <w:sz w:val="24"/>
        </w:rPr>
        <w:t>该类基金份额</w:t>
      </w:r>
      <w:r w:rsidR="000E1CF7">
        <w:rPr>
          <w:rFonts w:ascii="宋体" w:hAnsi="宋体" w:hint="eastAsia"/>
          <w:sz w:val="24"/>
        </w:rPr>
        <w:t>的</w:t>
      </w:r>
      <w:r>
        <w:rPr>
          <w:rFonts w:ascii="宋体" w:hAnsi="宋体"/>
          <w:sz w:val="24"/>
        </w:rPr>
        <w:t>基金份额净值为基础计算赎回金额，以此类推，直到全部赎回为止。如投资人在提交赎回申请时未作明确选择，投资人未能赎回部分作自动延期赎回处理。</w:t>
      </w:r>
    </w:p>
    <w:p w14:paraId="32EE2310"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（3）本基金如发生巨额赎回且单个开放日内单个基金份额持有人申请赎回的基金份额超过前一开放日的基金总份额的20%时，本基金管理人有权采取如下措施：</w:t>
      </w:r>
    </w:p>
    <w:p w14:paraId="74C3E1E5" w14:textId="6F5DA1D6"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对于基金份额持有人当日超过20%的赎回申请，可以对其赎回申请延期办理。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w:t>
      </w:r>
      <w:r w:rsidR="00493D88">
        <w:rPr>
          <w:rFonts w:hint="eastAsia"/>
          <w:bCs/>
          <w:sz w:val="24"/>
        </w:rPr>
        <w:t>该类基金份额</w:t>
      </w:r>
      <w:r>
        <w:rPr>
          <w:rFonts w:ascii="宋体" w:hAnsi="宋体"/>
          <w:sz w:val="24"/>
        </w:rPr>
        <w:t>的基金份额净值为基础计算赎回金额，以此类推，直到全部赎回为止。</w:t>
      </w:r>
    </w:p>
    <w:p w14:paraId="19BDFA2A" w14:textId="350B7CB5"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对于基金份额持有人未超过上述比例的部分，基金管理人可以根据</w:t>
      </w:r>
      <w:r w:rsidR="00493D88">
        <w:rPr>
          <w:rFonts w:ascii="宋体" w:hAnsi="宋体" w:hint="eastAsia"/>
          <w:sz w:val="24"/>
        </w:rPr>
        <w:t>前述</w:t>
      </w:r>
      <w:r>
        <w:rPr>
          <w:rFonts w:ascii="宋体" w:hAnsi="宋体"/>
          <w:sz w:val="24"/>
        </w:rPr>
        <w:t>“（1）全额赎回”或“（2）部分延期赎回”的约定方式与其他基金份额持有人的赎回申请一并办理。但是，如基金份额持有人在当日选择取消赎回，则其当日未获受理的部分赎回申请将被撤销。</w:t>
      </w:r>
    </w:p>
    <w:p w14:paraId="2832ED5C"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暂停赎回：连续2个开放日以上（含本数）发生巨额赎回，如基金管理人认为有必要，可暂停接受基金的赎回申请；已经接受的赎回申请可以延缓支付赎回款项，但不得超过20个工作日，并应当在规定媒介上进行公告。</w:t>
      </w:r>
    </w:p>
    <w:p w14:paraId="44C89C91"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4、实施备用的流动性风险管理工具的情形、程序及对投资者的潜在影响</w:t>
      </w:r>
    </w:p>
    <w:p w14:paraId="4CB206BD" w14:textId="77777777" w:rsidR="00493D88" w:rsidRPr="00493D88" w:rsidRDefault="00493D88" w:rsidP="00493D88">
      <w:pPr>
        <w:autoSpaceDE w:val="0"/>
        <w:autoSpaceDN w:val="0"/>
        <w:adjustRightInd w:val="0"/>
        <w:snapToGrid w:val="0"/>
        <w:spacing w:line="360" w:lineRule="auto"/>
        <w:ind w:firstLineChars="200" w:firstLine="480"/>
        <w:jc w:val="left"/>
        <w:rPr>
          <w:rFonts w:ascii="宋体" w:hAnsi="宋体"/>
          <w:sz w:val="24"/>
        </w:rPr>
      </w:pPr>
      <w:r w:rsidRPr="00493D88">
        <w:rPr>
          <w:rFonts w:ascii="宋体" w:hAnsi="宋体" w:hint="eastAsia"/>
          <w:sz w:val="24"/>
        </w:rPr>
        <w:t>本基金在面临大规模赎回的情况下有可能因为无法变现造成流动性风险。</w:t>
      </w:r>
    </w:p>
    <w:p w14:paraId="64B9697C" w14:textId="6A9246C0" w:rsidR="00493D88" w:rsidRPr="00493D88" w:rsidRDefault="00493D88" w:rsidP="00493D88">
      <w:pPr>
        <w:autoSpaceDE w:val="0"/>
        <w:autoSpaceDN w:val="0"/>
        <w:adjustRightInd w:val="0"/>
        <w:snapToGrid w:val="0"/>
        <w:spacing w:line="360" w:lineRule="auto"/>
        <w:ind w:firstLineChars="200" w:firstLine="480"/>
        <w:jc w:val="left"/>
        <w:rPr>
          <w:rFonts w:ascii="宋体" w:hAnsi="宋体"/>
          <w:sz w:val="24"/>
        </w:rPr>
      </w:pPr>
      <w:r w:rsidRPr="00493D88">
        <w:rPr>
          <w:rFonts w:ascii="宋体" w:hAnsi="宋体" w:hint="eastAsia"/>
          <w:sz w:val="24"/>
        </w:rPr>
        <w:t>如果出现流动性风险，基金管理人经与基金托管人协商，在确保投资者得到公平对待的前提下，可实施备用的流动性风险管理工具，包括但不限于延期办理巨额赎回申请、暂停接受赎回申请、延缓支付赎回款项、收取短期赎回费、摆动定价、暂停基金估值、实施侧袋机制等，作为特定情形下基金管理人流动性风险管理的辅助措施，同时基金管理人应时刻防范可能产生的流动性风险，对流动性风险进行日常监控，保护基金份额持有人的利益。当实施备用的流动性风险管理工具时，有可能无法按</w:t>
      </w:r>
      <w:r w:rsidR="00E14954">
        <w:rPr>
          <w:rFonts w:ascii="宋体" w:hAnsi="宋体" w:hint="eastAsia"/>
          <w:sz w:val="24"/>
        </w:rPr>
        <w:t>基金</w:t>
      </w:r>
      <w:r w:rsidRPr="00493D88">
        <w:rPr>
          <w:rFonts w:ascii="宋体" w:hAnsi="宋体" w:hint="eastAsia"/>
          <w:sz w:val="24"/>
        </w:rPr>
        <w:t>合同约定的时限支付赎回款项。</w:t>
      </w:r>
    </w:p>
    <w:p w14:paraId="3810984F" w14:textId="77777777" w:rsidR="00493D88" w:rsidRPr="00493D88" w:rsidRDefault="00493D88" w:rsidP="00493D88">
      <w:pPr>
        <w:autoSpaceDE w:val="0"/>
        <w:autoSpaceDN w:val="0"/>
        <w:adjustRightInd w:val="0"/>
        <w:snapToGrid w:val="0"/>
        <w:spacing w:line="360" w:lineRule="auto"/>
        <w:ind w:firstLineChars="200" w:firstLine="480"/>
        <w:jc w:val="left"/>
        <w:rPr>
          <w:rFonts w:ascii="宋体" w:hAnsi="宋体"/>
          <w:sz w:val="24"/>
        </w:rPr>
      </w:pPr>
      <w:r w:rsidRPr="00493D88">
        <w:rPr>
          <w:rFonts w:ascii="宋体" w:hAnsi="宋体" w:hint="eastAsia"/>
          <w:sz w:val="24"/>
        </w:rPr>
        <w:t>侧袋机制是一种流动性风险管理工具，是将特定资产分离至专门的侧袋账户进行处置清算，并以处置变现后的款项向基金份额持有人进行支付，目的在于有效隔</w:t>
      </w:r>
      <w:r w:rsidRPr="00493D88">
        <w:rPr>
          <w:rFonts w:ascii="宋体" w:hAnsi="宋体" w:hint="eastAsia"/>
          <w:sz w:val="24"/>
        </w:rPr>
        <w:lastRenderedPageBreak/>
        <w:t>离并化解风险。但基金启用侧袋机制后，侧袋账户份额将停止披露基金份额净值，并不得办理申购、赎回和转换，因此启用侧袋机制时持有基金份额的持有人将在启用侧袋机制后同时持有主袋账户份额和侧袋账户份额，侧袋账户份额不能赎回，其对应特定资产的变现时间具有不确定性，最终变现价格也具有不确定性并且有可能大幅低于启用侧袋机制时的特定资产的估值，基金份额持有人可能因此面临损失。</w:t>
      </w:r>
    </w:p>
    <w:p w14:paraId="6FAFD581" w14:textId="77777777" w:rsidR="00493D88" w:rsidRPr="00493D88" w:rsidRDefault="00493D88" w:rsidP="00493D88">
      <w:pPr>
        <w:autoSpaceDE w:val="0"/>
        <w:autoSpaceDN w:val="0"/>
        <w:adjustRightInd w:val="0"/>
        <w:snapToGrid w:val="0"/>
        <w:spacing w:line="360" w:lineRule="auto"/>
        <w:ind w:firstLineChars="200" w:firstLine="480"/>
        <w:jc w:val="left"/>
        <w:rPr>
          <w:rFonts w:ascii="宋体" w:hAnsi="宋体"/>
          <w:sz w:val="24"/>
        </w:rPr>
      </w:pPr>
      <w:r w:rsidRPr="00493D88">
        <w:rPr>
          <w:rFonts w:ascii="宋体" w:hAnsi="宋体" w:hint="eastAsia"/>
          <w:sz w:val="24"/>
        </w:rPr>
        <w:t>实施侧袋机制期间，因本基金不披露侧袋账户份额的净值，即便基金管理人在基金定期报告中披露报告期末特定资产可变现净值或净值区间的，也不作为特定资产最终变现价格的承诺，因此对于特定资产的公允价值和最终变现价格，基金管理人不承担任何保证和承诺的责任。</w:t>
      </w:r>
    </w:p>
    <w:p w14:paraId="479EA8A7" w14:textId="77777777" w:rsidR="00493D88" w:rsidRPr="00493D88" w:rsidRDefault="00493D88" w:rsidP="00493D88">
      <w:pPr>
        <w:autoSpaceDE w:val="0"/>
        <w:autoSpaceDN w:val="0"/>
        <w:adjustRightInd w:val="0"/>
        <w:snapToGrid w:val="0"/>
        <w:spacing w:line="360" w:lineRule="auto"/>
        <w:ind w:firstLineChars="200" w:firstLine="480"/>
        <w:jc w:val="left"/>
        <w:rPr>
          <w:rFonts w:ascii="宋体" w:hAnsi="宋体"/>
          <w:sz w:val="24"/>
        </w:rPr>
      </w:pPr>
      <w:r w:rsidRPr="00493D88">
        <w:rPr>
          <w:rFonts w:ascii="宋体" w:hAnsi="宋体" w:hint="eastAsia"/>
          <w:sz w:val="24"/>
        </w:rPr>
        <w:t>基金管理人将根据主袋账户运作情况合理确定申购政策，因此实施侧袋机制后主袋账户份额存在暂停申购的可能。</w:t>
      </w:r>
    </w:p>
    <w:p w14:paraId="7A5CE7A4" w14:textId="77777777" w:rsidR="00493D88" w:rsidRDefault="00493D88">
      <w:pPr>
        <w:autoSpaceDE w:val="0"/>
        <w:autoSpaceDN w:val="0"/>
        <w:adjustRightInd w:val="0"/>
        <w:snapToGrid w:val="0"/>
        <w:spacing w:line="360" w:lineRule="auto"/>
        <w:ind w:firstLineChars="200" w:firstLine="480"/>
        <w:jc w:val="left"/>
        <w:rPr>
          <w:rFonts w:ascii="宋体" w:hAnsi="宋体"/>
          <w:sz w:val="24"/>
        </w:rPr>
      </w:pPr>
      <w:r w:rsidRPr="00493D88">
        <w:rPr>
          <w:rFonts w:ascii="宋体" w:hAnsi="宋体" w:hint="eastAsia"/>
          <w:sz w:val="24"/>
        </w:rPr>
        <w:t>启用侧袋机制后，基金管理人计算各项投资运作指标和基金业绩指标时仅需考虑主袋账户资产，基金业绩指标应当以主袋账户资产为基准，因此本基金披露的业绩指标不能反映特定资产的真实价值及变化情况。</w:t>
      </w:r>
    </w:p>
    <w:p w14:paraId="67DC2C4A" w14:textId="77777777" w:rsidR="00FD086C" w:rsidRPr="00040D5C" w:rsidRDefault="004B071E">
      <w:pPr>
        <w:autoSpaceDE w:val="0"/>
        <w:autoSpaceDN w:val="0"/>
        <w:adjustRightInd w:val="0"/>
        <w:snapToGrid w:val="0"/>
        <w:spacing w:line="360" w:lineRule="auto"/>
        <w:ind w:firstLineChars="200" w:firstLine="482"/>
        <w:jc w:val="left"/>
        <w:rPr>
          <w:rFonts w:ascii="宋体" w:hAnsi="宋体"/>
          <w:b/>
          <w:szCs w:val="24"/>
        </w:rPr>
      </w:pPr>
      <w:r w:rsidRPr="00040D5C">
        <w:rPr>
          <w:rFonts w:ascii="宋体" w:hAnsi="宋体"/>
          <w:b/>
          <w:sz w:val="24"/>
        </w:rPr>
        <w:t>（四）信用风险</w:t>
      </w:r>
    </w:p>
    <w:p w14:paraId="049C09B9"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基金在交易过程发生交收违约，或者基金所投资债券之发行人出现违约、拒绝支付到期本息，都可能导致基金资产损失和收益变化，从而产生风险。</w:t>
      </w:r>
    </w:p>
    <w:p w14:paraId="712DB4D4" w14:textId="0280372D" w:rsidR="00FD086C" w:rsidRPr="00040D5C" w:rsidRDefault="004B071E">
      <w:pPr>
        <w:autoSpaceDE w:val="0"/>
        <w:autoSpaceDN w:val="0"/>
        <w:adjustRightInd w:val="0"/>
        <w:snapToGrid w:val="0"/>
        <w:spacing w:line="360" w:lineRule="auto"/>
        <w:ind w:firstLineChars="200" w:firstLine="482"/>
        <w:jc w:val="left"/>
        <w:rPr>
          <w:rFonts w:ascii="宋体" w:hAnsi="宋体"/>
          <w:b/>
          <w:szCs w:val="24"/>
        </w:rPr>
      </w:pPr>
      <w:r w:rsidRPr="00040D5C">
        <w:rPr>
          <w:rFonts w:ascii="宋体" w:hAnsi="宋体"/>
          <w:b/>
          <w:sz w:val="24"/>
        </w:rPr>
        <w:t>（五）本基金</w:t>
      </w:r>
      <w:r w:rsidR="006069EA">
        <w:rPr>
          <w:rFonts w:ascii="宋体" w:hAnsi="宋体"/>
          <w:b/>
          <w:sz w:val="24"/>
        </w:rPr>
        <w:t>的</w:t>
      </w:r>
      <w:r w:rsidRPr="00040D5C">
        <w:rPr>
          <w:rFonts w:ascii="宋体" w:hAnsi="宋体"/>
          <w:b/>
          <w:sz w:val="24"/>
        </w:rPr>
        <w:t>特有风险</w:t>
      </w:r>
    </w:p>
    <w:p w14:paraId="3FEB547E" w14:textId="41FD1550" w:rsidR="006069EA" w:rsidRPr="00040D5C" w:rsidRDefault="006069EA" w:rsidP="006069E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1、本基金为股票型基金，投资于</w:t>
      </w:r>
      <w:r w:rsidRPr="00493D88">
        <w:rPr>
          <w:rFonts w:ascii="宋体" w:hAnsi="宋体" w:hint="eastAsia"/>
          <w:sz w:val="24"/>
        </w:rPr>
        <w:t>中证红利低波动100指数</w:t>
      </w:r>
      <w:r>
        <w:rPr>
          <w:rFonts w:ascii="宋体" w:hAnsi="宋体"/>
          <w:sz w:val="24"/>
        </w:rPr>
        <w:t>成份股</w:t>
      </w:r>
      <w:r w:rsidRPr="00F40CED">
        <w:rPr>
          <w:rFonts w:ascii="宋体" w:hAnsi="宋体" w:hint="eastAsia"/>
          <w:bCs/>
          <w:sz w:val="24"/>
        </w:rPr>
        <w:t>（含存托凭证）</w:t>
      </w:r>
      <w:r>
        <w:rPr>
          <w:rFonts w:ascii="宋体" w:hAnsi="宋体"/>
          <w:sz w:val="24"/>
        </w:rPr>
        <w:t>及备选成份股</w:t>
      </w:r>
      <w:r>
        <w:rPr>
          <w:rFonts w:hint="eastAsia"/>
          <w:bCs/>
          <w:sz w:val="24"/>
        </w:rPr>
        <w:t>（含存托凭证）</w:t>
      </w:r>
      <w:r>
        <w:rPr>
          <w:rFonts w:ascii="宋体" w:hAnsi="宋体"/>
          <w:sz w:val="24"/>
        </w:rPr>
        <w:t>的比例不低于基金资产净值的90%，因投资权益类资产而面临权益类资产市场的系统性风险和个股风险；</w:t>
      </w:r>
    </w:p>
    <w:p w14:paraId="017F12D2" w14:textId="0BD1645C" w:rsidR="00FD086C" w:rsidRDefault="006069E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w:t>
      </w:r>
      <w:r w:rsidR="004B071E">
        <w:rPr>
          <w:rFonts w:ascii="宋体" w:hAnsi="宋体"/>
          <w:sz w:val="24"/>
        </w:rPr>
        <w:t>、标的指数回报与股票市场平均回报偏离的风险</w:t>
      </w:r>
    </w:p>
    <w:p w14:paraId="0301A1B0"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标的指数并不能完全代表整个股票市场。标的指数成份股的平均回报率与整个股票市场的平均回报率可能存在偏离。</w:t>
      </w:r>
    </w:p>
    <w:p w14:paraId="70A49488" w14:textId="7B03DAF0" w:rsidR="00FD086C" w:rsidRDefault="006069E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w:t>
      </w:r>
      <w:r w:rsidR="004B071E">
        <w:rPr>
          <w:rFonts w:ascii="宋体" w:hAnsi="宋体"/>
          <w:sz w:val="24"/>
        </w:rPr>
        <w:t>、标的指数波动的风险</w:t>
      </w:r>
    </w:p>
    <w:p w14:paraId="74E32890"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标的指数成份股的价格可能受到政治因素、经济因素、上市公司经营状况、投资人心理和交易制度等各种因素的影响而波动，导致指数波动，从而使基金收益水平发生变化，产生风险。</w:t>
      </w:r>
    </w:p>
    <w:p w14:paraId="49981745" w14:textId="5DF31EE4" w:rsidR="00FD086C" w:rsidRDefault="006069E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w:t>
      </w:r>
      <w:r w:rsidR="004B071E">
        <w:rPr>
          <w:rFonts w:ascii="宋体" w:hAnsi="宋体"/>
          <w:sz w:val="24"/>
        </w:rPr>
        <w:t>、基金投资组合回报与标的指数回报偏离的风险</w:t>
      </w:r>
    </w:p>
    <w:p w14:paraId="6AC18EC0"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以下因素可能使基金投资组合的收益率与标的指数的收益率发生偏离：</w:t>
      </w:r>
    </w:p>
    <w:p w14:paraId="1E8E500B"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（1）由于标的指数调整成份股或变更编制方法，使本基金在相应的组合调整中产生跟踪偏离度与跟踪误差。</w:t>
      </w:r>
    </w:p>
    <w:p w14:paraId="54A165E0"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（2）由于标的指数成份股发生配股、增发等行为导致成份股在标的指数中的权重发生变化，使本基金在相应的组合调整中产生跟踪偏离度和跟踪误差。</w:t>
      </w:r>
    </w:p>
    <w:p w14:paraId="4ECE1ED6"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（3）标的指数成份股派发现金红利、新股市值配售收益将导致基金收益率超过标的指数收益率，产生正的跟踪偏离度。</w:t>
      </w:r>
    </w:p>
    <w:p w14:paraId="5481D720"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（4）由于标的指数成份股停牌、摘牌或流动性差等原因使本基金无法及时调整投资组合或承担冲击成本而产生跟踪偏离度和跟踪误差。</w:t>
      </w:r>
    </w:p>
    <w:p w14:paraId="1426C93C"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（5）因法律法规的限制或其他限制，本基金可能不能投资于部分标的指数成分股。在使用替代方法，如投资同行业中相关性较高的股票以替代上述投资受限股票时，会产生一定的跟踪偏离度和跟踪误差。</w:t>
      </w:r>
    </w:p>
    <w:p w14:paraId="2F02B7C6"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（6）基金有投资成本、各种费用及税收，而指数编制不考虑费用和税收，这将导致基金收益率落后于标的指数收益率，产生负的跟踪偏离度。</w:t>
      </w:r>
    </w:p>
    <w:p w14:paraId="1650EA85"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（7）在本基金指数化投资过程中，基金管理人的管理能力，例如跟踪指数的水平、技术手段、买入卖出的时机选择等，都会对本基金的收益产生影响，从而影响本基金对标的指数的跟踪程度。</w:t>
      </w:r>
    </w:p>
    <w:p w14:paraId="39419DA6"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其他因素产生的偏离。如因受到最低买入股数的限制，基金投资组合中个别股票的持有比例与标的指数中该股票的权重可能不完全相同；因缺乏卖空、对冲机制及其他工具造成的指数跟踪成本较大；因基金申购与赎回带来的现金变动；因指数发布机构指数编制错误等，由此产生跟踪偏离度与跟踪误差。</w:t>
      </w:r>
    </w:p>
    <w:p w14:paraId="2549BF06" w14:textId="52F4E92B" w:rsidR="00FD086C" w:rsidRDefault="006069E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w:t>
      </w:r>
      <w:r w:rsidR="004B071E">
        <w:rPr>
          <w:rFonts w:ascii="宋体" w:hAnsi="宋体"/>
          <w:sz w:val="24"/>
        </w:rPr>
        <w:t>、标的指数变更的风险</w:t>
      </w:r>
    </w:p>
    <w:p w14:paraId="19321B3B"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尽管可能性很小，但根据基金合同规定，如出现变更标的指数的情形，本基金将变更标的指数。基于原标的指数的投资政策将会改变，投资组合将随之调整，基金的收益风险特征将与新的标的指数保持一致，投资人须承担此项调整带来的风险与成本。</w:t>
      </w:r>
    </w:p>
    <w:p w14:paraId="324B55F0" w14:textId="18A1F662" w:rsidR="00FD086C" w:rsidRDefault="006069E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w:t>
      </w:r>
      <w:r w:rsidR="004B071E">
        <w:rPr>
          <w:rFonts w:ascii="宋体" w:hAnsi="宋体"/>
          <w:sz w:val="24"/>
        </w:rPr>
        <w:t>、跟踪误差控制未达约定目标的风险</w:t>
      </w:r>
    </w:p>
    <w:p w14:paraId="0F2CB82D"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本基金力争控制本基金日均跟踪偏离度的绝对值不超过0.35%，年跟踪误差不超过4%。但因标的指数编制规则调整或其他因素可能导致跟踪误差超过上述范围，本基金净值表现与指数价格走势可能发生较大偏离。</w:t>
      </w:r>
    </w:p>
    <w:p w14:paraId="41A23D9C" w14:textId="1875C653" w:rsidR="00FD086C" w:rsidRDefault="006069E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w:t>
      </w:r>
      <w:r w:rsidR="004B071E">
        <w:rPr>
          <w:rFonts w:ascii="宋体" w:hAnsi="宋体"/>
          <w:sz w:val="24"/>
        </w:rPr>
        <w:t>、指数编制机构停止服务的风险</w:t>
      </w:r>
    </w:p>
    <w:p w14:paraId="08226A68" w14:textId="65D56F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本基金的标的指数由指数编制机构发布并管理和维护，未来指数编制机构可能由于各种原因停止对</w:t>
      </w:r>
      <w:r w:rsidR="00064529">
        <w:rPr>
          <w:rFonts w:ascii="宋体" w:hAnsi="宋体" w:hint="eastAsia"/>
          <w:sz w:val="24"/>
        </w:rPr>
        <w:t>标的</w:t>
      </w:r>
      <w:r>
        <w:rPr>
          <w:rFonts w:ascii="宋体" w:hAnsi="宋体"/>
          <w:sz w:val="24"/>
        </w:rPr>
        <w:t>指数的管理和维护，本基金将根据基金合同的约定自该情形发生之日起十个工作日内向中国证监会报告并提出解决方案，如更换基金标的指数、转换运作方式，与其他基金合并或者终止基金合同等，并在6个月内召集基金份额持有人大会进行表决，基金份额持有人大会未成功召开或就上述事项表决未通过的，基金合同终止。投资人将面临更换基金标的指数、转换运作方式，与其他基金合并或者终止基金合同等风险。</w:t>
      </w:r>
    </w:p>
    <w:p w14:paraId="2B58DE5E"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自指数编制机构停止标的指数的编制及发布至解决方案确定期间，基金管理人应按照指数编制机构提供的最近一个交易日的指数信息遵循基金份额持有人利益优先原则维持基金投资运作，该期间由于标的指数不再更新等原因可能导致指数表现与相关市场表现存在差异，影响投资收益。</w:t>
      </w:r>
    </w:p>
    <w:p w14:paraId="0B5773AD" w14:textId="794624E2" w:rsidR="00FD086C" w:rsidRDefault="006069E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w:t>
      </w:r>
      <w:r w:rsidR="004B071E">
        <w:rPr>
          <w:rFonts w:ascii="宋体" w:hAnsi="宋体"/>
          <w:sz w:val="24"/>
        </w:rPr>
        <w:t>、成份股停牌的风险</w:t>
      </w:r>
    </w:p>
    <w:p w14:paraId="34FD57D0"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标的指数成份股可能因各种原因临时或长期停牌，发生成份股停牌时可能面临如下风险：</w:t>
      </w:r>
    </w:p>
    <w:p w14:paraId="761EA797"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（1）基金可能因无法及时调整投资组合而导致跟踪偏离度和跟踪误差扩大。</w:t>
      </w:r>
    </w:p>
    <w:p w14:paraId="111054AD"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（2）若成份股停牌时间较长，在约定时间内仍未能及时买入或卖出的，由此可能影响投资者的投资损益并使基金产生跟踪偏离度和跟踪误差。</w:t>
      </w:r>
    </w:p>
    <w:p w14:paraId="3A8D3E66"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在极端情况下，标的指数成份股可能大面积停牌，基金可能无法及时卖出成份股以获取足额的符合要求的赎回款项，由此基金管理人可能采取暂停赎回的措施，投资者将面临无法赎回全部或部分基金份额的风险。</w:t>
      </w:r>
    </w:p>
    <w:p w14:paraId="579FA8D1" w14:textId="53DFA220"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本基金运作过程中，当标的指数成份股发生明显负面事件面临退市</w:t>
      </w:r>
      <w:r w:rsidR="00453E68">
        <w:rPr>
          <w:rFonts w:ascii="宋体" w:hAnsi="宋体" w:hint="eastAsia"/>
          <w:sz w:val="24"/>
        </w:rPr>
        <w:t>风险</w:t>
      </w:r>
      <w:r>
        <w:rPr>
          <w:rFonts w:ascii="宋体" w:hAnsi="宋体"/>
          <w:sz w:val="24"/>
        </w:rPr>
        <w:t>，且指数编制机构暂未作出调整的，基金管理人应当按照持有人利益优先的原则，履行内部决策程序后及时对相关成份股进行调整，可能影响投资者的投资损益并使基金产生跟踪偏离度和跟踪误差。</w:t>
      </w:r>
    </w:p>
    <w:p w14:paraId="7E8731A5" w14:textId="6812104C" w:rsidR="0005145C" w:rsidRDefault="006069EA">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9</w:t>
      </w:r>
      <w:r w:rsidR="004B071E">
        <w:rPr>
          <w:rFonts w:ascii="宋体" w:hAnsi="宋体"/>
          <w:sz w:val="24"/>
        </w:rPr>
        <w:t>、基金合同提前终止风险</w:t>
      </w:r>
    </w:p>
    <w:p w14:paraId="6E6F4C1D" w14:textId="7577314D" w:rsidR="00493D88" w:rsidRDefault="0005145C">
      <w:pPr>
        <w:autoSpaceDE w:val="0"/>
        <w:autoSpaceDN w:val="0"/>
        <w:adjustRightInd w:val="0"/>
        <w:snapToGrid w:val="0"/>
        <w:spacing w:line="360" w:lineRule="auto"/>
        <w:ind w:firstLineChars="200" w:firstLine="480"/>
        <w:jc w:val="left"/>
        <w:rPr>
          <w:rFonts w:ascii="宋体" w:hAnsi="宋体"/>
          <w:sz w:val="24"/>
        </w:rPr>
      </w:pPr>
      <w:r w:rsidRPr="0005145C">
        <w:rPr>
          <w:rFonts w:ascii="宋体" w:hAnsi="宋体"/>
          <w:bCs/>
          <w:sz w:val="24"/>
        </w:rPr>
        <w:t>《基金合同》生效后，</w:t>
      </w:r>
      <w:r w:rsidR="00493D88" w:rsidRPr="00493D88">
        <w:rPr>
          <w:rFonts w:ascii="宋体" w:hAnsi="宋体" w:hint="eastAsia"/>
          <w:sz w:val="24"/>
        </w:rPr>
        <w:t>连续50个工作日出现基金份额持有人数量不满200人或者基金资产净值低于5000万元情形的，基金合同终止，不需召开基金份额持有人大会。</w:t>
      </w:r>
      <w:r w:rsidR="003B5DF1">
        <w:rPr>
          <w:rFonts w:ascii="宋体" w:hAnsi="宋体" w:hint="eastAsia"/>
          <w:sz w:val="24"/>
        </w:rPr>
        <w:t>因此，</w:t>
      </w:r>
      <w:r w:rsidR="003B5DF1" w:rsidRPr="009C21A6">
        <w:rPr>
          <w:rFonts w:ascii="Times New Roman" w:hAnsi="Times New Roman" w:hint="eastAsia"/>
          <w:kern w:val="0"/>
          <w:sz w:val="24"/>
        </w:rPr>
        <w:t>投资者可能面临基金合同提前终止的风险。</w:t>
      </w:r>
    </w:p>
    <w:p w14:paraId="77A5A605" w14:textId="4C9A3665" w:rsidR="00BE62FA" w:rsidRDefault="006069EA" w:rsidP="00BE62FA">
      <w:pPr>
        <w:autoSpaceDE w:val="0"/>
        <w:autoSpaceDN w:val="0"/>
        <w:adjustRightInd w:val="0"/>
        <w:snapToGrid w:val="0"/>
        <w:spacing w:line="360" w:lineRule="auto"/>
        <w:ind w:firstLineChars="200" w:firstLine="480"/>
        <w:jc w:val="left"/>
        <w:rPr>
          <w:rFonts w:ascii="宋体" w:hAnsi="宋体"/>
          <w:szCs w:val="24"/>
        </w:rPr>
      </w:pPr>
      <w:r>
        <w:rPr>
          <w:rFonts w:ascii="宋体" w:hAnsi="宋体" w:hint="eastAsia"/>
          <w:sz w:val="24"/>
        </w:rPr>
        <w:t>1</w:t>
      </w:r>
      <w:r>
        <w:rPr>
          <w:rFonts w:ascii="宋体" w:hAnsi="宋体"/>
          <w:sz w:val="24"/>
        </w:rPr>
        <w:t>0</w:t>
      </w:r>
      <w:r w:rsidR="004B071E">
        <w:rPr>
          <w:rFonts w:ascii="宋体" w:hAnsi="宋体"/>
          <w:sz w:val="24"/>
        </w:rPr>
        <w:t>、本基金可投资创业板股票，创业板个股上市后的前五个交易日不设价格涨跌幅限制，第六个交易日开始涨跌幅限制比例为20%。</w:t>
      </w:r>
    </w:p>
    <w:p w14:paraId="3388D675" w14:textId="53259775" w:rsidR="00FD086C" w:rsidRPr="00040D5C" w:rsidRDefault="004B071E">
      <w:pPr>
        <w:autoSpaceDE w:val="0"/>
        <w:autoSpaceDN w:val="0"/>
        <w:adjustRightInd w:val="0"/>
        <w:snapToGrid w:val="0"/>
        <w:spacing w:line="360" w:lineRule="auto"/>
        <w:ind w:firstLineChars="200" w:firstLine="482"/>
        <w:jc w:val="left"/>
        <w:rPr>
          <w:rFonts w:ascii="宋体" w:hAnsi="宋体"/>
          <w:b/>
          <w:sz w:val="24"/>
        </w:rPr>
      </w:pPr>
      <w:r w:rsidRPr="00040D5C">
        <w:rPr>
          <w:rFonts w:ascii="宋体" w:hAnsi="宋体" w:hint="eastAsia"/>
          <w:b/>
          <w:sz w:val="24"/>
        </w:rPr>
        <w:lastRenderedPageBreak/>
        <w:t>（</w:t>
      </w:r>
      <w:r w:rsidR="006069EA">
        <w:rPr>
          <w:rFonts w:ascii="宋体" w:hAnsi="宋体" w:hint="eastAsia"/>
          <w:b/>
          <w:sz w:val="24"/>
        </w:rPr>
        <w:t>六</w:t>
      </w:r>
      <w:r w:rsidRPr="00040D5C">
        <w:rPr>
          <w:rFonts w:ascii="宋体" w:hAnsi="宋体" w:hint="eastAsia"/>
          <w:b/>
          <w:sz w:val="24"/>
        </w:rPr>
        <w:t>）投资股指期货的特定风险</w:t>
      </w:r>
    </w:p>
    <w:p w14:paraId="23980645"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可投资于股指期货，股指期货作为一种金融衍生品，其价值取决于一种或多种基础资产或指数，其评价主要源自于对挂钩资产的价格与价格波动的预期。投资股指期货所面临的风险主要是市场风险、流动性风险、基差风险、保证金风险、信用风险和操作风险。具体为：</w:t>
      </w:r>
    </w:p>
    <w:p w14:paraId="1A354EA6"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（1）市场风险是指由于股指期货价格变动而给投资者带来的风险。市场风险是股指期货投资中最主要的风险。</w:t>
      </w:r>
    </w:p>
    <w:p w14:paraId="0A16F805"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（2）流动性风险是指由于股指期货合约无法及时变现所带来的风险。</w:t>
      </w:r>
    </w:p>
    <w:p w14:paraId="2E3596C2"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（3）基差风险是指股指期货合约价格和指数价格之间的价格差的波动所造成的风险，以及不同股指期货合约价格之间价格差的波动所造成的期现价差风险。</w:t>
      </w:r>
    </w:p>
    <w:p w14:paraId="58E55A21"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（4）保证金风险是指由于无法及时筹措资金满足建立或者维持股指期货合约头寸所要求的保证金而带来的风险。</w:t>
      </w:r>
    </w:p>
    <w:p w14:paraId="71BF9308"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（5）信用风险是指期货经纪公司违约而产生损失的风险。</w:t>
      </w:r>
    </w:p>
    <w:p w14:paraId="5D787B16"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（6）操作风险是指由于内部流程的不完善，业务人员出现差错或者疏漏，或者系统出现故障等原因造成损失的风险。</w:t>
      </w:r>
    </w:p>
    <w:p w14:paraId="4C0DA4DB" w14:textId="64304A61" w:rsidR="00774DF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此外，由于衍生品通常具有杠杆效应，价格波动比标的工具更为剧烈，并且其定价相当复杂，不适当的估值也有可能使基金资产面临损失风险。</w:t>
      </w:r>
    </w:p>
    <w:p w14:paraId="6295203F" w14:textId="2BA25424" w:rsidR="0022608D" w:rsidRPr="00040D5C" w:rsidRDefault="004B071E" w:rsidP="00040D5C">
      <w:pPr>
        <w:autoSpaceDE w:val="0"/>
        <w:autoSpaceDN w:val="0"/>
        <w:adjustRightInd w:val="0"/>
        <w:snapToGrid w:val="0"/>
        <w:spacing w:line="360" w:lineRule="auto"/>
        <w:ind w:firstLineChars="200" w:firstLine="482"/>
        <w:jc w:val="left"/>
        <w:rPr>
          <w:rFonts w:ascii="宋体" w:hAnsi="宋体"/>
          <w:b/>
          <w:sz w:val="24"/>
        </w:rPr>
      </w:pPr>
      <w:r w:rsidRPr="00040D5C">
        <w:rPr>
          <w:rFonts w:ascii="宋体" w:hAnsi="宋体" w:hint="eastAsia"/>
          <w:b/>
          <w:sz w:val="24"/>
        </w:rPr>
        <w:t>（</w:t>
      </w:r>
      <w:r w:rsidR="006069EA">
        <w:rPr>
          <w:rFonts w:ascii="宋体" w:hAnsi="宋体" w:hint="eastAsia"/>
          <w:b/>
          <w:sz w:val="24"/>
        </w:rPr>
        <w:t>七</w:t>
      </w:r>
      <w:r w:rsidRPr="00040D5C">
        <w:rPr>
          <w:rFonts w:ascii="宋体" w:hAnsi="宋体" w:hint="eastAsia"/>
          <w:b/>
          <w:sz w:val="24"/>
        </w:rPr>
        <w:t>）</w:t>
      </w:r>
      <w:r w:rsidR="0022608D" w:rsidRPr="00040D5C">
        <w:rPr>
          <w:rFonts w:ascii="宋体" w:hAnsi="宋体"/>
          <w:b/>
          <w:sz w:val="24"/>
        </w:rPr>
        <w:t>投资</w:t>
      </w:r>
      <w:r w:rsidR="0022608D" w:rsidRPr="00040D5C">
        <w:rPr>
          <w:rFonts w:ascii="宋体" w:hAnsi="宋体" w:hint="eastAsia"/>
          <w:b/>
          <w:sz w:val="24"/>
        </w:rPr>
        <w:t>资产支持证券</w:t>
      </w:r>
      <w:r w:rsidR="0022608D" w:rsidRPr="00040D5C">
        <w:rPr>
          <w:rFonts w:ascii="宋体" w:hAnsi="宋体"/>
          <w:b/>
          <w:sz w:val="24"/>
        </w:rPr>
        <w:t>的特定风险</w:t>
      </w:r>
    </w:p>
    <w:p w14:paraId="0E02F778" w14:textId="77777777" w:rsidR="0022608D" w:rsidRDefault="0022608D" w:rsidP="0022608D">
      <w:pPr>
        <w:widowControl/>
        <w:adjustRightInd w:val="0"/>
        <w:snapToGrid w:val="0"/>
        <w:spacing w:line="360" w:lineRule="auto"/>
        <w:ind w:firstLineChars="200" w:firstLine="480"/>
        <w:rPr>
          <w:rFonts w:hAnsi="宋体"/>
          <w:kern w:val="0"/>
          <w:sz w:val="24"/>
          <w:szCs w:val="24"/>
        </w:rPr>
      </w:pPr>
      <w:r w:rsidRPr="00040D5C">
        <w:rPr>
          <w:rFonts w:ascii="宋体" w:hAnsi="宋体" w:hint="eastAsia"/>
          <w:sz w:val="24"/>
        </w:rPr>
        <w:t>本基金可投资资产支持证券，资产支持证券具有一定的价格波动风险、流动性风险、信用风险等风险，基金管理人将本着谨慎和控制风险的原则进行资产支持证券投资，请基金份额持有人关注包括投资资</w:t>
      </w:r>
      <w:r>
        <w:rPr>
          <w:rFonts w:hAnsi="宋体" w:hint="eastAsia"/>
          <w:kern w:val="0"/>
          <w:sz w:val="24"/>
          <w:szCs w:val="24"/>
        </w:rPr>
        <w:t>产支持证券可能导致的基金净值波动在内的各项风险。</w:t>
      </w:r>
    </w:p>
    <w:p w14:paraId="1F1DE75D" w14:textId="0D82A7F2" w:rsidR="00403956" w:rsidRPr="00040D5C" w:rsidRDefault="0022608D" w:rsidP="00403956">
      <w:pPr>
        <w:autoSpaceDE w:val="0"/>
        <w:autoSpaceDN w:val="0"/>
        <w:adjustRightInd w:val="0"/>
        <w:snapToGrid w:val="0"/>
        <w:spacing w:line="360" w:lineRule="auto"/>
        <w:ind w:firstLineChars="200" w:firstLine="482"/>
        <w:jc w:val="left"/>
        <w:rPr>
          <w:rFonts w:ascii="宋体" w:hAnsi="宋体"/>
          <w:b/>
          <w:sz w:val="24"/>
        </w:rPr>
      </w:pPr>
      <w:r w:rsidRPr="00040D5C">
        <w:rPr>
          <w:rFonts w:ascii="宋体" w:hAnsi="宋体" w:hint="eastAsia"/>
          <w:b/>
          <w:sz w:val="24"/>
        </w:rPr>
        <w:t>（</w:t>
      </w:r>
      <w:r w:rsidR="006069EA">
        <w:rPr>
          <w:rFonts w:ascii="宋体" w:hAnsi="宋体" w:hint="eastAsia"/>
          <w:b/>
          <w:sz w:val="24"/>
        </w:rPr>
        <w:t>八</w:t>
      </w:r>
      <w:r w:rsidRPr="00040D5C">
        <w:rPr>
          <w:rFonts w:ascii="宋体" w:hAnsi="宋体" w:hint="eastAsia"/>
          <w:b/>
          <w:sz w:val="24"/>
        </w:rPr>
        <w:t>）</w:t>
      </w:r>
      <w:r w:rsidR="00403956" w:rsidRPr="00040D5C">
        <w:rPr>
          <w:rFonts w:ascii="宋体" w:hAnsi="宋体" w:hint="eastAsia"/>
          <w:b/>
          <w:sz w:val="24"/>
        </w:rPr>
        <w:t>投资流通受限证券的特定风险</w:t>
      </w:r>
    </w:p>
    <w:p w14:paraId="66DA11A5" w14:textId="67D6CBE2" w:rsidR="00403956" w:rsidRDefault="00403956" w:rsidP="00403956">
      <w:pPr>
        <w:autoSpaceDE w:val="0"/>
        <w:autoSpaceDN w:val="0"/>
        <w:adjustRightInd w:val="0"/>
        <w:snapToGrid w:val="0"/>
        <w:spacing w:line="360" w:lineRule="auto"/>
        <w:ind w:firstLineChars="200" w:firstLine="480"/>
        <w:jc w:val="left"/>
        <w:rPr>
          <w:rFonts w:ascii="宋体" w:hAnsi="宋体"/>
          <w:sz w:val="24"/>
        </w:rPr>
      </w:pPr>
      <w:r w:rsidRPr="00403956">
        <w:rPr>
          <w:rFonts w:ascii="宋体" w:hAnsi="宋体" w:hint="eastAsia"/>
          <w:sz w:val="24"/>
        </w:rPr>
        <w:t>基金投资流动受限证券将面临证券市场流动性风险，主要表现在几个方面：基金建仓困难，或建仓成本很高；基金资产不能迅速转变成现金，或变现成本很高；不能应付可能出现的投资者大额赎回的风险；证券投资中个券和个股的流动性风险等。</w:t>
      </w:r>
    </w:p>
    <w:p w14:paraId="7453D9FE" w14:textId="6871B199" w:rsidR="00FD086C" w:rsidRPr="00040D5C" w:rsidRDefault="00403956" w:rsidP="00403956">
      <w:pPr>
        <w:autoSpaceDE w:val="0"/>
        <w:autoSpaceDN w:val="0"/>
        <w:adjustRightInd w:val="0"/>
        <w:snapToGrid w:val="0"/>
        <w:spacing w:line="360" w:lineRule="auto"/>
        <w:ind w:firstLineChars="200" w:firstLine="482"/>
        <w:jc w:val="left"/>
        <w:rPr>
          <w:rFonts w:ascii="宋体" w:hAnsi="宋体"/>
          <w:b/>
          <w:sz w:val="24"/>
        </w:rPr>
      </w:pPr>
      <w:r w:rsidRPr="00040D5C">
        <w:rPr>
          <w:rFonts w:ascii="宋体" w:hAnsi="宋体" w:hint="eastAsia"/>
          <w:b/>
          <w:sz w:val="24"/>
        </w:rPr>
        <w:t>（</w:t>
      </w:r>
      <w:r w:rsidR="006069EA">
        <w:rPr>
          <w:rFonts w:ascii="宋体" w:hAnsi="宋体" w:hint="eastAsia"/>
          <w:b/>
          <w:sz w:val="24"/>
        </w:rPr>
        <w:t>九</w:t>
      </w:r>
      <w:r w:rsidRPr="00040D5C">
        <w:rPr>
          <w:rFonts w:ascii="宋体" w:hAnsi="宋体" w:hint="eastAsia"/>
          <w:b/>
          <w:sz w:val="24"/>
        </w:rPr>
        <w:t>）</w:t>
      </w:r>
      <w:r w:rsidR="004B071E" w:rsidRPr="00040D5C">
        <w:rPr>
          <w:rFonts w:ascii="宋体" w:hAnsi="宋体" w:hint="eastAsia"/>
          <w:b/>
          <w:sz w:val="24"/>
        </w:rPr>
        <w:t>投资存托凭证的特定风险</w:t>
      </w:r>
    </w:p>
    <w:p w14:paraId="4FDED417"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本基金可投资国内依法发行上市的存托凭证，基金净值可能受到存托凭证的境外基础证券价格波动影响，与存托凭证的境外基础证券、境外基础证券的发行人及</w:t>
      </w:r>
      <w:r>
        <w:rPr>
          <w:rFonts w:ascii="宋体" w:hAnsi="宋体"/>
          <w:sz w:val="24"/>
        </w:rPr>
        <w:lastRenderedPageBreak/>
        <w:t>境内外交易机制相关的风险可能直接或间接成为本基金风险。</w:t>
      </w:r>
    </w:p>
    <w:p w14:paraId="327B6912"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具体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14:paraId="437AB4E6"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本基金可根据投资策略需要或市场环境的变化，选择将部分基金资产投资于存托凭证或选择不将基金资产投资于存托凭证，基金资产并非必然投资存托凭证。</w:t>
      </w:r>
    </w:p>
    <w:p w14:paraId="7168F7BC" w14:textId="6CB72DBF" w:rsidR="0022608D" w:rsidRPr="00040D5C" w:rsidRDefault="0022608D" w:rsidP="0022608D">
      <w:pPr>
        <w:autoSpaceDE w:val="0"/>
        <w:autoSpaceDN w:val="0"/>
        <w:adjustRightInd w:val="0"/>
        <w:snapToGrid w:val="0"/>
        <w:spacing w:line="360" w:lineRule="auto"/>
        <w:ind w:firstLineChars="200" w:firstLine="482"/>
        <w:jc w:val="left"/>
        <w:rPr>
          <w:rFonts w:ascii="宋体" w:hAnsi="宋体"/>
          <w:b/>
          <w:sz w:val="24"/>
        </w:rPr>
      </w:pPr>
      <w:r w:rsidRPr="00040D5C">
        <w:rPr>
          <w:rFonts w:ascii="宋体" w:hAnsi="宋体" w:hint="eastAsia"/>
          <w:b/>
          <w:sz w:val="24"/>
        </w:rPr>
        <w:t>（十）投资科创板股票的特定风险</w:t>
      </w:r>
    </w:p>
    <w:p w14:paraId="62F4CA6D" w14:textId="77777777" w:rsidR="0022608D" w:rsidRPr="0022608D" w:rsidRDefault="0022608D" w:rsidP="0022608D">
      <w:pPr>
        <w:autoSpaceDE w:val="0"/>
        <w:autoSpaceDN w:val="0"/>
        <w:adjustRightInd w:val="0"/>
        <w:snapToGrid w:val="0"/>
        <w:spacing w:line="360" w:lineRule="auto"/>
        <w:ind w:firstLineChars="200" w:firstLine="480"/>
        <w:jc w:val="left"/>
        <w:rPr>
          <w:rFonts w:ascii="宋体" w:hAnsi="宋体"/>
          <w:sz w:val="24"/>
        </w:rPr>
      </w:pPr>
      <w:r w:rsidRPr="0022608D">
        <w:rPr>
          <w:rFonts w:ascii="宋体" w:hAnsi="宋体" w:hint="eastAsia"/>
          <w:sz w:val="24"/>
        </w:rPr>
        <w:t>本基金可根据投资策略需要或市场环境的变化，选择将部分基金资产投资于科创板股票或选择不将基金资产投资于科创板股票，基金资产并非必然投资于科创板股票。基金资产投资于科创板股票，会面临科创板机制下因投资标的、市场制度以及交易规则等差异带来的特有风险，包括但不限于市场风险、流动性风险、退市风险、集中度风险、系统性风险、政策风险等。</w:t>
      </w:r>
    </w:p>
    <w:p w14:paraId="64069D6C" w14:textId="77777777" w:rsidR="0022608D" w:rsidRPr="0022608D" w:rsidRDefault="0022608D" w:rsidP="0022608D">
      <w:pPr>
        <w:autoSpaceDE w:val="0"/>
        <w:autoSpaceDN w:val="0"/>
        <w:adjustRightInd w:val="0"/>
        <w:snapToGrid w:val="0"/>
        <w:spacing w:line="360" w:lineRule="auto"/>
        <w:ind w:firstLineChars="200" w:firstLine="480"/>
        <w:jc w:val="left"/>
        <w:rPr>
          <w:rFonts w:ascii="宋体" w:hAnsi="宋体"/>
          <w:sz w:val="24"/>
        </w:rPr>
      </w:pPr>
      <w:r w:rsidRPr="0022608D">
        <w:rPr>
          <w:rFonts w:ascii="宋体" w:hAnsi="宋体" w:hint="eastAsia"/>
          <w:sz w:val="24"/>
        </w:rPr>
        <w:t>（1）市场风险</w:t>
      </w:r>
    </w:p>
    <w:p w14:paraId="6CD232AA" w14:textId="77777777" w:rsidR="0022608D" w:rsidRPr="0022608D" w:rsidRDefault="0022608D" w:rsidP="0022608D">
      <w:pPr>
        <w:autoSpaceDE w:val="0"/>
        <w:autoSpaceDN w:val="0"/>
        <w:adjustRightInd w:val="0"/>
        <w:snapToGrid w:val="0"/>
        <w:spacing w:line="360" w:lineRule="auto"/>
        <w:ind w:firstLineChars="200" w:firstLine="480"/>
        <w:jc w:val="left"/>
        <w:rPr>
          <w:rFonts w:ascii="宋体" w:hAnsi="宋体"/>
          <w:sz w:val="24"/>
        </w:rPr>
      </w:pPr>
      <w:r w:rsidRPr="0022608D">
        <w:rPr>
          <w:rFonts w:ascii="宋体" w:hAnsi="宋体" w:hint="eastAsia"/>
          <w:sz w:val="24"/>
        </w:rPr>
        <w:t>科创板个股集中来自新一代信息技术、高端装备、新材料、新能源、节能环保及生物医药等高新技术和战略新兴产业领域。大多数企业为初创型公司，企业未来盈利、现金流、估值均存在不确定性，与传统二级市场投资存在差异，整体投资难度加大，个股市场风险加大。</w:t>
      </w:r>
    </w:p>
    <w:p w14:paraId="56EE9C51" w14:textId="77777777" w:rsidR="0022608D" w:rsidRPr="0022608D" w:rsidRDefault="0022608D" w:rsidP="0022608D">
      <w:pPr>
        <w:autoSpaceDE w:val="0"/>
        <w:autoSpaceDN w:val="0"/>
        <w:adjustRightInd w:val="0"/>
        <w:snapToGrid w:val="0"/>
        <w:spacing w:line="360" w:lineRule="auto"/>
        <w:ind w:firstLineChars="200" w:firstLine="480"/>
        <w:jc w:val="left"/>
        <w:rPr>
          <w:rFonts w:ascii="宋体" w:hAnsi="宋体"/>
          <w:sz w:val="24"/>
        </w:rPr>
      </w:pPr>
      <w:r w:rsidRPr="0022608D">
        <w:rPr>
          <w:rFonts w:ascii="宋体" w:hAnsi="宋体" w:hint="eastAsia"/>
          <w:sz w:val="24"/>
        </w:rPr>
        <w:t>科创板个股上市前五日无涨跌停限制，第六日开始涨跌幅限制在正负20%以内，个股波动幅度较其他股票加大，市场风险随之上升。</w:t>
      </w:r>
    </w:p>
    <w:p w14:paraId="1AEFB34F" w14:textId="77777777" w:rsidR="0022608D" w:rsidRPr="0022608D" w:rsidRDefault="0022608D" w:rsidP="0022608D">
      <w:pPr>
        <w:autoSpaceDE w:val="0"/>
        <w:autoSpaceDN w:val="0"/>
        <w:adjustRightInd w:val="0"/>
        <w:snapToGrid w:val="0"/>
        <w:spacing w:line="360" w:lineRule="auto"/>
        <w:ind w:firstLineChars="200" w:firstLine="480"/>
        <w:jc w:val="left"/>
        <w:rPr>
          <w:rFonts w:ascii="宋体" w:hAnsi="宋体"/>
          <w:sz w:val="24"/>
        </w:rPr>
      </w:pPr>
      <w:r w:rsidRPr="0022608D">
        <w:rPr>
          <w:rFonts w:ascii="宋体" w:hAnsi="宋体" w:hint="eastAsia"/>
          <w:sz w:val="24"/>
        </w:rPr>
        <w:t>（2）流动性风险</w:t>
      </w:r>
    </w:p>
    <w:p w14:paraId="78BE960B" w14:textId="77777777" w:rsidR="0022608D" w:rsidRPr="0022608D" w:rsidRDefault="0022608D" w:rsidP="0022608D">
      <w:pPr>
        <w:autoSpaceDE w:val="0"/>
        <w:autoSpaceDN w:val="0"/>
        <w:adjustRightInd w:val="0"/>
        <w:snapToGrid w:val="0"/>
        <w:spacing w:line="360" w:lineRule="auto"/>
        <w:ind w:firstLineChars="200" w:firstLine="480"/>
        <w:jc w:val="left"/>
        <w:rPr>
          <w:rFonts w:ascii="宋体" w:hAnsi="宋体"/>
          <w:sz w:val="24"/>
        </w:rPr>
      </w:pPr>
      <w:r w:rsidRPr="0022608D">
        <w:rPr>
          <w:rFonts w:ascii="宋体" w:hAnsi="宋体" w:hint="eastAsia"/>
          <w:sz w:val="24"/>
        </w:rPr>
        <w:t>科创板整体投资门槛较高，个人投资者必须满足交易满两年并且资金在50万以上才可参与，二级市场上个人投资者参与度相对较低，机构持有个股大量流通盘导致个股流动性较差，基金组合存在无法及时变现及其他相关流动性风险。</w:t>
      </w:r>
    </w:p>
    <w:p w14:paraId="428F149D" w14:textId="77777777" w:rsidR="0022608D" w:rsidRPr="0022608D" w:rsidRDefault="0022608D" w:rsidP="0022608D">
      <w:pPr>
        <w:autoSpaceDE w:val="0"/>
        <w:autoSpaceDN w:val="0"/>
        <w:adjustRightInd w:val="0"/>
        <w:snapToGrid w:val="0"/>
        <w:spacing w:line="360" w:lineRule="auto"/>
        <w:ind w:firstLineChars="200" w:firstLine="480"/>
        <w:jc w:val="left"/>
        <w:rPr>
          <w:rFonts w:ascii="宋体" w:hAnsi="宋体"/>
          <w:sz w:val="24"/>
        </w:rPr>
      </w:pPr>
      <w:r w:rsidRPr="0022608D">
        <w:rPr>
          <w:rFonts w:ascii="宋体" w:hAnsi="宋体" w:hint="eastAsia"/>
          <w:sz w:val="24"/>
        </w:rPr>
        <w:t>（3）退市风险</w:t>
      </w:r>
    </w:p>
    <w:p w14:paraId="0616A52E" w14:textId="77777777" w:rsidR="0022608D" w:rsidRPr="0022608D" w:rsidRDefault="0022608D" w:rsidP="0022608D">
      <w:pPr>
        <w:autoSpaceDE w:val="0"/>
        <w:autoSpaceDN w:val="0"/>
        <w:adjustRightInd w:val="0"/>
        <w:snapToGrid w:val="0"/>
        <w:spacing w:line="360" w:lineRule="auto"/>
        <w:ind w:firstLineChars="200" w:firstLine="480"/>
        <w:jc w:val="left"/>
        <w:rPr>
          <w:rFonts w:ascii="宋体" w:hAnsi="宋体"/>
          <w:sz w:val="24"/>
        </w:rPr>
      </w:pPr>
      <w:r w:rsidRPr="0022608D">
        <w:rPr>
          <w:rFonts w:ascii="宋体" w:hAnsi="宋体" w:hint="eastAsia"/>
          <w:sz w:val="24"/>
        </w:rPr>
        <w:t>科创板退市制度较主板更为严格，退市时间更短，退市速度更快；退市情形更多，新增市值低于规定标准、上市公司信息披露或者规范运作存在重大缺陷导致退</w:t>
      </w:r>
      <w:r w:rsidRPr="0022608D">
        <w:rPr>
          <w:rFonts w:ascii="宋体" w:hAnsi="宋体" w:hint="eastAsia"/>
          <w:sz w:val="24"/>
        </w:rPr>
        <w:lastRenderedPageBreak/>
        <w:t>市的情形；执行标准更严，明显丧失持续经营能力，仅依赖与主业无关的贸易或者不具备商业实质的关联交易维持收入的上市公司可能会被退市；且不再设置暂停上市、恢复上市和重新上市环节，上市公司退市风险更大。</w:t>
      </w:r>
    </w:p>
    <w:p w14:paraId="2DCB7688" w14:textId="77777777" w:rsidR="0022608D" w:rsidRPr="0022608D" w:rsidRDefault="0022608D" w:rsidP="0022608D">
      <w:pPr>
        <w:autoSpaceDE w:val="0"/>
        <w:autoSpaceDN w:val="0"/>
        <w:adjustRightInd w:val="0"/>
        <w:snapToGrid w:val="0"/>
        <w:spacing w:line="360" w:lineRule="auto"/>
        <w:ind w:firstLineChars="200" w:firstLine="480"/>
        <w:jc w:val="left"/>
        <w:rPr>
          <w:rFonts w:ascii="宋体" w:hAnsi="宋体"/>
          <w:sz w:val="24"/>
        </w:rPr>
      </w:pPr>
      <w:r w:rsidRPr="0022608D">
        <w:rPr>
          <w:rFonts w:ascii="宋体" w:hAnsi="宋体" w:hint="eastAsia"/>
          <w:sz w:val="24"/>
        </w:rPr>
        <w:t>（4）集中度风险</w:t>
      </w:r>
    </w:p>
    <w:p w14:paraId="718F084F" w14:textId="77777777" w:rsidR="0022608D" w:rsidRPr="0022608D" w:rsidRDefault="0022608D" w:rsidP="0022608D">
      <w:pPr>
        <w:autoSpaceDE w:val="0"/>
        <w:autoSpaceDN w:val="0"/>
        <w:adjustRightInd w:val="0"/>
        <w:snapToGrid w:val="0"/>
        <w:spacing w:line="360" w:lineRule="auto"/>
        <w:ind w:firstLineChars="200" w:firstLine="480"/>
        <w:jc w:val="left"/>
        <w:rPr>
          <w:rFonts w:ascii="宋体" w:hAnsi="宋体"/>
          <w:sz w:val="24"/>
        </w:rPr>
      </w:pPr>
      <w:r w:rsidRPr="0022608D">
        <w:rPr>
          <w:rFonts w:ascii="宋体" w:hAnsi="宋体" w:hint="eastAsia"/>
          <w:sz w:val="24"/>
        </w:rPr>
        <w:t>科创板为新设板块，初期可投标的较少，投资者容易集中投资于少量个股，市场可能存在高集中度状况，整体存在集中度风险。</w:t>
      </w:r>
    </w:p>
    <w:p w14:paraId="173EB4CA" w14:textId="77777777" w:rsidR="0022608D" w:rsidRPr="0022608D" w:rsidRDefault="0022608D" w:rsidP="0022608D">
      <w:pPr>
        <w:autoSpaceDE w:val="0"/>
        <w:autoSpaceDN w:val="0"/>
        <w:adjustRightInd w:val="0"/>
        <w:snapToGrid w:val="0"/>
        <w:spacing w:line="360" w:lineRule="auto"/>
        <w:ind w:firstLineChars="200" w:firstLine="480"/>
        <w:jc w:val="left"/>
        <w:rPr>
          <w:rFonts w:ascii="宋体" w:hAnsi="宋体"/>
          <w:sz w:val="24"/>
        </w:rPr>
      </w:pPr>
      <w:r w:rsidRPr="0022608D">
        <w:rPr>
          <w:rFonts w:ascii="宋体" w:hAnsi="宋体" w:hint="eastAsia"/>
          <w:sz w:val="24"/>
        </w:rPr>
        <w:t>（5）系统性风险</w:t>
      </w:r>
    </w:p>
    <w:p w14:paraId="5BAA670C" w14:textId="77777777" w:rsidR="0022608D" w:rsidRPr="0022608D" w:rsidRDefault="0022608D" w:rsidP="0022608D">
      <w:pPr>
        <w:autoSpaceDE w:val="0"/>
        <w:autoSpaceDN w:val="0"/>
        <w:adjustRightInd w:val="0"/>
        <w:snapToGrid w:val="0"/>
        <w:spacing w:line="360" w:lineRule="auto"/>
        <w:ind w:firstLineChars="200" w:firstLine="480"/>
        <w:jc w:val="left"/>
        <w:rPr>
          <w:rFonts w:ascii="宋体" w:hAnsi="宋体"/>
          <w:sz w:val="24"/>
        </w:rPr>
      </w:pPr>
      <w:r w:rsidRPr="0022608D">
        <w:rPr>
          <w:rFonts w:ascii="宋体" w:hAnsi="宋体" w:hint="eastAsia"/>
          <w:sz w:val="24"/>
        </w:rPr>
        <w:t>科创板企业均为市场认可度较高的科技创新企业，在企业经营及盈利模式上存在趋同，所以科创板个股相关性较高，市场表现不佳时，系统性风险将更为显著。</w:t>
      </w:r>
    </w:p>
    <w:p w14:paraId="33402402" w14:textId="77777777" w:rsidR="0022608D" w:rsidRPr="0022608D" w:rsidRDefault="0022608D" w:rsidP="0022608D">
      <w:pPr>
        <w:autoSpaceDE w:val="0"/>
        <w:autoSpaceDN w:val="0"/>
        <w:adjustRightInd w:val="0"/>
        <w:snapToGrid w:val="0"/>
        <w:spacing w:line="360" w:lineRule="auto"/>
        <w:ind w:firstLineChars="200" w:firstLine="480"/>
        <w:jc w:val="left"/>
        <w:rPr>
          <w:rFonts w:ascii="宋体" w:hAnsi="宋体"/>
          <w:sz w:val="24"/>
        </w:rPr>
      </w:pPr>
      <w:r w:rsidRPr="0022608D">
        <w:rPr>
          <w:rFonts w:ascii="宋体" w:hAnsi="宋体" w:hint="eastAsia"/>
          <w:sz w:val="24"/>
        </w:rPr>
        <w:t>（6）政策风险</w:t>
      </w:r>
    </w:p>
    <w:p w14:paraId="3EB222BD" w14:textId="77777777" w:rsidR="0022608D" w:rsidRPr="0022608D" w:rsidRDefault="0022608D" w:rsidP="0022608D">
      <w:pPr>
        <w:autoSpaceDE w:val="0"/>
        <w:autoSpaceDN w:val="0"/>
        <w:adjustRightInd w:val="0"/>
        <w:snapToGrid w:val="0"/>
        <w:spacing w:line="360" w:lineRule="auto"/>
        <w:ind w:firstLineChars="200" w:firstLine="480"/>
        <w:jc w:val="left"/>
        <w:rPr>
          <w:rFonts w:ascii="宋体" w:hAnsi="宋体"/>
          <w:sz w:val="24"/>
        </w:rPr>
      </w:pPr>
      <w:r w:rsidRPr="0022608D">
        <w:rPr>
          <w:rFonts w:ascii="宋体" w:hAnsi="宋体" w:hint="eastAsia"/>
          <w:sz w:val="24"/>
        </w:rPr>
        <w:t>国家对高新技术产业扶持力度及重视程度的变化会对科创板企业带来较大影响，国际经济形势变化对战略新兴产业及科创板个股也会带来政策影响。</w:t>
      </w:r>
    </w:p>
    <w:p w14:paraId="52EB8779" w14:textId="4A62D932" w:rsidR="0022608D" w:rsidRPr="00040D5C" w:rsidRDefault="0022608D" w:rsidP="0022608D">
      <w:pPr>
        <w:autoSpaceDE w:val="0"/>
        <w:autoSpaceDN w:val="0"/>
        <w:adjustRightInd w:val="0"/>
        <w:snapToGrid w:val="0"/>
        <w:spacing w:line="360" w:lineRule="auto"/>
        <w:ind w:firstLineChars="200" w:firstLine="482"/>
        <w:jc w:val="left"/>
        <w:rPr>
          <w:rFonts w:ascii="宋体" w:hAnsi="宋体"/>
          <w:b/>
          <w:sz w:val="24"/>
        </w:rPr>
      </w:pPr>
      <w:r w:rsidRPr="00040D5C">
        <w:rPr>
          <w:rFonts w:ascii="宋体" w:hAnsi="宋体" w:hint="eastAsia"/>
          <w:b/>
          <w:sz w:val="24"/>
        </w:rPr>
        <w:t>（十</w:t>
      </w:r>
      <w:r w:rsidR="006069EA">
        <w:rPr>
          <w:rFonts w:ascii="宋体" w:hAnsi="宋体"/>
          <w:b/>
          <w:sz w:val="24"/>
        </w:rPr>
        <w:t>一</w:t>
      </w:r>
      <w:r w:rsidRPr="00040D5C">
        <w:rPr>
          <w:rFonts w:ascii="宋体" w:hAnsi="宋体" w:hint="eastAsia"/>
          <w:b/>
          <w:sz w:val="24"/>
        </w:rPr>
        <w:t>）本基金法律文件风险收益特征表述与销售机构基金风险评价可能不一致的风险</w:t>
      </w:r>
    </w:p>
    <w:p w14:paraId="4CDBFE4B" w14:textId="77777777" w:rsidR="0022608D" w:rsidRDefault="0022608D" w:rsidP="0022608D">
      <w:pPr>
        <w:autoSpaceDE w:val="0"/>
        <w:autoSpaceDN w:val="0"/>
        <w:adjustRightInd w:val="0"/>
        <w:snapToGrid w:val="0"/>
        <w:spacing w:line="360" w:lineRule="auto"/>
        <w:ind w:firstLineChars="200" w:firstLine="480"/>
        <w:jc w:val="left"/>
        <w:rPr>
          <w:rFonts w:ascii="宋体" w:hAnsi="宋体"/>
          <w:sz w:val="24"/>
        </w:rPr>
      </w:pPr>
      <w:r w:rsidRPr="0022608D">
        <w:rPr>
          <w:rFonts w:ascii="宋体" w:hAnsi="宋体" w:hint="eastAsia"/>
          <w:sz w:val="24"/>
        </w:rPr>
        <w:t>本基金法律文件投资章节有关风险收益特征的表述是基于投资范围、投资比例、证券市场普遍规律等做出的概述性描述，代表了一般市场情况下本基金的长期风险收益特征。销售机构（包括基金管理人直销机构和其他销售机构）根据相关法律法规对本基金进行风险评价，不同的销售机构采用的评价方法不同，因此销售机构的风险等级评价与基金法律文件中风险收益特征的表述可能存在不同，投资者在购买本基金时需按照销售机构的要求完成风险承受能力与产品风险之间的匹配检验。</w:t>
      </w:r>
    </w:p>
    <w:p w14:paraId="557AC1D5" w14:textId="3D7AE63F" w:rsidR="00FD086C" w:rsidRPr="00040D5C" w:rsidRDefault="004B071E" w:rsidP="0022608D">
      <w:pPr>
        <w:autoSpaceDE w:val="0"/>
        <w:autoSpaceDN w:val="0"/>
        <w:adjustRightInd w:val="0"/>
        <w:snapToGrid w:val="0"/>
        <w:spacing w:line="360" w:lineRule="auto"/>
        <w:ind w:firstLineChars="200" w:firstLine="482"/>
        <w:jc w:val="left"/>
        <w:rPr>
          <w:rFonts w:ascii="宋体" w:hAnsi="宋体"/>
          <w:b/>
          <w:szCs w:val="24"/>
        </w:rPr>
      </w:pPr>
      <w:r w:rsidRPr="00040D5C">
        <w:rPr>
          <w:rFonts w:ascii="宋体" w:hAnsi="宋体"/>
          <w:b/>
          <w:sz w:val="24"/>
        </w:rPr>
        <w:t>（</w:t>
      </w:r>
      <w:r w:rsidR="004015E9" w:rsidRPr="00040D5C">
        <w:rPr>
          <w:rFonts w:ascii="宋体" w:hAnsi="宋体" w:hint="eastAsia"/>
          <w:b/>
          <w:sz w:val="24"/>
        </w:rPr>
        <w:t>十</w:t>
      </w:r>
      <w:r w:rsidR="006069EA">
        <w:rPr>
          <w:rFonts w:ascii="宋体" w:hAnsi="宋体" w:hint="eastAsia"/>
          <w:b/>
          <w:sz w:val="24"/>
        </w:rPr>
        <w:t>二</w:t>
      </w:r>
      <w:r w:rsidRPr="00040D5C">
        <w:rPr>
          <w:rFonts w:ascii="宋体" w:hAnsi="宋体"/>
          <w:b/>
          <w:sz w:val="24"/>
        </w:rPr>
        <w:t>）其他风险</w:t>
      </w:r>
    </w:p>
    <w:p w14:paraId="616ADFE5"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1、因技术因素而产生的风险，如电脑系统不可靠产生的风险；</w:t>
      </w:r>
    </w:p>
    <w:p w14:paraId="5C1C3406"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2、因基金业务快速发展，在制度建设、人员配备、内控制度建立等方面的不完善产生的风险；</w:t>
      </w:r>
    </w:p>
    <w:p w14:paraId="4104B03B"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3、因人为因素而产生的风险、如内幕交易、欺诈行为等产生的风险；</w:t>
      </w:r>
    </w:p>
    <w:p w14:paraId="6BE9B068"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4、对主要业务人员如基金经理的依赖而可能产生的风险；</w:t>
      </w:r>
    </w:p>
    <w:p w14:paraId="7F2171F9"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5、因业务竞争压力可能产生的风险；</w:t>
      </w:r>
    </w:p>
    <w:p w14:paraId="411E68C0"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6、战争、自然灾害等不可抗力可能导致基金财产的损失，影响基金收益水平，从而带来风险；</w:t>
      </w:r>
    </w:p>
    <w:p w14:paraId="46A55B00"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7、其他意外导致的风险。</w:t>
      </w:r>
    </w:p>
    <w:p w14:paraId="50A0F341" w14:textId="2EDFC997" w:rsidR="00A37EB9" w:rsidRDefault="00A37EB9" w:rsidP="00040D5C">
      <w:pPr>
        <w:autoSpaceDE w:val="0"/>
        <w:autoSpaceDN w:val="0"/>
        <w:adjustRightInd w:val="0"/>
        <w:spacing w:line="360" w:lineRule="auto"/>
        <w:rPr>
          <w:rFonts w:ascii="宋体" w:hAnsi="宋体"/>
          <w:szCs w:val="24"/>
        </w:rPr>
      </w:pPr>
    </w:p>
    <w:p w14:paraId="49A0DFCD" w14:textId="5A45835D" w:rsidR="00FD086C" w:rsidRDefault="00630081">
      <w:pPr>
        <w:pStyle w:val="1"/>
        <w:snapToGrid w:val="0"/>
        <w:spacing w:beforeLines="0" w:before="240" w:after="240"/>
        <w:rPr>
          <w:rFonts w:ascii="宋体" w:hAnsi="宋体"/>
          <w:szCs w:val="30"/>
        </w:rPr>
      </w:pPr>
      <w:r>
        <w:rPr>
          <w:rFonts w:ascii="Times New Roman" w:hAnsi="Times New Roman"/>
          <w:sz w:val="30"/>
        </w:rPr>
        <w:br w:type="page"/>
      </w:r>
      <w:bookmarkStart w:id="37" w:name="_Toc147840636"/>
      <w:r w:rsidR="004B071E">
        <w:rPr>
          <w:rFonts w:ascii="Times New Roman" w:hAnsi="Times New Roman"/>
          <w:sz w:val="30"/>
        </w:rPr>
        <w:lastRenderedPageBreak/>
        <w:t>十</w:t>
      </w:r>
      <w:r>
        <w:rPr>
          <w:rFonts w:ascii="Times New Roman" w:hAnsi="Times New Roman" w:hint="eastAsia"/>
          <w:sz w:val="30"/>
        </w:rPr>
        <w:t>八</w:t>
      </w:r>
      <w:r w:rsidR="004B071E">
        <w:rPr>
          <w:rFonts w:ascii="Times New Roman" w:hAnsi="Times New Roman"/>
          <w:sz w:val="30"/>
        </w:rPr>
        <w:t>、基金合同的变更、终止与基金财产的清算</w:t>
      </w:r>
      <w:bookmarkEnd w:id="37"/>
    </w:p>
    <w:p w14:paraId="3BB6977C" w14:textId="77777777" w:rsidR="00FD086C" w:rsidRPr="00040D5C" w:rsidRDefault="004B071E">
      <w:pPr>
        <w:autoSpaceDE w:val="0"/>
        <w:autoSpaceDN w:val="0"/>
        <w:adjustRightInd w:val="0"/>
        <w:snapToGrid w:val="0"/>
        <w:spacing w:line="360" w:lineRule="auto"/>
        <w:ind w:firstLineChars="200" w:firstLine="482"/>
        <w:jc w:val="left"/>
        <w:rPr>
          <w:rFonts w:ascii="宋体" w:hAnsi="宋体"/>
          <w:b/>
          <w:szCs w:val="24"/>
        </w:rPr>
      </w:pPr>
      <w:r w:rsidRPr="00040D5C">
        <w:rPr>
          <w:rFonts w:ascii="宋体" w:hAnsi="宋体"/>
          <w:b/>
          <w:sz w:val="24"/>
        </w:rPr>
        <w:t>（一）《基金合同》的变更</w:t>
      </w:r>
    </w:p>
    <w:p w14:paraId="66DE4BFB"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变更基金合同涉及法律法规规定或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7915D783" w14:textId="74283F76"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2、关于《基金合同》变更的基金份额持有人大会决议自生效后方可执行，自决议生效后依照《信息披露办法》的规定在规定媒介公告。</w:t>
      </w:r>
    </w:p>
    <w:p w14:paraId="55F9BC0B" w14:textId="77777777" w:rsidR="00FD086C" w:rsidRPr="00040D5C" w:rsidRDefault="004B071E">
      <w:pPr>
        <w:autoSpaceDE w:val="0"/>
        <w:autoSpaceDN w:val="0"/>
        <w:adjustRightInd w:val="0"/>
        <w:snapToGrid w:val="0"/>
        <w:spacing w:line="360" w:lineRule="auto"/>
        <w:ind w:firstLineChars="200" w:firstLine="482"/>
        <w:jc w:val="left"/>
        <w:rPr>
          <w:rFonts w:ascii="宋体" w:hAnsi="宋体"/>
          <w:b/>
          <w:szCs w:val="24"/>
        </w:rPr>
      </w:pPr>
      <w:r w:rsidRPr="00040D5C">
        <w:rPr>
          <w:rFonts w:ascii="宋体" w:hAnsi="宋体"/>
          <w:b/>
          <w:sz w:val="24"/>
        </w:rPr>
        <w:t>（二）《基金合同》的终止事由</w:t>
      </w:r>
    </w:p>
    <w:p w14:paraId="68AFCAC9"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有下列情形之一的，经履行相关程序后，《基金合同》应当终止：</w:t>
      </w:r>
    </w:p>
    <w:p w14:paraId="3B03643A"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1、基金份额持有人大会决定终止的；</w:t>
      </w:r>
    </w:p>
    <w:p w14:paraId="0C28CB6E"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2、基金管理人、基金托管人职责终止，在6个月内没有新基金管理人、新基金托管人承接的；</w:t>
      </w:r>
    </w:p>
    <w:p w14:paraId="141103F2"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出现标的指数不符合要求（不包括因成份股价格波动等指数编制方法变动之外的因素致使标的指数不符合要求的情形）、指数编制机构退出等情形，基金管理人召集基金份额持有人大会对解决方案进行表决，基金份额持有人大会未成功召开或就上述事项表决未通过的；</w:t>
      </w:r>
    </w:p>
    <w:p w14:paraId="6BD10B3E" w14:textId="6BDEAA38"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4、连续</w:t>
      </w:r>
      <w:r w:rsidR="00630081">
        <w:rPr>
          <w:rFonts w:ascii="宋体" w:hAnsi="宋体" w:hint="eastAsia"/>
          <w:sz w:val="24"/>
        </w:rPr>
        <w:t>5</w:t>
      </w:r>
      <w:r w:rsidR="00630081">
        <w:rPr>
          <w:rFonts w:ascii="宋体" w:hAnsi="宋体"/>
          <w:sz w:val="24"/>
        </w:rPr>
        <w:t>0</w:t>
      </w:r>
      <w:r>
        <w:rPr>
          <w:rFonts w:ascii="宋体" w:hAnsi="宋体"/>
          <w:sz w:val="24"/>
        </w:rPr>
        <w:t>个工作日出现基金份额持有人数量不满200人或者基金资产净值低于5000万元情形的，基金合同</w:t>
      </w:r>
      <w:r w:rsidR="00630081">
        <w:rPr>
          <w:rFonts w:ascii="宋体" w:hAnsi="宋体" w:hint="eastAsia"/>
          <w:sz w:val="24"/>
        </w:rPr>
        <w:t>终止</w:t>
      </w:r>
      <w:r>
        <w:rPr>
          <w:rFonts w:ascii="宋体" w:hAnsi="宋体"/>
          <w:sz w:val="24"/>
        </w:rPr>
        <w:t>，不需召开基金份额持有人大会；</w:t>
      </w:r>
    </w:p>
    <w:p w14:paraId="4DA9296E"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5、《基金合同》约定的其他情形；</w:t>
      </w:r>
    </w:p>
    <w:p w14:paraId="6DA74DFB"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6、相关法律法规和中国证监会规定的其他情况。</w:t>
      </w:r>
    </w:p>
    <w:p w14:paraId="46677B09" w14:textId="77777777" w:rsidR="00FD086C" w:rsidRPr="00040D5C" w:rsidRDefault="004B071E">
      <w:pPr>
        <w:autoSpaceDE w:val="0"/>
        <w:autoSpaceDN w:val="0"/>
        <w:adjustRightInd w:val="0"/>
        <w:snapToGrid w:val="0"/>
        <w:spacing w:line="360" w:lineRule="auto"/>
        <w:ind w:firstLineChars="200" w:firstLine="482"/>
        <w:jc w:val="left"/>
        <w:rPr>
          <w:rFonts w:ascii="宋体" w:hAnsi="宋体"/>
          <w:b/>
          <w:szCs w:val="24"/>
        </w:rPr>
      </w:pPr>
      <w:r w:rsidRPr="00040D5C">
        <w:rPr>
          <w:rFonts w:ascii="宋体" w:hAnsi="宋体"/>
          <w:b/>
          <w:sz w:val="24"/>
        </w:rPr>
        <w:t>（三）基金财产的清算</w:t>
      </w:r>
    </w:p>
    <w:p w14:paraId="0AE7F4FE"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1、基金财产清算小组：自出现《基金合同》终止事由之日起30个工作日内成立清算小组，基金管理人组织基金财产清算小组并在中国证监会的监督下进行基金清算。</w:t>
      </w:r>
    </w:p>
    <w:p w14:paraId="7FAE7D40"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财产清算小组组成：基金财产清算小组成员由基金管理人、基金托管人、符合《中华人民共和国证券法》规定的注册会计师、律师以及中国证监会指定的人员组成。基金财产清算小组可以聘用必要的工作人员。</w:t>
      </w:r>
    </w:p>
    <w:p w14:paraId="6407FD4E"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3、基金财产清算小组职责：基金财产清算小组负责基金财产的保管、清理、</w:t>
      </w:r>
      <w:r>
        <w:rPr>
          <w:rFonts w:ascii="宋体" w:hAnsi="宋体"/>
          <w:sz w:val="24"/>
        </w:rPr>
        <w:lastRenderedPageBreak/>
        <w:t>估价、变现和分配。基金财产清算小组可以依法进行必要的民事活动。</w:t>
      </w:r>
    </w:p>
    <w:p w14:paraId="218D7952"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4、基金财产清算程序：</w:t>
      </w:r>
    </w:p>
    <w:p w14:paraId="4B740C6A" w14:textId="2AE09721"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（1）《基金合同》终止情形出现时，由基金财产清算小组统一接管基金</w:t>
      </w:r>
      <w:r w:rsidR="00630081">
        <w:rPr>
          <w:rFonts w:hint="eastAsia"/>
          <w:bCs/>
          <w:sz w:val="24"/>
        </w:rPr>
        <w:t>财产</w:t>
      </w:r>
      <w:r>
        <w:rPr>
          <w:rFonts w:ascii="宋体" w:hAnsi="宋体"/>
          <w:sz w:val="24"/>
        </w:rPr>
        <w:t>；</w:t>
      </w:r>
    </w:p>
    <w:p w14:paraId="3E0D1F3E"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（2）对基金财产和债权债务进行清理和确认；</w:t>
      </w:r>
    </w:p>
    <w:p w14:paraId="1874541C"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（3）对基金财产进行估值和变现；</w:t>
      </w:r>
    </w:p>
    <w:p w14:paraId="41CB6DB2"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（4）制作清算报告；</w:t>
      </w:r>
    </w:p>
    <w:p w14:paraId="343C0FFE"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（5）聘请会计师事务所对清算报告进行外部审计，聘请律师事务所对清算报告出具法律意见书；</w:t>
      </w:r>
    </w:p>
    <w:p w14:paraId="7F3E644D"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（6）将清算报告报中国证监会备案并公告；</w:t>
      </w:r>
    </w:p>
    <w:p w14:paraId="179AE6CB"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（7）对基金剩余财产进行分配。</w:t>
      </w:r>
    </w:p>
    <w:p w14:paraId="2C94C74C"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5、基金财产清算的期限为6个月，但因本基金所持证券的流动性受到限制而不能及时变现的，清算期限相应顺延。</w:t>
      </w:r>
    </w:p>
    <w:p w14:paraId="62AE885F" w14:textId="77777777" w:rsidR="00FD086C" w:rsidRPr="00040D5C" w:rsidRDefault="004B071E">
      <w:pPr>
        <w:autoSpaceDE w:val="0"/>
        <w:autoSpaceDN w:val="0"/>
        <w:adjustRightInd w:val="0"/>
        <w:snapToGrid w:val="0"/>
        <w:spacing w:line="360" w:lineRule="auto"/>
        <w:ind w:firstLineChars="200" w:firstLine="482"/>
        <w:jc w:val="left"/>
        <w:rPr>
          <w:rFonts w:ascii="宋体" w:hAnsi="宋体"/>
          <w:b/>
          <w:szCs w:val="24"/>
        </w:rPr>
      </w:pPr>
      <w:r w:rsidRPr="00040D5C">
        <w:rPr>
          <w:rFonts w:ascii="宋体" w:hAnsi="宋体"/>
          <w:b/>
          <w:sz w:val="24"/>
        </w:rPr>
        <w:t>（四）清算费用</w:t>
      </w:r>
    </w:p>
    <w:p w14:paraId="5CB29594"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清算费用是指基金财产清算小组在进行基金清算过程中发生的所有合理费用，清算费用由基金财产清算小组优先从基金财产中支付。</w:t>
      </w:r>
    </w:p>
    <w:p w14:paraId="4A212C47" w14:textId="77777777" w:rsidR="00FD086C" w:rsidRPr="00040D5C" w:rsidRDefault="004B071E">
      <w:pPr>
        <w:autoSpaceDE w:val="0"/>
        <w:autoSpaceDN w:val="0"/>
        <w:adjustRightInd w:val="0"/>
        <w:snapToGrid w:val="0"/>
        <w:spacing w:line="360" w:lineRule="auto"/>
        <w:ind w:firstLineChars="200" w:firstLine="482"/>
        <w:jc w:val="left"/>
        <w:rPr>
          <w:rFonts w:ascii="宋体" w:hAnsi="宋体"/>
          <w:b/>
          <w:szCs w:val="24"/>
        </w:rPr>
      </w:pPr>
      <w:r w:rsidRPr="00040D5C">
        <w:rPr>
          <w:rFonts w:ascii="宋体" w:hAnsi="宋体"/>
          <w:b/>
          <w:sz w:val="24"/>
        </w:rPr>
        <w:t>（五）基金财产清算剩余资产的分配</w:t>
      </w:r>
    </w:p>
    <w:p w14:paraId="75AC6DA4"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依据基金财产清算的分配方案，将基金财产清算后的全部剩余资产扣除基金财产清算费用、交纳所欠税款并清偿基金债务后，按基金份额持有人持有的基金份额比例进行分配。</w:t>
      </w:r>
    </w:p>
    <w:p w14:paraId="72F72236" w14:textId="77777777" w:rsidR="00FD086C" w:rsidRPr="00040D5C" w:rsidRDefault="004B071E">
      <w:pPr>
        <w:autoSpaceDE w:val="0"/>
        <w:autoSpaceDN w:val="0"/>
        <w:adjustRightInd w:val="0"/>
        <w:snapToGrid w:val="0"/>
        <w:spacing w:line="360" w:lineRule="auto"/>
        <w:ind w:firstLineChars="200" w:firstLine="482"/>
        <w:jc w:val="left"/>
        <w:rPr>
          <w:rFonts w:ascii="宋体" w:hAnsi="宋体"/>
          <w:b/>
          <w:szCs w:val="24"/>
        </w:rPr>
      </w:pPr>
      <w:r w:rsidRPr="00040D5C">
        <w:rPr>
          <w:rFonts w:ascii="宋体" w:hAnsi="宋体"/>
          <w:b/>
          <w:sz w:val="24"/>
        </w:rPr>
        <w:t>（六）基金财产清算的公告</w:t>
      </w:r>
    </w:p>
    <w:p w14:paraId="0DE878B7" w14:textId="76BE8082"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清算过程中的有关重大事项须及时公告；基金财产清算报告经</w:t>
      </w:r>
      <w:r w:rsidR="00774DFC" w:rsidRPr="00774DFC">
        <w:rPr>
          <w:rFonts w:ascii="宋体" w:hAnsi="宋体" w:hint="eastAsia"/>
          <w:bCs/>
          <w:sz w:val="24"/>
        </w:rPr>
        <w:t>符合《中华人民共和国证券法》规定的</w:t>
      </w:r>
      <w:r>
        <w:rPr>
          <w:rFonts w:ascii="宋体" w:hAnsi="宋体"/>
          <w:sz w:val="24"/>
        </w:rPr>
        <w:t>会计师事务所审计并由律师事务所出具法律意见书后报中国证监会备案并公告。基金财产清算公告于基金财产清算报告报中国证监会备案后5个工作日内由基金财产清算小组进行公告</w:t>
      </w:r>
      <w:r w:rsidR="00630081" w:rsidRPr="00630081">
        <w:rPr>
          <w:rFonts w:ascii="宋体" w:hAnsi="宋体" w:hint="eastAsia"/>
          <w:sz w:val="24"/>
        </w:rPr>
        <w:t>，基金财产清算小组应当将清算报告登载在规定网站上，并将清算报告提示性公告登载在规定报刊上</w:t>
      </w:r>
      <w:r>
        <w:rPr>
          <w:rFonts w:ascii="宋体" w:hAnsi="宋体"/>
          <w:sz w:val="24"/>
        </w:rPr>
        <w:t>。</w:t>
      </w:r>
    </w:p>
    <w:p w14:paraId="2A6BCB24" w14:textId="77777777" w:rsidR="00FD086C" w:rsidRPr="00040D5C" w:rsidRDefault="004B071E">
      <w:pPr>
        <w:autoSpaceDE w:val="0"/>
        <w:autoSpaceDN w:val="0"/>
        <w:adjustRightInd w:val="0"/>
        <w:snapToGrid w:val="0"/>
        <w:spacing w:line="360" w:lineRule="auto"/>
        <w:ind w:firstLineChars="200" w:firstLine="482"/>
        <w:jc w:val="left"/>
        <w:rPr>
          <w:rFonts w:ascii="宋体" w:hAnsi="宋体"/>
          <w:b/>
          <w:szCs w:val="24"/>
        </w:rPr>
      </w:pPr>
      <w:r w:rsidRPr="00040D5C">
        <w:rPr>
          <w:rFonts w:ascii="宋体" w:hAnsi="宋体"/>
          <w:b/>
          <w:sz w:val="24"/>
        </w:rPr>
        <w:t>（七）基金财产清算账册及文件的保存</w:t>
      </w:r>
    </w:p>
    <w:p w14:paraId="045CE293" w14:textId="0679E433"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基金财产清算账册及有关文件由基金托管人保存</w:t>
      </w:r>
      <w:r w:rsidR="00630081">
        <w:rPr>
          <w:rFonts w:hint="eastAsia"/>
          <w:bCs/>
          <w:sz w:val="24"/>
        </w:rPr>
        <w:t>不低于法律法规规定的最低期限</w:t>
      </w:r>
      <w:r w:rsidR="00630081">
        <w:rPr>
          <w:bCs/>
          <w:sz w:val="24"/>
        </w:rPr>
        <w:t>。</w:t>
      </w:r>
    </w:p>
    <w:p w14:paraId="7A6CC13E" w14:textId="0D3425A3" w:rsidR="00A37EB9" w:rsidRDefault="00A37EB9" w:rsidP="00040D5C">
      <w:pPr>
        <w:autoSpaceDE w:val="0"/>
        <w:autoSpaceDN w:val="0"/>
        <w:adjustRightInd w:val="0"/>
        <w:spacing w:line="360" w:lineRule="auto"/>
        <w:rPr>
          <w:rFonts w:ascii="宋体" w:hAnsi="宋体"/>
          <w:szCs w:val="24"/>
        </w:rPr>
      </w:pPr>
    </w:p>
    <w:p w14:paraId="393E6F4B" w14:textId="24949F08" w:rsidR="00FD086C" w:rsidRDefault="004B071E">
      <w:pPr>
        <w:pStyle w:val="1"/>
        <w:snapToGrid w:val="0"/>
        <w:spacing w:beforeLines="0" w:before="240" w:after="240"/>
        <w:rPr>
          <w:rFonts w:ascii="宋体" w:hAnsi="宋体"/>
          <w:szCs w:val="30"/>
        </w:rPr>
      </w:pPr>
      <w:bookmarkStart w:id="38" w:name="_Toc147840637"/>
      <w:r>
        <w:rPr>
          <w:rFonts w:ascii="Times New Roman" w:hAnsi="Times New Roman"/>
          <w:sz w:val="30"/>
        </w:rPr>
        <w:lastRenderedPageBreak/>
        <w:t>十</w:t>
      </w:r>
      <w:r w:rsidR="00010049">
        <w:rPr>
          <w:rFonts w:ascii="Times New Roman" w:hAnsi="Times New Roman" w:hint="eastAsia"/>
          <w:sz w:val="30"/>
        </w:rPr>
        <w:t>九</w:t>
      </w:r>
      <w:r>
        <w:rPr>
          <w:rFonts w:ascii="Times New Roman" w:hAnsi="Times New Roman"/>
          <w:sz w:val="30"/>
        </w:rPr>
        <w:t>、基金合同内容摘要</w:t>
      </w:r>
      <w:bookmarkEnd w:id="38"/>
    </w:p>
    <w:p w14:paraId="2B406F2F" w14:textId="77777777" w:rsidR="00FD086C" w:rsidRPr="00040D5C" w:rsidRDefault="004B071E">
      <w:pPr>
        <w:autoSpaceDE w:val="0"/>
        <w:autoSpaceDN w:val="0"/>
        <w:adjustRightInd w:val="0"/>
        <w:snapToGrid w:val="0"/>
        <w:spacing w:line="360" w:lineRule="auto"/>
        <w:ind w:firstLineChars="200" w:firstLine="482"/>
        <w:jc w:val="left"/>
        <w:rPr>
          <w:rFonts w:ascii="宋体" w:hAnsi="宋体"/>
          <w:b/>
          <w:szCs w:val="24"/>
        </w:rPr>
      </w:pPr>
      <w:r w:rsidRPr="00040D5C">
        <w:rPr>
          <w:rFonts w:ascii="宋体" w:hAnsi="宋体"/>
          <w:b/>
          <w:sz w:val="24"/>
        </w:rPr>
        <w:t>（一）基金份额持有人、基金管理人和基金托管人的权利与义务</w:t>
      </w:r>
    </w:p>
    <w:p w14:paraId="61F616DE"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1、基金管理人的权利与义务</w:t>
      </w:r>
    </w:p>
    <w:p w14:paraId="38D836B7"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（1）根据《基金法》、《运作办法》及其他有关规定，基金管理人的权利包括但不限于：</w:t>
      </w:r>
    </w:p>
    <w:p w14:paraId="59B7CBD1"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1）依法募集资金；</w:t>
      </w:r>
    </w:p>
    <w:p w14:paraId="7B12F9BF"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2）自《基金合同》生效之日起，根据法律法规和《基金合同》独立运用并管理基金财产；</w:t>
      </w:r>
    </w:p>
    <w:p w14:paraId="22041903"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3）依照《基金合同》收取基金管理费以及法律法规规定或中国证监会批准的其他费用；</w:t>
      </w:r>
    </w:p>
    <w:p w14:paraId="12404F0D"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4）销售基金份额；</w:t>
      </w:r>
    </w:p>
    <w:p w14:paraId="482559B9"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5）按照规定召集基金份额持有人大会；</w:t>
      </w:r>
    </w:p>
    <w:p w14:paraId="5BEFEA4B"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6）依据《基金合同》及有关法律规定监督基金托管人，如认为基金托管人违反了《基金合同》及国家有关法律规定，应呈报中国证监会和其他监管部门，并采取必要措施保护基金投资者的利益；</w:t>
      </w:r>
    </w:p>
    <w:p w14:paraId="1DFC2227"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7）在基金托管人更换时，提名新的基金托管人；</w:t>
      </w:r>
    </w:p>
    <w:p w14:paraId="6CB70303"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8）选择、更换基金销售机构，对基金销售机构的相关行为进行监督和处理；</w:t>
      </w:r>
    </w:p>
    <w:p w14:paraId="43FB89EB"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9）担任或委托其他符合条件的机构担任基金登记机构办理基金登记业务并获得《基金合同》规定的费用；</w:t>
      </w:r>
    </w:p>
    <w:p w14:paraId="23E6D1B7"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10）依据《基金合同》及有关法律规定决定基金收益的分配方案；</w:t>
      </w:r>
    </w:p>
    <w:p w14:paraId="69082F0C"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11）在《基金合同》约定的范围内，拒绝或暂停受理申购与赎回申请；</w:t>
      </w:r>
    </w:p>
    <w:p w14:paraId="7A01C9D4"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12）依照法律法规为基金的利益对被投资公司行使股东权利，为基金的利益行使因基金财产投资于证券所产生的权利；</w:t>
      </w:r>
    </w:p>
    <w:p w14:paraId="31A8CE7D"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13）在法律法规允许的前提下，为基金的利益依法为基金进行融资；</w:t>
      </w:r>
    </w:p>
    <w:p w14:paraId="340670A5"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14）以基金管理人的名义，代表基金份额持有人的利益行使诉讼权利或者实施其他法律行为；</w:t>
      </w:r>
    </w:p>
    <w:p w14:paraId="761C3E9B" w14:textId="7E51A5C8"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15）选择、更换律师事务所、会计师事务所、证券经纪商</w:t>
      </w:r>
      <w:r w:rsidR="001F02CC" w:rsidRPr="00730632">
        <w:rPr>
          <w:rFonts w:hint="eastAsia"/>
          <w:bCs/>
          <w:sz w:val="24"/>
        </w:rPr>
        <w:t>、期货经纪机构</w:t>
      </w:r>
      <w:r>
        <w:rPr>
          <w:rFonts w:ascii="宋体" w:hAnsi="宋体"/>
          <w:sz w:val="24"/>
        </w:rPr>
        <w:t>或其他为基金提供服务的外部机构；</w:t>
      </w:r>
    </w:p>
    <w:p w14:paraId="349ACA41"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16）在符合有关法律、法规的前提下，制定和调整有关基金认购、申购、赎</w:t>
      </w:r>
      <w:r>
        <w:rPr>
          <w:rFonts w:ascii="宋体" w:hAnsi="宋体"/>
          <w:sz w:val="24"/>
        </w:rPr>
        <w:lastRenderedPageBreak/>
        <w:t>回、转换等的业务规则；</w:t>
      </w:r>
    </w:p>
    <w:p w14:paraId="314DE287"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17）法律法规及中国证监会规定的和《基金合同》约定的其他权利。</w:t>
      </w:r>
    </w:p>
    <w:p w14:paraId="13F81064"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（2）根据《基金法》、《运作办法》及其他有关规定，基金管理人的义务包括但不限于：</w:t>
      </w:r>
    </w:p>
    <w:p w14:paraId="2E997A69"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1）依法募集资金，办理或者委托经中国证监会认定的其他机构办理基金份额的发售、申购、赎回和登记事宜；</w:t>
      </w:r>
    </w:p>
    <w:p w14:paraId="50F9DCD2"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2）办理基金备案手续；</w:t>
      </w:r>
    </w:p>
    <w:p w14:paraId="1C99337E"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3）自《基金合同》生效之日起，以诚实信用、谨慎勤勉的原则管理和运用基金财产；</w:t>
      </w:r>
    </w:p>
    <w:p w14:paraId="3C591C06"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4）配备足够的具有专业资格的人员进行基金投资分析、决策，以专业化的经营方式管理和运作基金财产；</w:t>
      </w:r>
    </w:p>
    <w:p w14:paraId="4194F54F"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5）建立健全内部风险控制、监察与稽核、财务管理及人事管理等制度，保证所管理的基金财产和基金管理人的财产相互独立，对所管理的不同基金分别管理，分别记账，进行证券投资；</w:t>
      </w:r>
    </w:p>
    <w:p w14:paraId="0A93BD75"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6）除依据《基金法》、《基金合同》及其他有关规定外，不得利用基金财产为自己及任何第三人谋取利益，不得委托第三人运作基金财产；</w:t>
      </w:r>
    </w:p>
    <w:p w14:paraId="60D7D83D"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7）依法接受基金托管人的监督；</w:t>
      </w:r>
    </w:p>
    <w:p w14:paraId="538F98D7"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8）采取适当合理的措施使计算基金份额认购、申购、赎回和注销价格的方法符合《基金合同》等法律文件的规定，按有关规定计算并公告基金净值信息，确定基金份额申购、赎回的价格；</w:t>
      </w:r>
    </w:p>
    <w:p w14:paraId="46E75389"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9）进行基金会计核算并编制基金财务会计报告；</w:t>
      </w:r>
    </w:p>
    <w:p w14:paraId="337C8A09"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10）编制季度报告、中期报告和年度报告；</w:t>
      </w:r>
    </w:p>
    <w:p w14:paraId="4BC837E3"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11）严格按照《基金法》、《基金合同》及其他有关规定，履行信息披露及报告义务；</w:t>
      </w:r>
    </w:p>
    <w:p w14:paraId="5B14D748" w14:textId="5CDEB4CF" w:rsidR="00FD086C" w:rsidRPr="00213A21"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12）保守基金商业秘密，不泄露基金投资计划、投资意向等。除《基金法》、《基金合同》及其他有关规定另有规定外，在基金信息公开披露前应予保密，不向他人泄露；</w:t>
      </w:r>
      <w:r w:rsidR="00213A21" w:rsidRPr="00213A21">
        <w:rPr>
          <w:rFonts w:ascii="宋体" w:hAnsi="宋体" w:hint="eastAsia"/>
          <w:sz w:val="24"/>
        </w:rPr>
        <w:t>但根据监管机构、司法机关等有权机关的要求提供，或因审计、法律等外部专业顾问提供服务需要提供的情况除外；</w:t>
      </w:r>
    </w:p>
    <w:p w14:paraId="4993BA80"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13）按《基金合同》的约定确定基金收益分配方案，及时向基金份额持有人分配基金收益；</w:t>
      </w:r>
    </w:p>
    <w:p w14:paraId="43669611"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14）按规定受理申购与赎回申请，及时、足额支付赎回款项；</w:t>
      </w:r>
    </w:p>
    <w:p w14:paraId="5197F4A6"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15）依据《基金法》、《基金合同》及其他有关规定召集基金份额持有人大会或配合基金托管人、基金份额持有人依法召集基金份额持有人大会；</w:t>
      </w:r>
    </w:p>
    <w:p w14:paraId="4D91626A" w14:textId="1B6E7CE2"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16）按规定保存基金财产管理业务活动的会计账册、报表、记录和其他相关资料</w:t>
      </w:r>
      <w:r w:rsidR="001F02CC">
        <w:rPr>
          <w:rFonts w:hint="eastAsia"/>
          <w:bCs/>
          <w:sz w:val="24"/>
        </w:rPr>
        <w:t>不低于法律法规规定的最低期限</w:t>
      </w:r>
      <w:r>
        <w:rPr>
          <w:rFonts w:ascii="宋体" w:hAnsi="宋体"/>
          <w:sz w:val="24"/>
        </w:rPr>
        <w:t>；</w:t>
      </w:r>
    </w:p>
    <w:p w14:paraId="5D795BBD"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13C15CB2"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18）组织并参加基金财产清算小组，参与基金财产的保管、清理、估价、变现和分配；</w:t>
      </w:r>
    </w:p>
    <w:p w14:paraId="7C0DD5E1"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19）面临解散、依法被撤销或者被依法宣告破产时，及时报告中国证监会并通知基金托管人；</w:t>
      </w:r>
    </w:p>
    <w:p w14:paraId="39D301F0"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20）因违反《基金合同》导致基金财产的损失或损害基金份额持有人合法权益时，应当承担赔偿责任，其赔偿责任不因其退任而免除；</w:t>
      </w:r>
    </w:p>
    <w:p w14:paraId="6EFE2EEC"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21）监督基金托管人按法律法规和《基金合同》规定履行自己的义务，基金托管人违反《基金合同》造成基金财产损失时，基金管理人应为基金份额持有人利益向基金托管人追偿；</w:t>
      </w:r>
    </w:p>
    <w:p w14:paraId="285B12AA"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22）当基金管理人将其义务委托第三方处理时，应当对第三方处理有关基金事务的行为承担责任；</w:t>
      </w:r>
    </w:p>
    <w:p w14:paraId="48E7D235"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23）以基金管理人名义，代表基金份额持有人利益行使诉讼权利或实施其他法律行为；</w:t>
      </w:r>
    </w:p>
    <w:p w14:paraId="00781BEA"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24）基金管理人在募集期间未能达到基金的备案条件，《基金合同》不能生效，基金管理人承担因募集行为而产生的债务和费用，将已募集资金并加计银行同期活期存款利息在基金募集期结束后30日内退还基金认购人；</w:t>
      </w:r>
    </w:p>
    <w:p w14:paraId="1AD39FA0"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25）执行生效的基金份额持有人大会的决议；</w:t>
      </w:r>
    </w:p>
    <w:p w14:paraId="439F78C5"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26）建立并保存基金份额持有人名册；</w:t>
      </w:r>
    </w:p>
    <w:p w14:paraId="57E8F305"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27）法律法规及中国证监会规定的和《基金合同》约定的其他义务。</w:t>
      </w:r>
    </w:p>
    <w:p w14:paraId="1EBFFA0F"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2、基金托管人的权利与义务</w:t>
      </w:r>
    </w:p>
    <w:p w14:paraId="45E8D2DD"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（1）根据《基金法》、《运作办法》及其他有关规定，基金托管人的权利包括但不限于：</w:t>
      </w:r>
    </w:p>
    <w:p w14:paraId="0FEE31B8"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1）自《基金合同》生效之日起，依法律法规和《基金合同》的规定安全保管基金财产；</w:t>
      </w:r>
    </w:p>
    <w:p w14:paraId="3FF6139F"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2）依《基金合同》约定获得基金托管费以及法律法规规定或监管部门批准的其他费用；</w:t>
      </w:r>
    </w:p>
    <w:p w14:paraId="5E5B81F1"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7794E9D1" w14:textId="78B99F73"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4）根据相关市场规则，为基金开设资金账户、证券账户等投资所需账户，为基金办理证券交易资金清算；</w:t>
      </w:r>
    </w:p>
    <w:p w14:paraId="26DAED04"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5）提议召开或召集基金份额持有人大会；</w:t>
      </w:r>
    </w:p>
    <w:p w14:paraId="37C3701F"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6）在基金管理人更换时，提名新的基金管理人；</w:t>
      </w:r>
    </w:p>
    <w:p w14:paraId="5FB11B8B"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7）法律法规及中国证监会规定的和《基金合同》约定的其他权利。</w:t>
      </w:r>
    </w:p>
    <w:p w14:paraId="287A8BDF"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（2）根据《基金法》、《运作办法》及其他有关规定，基金托管人的义务包括但不限于：</w:t>
      </w:r>
    </w:p>
    <w:p w14:paraId="0054C4D4"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1）以诚实信用、勤勉尽责的原则持有并安全保管基金财产；</w:t>
      </w:r>
    </w:p>
    <w:p w14:paraId="4F0FB22F"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2）设立专门的基金托管部门，具有符合要求的营业场所，配备足够的、合格的熟悉基金托管业务的专职人员，负责基金财产托管事宜；</w:t>
      </w:r>
    </w:p>
    <w:p w14:paraId="2833A59F"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60657FE1"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4）除依据《基金法》、《基金合同》及其他有关规定外，不得利用基金财产为自己及任何第三人谋取利益，不得委托第三人托管基金财产；</w:t>
      </w:r>
    </w:p>
    <w:p w14:paraId="30E7C0A4"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5）保管由基金管理人代表基金签订的与基金有关的重大合同及有关凭证；</w:t>
      </w:r>
    </w:p>
    <w:p w14:paraId="45D62E9E" w14:textId="0426E535"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6）按规定开设基金财产的资金账户、证券账户等投资所需账户，按照《基金合同》的约定，根据基金管理人的投资指令，及时办理清算、交割事宜；</w:t>
      </w:r>
    </w:p>
    <w:p w14:paraId="44C73179" w14:textId="63D50C23"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7）保守基金商业秘密，除《基金法》、《基金合同》及其他有关规定另有规定外，在基金信息公开披露前予以保密，不得向他人泄露；</w:t>
      </w:r>
      <w:r w:rsidR="00213A21">
        <w:rPr>
          <w:rFonts w:hint="eastAsia"/>
          <w:bCs/>
          <w:sz w:val="24"/>
        </w:rPr>
        <w:t>但根据监管机构、司法机关等有权机关的要求提供，或因审计、法律等外部专业顾问提供服务需要提供的情况除外；</w:t>
      </w:r>
    </w:p>
    <w:p w14:paraId="28C1D323"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8）复核、审查基金管理人计算的基金资产净值、基金份额净值、基金份额申购、赎回价格；</w:t>
      </w:r>
    </w:p>
    <w:p w14:paraId="2ECDB9F0"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9）办理与基金托管业务活动有关的信息披露事项；</w:t>
      </w:r>
    </w:p>
    <w:p w14:paraId="2562E5F6"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5E1CC391" w14:textId="585BA46E"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11）保存基金托管业务活动的记录、账册、报表和其他相关资料</w:t>
      </w:r>
      <w:r w:rsidR="001F02CC" w:rsidRPr="00926CC8">
        <w:rPr>
          <w:rFonts w:hint="eastAsia"/>
          <w:bCs/>
          <w:sz w:val="24"/>
        </w:rPr>
        <w:t>不低于法律法规规定的最低期限</w:t>
      </w:r>
      <w:r>
        <w:rPr>
          <w:rFonts w:ascii="宋体" w:hAnsi="宋体"/>
          <w:sz w:val="24"/>
        </w:rPr>
        <w:t>；</w:t>
      </w:r>
    </w:p>
    <w:p w14:paraId="10876A2B" w14:textId="50CAC7EA"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12）保存基金份额持有人名册；</w:t>
      </w:r>
    </w:p>
    <w:p w14:paraId="3600BAF4"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13）按规定制作相关账册并与基金管理人核对；</w:t>
      </w:r>
    </w:p>
    <w:p w14:paraId="5510F97B"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14）依据基金管理人的指令或有关规定向基金份额持有人支付基金收益和赎回款项；</w:t>
      </w:r>
    </w:p>
    <w:p w14:paraId="073FD188"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15）依据《基金法》、《基金合同》及其他有关规定，召集基金份额持有人大会或配合基金管理人、基金份额持有人依法召集基金份额持有人大会；</w:t>
      </w:r>
    </w:p>
    <w:p w14:paraId="36560CD3"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16）按照法律法规和《基金合同》的规定监督基金管理人的投资运作；</w:t>
      </w:r>
    </w:p>
    <w:p w14:paraId="1E36B9E5"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17）参加基金财产清算小组，参与基金财产的保管、清理、估价、变现和分配；</w:t>
      </w:r>
    </w:p>
    <w:p w14:paraId="3486455B"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18）面临解散、依法被撤销或者被依法宣告破产时，及时报告中国证监会和银行业监督管理机构，并通知基金管理人；</w:t>
      </w:r>
    </w:p>
    <w:p w14:paraId="1E1F929F"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19）因违反《基金合同》导致基金财产损失时，应承担赔偿责任，其赔偿责任不因其退任而免除；</w:t>
      </w:r>
    </w:p>
    <w:p w14:paraId="3C489A14"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20）按规定监督基金管理人按法律法规和《基金合同》规定履行自己的义务，基金管理人因违反《基金合同》造成基金财产损失时，应为基金份额持有人利益向基金管理人追偿；</w:t>
      </w:r>
    </w:p>
    <w:p w14:paraId="484BD392"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21）执行生效的基金份额持有人大会的决议；</w:t>
      </w:r>
    </w:p>
    <w:p w14:paraId="20006DDE"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22）法律法规及中国证监会规定的和《基金合同》约定的其他义务。</w:t>
      </w:r>
    </w:p>
    <w:p w14:paraId="4B83B1B8"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3、基金份额持有人的权利与义务</w:t>
      </w:r>
    </w:p>
    <w:p w14:paraId="1645B20B" w14:textId="77B9D202"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基金投资者持有本基金基金份额的行为即视为对《基金合同》的承认和接受，基金投资者自依据《基金合同》取得本基金基金份额，即成为本</w:t>
      </w:r>
      <w:r w:rsidR="001F02CC">
        <w:rPr>
          <w:rFonts w:hint="eastAsia"/>
          <w:bCs/>
          <w:sz w:val="24"/>
        </w:rPr>
        <w:t>基金</w:t>
      </w:r>
      <w:r>
        <w:rPr>
          <w:rFonts w:ascii="宋体" w:hAnsi="宋体"/>
          <w:sz w:val="24"/>
        </w:rPr>
        <w:t>基金份额持有</w:t>
      </w:r>
      <w:r>
        <w:rPr>
          <w:rFonts w:ascii="宋体" w:hAnsi="宋体"/>
          <w:sz w:val="24"/>
        </w:rPr>
        <w:lastRenderedPageBreak/>
        <w:t>人和《基金合同》的当事人，直至其不再持有本基金的基金份额。基金份额持有人作为《基金合同》当事人并不以在《基金合同》上书面签章或签字为必要条件。</w:t>
      </w:r>
    </w:p>
    <w:p w14:paraId="0ACC0D71"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同一类别每份基金份额具有同等的合法权益。</w:t>
      </w:r>
    </w:p>
    <w:p w14:paraId="512C596E"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（1）根据《基金法》、《运作办法》及其他有关规定，基金份额持有人的权利包括但不限于：</w:t>
      </w:r>
    </w:p>
    <w:p w14:paraId="2D6F9F56"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1）分享基金财产收益；</w:t>
      </w:r>
    </w:p>
    <w:p w14:paraId="2E407FEF"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2）参与分配清算后的剩余基金财产；</w:t>
      </w:r>
    </w:p>
    <w:p w14:paraId="7B78B78E"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3）依法并按照基金合同和招募说明书的规定转让或者申请赎回其持有的基金份额；</w:t>
      </w:r>
    </w:p>
    <w:p w14:paraId="6126CA94"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4）按照规定要求召开基金份额持有人大会或者召集基金份额持有人大会；</w:t>
      </w:r>
    </w:p>
    <w:p w14:paraId="283683AE"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5）出席或者委派代表出席基金份额持有人大会，对基金份额持有人大会审议事项行使表决权；</w:t>
      </w:r>
    </w:p>
    <w:p w14:paraId="4E6683F9"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6）查阅或者复制公开披露的基金信息资料；</w:t>
      </w:r>
    </w:p>
    <w:p w14:paraId="4DE1D886"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7）监督基金管理人的投资运作；</w:t>
      </w:r>
    </w:p>
    <w:p w14:paraId="6C3C6A30"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8）对基金管理人、基金托管人、基金服务机构损害其合法权益的行为依法提起诉讼或仲裁；</w:t>
      </w:r>
    </w:p>
    <w:p w14:paraId="64C2A7A6"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9）法律法规及中国证监会规定的和《基金合同》约定的其他权利。</w:t>
      </w:r>
    </w:p>
    <w:p w14:paraId="1AA68105"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（2）根据《基金法》、《运作办法》及其他有关规定，基金份额持有人的义务包括但不限于：</w:t>
      </w:r>
    </w:p>
    <w:p w14:paraId="00B05E02"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1）认真阅读并遵守《基金合同》、招募说明书等信息披露文件；</w:t>
      </w:r>
    </w:p>
    <w:p w14:paraId="09132741"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2）了解所投资基金产品，了解自身风险承受能力，自主判断基金的投资价值，自主做出投资决策，自行承担投资风险；</w:t>
      </w:r>
    </w:p>
    <w:p w14:paraId="3ED5A8C1"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3）关注基金信息披露，及时行使权利和履行义务；</w:t>
      </w:r>
    </w:p>
    <w:p w14:paraId="25B7C5AD"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4）交纳基金认购、申购款项及法律法规和《基金合同》所规定的费用；</w:t>
      </w:r>
    </w:p>
    <w:p w14:paraId="162739A5"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5）在其持有的基金份额范围内，承担基金亏损或者《基金合同》终止的有限责任；</w:t>
      </w:r>
    </w:p>
    <w:p w14:paraId="79DB2077"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6）不从事任何有损基金及其他《基金合同》当事人合法权益的活动；</w:t>
      </w:r>
    </w:p>
    <w:p w14:paraId="667977E7"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7）执行生效的基金份额持有人大会的决议；</w:t>
      </w:r>
    </w:p>
    <w:p w14:paraId="5CF9D0BA"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8）返还在基金交易过程中因任何原因获得的不当得利；</w:t>
      </w:r>
    </w:p>
    <w:p w14:paraId="76C95A6A"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9）遵守基金管理人、基金托管人、销售机构和登记机构的相关交易及业务规</w:t>
      </w:r>
      <w:r>
        <w:rPr>
          <w:rFonts w:ascii="宋体" w:hAnsi="宋体"/>
          <w:sz w:val="24"/>
        </w:rPr>
        <w:lastRenderedPageBreak/>
        <w:t>则；</w:t>
      </w:r>
    </w:p>
    <w:p w14:paraId="259E9576"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10）提供基金管理人和监管机构依法要求提供的信息，以及不时的更新和补充，并保证其真实性；</w:t>
      </w:r>
    </w:p>
    <w:p w14:paraId="4FD89A92"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11）法律法规及中国证监会规定的和《基金合同》约定的其他义务。</w:t>
      </w:r>
    </w:p>
    <w:p w14:paraId="43AEB08D" w14:textId="77777777" w:rsidR="00FD086C" w:rsidRPr="00040D5C" w:rsidRDefault="004B071E">
      <w:pPr>
        <w:autoSpaceDE w:val="0"/>
        <w:autoSpaceDN w:val="0"/>
        <w:adjustRightInd w:val="0"/>
        <w:snapToGrid w:val="0"/>
        <w:spacing w:line="360" w:lineRule="auto"/>
        <w:ind w:firstLineChars="200" w:firstLine="482"/>
        <w:jc w:val="left"/>
        <w:rPr>
          <w:rFonts w:ascii="宋体" w:hAnsi="宋体"/>
          <w:b/>
          <w:szCs w:val="24"/>
        </w:rPr>
      </w:pPr>
      <w:r w:rsidRPr="00040D5C">
        <w:rPr>
          <w:rFonts w:ascii="宋体" w:hAnsi="宋体"/>
          <w:b/>
          <w:sz w:val="24"/>
        </w:rPr>
        <w:t>（二）基金份额持有人大会召集、议事及表决的程序和规则</w:t>
      </w:r>
    </w:p>
    <w:p w14:paraId="1FB7DF13"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基金份额持有人大会由基金份额持有人组成，基金份额持有人的合法授权代表有权代表基金份额持有人出席会议并表决。基金份额持有人持有的每一基金份额拥有平等的投票权。</w:t>
      </w:r>
    </w:p>
    <w:p w14:paraId="6BF5AB2D"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本基金份额持有人大会不设日常机构。</w:t>
      </w:r>
    </w:p>
    <w:p w14:paraId="4AB4BDEE"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1、召开事由</w:t>
      </w:r>
    </w:p>
    <w:p w14:paraId="12E7328C" w14:textId="4EBFF2A4"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（1）当出现或需要决定下列事由之一的，应当召开基金份额持有人大会，法律法规、中国证监会另有规定的除外：</w:t>
      </w:r>
    </w:p>
    <w:p w14:paraId="4A8AEB97" w14:textId="57A3620C"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1）终止《基金合同》</w:t>
      </w:r>
      <w:r w:rsidR="00D8036C">
        <w:rPr>
          <w:rFonts w:hint="eastAsia"/>
          <w:bCs/>
          <w:sz w:val="24"/>
        </w:rPr>
        <w:t>，基金合同另有规定的除外</w:t>
      </w:r>
      <w:r>
        <w:rPr>
          <w:rFonts w:ascii="宋体" w:hAnsi="宋体"/>
          <w:sz w:val="24"/>
        </w:rPr>
        <w:t>；</w:t>
      </w:r>
    </w:p>
    <w:p w14:paraId="4E7CEBAD"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2）更换基金管理人；</w:t>
      </w:r>
    </w:p>
    <w:p w14:paraId="296A344D"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3）更换基金托管人；</w:t>
      </w:r>
    </w:p>
    <w:p w14:paraId="6A652963"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4）转换基金运作方式；</w:t>
      </w:r>
    </w:p>
    <w:p w14:paraId="45F1BCBE" w14:textId="34CC5FE3"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5）调整基金管理人、基金托管人的报酬标准</w:t>
      </w:r>
      <w:r w:rsidR="000F25D6">
        <w:rPr>
          <w:rFonts w:hint="eastAsia"/>
          <w:bCs/>
          <w:sz w:val="24"/>
        </w:rPr>
        <w:t>或</w:t>
      </w:r>
      <w:r>
        <w:rPr>
          <w:rFonts w:ascii="宋体" w:hAnsi="宋体"/>
          <w:sz w:val="24"/>
        </w:rPr>
        <w:t>提高销售服务费</w:t>
      </w:r>
      <w:r w:rsidR="000F25D6">
        <w:rPr>
          <w:rFonts w:ascii="宋体" w:hAnsi="宋体" w:hint="eastAsia"/>
          <w:sz w:val="24"/>
        </w:rPr>
        <w:t>率</w:t>
      </w:r>
      <w:r>
        <w:rPr>
          <w:rFonts w:ascii="宋体" w:hAnsi="宋体"/>
          <w:sz w:val="24"/>
        </w:rPr>
        <w:t>；</w:t>
      </w:r>
    </w:p>
    <w:p w14:paraId="65E28F93"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6）变更基金类别；</w:t>
      </w:r>
    </w:p>
    <w:p w14:paraId="3FAAF057"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7）本基金与其他基金的合并；</w:t>
      </w:r>
    </w:p>
    <w:p w14:paraId="1BD30FB3" w14:textId="3B769E48"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8）变更基金投资目标、范围或策略</w:t>
      </w:r>
      <w:r w:rsidR="00D8036C">
        <w:rPr>
          <w:rFonts w:hint="eastAsia"/>
          <w:bCs/>
          <w:sz w:val="24"/>
        </w:rPr>
        <w:t>，基金合同另有规定的除外</w:t>
      </w:r>
      <w:r>
        <w:rPr>
          <w:rFonts w:ascii="宋体" w:hAnsi="宋体"/>
          <w:sz w:val="24"/>
        </w:rPr>
        <w:t>；</w:t>
      </w:r>
    </w:p>
    <w:p w14:paraId="0B0E148E" w14:textId="20535230"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9）变更基金份额持有人大会程序</w:t>
      </w:r>
      <w:r w:rsidR="00D8036C">
        <w:rPr>
          <w:rFonts w:hint="eastAsia"/>
          <w:bCs/>
          <w:sz w:val="24"/>
        </w:rPr>
        <w:t>，基金合同另有规定的除外</w:t>
      </w:r>
      <w:r>
        <w:rPr>
          <w:rFonts w:ascii="宋体" w:hAnsi="宋体"/>
          <w:sz w:val="24"/>
        </w:rPr>
        <w:t>；</w:t>
      </w:r>
    </w:p>
    <w:p w14:paraId="36374CD9"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10）基金管理人或基金托管人要求召开基金份额持有人大会；</w:t>
      </w:r>
    </w:p>
    <w:p w14:paraId="028C02B1"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11）单独或合计持有本基金总份额10%以上（含10%）基金份额的基金份额持有人（以基金管理人收到提议当日的基金份额计算，下同）就同一事项书面要求召开基金份额持有人大会；</w:t>
      </w:r>
    </w:p>
    <w:p w14:paraId="504FFC51"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12）对基金合同当事人权利和义务产生重大影响的其他事项；</w:t>
      </w:r>
    </w:p>
    <w:p w14:paraId="278F9C3A"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13）法律法规、《基金合同》或中国证监会规定的其他应当召开基金份额持有人大会的事项。</w:t>
      </w:r>
    </w:p>
    <w:p w14:paraId="4B691DA8"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（2）在法律法规规定和《基金合同》约定的范围内且对基金份额持有人利益无实质性不利影响的前提下，以下情况可由基金管理人和基金托管人协商后修改，</w:t>
      </w:r>
      <w:r>
        <w:rPr>
          <w:rFonts w:ascii="宋体" w:hAnsi="宋体"/>
          <w:sz w:val="24"/>
        </w:rPr>
        <w:lastRenderedPageBreak/>
        <w:t>不需召开基金份额持有人大会：</w:t>
      </w:r>
    </w:p>
    <w:p w14:paraId="1AA3A5E7" w14:textId="6A379C2A"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1）调低基金销售服务费</w:t>
      </w:r>
      <w:r w:rsidR="000F25D6">
        <w:rPr>
          <w:rFonts w:hint="eastAsia"/>
          <w:bCs/>
          <w:sz w:val="24"/>
        </w:rPr>
        <w:t>率</w:t>
      </w:r>
      <w:r>
        <w:rPr>
          <w:rFonts w:ascii="宋体" w:hAnsi="宋体"/>
          <w:sz w:val="24"/>
        </w:rPr>
        <w:t>；</w:t>
      </w:r>
    </w:p>
    <w:p w14:paraId="132049AA"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2）法律法规要求增加的基金费用的收取；</w:t>
      </w:r>
    </w:p>
    <w:p w14:paraId="58B6C1D1" w14:textId="1F8746EE"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3）在法律法规和《基金合同》规定的范围内调整本基金的申购费率</w:t>
      </w:r>
      <w:r w:rsidR="000F25D6">
        <w:rPr>
          <w:rFonts w:ascii="宋体" w:hAnsi="宋体" w:hint="eastAsia"/>
          <w:sz w:val="24"/>
        </w:rPr>
        <w:t>、</w:t>
      </w:r>
      <w:r>
        <w:rPr>
          <w:rFonts w:ascii="宋体" w:hAnsi="宋体"/>
          <w:sz w:val="24"/>
        </w:rPr>
        <w:t>在对现有基金份额持有人利益无实质性不利影响的前提下变更收费方式；</w:t>
      </w:r>
    </w:p>
    <w:p w14:paraId="1ED6D33E" w14:textId="5998FF7D"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4）因相应的法律法规、登记机构的相关业务规则发生变动而应当对《基金合同》进行修改；</w:t>
      </w:r>
    </w:p>
    <w:p w14:paraId="3272C106" w14:textId="5D8E5326" w:rsidR="00FD086C" w:rsidRDefault="00AA2D9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w:t>
      </w:r>
      <w:r w:rsidR="004B071E">
        <w:rPr>
          <w:rFonts w:ascii="宋体" w:hAnsi="宋体"/>
          <w:sz w:val="24"/>
        </w:rPr>
        <w:t>）对《基金合同》的修改对基金份额持有人利益无实质性不利影响或修改不涉及《基金合同》当事人权利义务关系发生重大变化；</w:t>
      </w:r>
    </w:p>
    <w:p w14:paraId="7763D24D" w14:textId="3818B27F" w:rsidR="00FD086C" w:rsidRDefault="00AA2D9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w:t>
      </w:r>
      <w:r w:rsidR="004B071E">
        <w:rPr>
          <w:rFonts w:ascii="宋体" w:hAnsi="宋体"/>
          <w:sz w:val="24"/>
        </w:rPr>
        <w:t>）在法律法规允许的情况下，且在对现有基金份额持有人利益无实质性不利影响的前提下，基金</w:t>
      </w:r>
      <w:r w:rsidR="00213A21">
        <w:rPr>
          <w:rFonts w:hint="eastAsia"/>
          <w:bCs/>
          <w:sz w:val="24"/>
        </w:rPr>
        <w:t>管理人履行适当程序后，</w:t>
      </w:r>
      <w:r w:rsidR="004B071E">
        <w:rPr>
          <w:rFonts w:ascii="宋体" w:hAnsi="宋体"/>
          <w:sz w:val="24"/>
        </w:rPr>
        <w:t>推出新业务或服务；</w:t>
      </w:r>
    </w:p>
    <w:p w14:paraId="4B87CCFB" w14:textId="268475E0" w:rsidR="00FD086C" w:rsidRDefault="00AA2D9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w:t>
      </w:r>
      <w:r w:rsidR="004B071E">
        <w:rPr>
          <w:rFonts w:ascii="宋体" w:hAnsi="宋体"/>
          <w:sz w:val="24"/>
        </w:rPr>
        <w:t>）在符合法律法规及本基金合同规定、并且对基金份额持有人利益无实质</w:t>
      </w:r>
      <w:r w:rsidR="00E81702">
        <w:rPr>
          <w:rFonts w:ascii="宋体" w:hAnsi="宋体" w:hint="eastAsia"/>
          <w:sz w:val="24"/>
        </w:rPr>
        <w:t>性</w:t>
      </w:r>
      <w:r w:rsidR="004B071E">
        <w:rPr>
          <w:rFonts w:ascii="宋体" w:hAnsi="宋体"/>
          <w:sz w:val="24"/>
        </w:rPr>
        <w:t>不利影响的前提下，</w:t>
      </w:r>
      <w:r>
        <w:rPr>
          <w:rFonts w:hint="eastAsia"/>
          <w:bCs/>
          <w:sz w:val="24"/>
        </w:rPr>
        <w:t>增加或</w:t>
      </w:r>
      <w:r w:rsidR="004B071E">
        <w:rPr>
          <w:rFonts w:ascii="宋体" w:hAnsi="宋体"/>
          <w:sz w:val="24"/>
        </w:rPr>
        <w:t>调整本基金份额类别的设置</w:t>
      </w:r>
      <w:r w:rsidRPr="000B1175">
        <w:rPr>
          <w:rFonts w:hint="eastAsia"/>
          <w:bCs/>
          <w:sz w:val="24"/>
        </w:rPr>
        <w:t>、对基金份额分类办法及规则进行调整</w:t>
      </w:r>
      <w:r w:rsidR="004B071E">
        <w:rPr>
          <w:rFonts w:ascii="宋体" w:hAnsi="宋体"/>
          <w:sz w:val="24"/>
        </w:rPr>
        <w:t>；</w:t>
      </w:r>
    </w:p>
    <w:p w14:paraId="1BC08A89" w14:textId="77777777" w:rsidR="00AA2D9E" w:rsidRDefault="00AA2D9E">
      <w:pPr>
        <w:autoSpaceDE w:val="0"/>
        <w:autoSpaceDN w:val="0"/>
        <w:adjustRightInd w:val="0"/>
        <w:snapToGrid w:val="0"/>
        <w:spacing w:line="360" w:lineRule="auto"/>
        <w:ind w:firstLineChars="200" w:firstLine="480"/>
        <w:jc w:val="left"/>
        <w:rPr>
          <w:rFonts w:ascii="宋体" w:hAnsi="宋体"/>
          <w:sz w:val="24"/>
        </w:rPr>
      </w:pPr>
      <w:r w:rsidRPr="00AA2D9E">
        <w:rPr>
          <w:rFonts w:ascii="宋体" w:hAnsi="宋体" w:hint="eastAsia"/>
          <w:sz w:val="24"/>
        </w:rPr>
        <w:t>8）若将来本基金管理人注册并成立追踪同一标的指数的交易型开放式指数基金（ETF），则基金管理人在履行适当程序后有权决定将本基金转换为该基金的联接基金，并相应修改《基金合同》；</w:t>
      </w:r>
    </w:p>
    <w:p w14:paraId="3F4D8793" w14:textId="475EE72B" w:rsidR="00FD086C" w:rsidRDefault="004B071E" w:rsidP="0017332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w:t>
      </w:r>
      <w:r w:rsidR="0083169B">
        <w:rPr>
          <w:rFonts w:hint="eastAsia"/>
          <w:bCs/>
          <w:sz w:val="24"/>
        </w:rPr>
        <w:t>在不违反法律法规及对基金份额持有人利益无实质性不利影响的前提下，</w:t>
      </w:r>
      <w:r>
        <w:rPr>
          <w:rFonts w:ascii="宋体" w:hAnsi="宋体"/>
          <w:sz w:val="24"/>
        </w:rPr>
        <w:t>基金管理人、登记机构、销售机构调整有关基金认购、申购、赎回、转换、收益分配、非交易过户、转托管等业务的规则；</w:t>
      </w:r>
    </w:p>
    <w:p w14:paraId="1C56DEE8" w14:textId="3C786618"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w:t>
      </w:r>
      <w:r w:rsidR="00173324">
        <w:rPr>
          <w:rFonts w:ascii="宋体" w:hAnsi="宋体"/>
          <w:sz w:val="24"/>
        </w:rPr>
        <w:t>0</w:t>
      </w:r>
      <w:r>
        <w:rPr>
          <w:rFonts w:ascii="宋体" w:hAnsi="宋体"/>
          <w:sz w:val="24"/>
        </w:rPr>
        <w:t>）按照法律法规和《基金合同》规定不需召开基金份额持有人大会的其他情形。</w:t>
      </w:r>
    </w:p>
    <w:p w14:paraId="4BB22F37"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2、会议召集人及召集方式</w:t>
      </w:r>
    </w:p>
    <w:p w14:paraId="0DCA2F05"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（1）除法律法规规定或《基金合同》另有约定外，基金份额持有人大会由基金管理人召集；</w:t>
      </w:r>
    </w:p>
    <w:p w14:paraId="207A84B9" w14:textId="71F18A98"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（2）基金管理人未按规定召集或不能召</w:t>
      </w:r>
      <w:r w:rsidR="00173324">
        <w:rPr>
          <w:rFonts w:ascii="宋体" w:hAnsi="宋体" w:hint="eastAsia"/>
          <w:sz w:val="24"/>
        </w:rPr>
        <w:t>集</w:t>
      </w:r>
      <w:r>
        <w:rPr>
          <w:rFonts w:ascii="宋体" w:hAnsi="宋体"/>
          <w:sz w:val="24"/>
        </w:rPr>
        <w:t>时，由基金托管人召集；</w:t>
      </w:r>
    </w:p>
    <w:p w14:paraId="17425FA3"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w:t>
      </w:r>
      <w:r>
        <w:rPr>
          <w:rFonts w:ascii="宋体" w:hAnsi="宋体"/>
          <w:sz w:val="24"/>
        </w:rPr>
        <w:lastRenderedPageBreak/>
        <w:t>自行召集，并自出具书面决定之日起60日内召开并告知基金管理人，基金管理人应当配合；</w:t>
      </w:r>
    </w:p>
    <w:p w14:paraId="685BAD0E"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14:paraId="200ADECF"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14:paraId="5C12742E"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（6）基金份额持有人会议的召集人负责选择确定开会时间、地点、方式和权益登记日。</w:t>
      </w:r>
    </w:p>
    <w:p w14:paraId="4AFFDF67"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3、召开基金份额持有人大会的通知时间、通知内容、通知方式</w:t>
      </w:r>
    </w:p>
    <w:p w14:paraId="552A5253"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（1）召开基金份额持有人大会，召集人应于会议召开前30日，在规定媒介公告。基金份额持有人大会通知应至少载明以下内容：</w:t>
      </w:r>
    </w:p>
    <w:p w14:paraId="53A5272C"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1）会议召开的时间、地点和会议形式；</w:t>
      </w:r>
    </w:p>
    <w:p w14:paraId="01DCA7D8"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2）会议拟审议的事项、议事程序和表决方式；</w:t>
      </w:r>
    </w:p>
    <w:p w14:paraId="091FA951"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3）有权出席基金份额持有人大会的基金份额持有人的权益登记日；</w:t>
      </w:r>
    </w:p>
    <w:p w14:paraId="1EAF4379"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4）授权委托证明的内容要求（包括但不限于代理人身份，代理权限和代理有效期限等）、送达时间和地点；</w:t>
      </w:r>
    </w:p>
    <w:p w14:paraId="44BC4886"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5）会务常设联系人姓名及联系电话；</w:t>
      </w:r>
    </w:p>
    <w:p w14:paraId="06370387"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6）出席会议者必须准备的文件和必须履行的手续；</w:t>
      </w:r>
    </w:p>
    <w:p w14:paraId="078F0EBD"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7）召集人需要通知的其他事项。</w:t>
      </w:r>
    </w:p>
    <w:p w14:paraId="16352116"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（2）采取通讯开会方式并进行表决的情况下，由会议召集人决定在会议通知</w:t>
      </w:r>
      <w:r>
        <w:rPr>
          <w:rFonts w:ascii="宋体" w:hAnsi="宋体"/>
          <w:sz w:val="24"/>
        </w:rPr>
        <w:lastRenderedPageBreak/>
        <w:t>中说明本次基金份额持有人大会所采取的具体通讯方式、委托的公证机关及其联系方式和联系人、表决意见寄交的截止时间和收取方式。</w:t>
      </w:r>
    </w:p>
    <w:p w14:paraId="0F42F3DB"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1691C824"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4、基金份额持有人出席会议的方式</w:t>
      </w:r>
    </w:p>
    <w:p w14:paraId="71B7CDAA" w14:textId="5A5EEE4A"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基金份额持有人大会可通过现场开会方式、通讯开会方式或法律法规</w:t>
      </w:r>
      <w:r w:rsidR="00235173">
        <w:rPr>
          <w:rFonts w:ascii="宋体" w:hAnsi="宋体" w:hint="eastAsia"/>
          <w:sz w:val="24"/>
        </w:rPr>
        <w:t>、</w:t>
      </w:r>
      <w:r>
        <w:rPr>
          <w:rFonts w:ascii="宋体" w:hAnsi="宋体"/>
          <w:sz w:val="24"/>
        </w:rPr>
        <w:t>监管机构允许的其他方式召开，会议的召开方式由会议召集人确定。</w:t>
      </w:r>
    </w:p>
    <w:p w14:paraId="3359E2A0"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1A57F54F"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3B6AA1BB"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14:paraId="04CB4819"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（2）通讯开会。通讯开会系指基金份额持有人将其对表决事项的投票以会议通知载明的形式或基金合同约定的其他方式在表决截止日以前送达至召集人指定的地址或系统。</w:t>
      </w:r>
    </w:p>
    <w:p w14:paraId="05998D4D"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在同时符合以下条件时，通讯开会的方式视为有效：</w:t>
      </w:r>
    </w:p>
    <w:p w14:paraId="6ECE6882"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1）会议召集人按《基金合同》约定公布会议通知后，在2个工作日内连续公布</w:t>
      </w:r>
      <w:r>
        <w:rPr>
          <w:rFonts w:ascii="宋体" w:hAnsi="宋体"/>
          <w:sz w:val="24"/>
        </w:rPr>
        <w:lastRenderedPageBreak/>
        <w:t>相关提示性公告；</w:t>
      </w:r>
    </w:p>
    <w:p w14:paraId="7F8C4380"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43068481" w14:textId="6DE7BFC3"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3）本人直接出具表决意见或授权他人代表出具表决意见的，基金份额持有人所持有的基金份额不小于在权益登记日基金总份额的二分之一（含二分之一）；若本人直接出具表决意见或授权他人代表出具表决意见</w:t>
      </w:r>
      <w:r w:rsidR="00AA4CE0">
        <w:rPr>
          <w:rFonts w:hint="eastAsia"/>
          <w:bCs/>
          <w:sz w:val="24"/>
        </w:rPr>
        <w:t>的</w:t>
      </w:r>
      <w:r>
        <w:rPr>
          <w:rFonts w:ascii="宋体" w:hAnsi="宋体"/>
          <w:sz w:val="24"/>
        </w:rPr>
        <w:t>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基金总份额三分之一以上（含三分之一）基金份额的持有人直接出具表决意见或授权他人代表出具表决意见；</w:t>
      </w:r>
    </w:p>
    <w:p w14:paraId="6C161E34"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上述第3）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2791ACD3"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在法律法规和监管机关允许的情况下，经会议通知载明，本基金可采用网络、电话、短信等其他非书面方式由基金份额持有人向其授权代表进行授权；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14:paraId="1A9FDEEA"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5、议事内容与程序</w:t>
      </w:r>
    </w:p>
    <w:p w14:paraId="02377CB2"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（1）议事内容及提案权</w:t>
      </w:r>
    </w:p>
    <w:p w14:paraId="25B7694B" w14:textId="20237191"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14:paraId="084F37AC"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基金份额持有人大会的召集人发出召集会议的通知后，对原有提案的修改应当</w:t>
      </w:r>
      <w:r>
        <w:rPr>
          <w:rFonts w:ascii="宋体" w:hAnsi="宋体"/>
          <w:sz w:val="24"/>
        </w:rPr>
        <w:lastRenderedPageBreak/>
        <w:t>在基金份额持有人大会召开前及时公告。</w:t>
      </w:r>
    </w:p>
    <w:p w14:paraId="6217684C"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基金份额持有人大会不得对未事先公告的议事内容进行表决。</w:t>
      </w:r>
    </w:p>
    <w:p w14:paraId="370908E5"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（2）议事程序</w:t>
      </w:r>
    </w:p>
    <w:p w14:paraId="70A7187F"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1）现场开会</w:t>
      </w:r>
    </w:p>
    <w:p w14:paraId="5563C223"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现场开会的方式下，首先由大会主持人按照下列第7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50%以上（含50%）选举产生一名基金份额持有人或代理人作为该次基金份额持有人大会的主持人。基金管理人和基金托管人拒不出席或主持基金份额持有人大会，不影响基金份额持有人大会作出的决议的效力。</w:t>
      </w:r>
    </w:p>
    <w:p w14:paraId="6F1B983F"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会议召集人应当制作出席会议人员的签名册。签名册载明参加会议人员姓名（或单位名称）、身份证明文件号码、持有或代表有表决权的基金份额、委托人姓名（或单位名称）和联系方式等事项。</w:t>
      </w:r>
    </w:p>
    <w:p w14:paraId="10AC996F"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2）通讯开会</w:t>
      </w:r>
    </w:p>
    <w:p w14:paraId="4886E435"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在通讯开会的情况下，首先由召集人提前30日公布提案，在所通知的表决截止日期后2个工作日内在公证机关监督下由召集人统计全部有效表决，在公证机关监督下形成决议。</w:t>
      </w:r>
    </w:p>
    <w:p w14:paraId="79ED9786"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6、表决</w:t>
      </w:r>
    </w:p>
    <w:p w14:paraId="2ADADA74"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基金份额持有人所持每份基金份额有一票表决权。</w:t>
      </w:r>
    </w:p>
    <w:p w14:paraId="28FB67D6"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基金份额持有人大会决议分为一般决议和特别决议：</w:t>
      </w:r>
    </w:p>
    <w:p w14:paraId="4FCB5276"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14:paraId="46274AEA" w14:textId="388FDE31"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特别决议，特别决议应当经参加大会的基金份额持有人或其代理人所持表决权的三分之二以上（含三分之二）通过方可做出。转换基金运作方式、更换基金管理人或者基金托管人、终止《基金合同》、本基金与其他基金合并（法律法规、</w:t>
      </w:r>
      <w:r w:rsidR="003E717B">
        <w:rPr>
          <w:rFonts w:ascii="宋体" w:hAnsi="宋体" w:hint="eastAsia"/>
          <w:sz w:val="24"/>
        </w:rPr>
        <w:t>《</w:t>
      </w:r>
      <w:r>
        <w:rPr>
          <w:rFonts w:ascii="宋体" w:hAnsi="宋体"/>
          <w:sz w:val="24"/>
        </w:rPr>
        <w:t>基金合同</w:t>
      </w:r>
      <w:r w:rsidR="003E717B">
        <w:rPr>
          <w:rFonts w:ascii="宋体" w:hAnsi="宋体"/>
          <w:sz w:val="24"/>
        </w:rPr>
        <w:t>》</w:t>
      </w:r>
      <w:r>
        <w:rPr>
          <w:rFonts w:ascii="宋体" w:hAnsi="宋体"/>
          <w:sz w:val="24"/>
        </w:rPr>
        <w:t>和中国证监会另有规定的除外）以特别决议通过方为有效。</w:t>
      </w:r>
    </w:p>
    <w:p w14:paraId="6C71C8E0"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基金份额持有人大会采取记名方式进行投票表决。</w:t>
      </w:r>
    </w:p>
    <w:p w14:paraId="6434195B"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3DBDAC1F"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基金份额持有人大会的各项提案或同一项提案内并列的各项议题应当分开审议、逐项表决。</w:t>
      </w:r>
    </w:p>
    <w:p w14:paraId="308108F7"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7、计票</w:t>
      </w:r>
    </w:p>
    <w:p w14:paraId="6141AE31"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（1）现场开会</w:t>
      </w:r>
    </w:p>
    <w:p w14:paraId="2FC46C10"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14:paraId="1D72689F"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2）监票人应当在基金份额持有人表决后立即进行清点并由大会主持人当场公布计票结果。</w:t>
      </w:r>
    </w:p>
    <w:p w14:paraId="49246830"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14BDDDC5"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4）计票过程应由公证机关予以公证，基金管理人或基金托管人拒不出席大会的，不影响计票的效力。</w:t>
      </w:r>
    </w:p>
    <w:p w14:paraId="52F18A5C"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（2）通讯开会</w:t>
      </w:r>
    </w:p>
    <w:p w14:paraId="1755C351"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5032B060"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8、生效与公告</w:t>
      </w:r>
    </w:p>
    <w:p w14:paraId="43A52452"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基金份额持有人大会的决议，召集人应当自通过之日起5日内报中国证监会备案。基金份额持有人大会的决议自表决通过之日起生效。法律法规另有规定的，从</w:t>
      </w:r>
      <w:r>
        <w:rPr>
          <w:rFonts w:ascii="宋体" w:hAnsi="宋体"/>
          <w:sz w:val="24"/>
        </w:rPr>
        <w:lastRenderedPageBreak/>
        <w:t>其规定。</w:t>
      </w:r>
    </w:p>
    <w:p w14:paraId="316F48A3"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基金份额持有人大会决议自生效之日起依照《信息披露办法》的规定在规定媒介上公告。如果采用通讯方式进行表决，在公告基金份额持有人大会决议时，必须将公证书全文、公证机构、公证员姓名等一同公告。</w:t>
      </w:r>
    </w:p>
    <w:p w14:paraId="15426FCE"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基金管理人、基金托管人和基金份额持有人应当执行生效的基金份额持有人大会的决议。生效的基金份额持有人大会决议对全体基金份额持有人、基金管理人、基金托管人均有约束力。</w:t>
      </w:r>
    </w:p>
    <w:p w14:paraId="305F3EF8" w14:textId="77777777" w:rsidR="00F15C50" w:rsidRPr="00F15C50" w:rsidRDefault="004B071E" w:rsidP="00F15C50">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9、</w:t>
      </w:r>
      <w:r w:rsidR="00F15C50" w:rsidRPr="00F15C50">
        <w:rPr>
          <w:rFonts w:ascii="宋体" w:hAnsi="宋体" w:hint="eastAsia"/>
          <w:sz w:val="24"/>
        </w:rPr>
        <w:t>实施侧袋机制期间基金份额持有人大会的特殊约定</w:t>
      </w:r>
    </w:p>
    <w:p w14:paraId="50FF7B19" w14:textId="77777777" w:rsidR="00F15C50" w:rsidRPr="00F15C50" w:rsidRDefault="00F15C50" w:rsidP="00F15C50">
      <w:pPr>
        <w:autoSpaceDE w:val="0"/>
        <w:autoSpaceDN w:val="0"/>
        <w:adjustRightInd w:val="0"/>
        <w:snapToGrid w:val="0"/>
        <w:spacing w:line="360" w:lineRule="auto"/>
        <w:ind w:firstLineChars="200" w:firstLine="480"/>
        <w:jc w:val="left"/>
        <w:rPr>
          <w:rFonts w:ascii="宋体" w:hAnsi="宋体"/>
          <w:sz w:val="24"/>
        </w:rPr>
      </w:pPr>
      <w:r w:rsidRPr="00F15C50">
        <w:rPr>
          <w:rFonts w:ascii="宋体" w:hAnsi="宋体" w:hint="eastAsia"/>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7422411A" w14:textId="77777777" w:rsidR="00F15C50" w:rsidRPr="00F15C50" w:rsidRDefault="00F15C50" w:rsidP="00F15C50">
      <w:pPr>
        <w:autoSpaceDE w:val="0"/>
        <w:autoSpaceDN w:val="0"/>
        <w:adjustRightInd w:val="0"/>
        <w:snapToGrid w:val="0"/>
        <w:spacing w:line="360" w:lineRule="auto"/>
        <w:ind w:firstLineChars="200" w:firstLine="480"/>
        <w:jc w:val="left"/>
        <w:rPr>
          <w:rFonts w:ascii="宋体" w:hAnsi="宋体"/>
          <w:sz w:val="24"/>
        </w:rPr>
      </w:pPr>
      <w:r w:rsidRPr="00F15C50">
        <w:rPr>
          <w:rFonts w:ascii="宋体" w:hAnsi="宋体" w:hint="eastAsia"/>
          <w:sz w:val="24"/>
        </w:rPr>
        <w:t>（1）基金份额持有人行使提议权、召集权、提名权所需单独或合计代表相关基金份额10%以上（含10%）；</w:t>
      </w:r>
    </w:p>
    <w:p w14:paraId="6128662C" w14:textId="77777777" w:rsidR="00F15C50" w:rsidRPr="00F15C50" w:rsidRDefault="00F15C50" w:rsidP="00F15C50">
      <w:pPr>
        <w:autoSpaceDE w:val="0"/>
        <w:autoSpaceDN w:val="0"/>
        <w:adjustRightInd w:val="0"/>
        <w:snapToGrid w:val="0"/>
        <w:spacing w:line="360" w:lineRule="auto"/>
        <w:ind w:firstLineChars="200" w:firstLine="480"/>
        <w:jc w:val="left"/>
        <w:rPr>
          <w:rFonts w:ascii="宋体" w:hAnsi="宋体"/>
          <w:sz w:val="24"/>
        </w:rPr>
      </w:pPr>
      <w:r w:rsidRPr="00F15C50">
        <w:rPr>
          <w:rFonts w:ascii="宋体" w:hAnsi="宋体" w:hint="eastAsia"/>
          <w:sz w:val="24"/>
        </w:rPr>
        <w:t>（2）现场开会的到会者在权益登记日代表的基金份额不少于本基金在权益登记日相关基金份额的二分之一（含二分之一）；</w:t>
      </w:r>
    </w:p>
    <w:p w14:paraId="65E49D31" w14:textId="77777777" w:rsidR="00F15C50" w:rsidRPr="00F15C50" w:rsidRDefault="00F15C50" w:rsidP="00F15C50">
      <w:pPr>
        <w:autoSpaceDE w:val="0"/>
        <w:autoSpaceDN w:val="0"/>
        <w:adjustRightInd w:val="0"/>
        <w:snapToGrid w:val="0"/>
        <w:spacing w:line="360" w:lineRule="auto"/>
        <w:ind w:firstLineChars="200" w:firstLine="480"/>
        <w:jc w:val="left"/>
        <w:rPr>
          <w:rFonts w:ascii="宋体" w:hAnsi="宋体"/>
          <w:sz w:val="24"/>
        </w:rPr>
      </w:pPr>
      <w:r w:rsidRPr="00F15C50">
        <w:rPr>
          <w:rFonts w:ascii="宋体" w:hAnsi="宋体" w:hint="eastAsia"/>
          <w:sz w:val="24"/>
        </w:rPr>
        <w:t>（3）通讯开会的直接出具表决意见或授权他人代表出具表决意见的基金份额持有人所持有的基金份额不小于在权益登记日相关基金份额的二分之一（含二分之一）；</w:t>
      </w:r>
    </w:p>
    <w:p w14:paraId="0E6F60A2" w14:textId="77777777" w:rsidR="00F15C50" w:rsidRPr="00F15C50" w:rsidRDefault="00F15C50" w:rsidP="00F15C50">
      <w:pPr>
        <w:autoSpaceDE w:val="0"/>
        <w:autoSpaceDN w:val="0"/>
        <w:adjustRightInd w:val="0"/>
        <w:snapToGrid w:val="0"/>
        <w:spacing w:line="360" w:lineRule="auto"/>
        <w:ind w:firstLineChars="200" w:firstLine="480"/>
        <w:jc w:val="left"/>
        <w:rPr>
          <w:rFonts w:ascii="宋体" w:hAnsi="宋体"/>
          <w:sz w:val="24"/>
        </w:rPr>
      </w:pPr>
      <w:r w:rsidRPr="00F15C50">
        <w:rPr>
          <w:rFonts w:ascii="宋体" w:hAnsi="宋体" w:hint="eastAsia"/>
          <w:sz w:val="24"/>
        </w:rPr>
        <w:t>（4）在参与基金份额持有人大会投票的基金份额持有人所持有的基金份额小于在权益登记日相关基金份额的二分之一、召集人在原公告的基金份额持有人大会召开时间的3个月以后、6个月以内就原定审议事项重新召集的基金份额持有人大会应当有代表三分之一以上（含三分之一）相关基金份额的持有人参与或授权他人参与基金份额持有人大会投票；</w:t>
      </w:r>
    </w:p>
    <w:p w14:paraId="61DAD5AE" w14:textId="77777777" w:rsidR="00F15C50" w:rsidRPr="00F15C50" w:rsidRDefault="00F15C50" w:rsidP="00F15C50">
      <w:pPr>
        <w:autoSpaceDE w:val="0"/>
        <w:autoSpaceDN w:val="0"/>
        <w:adjustRightInd w:val="0"/>
        <w:snapToGrid w:val="0"/>
        <w:spacing w:line="360" w:lineRule="auto"/>
        <w:ind w:firstLineChars="200" w:firstLine="480"/>
        <w:jc w:val="left"/>
        <w:rPr>
          <w:rFonts w:ascii="宋体" w:hAnsi="宋体"/>
          <w:sz w:val="24"/>
        </w:rPr>
      </w:pPr>
      <w:r w:rsidRPr="00F15C50">
        <w:rPr>
          <w:rFonts w:ascii="宋体" w:hAnsi="宋体" w:hint="eastAsia"/>
          <w:sz w:val="24"/>
        </w:rPr>
        <w:t>（5）现场开会由出席大会的基金份额持有人和代理人所持表决权的50%以上（含50%）选举产生一名基金份额持有人或代理人作为该次基金份额持有人大会的主持人；</w:t>
      </w:r>
    </w:p>
    <w:p w14:paraId="23446235" w14:textId="77777777" w:rsidR="00F15C50" w:rsidRPr="00F15C50" w:rsidRDefault="00F15C50" w:rsidP="00F15C50">
      <w:pPr>
        <w:autoSpaceDE w:val="0"/>
        <w:autoSpaceDN w:val="0"/>
        <w:adjustRightInd w:val="0"/>
        <w:snapToGrid w:val="0"/>
        <w:spacing w:line="360" w:lineRule="auto"/>
        <w:ind w:firstLineChars="200" w:firstLine="480"/>
        <w:jc w:val="left"/>
        <w:rPr>
          <w:rFonts w:ascii="宋体" w:hAnsi="宋体"/>
          <w:sz w:val="24"/>
        </w:rPr>
      </w:pPr>
      <w:r w:rsidRPr="00F15C50">
        <w:rPr>
          <w:rFonts w:ascii="宋体" w:hAnsi="宋体" w:hint="eastAsia"/>
          <w:sz w:val="24"/>
        </w:rPr>
        <w:t>（6）一般决议须经参加大会的基金份额持有人或其代理人所持表决权的二分之一以上（含二分之一）通过；</w:t>
      </w:r>
    </w:p>
    <w:p w14:paraId="1178579C" w14:textId="77777777" w:rsidR="00F15C50" w:rsidRPr="00F15C50" w:rsidRDefault="00F15C50" w:rsidP="00F15C50">
      <w:pPr>
        <w:autoSpaceDE w:val="0"/>
        <w:autoSpaceDN w:val="0"/>
        <w:adjustRightInd w:val="0"/>
        <w:snapToGrid w:val="0"/>
        <w:spacing w:line="360" w:lineRule="auto"/>
        <w:ind w:firstLineChars="200" w:firstLine="480"/>
        <w:jc w:val="left"/>
        <w:rPr>
          <w:rFonts w:ascii="宋体" w:hAnsi="宋体"/>
          <w:sz w:val="24"/>
        </w:rPr>
      </w:pPr>
      <w:r w:rsidRPr="00F15C50">
        <w:rPr>
          <w:rFonts w:ascii="宋体" w:hAnsi="宋体" w:hint="eastAsia"/>
          <w:sz w:val="24"/>
        </w:rPr>
        <w:t>（7）特别决议应当经参加大会的基金份额持有人或其代理人所持表决权的三</w:t>
      </w:r>
      <w:r w:rsidRPr="00F15C50">
        <w:rPr>
          <w:rFonts w:ascii="宋体" w:hAnsi="宋体" w:hint="eastAsia"/>
          <w:sz w:val="24"/>
        </w:rPr>
        <w:lastRenderedPageBreak/>
        <w:t>分之二以上（含三分之二）通过。</w:t>
      </w:r>
    </w:p>
    <w:p w14:paraId="50C5B2AB" w14:textId="77777777" w:rsidR="00F15C50" w:rsidRPr="00F15C50" w:rsidRDefault="00F15C50" w:rsidP="00F15C50">
      <w:pPr>
        <w:autoSpaceDE w:val="0"/>
        <w:autoSpaceDN w:val="0"/>
        <w:adjustRightInd w:val="0"/>
        <w:snapToGrid w:val="0"/>
        <w:spacing w:line="360" w:lineRule="auto"/>
        <w:ind w:firstLineChars="200" w:firstLine="480"/>
        <w:jc w:val="left"/>
        <w:rPr>
          <w:rFonts w:ascii="宋体" w:hAnsi="宋体"/>
          <w:sz w:val="24"/>
        </w:rPr>
      </w:pPr>
      <w:r w:rsidRPr="00F15C50">
        <w:rPr>
          <w:rFonts w:ascii="宋体" w:hAnsi="宋体" w:hint="eastAsia"/>
          <w:sz w:val="24"/>
        </w:rPr>
        <w:t>同一主侧袋账户内的每份基金份额具有平等的表决权。</w:t>
      </w:r>
    </w:p>
    <w:p w14:paraId="30C7FC77" w14:textId="4373B56D" w:rsidR="00FD086C" w:rsidRDefault="00F15C50" w:rsidP="00F15C5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w:t>
      </w:r>
      <w:r w:rsidRPr="00F15C50">
        <w:rPr>
          <w:rFonts w:ascii="宋体" w:hAnsi="宋体" w:hint="eastAsia"/>
          <w:sz w:val="24"/>
        </w:rPr>
        <w:t>、</w:t>
      </w:r>
      <w:r w:rsidR="004B071E">
        <w:rPr>
          <w:rFonts w:ascii="宋体" w:hAnsi="宋体"/>
          <w:sz w:val="24"/>
        </w:rPr>
        <w:t>本部分对基金份额持有人大会召开事由、召开条件、议事程序、表决条件等规定，凡是直接引用法律法规</w:t>
      </w:r>
      <w:r w:rsidR="00250898">
        <w:rPr>
          <w:rFonts w:hint="eastAsia"/>
          <w:bCs/>
          <w:sz w:val="24"/>
        </w:rPr>
        <w:t>或监管规则</w:t>
      </w:r>
      <w:r w:rsidR="004B071E">
        <w:rPr>
          <w:rFonts w:ascii="宋体" w:hAnsi="宋体"/>
          <w:sz w:val="24"/>
        </w:rPr>
        <w:t>的部分，如将来法律法规</w:t>
      </w:r>
      <w:r w:rsidR="00250898">
        <w:rPr>
          <w:rFonts w:hint="eastAsia"/>
          <w:bCs/>
          <w:sz w:val="24"/>
        </w:rPr>
        <w:t>或监管规则</w:t>
      </w:r>
      <w:r w:rsidR="004B071E">
        <w:rPr>
          <w:rFonts w:ascii="宋体" w:hAnsi="宋体"/>
          <w:sz w:val="24"/>
        </w:rPr>
        <w:t>修改导致相关内容被取消或变更的，基金管理人经与基金托管人协商一致并提前公告后，可直接对本部分内容进行修改和调整，无需召开基金份额持有人大会审议。</w:t>
      </w:r>
    </w:p>
    <w:p w14:paraId="032D37C7" w14:textId="77777777" w:rsidR="00FD086C" w:rsidRPr="00040D5C" w:rsidRDefault="004B071E">
      <w:pPr>
        <w:autoSpaceDE w:val="0"/>
        <w:autoSpaceDN w:val="0"/>
        <w:adjustRightInd w:val="0"/>
        <w:snapToGrid w:val="0"/>
        <w:spacing w:line="360" w:lineRule="auto"/>
        <w:ind w:firstLineChars="200" w:firstLine="482"/>
        <w:jc w:val="left"/>
        <w:rPr>
          <w:rFonts w:ascii="宋体" w:hAnsi="宋体"/>
          <w:b/>
          <w:szCs w:val="24"/>
        </w:rPr>
      </w:pPr>
      <w:r w:rsidRPr="00040D5C">
        <w:rPr>
          <w:rFonts w:ascii="宋体" w:hAnsi="宋体"/>
          <w:b/>
          <w:sz w:val="24"/>
        </w:rPr>
        <w:t>（三）基金合同解除和终止的事由、程序</w:t>
      </w:r>
    </w:p>
    <w:p w14:paraId="78C178E6"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1、《基金合同》的变更</w:t>
      </w:r>
    </w:p>
    <w:p w14:paraId="314804D2"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32EDC109" w14:textId="0AC887E5"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（2）关于《基金合同》变更的基金份额持有人大会决议自生效后方可执行，自决议生效后依照《信息披露办法》的规定在规定媒介公告。</w:t>
      </w:r>
    </w:p>
    <w:p w14:paraId="66133A74"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2、《基金合同》的终止事由</w:t>
      </w:r>
    </w:p>
    <w:p w14:paraId="0AB65939"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有下列情形之一的，经履行相关程序后，《基金合同》应当终止：</w:t>
      </w:r>
    </w:p>
    <w:p w14:paraId="10899476"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（1）基金份额持有人大会决定终止的；</w:t>
      </w:r>
    </w:p>
    <w:p w14:paraId="0911218D"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（2）基金管理人、基金托管人职责终止，在6个月内没有新基金管理人、新基金托管人承接的；</w:t>
      </w:r>
    </w:p>
    <w:p w14:paraId="7140D7EA"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出现标的指数不符合要求（不包括因成份股价格波动等指数编制方法变动之外的因素致使标的指数不符合要求的情形）、指数编制机构退出等情形，基金管理人召集基金份额持有人大会对解决方案进行表决，基金份额持有人大会未成功召开或就上述事项表决未通过的；</w:t>
      </w:r>
    </w:p>
    <w:p w14:paraId="5FA826F7" w14:textId="30045AE9"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（4）连续</w:t>
      </w:r>
      <w:r w:rsidR="00250898">
        <w:rPr>
          <w:rFonts w:ascii="宋体" w:hAnsi="宋体" w:hint="eastAsia"/>
          <w:sz w:val="24"/>
        </w:rPr>
        <w:t>5</w:t>
      </w:r>
      <w:r w:rsidR="00250898">
        <w:rPr>
          <w:rFonts w:ascii="宋体" w:hAnsi="宋体"/>
          <w:sz w:val="24"/>
        </w:rPr>
        <w:t>0</w:t>
      </w:r>
      <w:r>
        <w:rPr>
          <w:rFonts w:ascii="宋体" w:hAnsi="宋体"/>
          <w:sz w:val="24"/>
        </w:rPr>
        <w:t>个工作日出现基金份额持有人数量不满200人或者基金资产净值低于5000万元情形的，基金合同</w:t>
      </w:r>
      <w:r w:rsidR="00250898">
        <w:rPr>
          <w:rFonts w:ascii="宋体" w:hAnsi="宋体" w:hint="eastAsia"/>
          <w:sz w:val="24"/>
        </w:rPr>
        <w:t>终止</w:t>
      </w:r>
      <w:r>
        <w:rPr>
          <w:rFonts w:ascii="宋体" w:hAnsi="宋体"/>
          <w:sz w:val="24"/>
        </w:rPr>
        <w:t>，不需召开基金份额持有人大会；</w:t>
      </w:r>
    </w:p>
    <w:p w14:paraId="50EBAE6B"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（5）《基金合同》约定的其他情形；</w:t>
      </w:r>
    </w:p>
    <w:p w14:paraId="7C8F0CCB"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（6）相关法律法规和中国证监会规定的其他情况。</w:t>
      </w:r>
    </w:p>
    <w:p w14:paraId="16EAC45B"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3、基金财产的清算</w:t>
      </w:r>
    </w:p>
    <w:p w14:paraId="477B8D3B"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（1）基金财产清算小组：自出现《基金合同》终止事由之日起30个工作日内成立清算小组，基金管理人组织基金财产清算小组并在中国证监会的监督下进行基</w:t>
      </w:r>
      <w:r>
        <w:rPr>
          <w:rFonts w:ascii="宋体" w:hAnsi="宋体"/>
          <w:sz w:val="24"/>
        </w:rPr>
        <w:lastRenderedPageBreak/>
        <w:t>金清算。</w:t>
      </w:r>
    </w:p>
    <w:p w14:paraId="69E5F6C9" w14:textId="32205DD5"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（2）基金财产清算小组组成：基金财产清算小组成员由基金管理人、基金托管人、</w:t>
      </w:r>
      <w:r w:rsidR="00DE65D3" w:rsidRPr="00DE65D3">
        <w:rPr>
          <w:rFonts w:ascii="宋体" w:hAnsi="宋体"/>
          <w:bCs/>
          <w:sz w:val="24"/>
        </w:rPr>
        <w:t>符合《中华人民共和国证券法》规定</w:t>
      </w:r>
      <w:r>
        <w:rPr>
          <w:rFonts w:ascii="宋体" w:hAnsi="宋体"/>
          <w:sz w:val="24"/>
        </w:rPr>
        <w:t>的注册会计师、律师以及中国证监会指定的人员组成。基金财产清算小组可以聘用必要的工作人员。</w:t>
      </w:r>
    </w:p>
    <w:p w14:paraId="36395B81"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（3）基金财产清算小组职责：基金财产清算小组负责基金财产的保管、清理、估价、变现和分配。基金财产清算小组可以依法进行必要的民事活动。</w:t>
      </w:r>
    </w:p>
    <w:p w14:paraId="51783F93"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（4）基金财产清算程序：</w:t>
      </w:r>
    </w:p>
    <w:p w14:paraId="0D2BD0D5" w14:textId="17964CF1"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1）《基金合同》终止情形出现时，由基金财产清算小组统一接管基金</w:t>
      </w:r>
      <w:r w:rsidR="00250898">
        <w:rPr>
          <w:rFonts w:ascii="宋体" w:hAnsi="宋体" w:hint="eastAsia"/>
          <w:sz w:val="24"/>
        </w:rPr>
        <w:t>财产</w:t>
      </w:r>
      <w:r>
        <w:rPr>
          <w:rFonts w:ascii="宋体" w:hAnsi="宋体"/>
          <w:sz w:val="24"/>
        </w:rPr>
        <w:t>；</w:t>
      </w:r>
    </w:p>
    <w:p w14:paraId="64F73A77"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2）对基金财产和债权债务进行清理和确认；</w:t>
      </w:r>
    </w:p>
    <w:p w14:paraId="7B8AE52E"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3）对基金财产进行估值和变现；</w:t>
      </w:r>
    </w:p>
    <w:p w14:paraId="1A8722E1"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4）制作清算报告；</w:t>
      </w:r>
    </w:p>
    <w:p w14:paraId="4D51CD4E"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5）聘请会计师事务所对清算报告进行外部审计，聘请律师事务所对清算报告出具法律意见书；</w:t>
      </w:r>
    </w:p>
    <w:p w14:paraId="563E12AF"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6）将清算报告报中国证监会备案并公告；</w:t>
      </w:r>
    </w:p>
    <w:p w14:paraId="265FAC40"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7）对基金剩余财产进行分配。</w:t>
      </w:r>
    </w:p>
    <w:p w14:paraId="3F5FE393"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（5）基金财产清算的期限为6个月，但因本基金所持证券的流动性受到限制而不能及时变现的，清算期限相应顺延。</w:t>
      </w:r>
    </w:p>
    <w:p w14:paraId="5CAA4D73"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4、清算费用</w:t>
      </w:r>
    </w:p>
    <w:p w14:paraId="0C6A26D2"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清算费用是指基金财产清算小组在进行基金清算过程中发生的所有合理费用，清算费用由基金财产清算小组优先从基金财产中支付。</w:t>
      </w:r>
    </w:p>
    <w:p w14:paraId="5F600B4C"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5、基金财产清算剩余资产的分配</w:t>
      </w:r>
    </w:p>
    <w:p w14:paraId="029E479E"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依据基金财产清算的分配方案，将基金财产清算后的全部剩余资产扣除基金财产清算费用、交纳所欠税款并清偿基金债务后，按基金份额持有人持有的基金份额比例进行分配。</w:t>
      </w:r>
    </w:p>
    <w:p w14:paraId="0D2E262F"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6、基金财产清算的公告</w:t>
      </w:r>
    </w:p>
    <w:p w14:paraId="3E7B8BE1" w14:textId="43F20ED1"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清算过程中的有关重大事项须及时公告；基金财产清算报告经</w:t>
      </w:r>
      <w:r w:rsidR="00DE65D3">
        <w:rPr>
          <w:bCs/>
          <w:sz w:val="24"/>
        </w:rPr>
        <w:t>符合《中华人民共和国证券法》规定</w:t>
      </w:r>
      <w:r w:rsidR="00DE65D3">
        <w:rPr>
          <w:rFonts w:hint="eastAsia"/>
          <w:bCs/>
          <w:sz w:val="24"/>
        </w:rPr>
        <w:t>的</w:t>
      </w:r>
      <w:r>
        <w:rPr>
          <w:rFonts w:ascii="宋体" w:hAnsi="宋体"/>
          <w:sz w:val="24"/>
        </w:rPr>
        <w:t>会计师事务所审计并由律师事务所出具法律意见书后报中国证监会备案并公告。基金财产清算公告于基金财产清算报告报中国证监会备案后5个工作日内由基金财产清算小组进行公告</w:t>
      </w:r>
      <w:r w:rsidR="00250898" w:rsidRPr="00250898">
        <w:rPr>
          <w:rFonts w:ascii="宋体" w:hAnsi="宋体" w:hint="eastAsia"/>
          <w:sz w:val="24"/>
        </w:rPr>
        <w:t>，基金财产清算小组应当将清算报告登载在规定网站上，并将清算报告提示性公告登载在规定报刊上</w:t>
      </w:r>
      <w:r>
        <w:rPr>
          <w:rFonts w:ascii="宋体" w:hAnsi="宋体"/>
          <w:sz w:val="24"/>
        </w:rPr>
        <w:t>。</w:t>
      </w:r>
    </w:p>
    <w:p w14:paraId="24B2070E"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7、基金财产清算账册及文件的保存</w:t>
      </w:r>
    </w:p>
    <w:p w14:paraId="5CC563D9" w14:textId="42D10A35"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基金财产清算账册及有关文件由基金托管人保存</w:t>
      </w:r>
      <w:r w:rsidR="00250898">
        <w:rPr>
          <w:rFonts w:hint="eastAsia"/>
          <w:bCs/>
          <w:sz w:val="24"/>
        </w:rPr>
        <w:t>不低于法律法规规定的最低期限</w:t>
      </w:r>
      <w:r>
        <w:rPr>
          <w:rFonts w:ascii="宋体" w:hAnsi="宋体"/>
          <w:sz w:val="24"/>
        </w:rPr>
        <w:t>。</w:t>
      </w:r>
    </w:p>
    <w:p w14:paraId="1B946BC7" w14:textId="77777777" w:rsidR="00FD086C" w:rsidRPr="00040D5C" w:rsidRDefault="004B071E">
      <w:pPr>
        <w:autoSpaceDE w:val="0"/>
        <w:autoSpaceDN w:val="0"/>
        <w:adjustRightInd w:val="0"/>
        <w:snapToGrid w:val="0"/>
        <w:spacing w:line="360" w:lineRule="auto"/>
        <w:ind w:firstLineChars="200" w:firstLine="482"/>
        <w:jc w:val="left"/>
        <w:rPr>
          <w:rFonts w:ascii="宋体" w:hAnsi="宋体"/>
          <w:b/>
          <w:szCs w:val="24"/>
        </w:rPr>
      </w:pPr>
      <w:r w:rsidRPr="00040D5C">
        <w:rPr>
          <w:rFonts w:ascii="宋体" w:hAnsi="宋体"/>
          <w:b/>
          <w:sz w:val="24"/>
        </w:rPr>
        <w:t>（四）争议解决方式</w:t>
      </w:r>
    </w:p>
    <w:p w14:paraId="06E743B2" w14:textId="3D04CCC0" w:rsidR="00250898" w:rsidRPr="00250898" w:rsidRDefault="00250898" w:rsidP="00250898">
      <w:pPr>
        <w:autoSpaceDE w:val="0"/>
        <w:autoSpaceDN w:val="0"/>
        <w:adjustRightInd w:val="0"/>
        <w:snapToGrid w:val="0"/>
        <w:spacing w:line="360" w:lineRule="auto"/>
        <w:ind w:firstLineChars="200" w:firstLine="480"/>
        <w:jc w:val="left"/>
        <w:rPr>
          <w:rFonts w:ascii="宋体" w:hAnsi="宋体"/>
          <w:sz w:val="24"/>
        </w:rPr>
      </w:pPr>
      <w:r w:rsidRPr="00250898">
        <w:rPr>
          <w:rFonts w:ascii="宋体" w:hAnsi="宋体" w:hint="eastAsia"/>
          <w:sz w:val="24"/>
        </w:rPr>
        <w:t>各方当事人同意，因《基金合同》而产生的或与《基金合同》有关的一切争议，如经友好协商未能解决的，任何一方均有权将争议提交中国国际经济贸易仲裁委员会，仲裁地点为北京市，按照中国国际经济贸易仲裁委员会届时有效的仲裁规则进行仲裁。仲裁裁决</w:t>
      </w:r>
      <w:r w:rsidR="00F74320">
        <w:rPr>
          <w:rFonts w:ascii="宋体" w:hAnsi="宋体" w:hint="eastAsia"/>
          <w:sz w:val="24"/>
        </w:rPr>
        <w:t>是终局的，对各方当事人均有约束力，除非仲裁裁决另有规定，仲裁费</w:t>
      </w:r>
      <w:r w:rsidRPr="00250898">
        <w:rPr>
          <w:rFonts w:ascii="宋体" w:hAnsi="宋体" w:hint="eastAsia"/>
          <w:sz w:val="24"/>
        </w:rPr>
        <w:t>由败诉方承担。</w:t>
      </w:r>
    </w:p>
    <w:p w14:paraId="711CCA65" w14:textId="77777777" w:rsidR="00250898" w:rsidRPr="00250898" w:rsidRDefault="00250898" w:rsidP="00250898">
      <w:pPr>
        <w:autoSpaceDE w:val="0"/>
        <w:autoSpaceDN w:val="0"/>
        <w:adjustRightInd w:val="0"/>
        <w:snapToGrid w:val="0"/>
        <w:spacing w:line="360" w:lineRule="auto"/>
        <w:ind w:firstLineChars="200" w:firstLine="480"/>
        <w:jc w:val="left"/>
        <w:rPr>
          <w:rFonts w:ascii="宋体" w:hAnsi="宋体"/>
          <w:sz w:val="24"/>
        </w:rPr>
      </w:pPr>
      <w:r w:rsidRPr="00250898">
        <w:rPr>
          <w:rFonts w:ascii="宋体" w:hAnsi="宋体" w:hint="eastAsia"/>
          <w:sz w:val="24"/>
        </w:rPr>
        <w:t>争议处理期间，基金合同当事人应恪守各自的职责，继续忠实、勤勉、尽责地履行基金合同规定的义务，维护基金份额持有人的合法权益。</w:t>
      </w:r>
    </w:p>
    <w:p w14:paraId="1A0C730B" w14:textId="77777777" w:rsidR="00250898" w:rsidRDefault="00250898">
      <w:pPr>
        <w:autoSpaceDE w:val="0"/>
        <w:autoSpaceDN w:val="0"/>
        <w:adjustRightInd w:val="0"/>
        <w:snapToGrid w:val="0"/>
        <w:spacing w:line="360" w:lineRule="auto"/>
        <w:ind w:firstLineChars="200" w:firstLine="480"/>
        <w:jc w:val="left"/>
        <w:rPr>
          <w:rFonts w:ascii="宋体" w:hAnsi="宋体"/>
          <w:sz w:val="24"/>
        </w:rPr>
      </w:pPr>
      <w:r w:rsidRPr="00250898">
        <w:rPr>
          <w:rFonts w:ascii="宋体" w:hAnsi="宋体" w:hint="eastAsia"/>
          <w:sz w:val="24"/>
        </w:rPr>
        <w:t>《基金合同》受中国法律（不含港澳台地区法律）管辖并从其解释。</w:t>
      </w:r>
    </w:p>
    <w:p w14:paraId="21BEA1FA" w14:textId="77777777" w:rsidR="00FD086C" w:rsidRPr="00040D5C" w:rsidRDefault="004B071E">
      <w:pPr>
        <w:autoSpaceDE w:val="0"/>
        <w:autoSpaceDN w:val="0"/>
        <w:adjustRightInd w:val="0"/>
        <w:snapToGrid w:val="0"/>
        <w:spacing w:line="360" w:lineRule="auto"/>
        <w:ind w:firstLineChars="200" w:firstLine="482"/>
        <w:jc w:val="left"/>
        <w:rPr>
          <w:rFonts w:ascii="宋体" w:hAnsi="宋体"/>
          <w:b/>
          <w:szCs w:val="24"/>
        </w:rPr>
      </w:pPr>
      <w:r w:rsidRPr="00040D5C">
        <w:rPr>
          <w:rFonts w:ascii="宋体" w:hAnsi="宋体"/>
          <w:b/>
          <w:sz w:val="24"/>
        </w:rPr>
        <w:t>（五）基金合同存放及投资者取得基金合同的方式</w:t>
      </w:r>
    </w:p>
    <w:p w14:paraId="2958AEA4"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《基金合同》正本一式三份，除上报有关监管机构一份外，基金管理人、基金托管人各持有一份，每份具有同等的法律效力。</w:t>
      </w:r>
    </w:p>
    <w:p w14:paraId="4A30939B" w14:textId="459B6804"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《基金合同》可印制成册，供投资者在基金管理人、基金托管人、销售机构的办公场所和营业场所查阅</w:t>
      </w:r>
      <w:r w:rsidR="00250898">
        <w:rPr>
          <w:rFonts w:hint="eastAsia"/>
          <w:bCs/>
          <w:sz w:val="24"/>
        </w:rPr>
        <w:t>，但应以《基金合同》正本为准</w:t>
      </w:r>
      <w:r>
        <w:rPr>
          <w:rFonts w:ascii="宋体" w:hAnsi="宋体"/>
          <w:sz w:val="24"/>
        </w:rPr>
        <w:t>。</w:t>
      </w:r>
    </w:p>
    <w:p w14:paraId="449B8CD5" w14:textId="77777777" w:rsidR="00A37EB9" w:rsidRDefault="004B071E" w:rsidP="00A37EB9">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1E7693F5" w14:textId="1E04EDE1" w:rsidR="00FD086C" w:rsidRDefault="004B071E">
      <w:pPr>
        <w:pStyle w:val="1"/>
        <w:snapToGrid w:val="0"/>
        <w:spacing w:beforeLines="0" w:before="240" w:after="240"/>
        <w:rPr>
          <w:rFonts w:ascii="宋体" w:hAnsi="宋体"/>
          <w:szCs w:val="30"/>
        </w:rPr>
      </w:pPr>
      <w:bookmarkStart w:id="39" w:name="_Toc147840638"/>
      <w:r>
        <w:rPr>
          <w:rFonts w:ascii="Times New Roman" w:hAnsi="Times New Roman"/>
          <w:sz w:val="30"/>
        </w:rPr>
        <w:lastRenderedPageBreak/>
        <w:t>二十、托管协议的内容摘要</w:t>
      </w:r>
      <w:bookmarkEnd w:id="39"/>
    </w:p>
    <w:p w14:paraId="4616E9E8" w14:textId="77777777" w:rsidR="00FD086C" w:rsidRPr="00040D5C" w:rsidRDefault="004B071E">
      <w:pPr>
        <w:autoSpaceDE w:val="0"/>
        <w:autoSpaceDN w:val="0"/>
        <w:adjustRightInd w:val="0"/>
        <w:snapToGrid w:val="0"/>
        <w:spacing w:line="360" w:lineRule="auto"/>
        <w:ind w:firstLineChars="200" w:firstLine="482"/>
        <w:jc w:val="left"/>
        <w:rPr>
          <w:rFonts w:ascii="宋体" w:hAnsi="宋体"/>
          <w:b/>
          <w:szCs w:val="24"/>
        </w:rPr>
      </w:pPr>
      <w:r w:rsidRPr="00040D5C">
        <w:rPr>
          <w:rFonts w:ascii="宋体" w:hAnsi="宋体"/>
          <w:b/>
          <w:sz w:val="24"/>
        </w:rPr>
        <w:t>（一）托管协议当事人</w:t>
      </w:r>
    </w:p>
    <w:p w14:paraId="78184331"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w:t>
      </w:r>
    </w:p>
    <w:p w14:paraId="55D6ADCE"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名称：交银施罗德基金管理有限公司</w:t>
      </w:r>
    </w:p>
    <w:p w14:paraId="27D68D2E" w14:textId="231080A4" w:rsidR="00FD086C" w:rsidRDefault="00DE65D3">
      <w:pPr>
        <w:autoSpaceDE w:val="0"/>
        <w:autoSpaceDN w:val="0"/>
        <w:adjustRightInd w:val="0"/>
        <w:snapToGrid w:val="0"/>
        <w:spacing w:line="360" w:lineRule="auto"/>
        <w:ind w:firstLineChars="200" w:firstLine="480"/>
        <w:jc w:val="left"/>
        <w:rPr>
          <w:rFonts w:ascii="宋体" w:hAnsi="宋体"/>
          <w:szCs w:val="24"/>
        </w:rPr>
      </w:pPr>
      <w:r w:rsidRPr="00DE65D3">
        <w:rPr>
          <w:rFonts w:ascii="宋体" w:hAnsi="宋体"/>
          <w:sz w:val="24"/>
        </w:rPr>
        <w:t>注册地址</w:t>
      </w:r>
      <w:r w:rsidR="004B071E">
        <w:rPr>
          <w:rFonts w:ascii="宋体" w:hAnsi="宋体"/>
          <w:sz w:val="24"/>
        </w:rPr>
        <w:t>：中国（上海）自由贸易试验区银城中路188号交通银行大楼二层（裙）</w:t>
      </w:r>
    </w:p>
    <w:p w14:paraId="6CF2F347"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办公地址：上海市浦东新区世纪大道8号国金中心二期21-22楼</w:t>
      </w:r>
    </w:p>
    <w:p w14:paraId="3F6BD544"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邮政编码：200120</w:t>
      </w:r>
    </w:p>
    <w:p w14:paraId="26E16FE4"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法定代表人：阮红</w:t>
      </w:r>
    </w:p>
    <w:p w14:paraId="318E3DAB" w14:textId="4B23E9D2"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成立</w:t>
      </w:r>
      <w:r w:rsidR="00DE65D3">
        <w:rPr>
          <w:rFonts w:ascii="宋体" w:hAnsi="宋体" w:hint="eastAsia"/>
          <w:sz w:val="24"/>
        </w:rPr>
        <w:t>日期</w:t>
      </w:r>
      <w:r>
        <w:rPr>
          <w:rFonts w:ascii="宋体" w:hAnsi="宋体"/>
          <w:sz w:val="24"/>
        </w:rPr>
        <w:t>： 2005年8月4日</w:t>
      </w:r>
    </w:p>
    <w:p w14:paraId="1B741914" w14:textId="67F31A22"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批准设立机关</w:t>
      </w:r>
      <w:r w:rsidR="00DE65D3">
        <w:rPr>
          <w:rFonts w:ascii="宋体" w:hAnsi="宋体" w:hint="eastAsia"/>
          <w:sz w:val="24"/>
        </w:rPr>
        <w:t>及</w:t>
      </w:r>
      <w:r>
        <w:rPr>
          <w:rFonts w:ascii="宋体" w:hAnsi="宋体"/>
          <w:sz w:val="24"/>
        </w:rPr>
        <w:t>批准设立文号：中国证监会证监基金字[2005]128号</w:t>
      </w:r>
    </w:p>
    <w:p w14:paraId="4FF2D394"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组织形式：有限责任公司</w:t>
      </w:r>
    </w:p>
    <w:p w14:paraId="31ABC143"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注册资本： 2亿元人民币</w:t>
      </w:r>
    </w:p>
    <w:p w14:paraId="252201C8"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存续期间：持续经营</w:t>
      </w:r>
    </w:p>
    <w:p w14:paraId="24AB125A" w14:textId="19E6CE58"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经营范围：基金募集、基金销售、资产管理和中国证监会许可的其</w:t>
      </w:r>
      <w:r w:rsidR="00DE65D3">
        <w:rPr>
          <w:rFonts w:ascii="宋体" w:hAnsi="宋体" w:hint="eastAsia"/>
          <w:sz w:val="24"/>
        </w:rPr>
        <w:t>它</w:t>
      </w:r>
      <w:r>
        <w:rPr>
          <w:rFonts w:ascii="宋体" w:hAnsi="宋体"/>
          <w:sz w:val="24"/>
        </w:rPr>
        <w:t>业务</w:t>
      </w:r>
    </w:p>
    <w:p w14:paraId="51EBBF1E"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w:t>
      </w:r>
    </w:p>
    <w:p w14:paraId="5E44BEB9" w14:textId="77777777" w:rsidR="00D230DD" w:rsidRPr="00D230DD" w:rsidRDefault="00D230DD" w:rsidP="00D230DD">
      <w:pPr>
        <w:autoSpaceDE w:val="0"/>
        <w:autoSpaceDN w:val="0"/>
        <w:adjustRightInd w:val="0"/>
        <w:snapToGrid w:val="0"/>
        <w:spacing w:line="360" w:lineRule="auto"/>
        <w:ind w:firstLineChars="200" w:firstLine="480"/>
        <w:jc w:val="left"/>
        <w:rPr>
          <w:rFonts w:ascii="宋体" w:hAnsi="宋体"/>
          <w:sz w:val="24"/>
        </w:rPr>
      </w:pPr>
      <w:r w:rsidRPr="00D230DD">
        <w:rPr>
          <w:rFonts w:ascii="宋体" w:hAnsi="宋体" w:hint="eastAsia"/>
          <w:sz w:val="24"/>
        </w:rPr>
        <w:t>名称：中国农业银行股份有限公司</w:t>
      </w:r>
    </w:p>
    <w:p w14:paraId="0E55A902" w14:textId="77777777" w:rsidR="00D230DD" w:rsidRPr="00D230DD" w:rsidRDefault="00D230DD" w:rsidP="00D230DD">
      <w:pPr>
        <w:autoSpaceDE w:val="0"/>
        <w:autoSpaceDN w:val="0"/>
        <w:adjustRightInd w:val="0"/>
        <w:snapToGrid w:val="0"/>
        <w:spacing w:line="360" w:lineRule="auto"/>
        <w:ind w:firstLineChars="200" w:firstLine="480"/>
        <w:jc w:val="left"/>
        <w:rPr>
          <w:rFonts w:ascii="宋体" w:hAnsi="宋体"/>
          <w:sz w:val="24"/>
        </w:rPr>
      </w:pPr>
      <w:r w:rsidRPr="00D230DD">
        <w:rPr>
          <w:rFonts w:ascii="宋体" w:hAnsi="宋体" w:hint="eastAsia"/>
          <w:sz w:val="24"/>
        </w:rPr>
        <w:t>注册地址：北京市东城区建国门内大街69号</w:t>
      </w:r>
    </w:p>
    <w:p w14:paraId="0741777D" w14:textId="77777777" w:rsidR="00D230DD" w:rsidRPr="00D230DD" w:rsidRDefault="00D230DD" w:rsidP="00D230DD">
      <w:pPr>
        <w:autoSpaceDE w:val="0"/>
        <w:autoSpaceDN w:val="0"/>
        <w:adjustRightInd w:val="0"/>
        <w:snapToGrid w:val="0"/>
        <w:spacing w:line="360" w:lineRule="auto"/>
        <w:ind w:firstLineChars="200" w:firstLine="480"/>
        <w:jc w:val="left"/>
        <w:rPr>
          <w:rFonts w:ascii="宋体" w:hAnsi="宋体"/>
          <w:sz w:val="24"/>
        </w:rPr>
      </w:pPr>
      <w:r w:rsidRPr="00D230DD">
        <w:rPr>
          <w:rFonts w:ascii="宋体" w:hAnsi="宋体" w:hint="eastAsia"/>
          <w:sz w:val="24"/>
        </w:rPr>
        <w:t>办公地址：北京市西城区复兴门内大街28号凯晨世贸中心东座九层</w:t>
      </w:r>
    </w:p>
    <w:p w14:paraId="7591AE01" w14:textId="77777777" w:rsidR="00D230DD" w:rsidRPr="00D230DD" w:rsidRDefault="00D230DD" w:rsidP="00D230DD">
      <w:pPr>
        <w:autoSpaceDE w:val="0"/>
        <w:autoSpaceDN w:val="0"/>
        <w:adjustRightInd w:val="0"/>
        <w:snapToGrid w:val="0"/>
        <w:spacing w:line="360" w:lineRule="auto"/>
        <w:ind w:firstLineChars="200" w:firstLine="480"/>
        <w:jc w:val="left"/>
        <w:rPr>
          <w:rFonts w:ascii="宋体" w:hAnsi="宋体"/>
          <w:sz w:val="24"/>
        </w:rPr>
      </w:pPr>
      <w:r w:rsidRPr="00D230DD">
        <w:rPr>
          <w:rFonts w:ascii="宋体" w:hAnsi="宋体" w:hint="eastAsia"/>
          <w:sz w:val="24"/>
        </w:rPr>
        <w:t>邮政编码：100031</w:t>
      </w:r>
    </w:p>
    <w:p w14:paraId="70CD5405" w14:textId="77777777" w:rsidR="00D230DD" w:rsidRPr="00D230DD" w:rsidRDefault="00D230DD" w:rsidP="00D230DD">
      <w:pPr>
        <w:autoSpaceDE w:val="0"/>
        <w:autoSpaceDN w:val="0"/>
        <w:adjustRightInd w:val="0"/>
        <w:snapToGrid w:val="0"/>
        <w:spacing w:line="360" w:lineRule="auto"/>
        <w:ind w:firstLineChars="200" w:firstLine="480"/>
        <w:jc w:val="left"/>
        <w:rPr>
          <w:rFonts w:ascii="宋体" w:hAnsi="宋体"/>
          <w:sz w:val="24"/>
        </w:rPr>
      </w:pPr>
      <w:r w:rsidRPr="00D230DD">
        <w:rPr>
          <w:rFonts w:ascii="宋体" w:hAnsi="宋体" w:hint="eastAsia"/>
          <w:sz w:val="24"/>
        </w:rPr>
        <w:t>法定代表人：谷澍</w:t>
      </w:r>
    </w:p>
    <w:p w14:paraId="101D472B" w14:textId="77777777" w:rsidR="00D230DD" w:rsidRPr="00D230DD" w:rsidRDefault="00D230DD" w:rsidP="00D230DD">
      <w:pPr>
        <w:autoSpaceDE w:val="0"/>
        <w:autoSpaceDN w:val="0"/>
        <w:adjustRightInd w:val="0"/>
        <w:snapToGrid w:val="0"/>
        <w:spacing w:line="360" w:lineRule="auto"/>
        <w:ind w:firstLineChars="200" w:firstLine="480"/>
        <w:jc w:val="left"/>
        <w:rPr>
          <w:rFonts w:ascii="宋体" w:hAnsi="宋体"/>
          <w:sz w:val="24"/>
        </w:rPr>
      </w:pPr>
      <w:r w:rsidRPr="00D230DD">
        <w:rPr>
          <w:rFonts w:ascii="宋体" w:hAnsi="宋体" w:hint="eastAsia"/>
          <w:sz w:val="24"/>
        </w:rPr>
        <w:t>成立时间：2009年1月15日</w:t>
      </w:r>
    </w:p>
    <w:p w14:paraId="4E400022" w14:textId="77777777" w:rsidR="00D230DD" w:rsidRPr="00D230DD" w:rsidRDefault="00D230DD" w:rsidP="00D230DD">
      <w:pPr>
        <w:autoSpaceDE w:val="0"/>
        <w:autoSpaceDN w:val="0"/>
        <w:adjustRightInd w:val="0"/>
        <w:snapToGrid w:val="0"/>
        <w:spacing w:line="360" w:lineRule="auto"/>
        <w:ind w:firstLineChars="200" w:firstLine="480"/>
        <w:jc w:val="left"/>
        <w:rPr>
          <w:rFonts w:ascii="宋体" w:hAnsi="宋体"/>
          <w:sz w:val="24"/>
        </w:rPr>
      </w:pPr>
      <w:r w:rsidRPr="00D230DD">
        <w:rPr>
          <w:rFonts w:ascii="宋体" w:hAnsi="宋体" w:hint="eastAsia"/>
          <w:sz w:val="24"/>
        </w:rPr>
        <w:t>基金托管资格批文及文号：中国证监会证监基字[1998]23号</w:t>
      </w:r>
    </w:p>
    <w:p w14:paraId="0851E515" w14:textId="77777777" w:rsidR="00D230DD" w:rsidRPr="00D230DD" w:rsidRDefault="00D230DD" w:rsidP="00D230DD">
      <w:pPr>
        <w:autoSpaceDE w:val="0"/>
        <w:autoSpaceDN w:val="0"/>
        <w:adjustRightInd w:val="0"/>
        <w:snapToGrid w:val="0"/>
        <w:spacing w:line="360" w:lineRule="auto"/>
        <w:ind w:firstLineChars="200" w:firstLine="480"/>
        <w:jc w:val="left"/>
        <w:rPr>
          <w:rFonts w:ascii="宋体" w:hAnsi="宋体"/>
          <w:sz w:val="24"/>
        </w:rPr>
      </w:pPr>
      <w:r w:rsidRPr="00D230DD">
        <w:rPr>
          <w:rFonts w:ascii="宋体" w:hAnsi="宋体" w:hint="eastAsia"/>
          <w:sz w:val="24"/>
        </w:rPr>
        <w:t>批准设立机关和批准设立文号：中国银监会银监复[2009]13号</w:t>
      </w:r>
    </w:p>
    <w:p w14:paraId="48CE0A1B" w14:textId="77777777" w:rsidR="00D230DD" w:rsidRPr="00D230DD" w:rsidRDefault="00D230DD" w:rsidP="00D230DD">
      <w:pPr>
        <w:autoSpaceDE w:val="0"/>
        <w:autoSpaceDN w:val="0"/>
        <w:adjustRightInd w:val="0"/>
        <w:snapToGrid w:val="0"/>
        <w:spacing w:line="360" w:lineRule="auto"/>
        <w:ind w:firstLineChars="200" w:firstLine="480"/>
        <w:jc w:val="left"/>
        <w:rPr>
          <w:rFonts w:ascii="宋体" w:hAnsi="宋体"/>
          <w:sz w:val="24"/>
        </w:rPr>
      </w:pPr>
      <w:r w:rsidRPr="00D230DD">
        <w:rPr>
          <w:rFonts w:ascii="宋体" w:hAnsi="宋体" w:hint="eastAsia"/>
          <w:sz w:val="24"/>
        </w:rPr>
        <w:t>组织形式：股份有限公司</w:t>
      </w:r>
    </w:p>
    <w:p w14:paraId="23667F7C" w14:textId="77777777" w:rsidR="00D230DD" w:rsidRPr="00D230DD" w:rsidRDefault="00D230DD" w:rsidP="00D230DD">
      <w:pPr>
        <w:autoSpaceDE w:val="0"/>
        <w:autoSpaceDN w:val="0"/>
        <w:adjustRightInd w:val="0"/>
        <w:snapToGrid w:val="0"/>
        <w:spacing w:line="360" w:lineRule="auto"/>
        <w:ind w:firstLineChars="200" w:firstLine="480"/>
        <w:jc w:val="left"/>
        <w:rPr>
          <w:rFonts w:ascii="宋体" w:hAnsi="宋体"/>
          <w:sz w:val="24"/>
        </w:rPr>
      </w:pPr>
      <w:r w:rsidRPr="00D230DD">
        <w:rPr>
          <w:rFonts w:ascii="宋体" w:hAnsi="宋体" w:hint="eastAsia"/>
          <w:sz w:val="24"/>
        </w:rPr>
        <w:t>注册资本：34,998,303.4万元人民币</w:t>
      </w:r>
    </w:p>
    <w:p w14:paraId="2FF25273" w14:textId="0C41AE01" w:rsidR="00D230DD" w:rsidRDefault="00D230DD">
      <w:pPr>
        <w:autoSpaceDE w:val="0"/>
        <w:autoSpaceDN w:val="0"/>
        <w:adjustRightInd w:val="0"/>
        <w:snapToGrid w:val="0"/>
        <w:spacing w:line="360" w:lineRule="auto"/>
        <w:ind w:firstLineChars="200" w:firstLine="480"/>
        <w:jc w:val="left"/>
        <w:rPr>
          <w:rFonts w:ascii="宋体" w:hAnsi="宋体"/>
          <w:sz w:val="24"/>
        </w:rPr>
      </w:pPr>
      <w:r w:rsidRPr="00D230DD">
        <w:rPr>
          <w:rFonts w:ascii="宋体" w:hAnsi="宋体" w:hint="eastAsia"/>
          <w:sz w:val="24"/>
        </w:rPr>
        <w:t>存续期间：持续经营</w:t>
      </w:r>
    </w:p>
    <w:p w14:paraId="4EBD0DAA" w14:textId="3A0D668A" w:rsidR="00D230DD" w:rsidRPr="00D230DD" w:rsidRDefault="00D230DD">
      <w:pPr>
        <w:autoSpaceDE w:val="0"/>
        <w:autoSpaceDN w:val="0"/>
        <w:adjustRightInd w:val="0"/>
        <w:snapToGrid w:val="0"/>
        <w:spacing w:line="360" w:lineRule="auto"/>
        <w:ind w:firstLineChars="200" w:firstLine="480"/>
        <w:jc w:val="left"/>
        <w:rPr>
          <w:rFonts w:ascii="宋体" w:hAnsi="宋体"/>
          <w:sz w:val="24"/>
        </w:rPr>
      </w:pPr>
      <w:r w:rsidRPr="00D230DD">
        <w:rPr>
          <w:rFonts w:ascii="宋体" w:hAnsi="宋体" w:hint="eastAsia"/>
          <w:sz w:val="24"/>
        </w:rPr>
        <w:t>经营范围：吸收公众存款；发放短期、中期、长期贷款；办理国内外结算；办理票据承兑与贴现；发行金融债券；代理发行、代理兑付、承销政府债券；买卖政</w:t>
      </w:r>
      <w:r w:rsidRPr="00D230DD">
        <w:rPr>
          <w:rFonts w:ascii="宋体" w:hAnsi="宋体" w:hint="eastAsia"/>
          <w:sz w:val="24"/>
        </w:rPr>
        <w:lastRenderedPageBreak/>
        <w:t>府债券、金融债券；从事同业拆借；买卖、代理买卖外汇；结汇、售汇；从事银行卡业务；提供信用证服务及担保；代理收付款项；提供保管箱服务；代理资金清算；各类汇兑业务；代理政策性银行、外国政府和国际金融机构贷款业务；贷款承诺；组织或参加银团贷款；外汇存款；外汇贷款；外汇汇款；外汇借款；发行、代理发行、买卖或代理买卖股票以外的外币有价证券；外汇票据承兑和贴现；自营、代客外汇买卖；外币兑换；外汇担保；资信调查、咨询、见证业务；企业、个人财务顾问服务；证券公司客户交易结算资金存管业务；证券投资基金托管业务；企业年金托管业务；产业投资基金托管业务；合格境外机构投资者境内证券投资托管业务；代理开放式基金业务；电话银行、手机银行、网上银行业务；金融衍生产品交易业务；经国务院银行业监督管理机构等监管部门批准的其他业务；保险兼业代理业务。</w:t>
      </w:r>
    </w:p>
    <w:p w14:paraId="008776CF" w14:textId="77777777" w:rsidR="00FD086C" w:rsidRPr="00040D5C" w:rsidRDefault="004B071E">
      <w:pPr>
        <w:autoSpaceDE w:val="0"/>
        <w:autoSpaceDN w:val="0"/>
        <w:adjustRightInd w:val="0"/>
        <w:snapToGrid w:val="0"/>
        <w:spacing w:line="360" w:lineRule="auto"/>
        <w:ind w:firstLineChars="200" w:firstLine="482"/>
        <w:jc w:val="left"/>
        <w:rPr>
          <w:rFonts w:ascii="宋体" w:hAnsi="宋体"/>
          <w:b/>
          <w:szCs w:val="24"/>
        </w:rPr>
      </w:pPr>
      <w:r w:rsidRPr="00040D5C">
        <w:rPr>
          <w:rFonts w:ascii="宋体" w:hAnsi="宋体"/>
          <w:b/>
          <w:sz w:val="24"/>
        </w:rPr>
        <w:t>（二）基金托管人对基金管理人的业务监督和核查</w:t>
      </w:r>
    </w:p>
    <w:p w14:paraId="174EB2C7" w14:textId="77777777" w:rsidR="00D230DD" w:rsidRPr="00D230DD" w:rsidRDefault="004B071E" w:rsidP="00D230DD">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1、</w:t>
      </w:r>
      <w:r w:rsidR="00D230DD" w:rsidRPr="00D230DD">
        <w:rPr>
          <w:rFonts w:ascii="宋体" w:hAnsi="宋体" w:hint="eastAsia"/>
          <w:sz w:val="24"/>
        </w:rPr>
        <w:t>基金托管人根据有关法律法规的规定及基金合同的约定，对基金投资范围、投资对象进行监督。基金合同明确约定基金投资风格或证券选择标准的，基金管理人应按照基金托管人要求的格式提供投资品种池和交易对手库，以便基金托管人运用相关技术系统，对基金实际投资是否符合基金合同关于证券选择标准的约定进行监督，对存在疑义的事项进行核查。</w:t>
      </w:r>
    </w:p>
    <w:p w14:paraId="412D3EE8" w14:textId="77777777" w:rsidR="00D230DD" w:rsidRPr="00D230DD" w:rsidRDefault="00D230DD" w:rsidP="00D230DD">
      <w:pPr>
        <w:autoSpaceDE w:val="0"/>
        <w:autoSpaceDN w:val="0"/>
        <w:adjustRightInd w:val="0"/>
        <w:snapToGrid w:val="0"/>
        <w:spacing w:line="360" w:lineRule="auto"/>
        <w:ind w:firstLineChars="200" w:firstLine="480"/>
        <w:jc w:val="left"/>
        <w:rPr>
          <w:rFonts w:ascii="宋体" w:hAnsi="宋体"/>
          <w:sz w:val="24"/>
        </w:rPr>
      </w:pPr>
      <w:r w:rsidRPr="00D230DD">
        <w:rPr>
          <w:rFonts w:ascii="宋体" w:hAnsi="宋体" w:hint="eastAsia"/>
          <w:sz w:val="24"/>
        </w:rPr>
        <w:t>本基金的投资范围为具有良好流动性的金融工具，包括中证红利低波动100指数的成份股（含存托凭证）及备选成份股（含存托凭证）、其他股票（含创业板、科创板及其他经中国证监会核准或注册上市的股票、存托凭证）、债券（含国债、央行票据、金融债券、政府支持债券、政府支持机构债券、地方政府债券、企业债券、公司债券、可转换债券（含可分离交易可转换债券）、可交换公司债券、次级债券、中期票据、短期融资券、超短期融资券等）、资产支持证券、货币市场工具、债券回购、同业存单、银行存款（含协议存款、定期存款及其他银行存款）、股指期货以及法律法规或中国证监会允许基金投资的其他金融工具（但须符合中国证监会相关规定）。</w:t>
      </w:r>
    </w:p>
    <w:p w14:paraId="7FD3101C" w14:textId="77777777" w:rsidR="00D230DD" w:rsidRPr="00D230DD" w:rsidRDefault="00D230DD" w:rsidP="00D230DD">
      <w:pPr>
        <w:autoSpaceDE w:val="0"/>
        <w:autoSpaceDN w:val="0"/>
        <w:adjustRightInd w:val="0"/>
        <w:snapToGrid w:val="0"/>
        <w:spacing w:line="360" w:lineRule="auto"/>
        <w:ind w:firstLineChars="200" w:firstLine="480"/>
        <w:jc w:val="left"/>
        <w:rPr>
          <w:rFonts w:ascii="宋体" w:hAnsi="宋体"/>
          <w:sz w:val="24"/>
        </w:rPr>
      </w:pPr>
      <w:r w:rsidRPr="00D230DD">
        <w:rPr>
          <w:rFonts w:ascii="宋体" w:hAnsi="宋体" w:hint="eastAsia"/>
          <w:sz w:val="24"/>
        </w:rPr>
        <w:t>如法律法规或监管机构以后允许基金投资其他品种，基金管理人在履行适当程序后，可以将其纳入投资范围。</w:t>
      </w:r>
    </w:p>
    <w:p w14:paraId="5F1E0D76" w14:textId="77777777" w:rsidR="00D230DD" w:rsidRPr="00D230DD" w:rsidRDefault="00D230DD" w:rsidP="00D230DD">
      <w:pPr>
        <w:autoSpaceDE w:val="0"/>
        <w:autoSpaceDN w:val="0"/>
        <w:adjustRightInd w:val="0"/>
        <w:snapToGrid w:val="0"/>
        <w:spacing w:line="360" w:lineRule="auto"/>
        <w:ind w:firstLineChars="200" w:firstLine="480"/>
        <w:jc w:val="left"/>
        <w:rPr>
          <w:rFonts w:ascii="宋体" w:hAnsi="宋体"/>
          <w:sz w:val="24"/>
        </w:rPr>
      </w:pPr>
      <w:r w:rsidRPr="00D230DD">
        <w:rPr>
          <w:rFonts w:ascii="宋体" w:hAnsi="宋体" w:hint="eastAsia"/>
          <w:sz w:val="24"/>
        </w:rPr>
        <w:t>基金的投资组合比例为：本基金投资于中证红利低波动100指数成份股（含存托凭证）及备选成份股（含存托凭证）的比例不低于基金资产净值的90%；每个交</w:t>
      </w:r>
      <w:r w:rsidRPr="00D230DD">
        <w:rPr>
          <w:rFonts w:ascii="宋体" w:hAnsi="宋体" w:hint="eastAsia"/>
          <w:sz w:val="24"/>
        </w:rPr>
        <w:lastRenderedPageBreak/>
        <w:t>易日日终在扣除股指期货合约需缴纳的交易保证金后，本基金持有的现金或者到期日在一年以内的政府债券的比例合计不低于基金资产净值的5%，其中现金不包括结算备付金、存出保证金、应收申购款等。</w:t>
      </w:r>
    </w:p>
    <w:p w14:paraId="1EF75B7C" w14:textId="77777777" w:rsidR="00D230DD" w:rsidRPr="00D230DD" w:rsidRDefault="00D230DD" w:rsidP="00D230DD">
      <w:pPr>
        <w:autoSpaceDE w:val="0"/>
        <w:autoSpaceDN w:val="0"/>
        <w:adjustRightInd w:val="0"/>
        <w:snapToGrid w:val="0"/>
        <w:spacing w:line="360" w:lineRule="auto"/>
        <w:ind w:firstLineChars="200" w:firstLine="480"/>
        <w:jc w:val="left"/>
        <w:rPr>
          <w:rFonts w:ascii="宋体" w:hAnsi="宋体"/>
          <w:sz w:val="24"/>
        </w:rPr>
      </w:pPr>
      <w:r w:rsidRPr="00D230DD">
        <w:rPr>
          <w:rFonts w:ascii="宋体" w:hAnsi="宋体" w:hint="eastAsia"/>
          <w:sz w:val="24"/>
        </w:rPr>
        <w:t>如果法律法规或中国证监会变更投资品种的投资比例限制，基金管理人在履行适当程序后，可以调整上述投资品种的投资比例。</w:t>
      </w:r>
    </w:p>
    <w:p w14:paraId="127D61F1" w14:textId="23153104" w:rsidR="00D230DD" w:rsidRPr="00D230DD" w:rsidRDefault="00D230DD" w:rsidP="00D230DD">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2、</w:t>
      </w:r>
      <w:r w:rsidRPr="00D230DD">
        <w:rPr>
          <w:rFonts w:ascii="宋体" w:hAnsi="宋体" w:hint="eastAsia"/>
          <w:sz w:val="24"/>
        </w:rPr>
        <w:t>基金托管人根据有关法律法规的规定及基金合同的约定，对基金投资、融资比例进行监督。基金托管人按下述比例和调整期限进行监督：</w:t>
      </w:r>
    </w:p>
    <w:p w14:paraId="6F230F5F" w14:textId="48ECE701" w:rsidR="00D230DD" w:rsidRPr="00D230DD" w:rsidRDefault="00D230DD" w:rsidP="00D230DD">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（1）</w:t>
      </w:r>
      <w:r w:rsidRPr="00D230DD">
        <w:rPr>
          <w:rFonts w:ascii="宋体" w:hAnsi="宋体" w:hint="eastAsia"/>
          <w:sz w:val="24"/>
        </w:rPr>
        <w:t>本基金投资于中证红利低波动100指数成份股（含存托凭证）及备选成份股（含存托凭证）的比例不低于基金资产净值的90%；</w:t>
      </w:r>
    </w:p>
    <w:p w14:paraId="2F11B1E3" w14:textId="47EA7E44" w:rsidR="00D230DD" w:rsidRPr="00D230DD" w:rsidRDefault="00D230DD" w:rsidP="00D230DD">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w:t>
      </w:r>
      <w:r w:rsidRPr="00D230DD">
        <w:rPr>
          <w:rFonts w:ascii="宋体" w:hAnsi="宋体" w:hint="eastAsia"/>
          <w:sz w:val="24"/>
        </w:rPr>
        <w:t>每个交易日日终在扣除股指期货合约需缴纳的交易保证金后，本基金持有的现金或者到期日在一年以内的政府债券的比例合计不低于基金资产净值的5%，其中现金不包括结算备付金、存出保证金、应收申购款等；</w:t>
      </w:r>
    </w:p>
    <w:p w14:paraId="54E22D67" w14:textId="05685D91" w:rsidR="00D230DD" w:rsidRPr="00D230DD" w:rsidRDefault="00D230DD" w:rsidP="00D230DD">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（3）</w:t>
      </w:r>
      <w:r w:rsidRPr="00D230DD">
        <w:rPr>
          <w:rFonts w:ascii="宋体" w:hAnsi="宋体" w:hint="eastAsia"/>
          <w:sz w:val="24"/>
        </w:rPr>
        <w:t>本基金投资于同一原始权益人的各类资产支持证券的比例，不得超过基金资产净值的10％；</w:t>
      </w:r>
    </w:p>
    <w:p w14:paraId="03F49D64" w14:textId="2CFE3E14" w:rsidR="00D230DD" w:rsidRPr="00D230DD" w:rsidRDefault="00D230DD" w:rsidP="00D230DD">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（4）</w:t>
      </w:r>
      <w:r w:rsidRPr="00D230DD">
        <w:rPr>
          <w:rFonts w:ascii="宋体" w:hAnsi="宋体" w:hint="eastAsia"/>
          <w:sz w:val="24"/>
        </w:rPr>
        <w:t>本基金持有的全部资产支持证券，其市值不得超过基金资产净值的20％；</w:t>
      </w:r>
    </w:p>
    <w:p w14:paraId="5A46B80E" w14:textId="1D5B0796" w:rsidR="00D230DD" w:rsidRPr="00D230DD" w:rsidRDefault="00D230DD" w:rsidP="00D230DD">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（5）</w:t>
      </w:r>
      <w:r w:rsidRPr="00D230DD">
        <w:rPr>
          <w:rFonts w:ascii="宋体" w:hAnsi="宋体" w:hint="eastAsia"/>
          <w:sz w:val="24"/>
        </w:rPr>
        <w:t>本基金持有的同一(指同一信用级别)资产支持证券的比例，不得超过该资产支持证券规模的10％；</w:t>
      </w:r>
    </w:p>
    <w:p w14:paraId="660FC9CD" w14:textId="1E467827" w:rsidR="00D230DD" w:rsidRPr="00D230DD" w:rsidRDefault="00D230DD" w:rsidP="00D230DD">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（6）</w:t>
      </w:r>
      <w:r w:rsidRPr="00D230DD">
        <w:rPr>
          <w:rFonts w:ascii="宋体" w:hAnsi="宋体" w:hint="eastAsia"/>
          <w:sz w:val="24"/>
        </w:rPr>
        <w:t>本基金管理人管理的、且由本基金托管人托管的全部基金投资于同一原始权益人的各类资产支持证券，不得超过其各类资产支持证券合计规模的10％；</w:t>
      </w:r>
    </w:p>
    <w:p w14:paraId="06BD99B7" w14:textId="208D581A" w:rsidR="00D230DD" w:rsidRPr="00D230DD" w:rsidRDefault="00D230DD" w:rsidP="00D230DD">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（7）</w:t>
      </w:r>
      <w:r w:rsidRPr="00D230DD">
        <w:rPr>
          <w:rFonts w:ascii="宋体" w:hAnsi="宋体" w:hint="eastAsia"/>
          <w:sz w:val="24"/>
        </w:rPr>
        <w:t>本基金应投资于信用级别评级为BBB以上(含BBB)的资产支持证券。基金持有资产支持证券期间，如果其信用等级下降、不再符合投资标准，应在评级报告发布之日起3个月内予以全部卖出；</w:t>
      </w:r>
    </w:p>
    <w:p w14:paraId="32BEA599" w14:textId="27EB32EC" w:rsidR="00D230DD" w:rsidRPr="00D230DD" w:rsidRDefault="00D230DD" w:rsidP="00D230DD">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（8）</w:t>
      </w:r>
      <w:r w:rsidRPr="00D230DD">
        <w:rPr>
          <w:rFonts w:ascii="宋体" w:hAnsi="宋体" w:hint="eastAsia"/>
          <w:sz w:val="24"/>
        </w:rPr>
        <w:t>基金财产参与股票发行申购，本基金所申报的金额不超过本基金的总资产，本基金所申报的股票数量不超过拟发行股票公司本次发行股票的总量；</w:t>
      </w:r>
    </w:p>
    <w:p w14:paraId="56E3A730" w14:textId="425A3713" w:rsidR="00D230DD" w:rsidRPr="00D230DD" w:rsidRDefault="00D230DD" w:rsidP="00D230DD">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（9）</w:t>
      </w:r>
      <w:r w:rsidRPr="00D230DD">
        <w:rPr>
          <w:rFonts w:ascii="宋体" w:hAnsi="宋体" w:hint="eastAsia"/>
          <w:sz w:val="24"/>
        </w:rPr>
        <w:t>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14:paraId="7691B6A6" w14:textId="52C7F8E9" w:rsidR="00D230DD" w:rsidRPr="00D230DD" w:rsidRDefault="00D230DD" w:rsidP="00D230DD">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（1</w:t>
      </w:r>
      <w:r>
        <w:rPr>
          <w:rFonts w:ascii="宋体" w:hAnsi="宋体"/>
          <w:sz w:val="24"/>
        </w:rPr>
        <w:t>0</w:t>
      </w:r>
      <w:r>
        <w:rPr>
          <w:rFonts w:ascii="宋体" w:hAnsi="宋体" w:hint="eastAsia"/>
          <w:sz w:val="24"/>
        </w:rPr>
        <w:t>）</w:t>
      </w:r>
      <w:r w:rsidRPr="00D230DD">
        <w:rPr>
          <w:rFonts w:ascii="宋体" w:hAnsi="宋体" w:hint="eastAsia"/>
          <w:sz w:val="24"/>
        </w:rPr>
        <w:t>本基金与私募类证券资管产品及中国证监会认定的其他主体为交易对手</w:t>
      </w:r>
      <w:r w:rsidRPr="00D230DD">
        <w:rPr>
          <w:rFonts w:ascii="宋体" w:hAnsi="宋体" w:hint="eastAsia"/>
          <w:sz w:val="24"/>
        </w:rPr>
        <w:lastRenderedPageBreak/>
        <w:t>开展逆回购交易的，可接受质押品的资质要求应当与基金合同约定的投资范围保持一致；</w:t>
      </w:r>
    </w:p>
    <w:p w14:paraId="4F18F2D1" w14:textId="68D149A1" w:rsidR="00D230DD" w:rsidRPr="00D230DD" w:rsidRDefault="00D230DD" w:rsidP="00D230DD">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（1</w:t>
      </w:r>
      <w:r>
        <w:rPr>
          <w:rFonts w:ascii="宋体" w:hAnsi="宋体"/>
          <w:sz w:val="24"/>
        </w:rPr>
        <w:t>1</w:t>
      </w:r>
      <w:r>
        <w:rPr>
          <w:rFonts w:ascii="宋体" w:hAnsi="宋体" w:hint="eastAsia"/>
          <w:sz w:val="24"/>
        </w:rPr>
        <w:t>）</w:t>
      </w:r>
      <w:r w:rsidRPr="00D230DD">
        <w:rPr>
          <w:rFonts w:ascii="宋体" w:hAnsi="宋体" w:hint="eastAsia"/>
          <w:sz w:val="24"/>
        </w:rPr>
        <w:t>本基金资产总值不超过基金资产净值的140%；</w:t>
      </w:r>
    </w:p>
    <w:p w14:paraId="0B282727" w14:textId="2CC91052" w:rsidR="00D230DD" w:rsidRPr="00D230DD" w:rsidRDefault="00D230DD" w:rsidP="00D230DD">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（1</w:t>
      </w:r>
      <w:r>
        <w:rPr>
          <w:rFonts w:ascii="宋体" w:hAnsi="宋体"/>
          <w:sz w:val="24"/>
        </w:rPr>
        <w:t>2</w:t>
      </w:r>
      <w:r>
        <w:rPr>
          <w:rFonts w:ascii="宋体" w:hAnsi="宋体" w:hint="eastAsia"/>
          <w:sz w:val="24"/>
        </w:rPr>
        <w:t>）</w:t>
      </w:r>
      <w:r w:rsidRPr="00D230DD">
        <w:rPr>
          <w:rFonts w:ascii="宋体" w:hAnsi="宋体" w:hint="eastAsia"/>
          <w:sz w:val="24"/>
        </w:rPr>
        <w:t>本基金参与股指期货交易，则：</w:t>
      </w:r>
    </w:p>
    <w:p w14:paraId="1E72B3E0" w14:textId="74EF599B" w:rsidR="00D230DD" w:rsidRPr="00D230DD" w:rsidRDefault="00D230DD" w:rsidP="00D230DD">
      <w:pPr>
        <w:autoSpaceDE w:val="0"/>
        <w:autoSpaceDN w:val="0"/>
        <w:adjustRightInd w:val="0"/>
        <w:snapToGrid w:val="0"/>
        <w:spacing w:line="360" w:lineRule="auto"/>
        <w:ind w:firstLineChars="200" w:firstLine="480"/>
        <w:jc w:val="left"/>
        <w:rPr>
          <w:rFonts w:ascii="宋体" w:hAnsi="宋体"/>
          <w:sz w:val="24"/>
        </w:rPr>
      </w:pPr>
      <w:r w:rsidRPr="00D230DD">
        <w:rPr>
          <w:rFonts w:ascii="宋体" w:hAnsi="宋体" w:hint="eastAsia"/>
          <w:sz w:val="24"/>
        </w:rPr>
        <w:t>1）本基金在任何交易日日终，持有的买入股指期货合约价值，不得超过基金资产净值的10%；</w:t>
      </w:r>
    </w:p>
    <w:p w14:paraId="316B4E66" w14:textId="625A9D71" w:rsidR="00D230DD" w:rsidRPr="00D230DD" w:rsidRDefault="00D230DD" w:rsidP="00D230DD">
      <w:pPr>
        <w:autoSpaceDE w:val="0"/>
        <w:autoSpaceDN w:val="0"/>
        <w:adjustRightInd w:val="0"/>
        <w:snapToGrid w:val="0"/>
        <w:spacing w:line="360" w:lineRule="auto"/>
        <w:ind w:firstLineChars="200" w:firstLine="480"/>
        <w:jc w:val="left"/>
        <w:rPr>
          <w:rFonts w:ascii="宋体" w:hAnsi="宋体"/>
          <w:sz w:val="24"/>
        </w:rPr>
      </w:pPr>
      <w:r w:rsidRPr="00D230DD">
        <w:rPr>
          <w:rFonts w:ascii="宋体" w:hAnsi="宋体" w:hint="eastAsia"/>
          <w:sz w:val="24"/>
        </w:rPr>
        <w:t>2）本基金在任何交易日日终，持有的买入股指期货合约价值与有价证券市值之和，不得超过基金资产净值的100%。其中，有价证券指股票、债券（不含到期日在一年以内的政府债券）、资产支持证券、买入返售金融资产（不含质押式回购）等；</w:t>
      </w:r>
    </w:p>
    <w:p w14:paraId="7CAB7777" w14:textId="36E8789D" w:rsidR="00D230DD" w:rsidRPr="00D230DD" w:rsidRDefault="00D230DD" w:rsidP="00D230DD">
      <w:pPr>
        <w:autoSpaceDE w:val="0"/>
        <w:autoSpaceDN w:val="0"/>
        <w:adjustRightInd w:val="0"/>
        <w:snapToGrid w:val="0"/>
        <w:spacing w:line="360" w:lineRule="auto"/>
        <w:ind w:firstLineChars="200" w:firstLine="480"/>
        <w:jc w:val="left"/>
        <w:rPr>
          <w:rFonts w:ascii="宋体" w:hAnsi="宋体"/>
          <w:sz w:val="24"/>
        </w:rPr>
      </w:pPr>
      <w:r w:rsidRPr="00D230DD">
        <w:rPr>
          <w:rFonts w:ascii="宋体" w:hAnsi="宋体" w:hint="eastAsia"/>
          <w:sz w:val="24"/>
        </w:rPr>
        <w:t>3）本基金在任何交易日日终，持有的卖出股指期货合约价值不得超过基金持有的股票总市值的20%；</w:t>
      </w:r>
    </w:p>
    <w:p w14:paraId="59131D52" w14:textId="5389F876" w:rsidR="00D230DD" w:rsidRPr="00D230DD" w:rsidRDefault="00D230DD" w:rsidP="00D230DD">
      <w:pPr>
        <w:autoSpaceDE w:val="0"/>
        <w:autoSpaceDN w:val="0"/>
        <w:adjustRightInd w:val="0"/>
        <w:snapToGrid w:val="0"/>
        <w:spacing w:line="360" w:lineRule="auto"/>
        <w:ind w:firstLineChars="200" w:firstLine="480"/>
        <w:jc w:val="left"/>
        <w:rPr>
          <w:rFonts w:ascii="宋体" w:hAnsi="宋体"/>
          <w:sz w:val="24"/>
        </w:rPr>
      </w:pPr>
      <w:r w:rsidRPr="00D230DD">
        <w:rPr>
          <w:rFonts w:ascii="宋体" w:hAnsi="宋体" w:hint="eastAsia"/>
          <w:sz w:val="24"/>
        </w:rPr>
        <w:t>4）本基金所持有的股票市值和买入、卖出股指期货合约价值，合计（轧差计算）应当符合基金合同关于股票投资比例的有关约定；</w:t>
      </w:r>
    </w:p>
    <w:p w14:paraId="4D58ADD4" w14:textId="632A0F7B" w:rsidR="00D230DD" w:rsidRPr="00D230DD" w:rsidRDefault="00D230DD" w:rsidP="00D230DD">
      <w:pPr>
        <w:autoSpaceDE w:val="0"/>
        <w:autoSpaceDN w:val="0"/>
        <w:adjustRightInd w:val="0"/>
        <w:snapToGrid w:val="0"/>
        <w:spacing w:line="360" w:lineRule="auto"/>
        <w:ind w:firstLineChars="200" w:firstLine="480"/>
        <w:jc w:val="left"/>
        <w:rPr>
          <w:rFonts w:ascii="宋体" w:hAnsi="宋体"/>
          <w:sz w:val="24"/>
        </w:rPr>
      </w:pPr>
      <w:r w:rsidRPr="00D230DD">
        <w:rPr>
          <w:rFonts w:ascii="宋体" w:hAnsi="宋体" w:hint="eastAsia"/>
          <w:sz w:val="24"/>
        </w:rPr>
        <w:t>5）本基金在任何交易日内交易（不包括平仓）的股指期货合约的成交金额不得超过上一交易日基金资产净值的20%；</w:t>
      </w:r>
    </w:p>
    <w:p w14:paraId="5E116C17" w14:textId="313AFA40" w:rsidR="00D230DD" w:rsidRPr="00D230DD" w:rsidRDefault="00D230DD" w:rsidP="00D230DD">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（1</w:t>
      </w:r>
      <w:r>
        <w:rPr>
          <w:rFonts w:ascii="宋体" w:hAnsi="宋体"/>
          <w:sz w:val="24"/>
        </w:rPr>
        <w:t>3</w:t>
      </w:r>
      <w:r>
        <w:rPr>
          <w:rFonts w:ascii="宋体" w:hAnsi="宋体" w:hint="eastAsia"/>
          <w:sz w:val="24"/>
        </w:rPr>
        <w:t>）</w:t>
      </w:r>
      <w:r w:rsidRPr="00D230DD">
        <w:rPr>
          <w:rFonts w:ascii="宋体" w:hAnsi="宋体" w:hint="eastAsia"/>
          <w:sz w:val="24"/>
        </w:rPr>
        <w:t>本基金投资存托凭证的比例限制依照境内上市交易的股票执行；</w:t>
      </w:r>
    </w:p>
    <w:p w14:paraId="5D6C9288" w14:textId="3F5FEE91" w:rsidR="00D230DD" w:rsidRPr="00D230DD" w:rsidRDefault="00D230DD" w:rsidP="00D230DD">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（1</w:t>
      </w:r>
      <w:r>
        <w:rPr>
          <w:rFonts w:ascii="宋体" w:hAnsi="宋体"/>
          <w:sz w:val="24"/>
        </w:rPr>
        <w:t>4</w:t>
      </w:r>
      <w:r>
        <w:rPr>
          <w:rFonts w:ascii="宋体" w:hAnsi="宋体" w:hint="eastAsia"/>
          <w:sz w:val="24"/>
        </w:rPr>
        <w:t>）</w:t>
      </w:r>
      <w:r w:rsidRPr="00D230DD">
        <w:rPr>
          <w:rFonts w:ascii="宋体" w:hAnsi="宋体" w:hint="eastAsia"/>
          <w:sz w:val="24"/>
        </w:rPr>
        <w:t>法律法规及中国证监会规定的和《基金合同》约定的其他投资限制。</w:t>
      </w:r>
    </w:p>
    <w:p w14:paraId="293E65FE" w14:textId="32CAA261" w:rsidR="00D230DD" w:rsidRPr="00D230DD" w:rsidRDefault="00D230DD" w:rsidP="00D230DD">
      <w:pPr>
        <w:autoSpaceDE w:val="0"/>
        <w:autoSpaceDN w:val="0"/>
        <w:adjustRightInd w:val="0"/>
        <w:snapToGrid w:val="0"/>
        <w:spacing w:line="360" w:lineRule="auto"/>
        <w:ind w:firstLineChars="200" w:firstLine="480"/>
        <w:jc w:val="left"/>
        <w:rPr>
          <w:rFonts w:ascii="宋体" w:hAnsi="宋体"/>
          <w:sz w:val="24"/>
        </w:rPr>
      </w:pPr>
      <w:r w:rsidRPr="00D230DD">
        <w:rPr>
          <w:rFonts w:ascii="宋体" w:hAnsi="宋体" w:hint="eastAsia"/>
          <w:sz w:val="24"/>
        </w:rPr>
        <w:t>除上述</w:t>
      </w:r>
      <w:r>
        <w:rPr>
          <w:rFonts w:ascii="宋体" w:hAnsi="宋体" w:hint="eastAsia"/>
          <w:sz w:val="24"/>
        </w:rPr>
        <w:t>（2）</w:t>
      </w:r>
      <w:r w:rsidRPr="00D230DD">
        <w:rPr>
          <w:rFonts w:ascii="宋体" w:hAnsi="宋体" w:hint="eastAsia"/>
          <w:sz w:val="24"/>
        </w:rPr>
        <w:t>、</w:t>
      </w:r>
      <w:r>
        <w:rPr>
          <w:rFonts w:ascii="宋体" w:hAnsi="宋体" w:hint="eastAsia"/>
          <w:sz w:val="24"/>
        </w:rPr>
        <w:t>（</w:t>
      </w:r>
      <w:r w:rsidRPr="00D230DD">
        <w:rPr>
          <w:rFonts w:ascii="宋体" w:hAnsi="宋体" w:hint="eastAsia"/>
          <w:sz w:val="24"/>
        </w:rPr>
        <w:t>7</w:t>
      </w:r>
      <w:r>
        <w:rPr>
          <w:rFonts w:ascii="宋体" w:hAnsi="宋体" w:hint="eastAsia"/>
          <w:sz w:val="24"/>
        </w:rPr>
        <w:t>）</w:t>
      </w:r>
      <w:r w:rsidRPr="00D230DD">
        <w:rPr>
          <w:rFonts w:ascii="宋体" w:hAnsi="宋体" w:hint="eastAsia"/>
          <w:sz w:val="24"/>
        </w:rPr>
        <w:t>、</w:t>
      </w:r>
      <w:r>
        <w:rPr>
          <w:rFonts w:ascii="宋体" w:hAnsi="宋体" w:hint="eastAsia"/>
          <w:sz w:val="24"/>
        </w:rPr>
        <w:t>（</w:t>
      </w:r>
      <w:r w:rsidRPr="00D230DD">
        <w:rPr>
          <w:rFonts w:ascii="宋体" w:hAnsi="宋体" w:hint="eastAsia"/>
          <w:sz w:val="24"/>
        </w:rPr>
        <w:t>9</w:t>
      </w:r>
      <w:r>
        <w:rPr>
          <w:rFonts w:ascii="宋体" w:hAnsi="宋体" w:hint="eastAsia"/>
          <w:sz w:val="24"/>
        </w:rPr>
        <w:t>）</w:t>
      </w:r>
      <w:r w:rsidRPr="00D230DD">
        <w:rPr>
          <w:rFonts w:ascii="宋体" w:hAnsi="宋体" w:hint="eastAsia"/>
          <w:sz w:val="24"/>
        </w:rPr>
        <w:t>、</w:t>
      </w:r>
      <w:r>
        <w:rPr>
          <w:rFonts w:ascii="宋体" w:hAnsi="宋体" w:hint="eastAsia"/>
          <w:sz w:val="24"/>
        </w:rPr>
        <w:t>（1</w:t>
      </w:r>
      <w:r>
        <w:rPr>
          <w:rFonts w:ascii="宋体" w:hAnsi="宋体"/>
          <w:sz w:val="24"/>
        </w:rPr>
        <w:t>0</w:t>
      </w:r>
      <w:r>
        <w:rPr>
          <w:rFonts w:ascii="宋体" w:hAnsi="宋体" w:hint="eastAsia"/>
          <w:sz w:val="24"/>
        </w:rPr>
        <w:t>）</w:t>
      </w:r>
      <w:r w:rsidRPr="00D230DD">
        <w:rPr>
          <w:rFonts w:ascii="宋体" w:hAnsi="宋体" w:hint="eastAsia"/>
          <w:sz w:val="24"/>
        </w:rPr>
        <w:t>项以外，因证券、期货市场波动、证券发行人合并、基金规模变动、标的指数成份股调整、标的指数成份股流动性限制等基金管理人之外的因素致使基金投资比例不符合上述规定投资比例的，基金管理人应当在10个交易日内进行调整，但中国证监会规定的特殊情形除外。法律法规另有规定的，从其规定。</w:t>
      </w:r>
    </w:p>
    <w:p w14:paraId="59DB7B0B" w14:textId="77777777" w:rsidR="00D230DD" w:rsidRPr="00D230DD" w:rsidRDefault="00D230DD" w:rsidP="00D230DD">
      <w:pPr>
        <w:autoSpaceDE w:val="0"/>
        <w:autoSpaceDN w:val="0"/>
        <w:adjustRightInd w:val="0"/>
        <w:snapToGrid w:val="0"/>
        <w:spacing w:line="360" w:lineRule="auto"/>
        <w:ind w:firstLineChars="200" w:firstLine="480"/>
        <w:jc w:val="left"/>
        <w:rPr>
          <w:rFonts w:ascii="宋体" w:hAnsi="宋体"/>
          <w:sz w:val="24"/>
        </w:rPr>
      </w:pPr>
      <w:r w:rsidRPr="00D230DD">
        <w:rPr>
          <w:rFonts w:ascii="宋体" w:hAnsi="宋体" w:hint="eastAsia"/>
          <w:sz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14:paraId="540C308F" w14:textId="77777777" w:rsidR="00D230DD" w:rsidRPr="00D230DD" w:rsidRDefault="00D230DD" w:rsidP="00D230DD">
      <w:pPr>
        <w:autoSpaceDE w:val="0"/>
        <w:autoSpaceDN w:val="0"/>
        <w:adjustRightInd w:val="0"/>
        <w:snapToGrid w:val="0"/>
        <w:spacing w:line="360" w:lineRule="auto"/>
        <w:ind w:firstLineChars="200" w:firstLine="480"/>
        <w:jc w:val="left"/>
        <w:rPr>
          <w:rFonts w:ascii="宋体" w:hAnsi="宋体"/>
          <w:sz w:val="24"/>
        </w:rPr>
      </w:pPr>
      <w:r w:rsidRPr="00D230DD">
        <w:rPr>
          <w:rFonts w:ascii="宋体" w:hAnsi="宋体" w:hint="eastAsia"/>
          <w:sz w:val="24"/>
        </w:rPr>
        <w:t>法律法规或监管部门取消或变更上述限制，如适用于本基金，基金管理人在履行适当程序后，则本基金投资不再受相关限制或以变更后的规定为准。</w:t>
      </w:r>
    </w:p>
    <w:p w14:paraId="72AFB670" w14:textId="44B1E0EC" w:rsidR="00D230DD" w:rsidRPr="00D230DD" w:rsidRDefault="002648D5" w:rsidP="00D230DD">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3、</w:t>
      </w:r>
      <w:r w:rsidR="00D230DD" w:rsidRPr="00D230DD">
        <w:rPr>
          <w:rFonts w:ascii="宋体" w:hAnsi="宋体" w:hint="eastAsia"/>
          <w:sz w:val="24"/>
        </w:rPr>
        <w:t>基金托管人根据有关法律法规的规定及基金合同的约定，对本协议第十五条第（十一）项基金投资禁止行为进行监督。</w:t>
      </w:r>
    </w:p>
    <w:p w14:paraId="59F6D462" w14:textId="77777777" w:rsidR="00D230DD" w:rsidRPr="00D230DD" w:rsidRDefault="00D230DD" w:rsidP="00D230DD">
      <w:pPr>
        <w:autoSpaceDE w:val="0"/>
        <w:autoSpaceDN w:val="0"/>
        <w:adjustRightInd w:val="0"/>
        <w:snapToGrid w:val="0"/>
        <w:spacing w:line="360" w:lineRule="auto"/>
        <w:ind w:firstLineChars="200" w:firstLine="480"/>
        <w:jc w:val="left"/>
        <w:rPr>
          <w:rFonts w:ascii="宋体" w:hAnsi="宋体"/>
          <w:sz w:val="24"/>
        </w:rPr>
      </w:pPr>
      <w:r w:rsidRPr="00D230DD">
        <w:rPr>
          <w:rFonts w:ascii="宋体" w:hAnsi="宋体" w:hint="eastAsia"/>
          <w:sz w:val="24"/>
        </w:rPr>
        <w:lastRenderedPageBreak/>
        <w:t>根据法律法规有关基金从事的关联交易的规定，基金管理人和基金托管人应事先相互提供与本机构有控股关系的股东或与本机构有其他重大利害关系的公司名单及其更新，并以双方约定的方式提交，确保所提供的关联交易名单的真实性、完整性、全面性。基金管理人有责任保管真实、完整、全面的关联交易名单，并负责及时更新该名单。名单变更后基金管理人应及时发送基金托管人，基金托管人应及时确认已知名单的变更。如果基金托管人在运作中严格遵循了监督流程，基金管理人仍违规进行关联交易，并造成基金资产损失的，由基金管理人承担责任，基金托管人有权向中国证监会报告。</w:t>
      </w:r>
    </w:p>
    <w:p w14:paraId="6D3E8A71" w14:textId="77777777" w:rsidR="00D230DD" w:rsidRPr="00D230DD" w:rsidRDefault="00D230DD" w:rsidP="00D230DD">
      <w:pPr>
        <w:autoSpaceDE w:val="0"/>
        <w:autoSpaceDN w:val="0"/>
        <w:adjustRightInd w:val="0"/>
        <w:snapToGrid w:val="0"/>
        <w:spacing w:line="360" w:lineRule="auto"/>
        <w:ind w:firstLineChars="200" w:firstLine="480"/>
        <w:jc w:val="left"/>
        <w:rPr>
          <w:rFonts w:ascii="宋体" w:hAnsi="宋体"/>
          <w:sz w:val="24"/>
        </w:rPr>
      </w:pPr>
      <w:r w:rsidRPr="00D230DD">
        <w:rPr>
          <w:rFonts w:ascii="宋体" w:hAnsi="宋体" w:hint="eastAsia"/>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1351FEE6" w14:textId="2320550D" w:rsidR="00D230DD" w:rsidRPr="00D230DD" w:rsidRDefault="002648D5" w:rsidP="00D230DD">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4、</w:t>
      </w:r>
      <w:r w:rsidR="00D230DD" w:rsidRPr="00D230DD">
        <w:rPr>
          <w:rFonts w:ascii="宋体" w:hAnsi="宋体" w:hint="eastAsia"/>
          <w:sz w:val="24"/>
        </w:rPr>
        <w:t>基金托管人根据有关法律法规的规定及基金合同的约定，对基金管理人参与银行间债券市场进行监督。基金管理人应在基金投资运作之前向基金托管人提供经慎重选择的、本基金适用的银行间债券市场交易对手名单。基金托管人监督基金管理人是否按事前提供的银行间债券市场交易对手名单进行交易。基金管理人可以对银行间债券市场交易对手名单进行更新，如基金管理人根据市场情况需要临时调整银行间债券市场交易对手名单，应向基金托管人说明理由，在与交易对手发生交易前与基金托管人协商解决。基金管理人与基金托管人完成确认后，被确认调整的名单开始生效，新名单生效前已与本次剔除的交易对手所进行但尚未结算的交易，仍应按照协议进行结算。基金管理人负责对交易对手的资信控制，按银行间债券市场的交易规则进行交易，基金托管人则根据银行间债券市场成交单对合同履行情况进行监督，但不承担交易对手不履行合同造成的损失。如基金托管人事后发现基金管理人没有按照事先约定的交易对手进行交易时，基金托管人应及时提醒基金管理人，基金托管人不承担由此造成的相应损失和责任。</w:t>
      </w:r>
    </w:p>
    <w:p w14:paraId="4BAC7C1F" w14:textId="3217A8FE" w:rsidR="00D230DD" w:rsidRPr="00D230DD" w:rsidRDefault="002648D5" w:rsidP="00D230DD">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5、</w:t>
      </w:r>
      <w:r w:rsidR="00D230DD" w:rsidRPr="00D230DD">
        <w:rPr>
          <w:rFonts w:ascii="宋体" w:hAnsi="宋体" w:hint="eastAsia"/>
          <w:sz w:val="24"/>
        </w:rPr>
        <w:t>基金托管人根据有关法律法规的规定及基金合同的约定，对基金管理人投资银行存款进行监督。</w:t>
      </w:r>
    </w:p>
    <w:p w14:paraId="33227E70" w14:textId="77777777" w:rsidR="00D230DD" w:rsidRPr="00D230DD" w:rsidRDefault="00D230DD" w:rsidP="00D230DD">
      <w:pPr>
        <w:autoSpaceDE w:val="0"/>
        <w:autoSpaceDN w:val="0"/>
        <w:adjustRightInd w:val="0"/>
        <w:snapToGrid w:val="0"/>
        <w:spacing w:line="360" w:lineRule="auto"/>
        <w:ind w:firstLineChars="200" w:firstLine="480"/>
        <w:jc w:val="left"/>
        <w:rPr>
          <w:rFonts w:ascii="宋体" w:hAnsi="宋体"/>
          <w:sz w:val="24"/>
        </w:rPr>
      </w:pPr>
      <w:r w:rsidRPr="00D230DD">
        <w:rPr>
          <w:rFonts w:ascii="宋体" w:hAnsi="宋体" w:hint="eastAsia"/>
          <w:sz w:val="24"/>
        </w:rPr>
        <w:lastRenderedPageBreak/>
        <w:t>基金投资银行存款的，基金管理人应根据法律法规的规定及基金合同的约定，建立投资制度、审慎选择存款银行，做好风险控制；并按照基金托管人的要求配合基金托管人完成相关业务办理。</w:t>
      </w:r>
    </w:p>
    <w:p w14:paraId="4D596BF9" w14:textId="22028B0B" w:rsidR="00D230DD" w:rsidRPr="00D230DD" w:rsidRDefault="002648D5" w:rsidP="00D230DD">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6、</w:t>
      </w:r>
      <w:r w:rsidR="00D230DD" w:rsidRPr="00D230DD">
        <w:rPr>
          <w:rFonts w:ascii="宋体" w:hAnsi="宋体" w:hint="eastAsia"/>
          <w:sz w:val="24"/>
        </w:rPr>
        <w:t>基金托管人根据有关法律法规的规定及基金合同的约定，对基金资产净值计算、各类基金份额的基金份额净值计算、应收资金到账、基金费用开支及收入确定、基金收益分配、相关信息披露、基金宣传推介材料中登载基金业绩表现数据等进行监督和核查。</w:t>
      </w:r>
    </w:p>
    <w:p w14:paraId="7A900EC3" w14:textId="77777777" w:rsidR="00D230DD" w:rsidRPr="00D230DD" w:rsidRDefault="00D230DD" w:rsidP="00D230DD">
      <w:pPr>
        <w:autoSpaceDE w:val="0"/>
        <w:autoSpaceDN w:val="0"/>
        <w:adjustRightInd w:val="0"/>
        <w:snapToGrid w:val="0"/>
        <w:spacing w:line="360" w:lineRule="auto"/>
        <w:ind w:firstLineChars="200" w:firstLine="480"/>
        <w:jc w:val="left"/>
        <w:rPr>
          <w:rFonts w:ascii="宋体" w:hAnsi="宋体"/>
          <w:sz w:val="24"/>
        </w:rPr>
      </w:pPr>
      <w:r w:rsidRPr="00D230DD">
        <w:rPr>
          <w:rFonts w:ascii="宋体" w:hAnsi="宋体" w:hint="eastAsia"/>
          <w:sz w:val="24"/>
        </w:rPr>
        <w:t>如果基金管理人未经基金托管人的审核擅自将不实的业绩表现数据印制在宣传推介材料上，则基金托管人对此不承担相应责任，并将在发现后立即报告中国证监会。</w:t>
      </w:r>
    </w:p>
    <w:p w14:paraId="039350D8" w14:textId="7F6E90EF" w:rsidR="00D230DD" w:rsidRPr="00D230DD" w:rsidRDefault="002648D5" w:rsidP="00D230DD">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7、</w:t>
      </w:r>
      <w:r w:rsidR="00D230DD" w:rsidRPr="00D230DD">
        <w:rPr>
          <w:rFonts w:ascii="宋体" w:hAnsi="宋体" w:hint="eastAsia"/>
          <w:sz w:val="24"/>
        </w:rPr>
        <w:t>基金托管人根据有关法律法规的规定及基金合同的约定，对基金投资流通受限证券进行监督。</w:t>
      </w:r>
    </w:p>
    <w:p w14:paraId="459127A4" w14:textId="0B90DC9B" w:rsidR="00D230DD" w:rsidRPr="00D230DD" w:rsidRDefault="00397B4B" w:rsidP="00D230DD">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（1）</w:t>
      </w:r>
      <w:r w:rsidR="00D230DD" w:rsidRPr="00D230DD">
        <w:rPr>
          <w:rFonts w:ascii="宋体" w:hAnsi="宋体" w:hint="eastAsia"/>
          <w:sz w:val="24"/>
        </w:rPr>
        <w:t>基金投资流通受限证券，应遵守《关于基金投资非公开发行股票等流通受限证券有关问题的通知》等有关法律法规规定。</w:t>
      </w:r>
    </w:p>
    <w:p w14:paraId="6CAA88C1" w14:textId="1091D34B" w:rsidR="00D230DD" w:rsidRPr="00D230DD" w:rsidRDefault="00397B4B" w:rsidP="00D230DD">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w:t>
      </w:r>
      <w:r w:rsidR="00D230DD" w:rsidRPr="00D230DD">
        <w:rPr>
          <w:rFonts w:ascii="宋体" w:hAnsi="宋体" w:hint="eastAsia"/>
          <w:sz w:val="24"/>
        </w:rPr>
        <w:t>流通受限证券，包括由《上市公司证券发行注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w:t>
      </w:r>
    </w:p>
    <w:p w14:paraId="654D4D92" w14:textId="02798A8E" w:rsidR="00D230DD" w:rsidRPr="00D230DD" w:rsidRDefault="00397B4B" w:rsidP="00D230DD">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（3）</w:t>
      </w:r>
      <w:r w:rsidR="00D230DD" w:rsidRPr="00D230DD">
        <w:rPr>
          <w:rFonts w:ascii="宋体" w:hAnsi="宋体" w:hint="eastAsia"/>
          <w:sz w:val="24"/>
        </w:rPr>
        <w:t>在首次投资流通受限证券之前，基金管理人应当制定相关投资决策流程、风险控制制度、流动性风险控制预案等规章制度。基金管理人应当根据基金流动性的需要合理安排流通受限证券的投资比例，并在风险控制制度中明确具体比例，避免基金出现流动性风险。上述规章制度须经基金管理人董事会批准。上述规章制度经董事会通过之后，基金管理人应当将上述规章制度以及董事会批准上述规章制度的决议提交给基金托管人。</w:t>
      </w:r>
    </w:p>
    <w:p w14:paraId="61A5C4CF" w14:textId="1BA67C15" w:rsidR="00D230DD" w:rsidRPr="00D230DD" w:rsidRDefault="00397B4B" w:rsidP="00D230DD">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（4）</w:t>
      </w:r>
      <w:r w:rsidR="00D230DD" w:rsidRPr="00D230DD">
        <w:rPr>
          <w:rFonts w:ascii="宋体" w:hAnsi="宋体" w:hint="eastAsia"/>
          <w:sz w:val="24"/>
        </w:rPr>
        <w:t>在投资流通受限证券之前，基金管理人应至少提前一个交易日向基金托管人提供有关流通受限证券的相关信息，具体应当包括但不限于如下文件（如有）：</w:t>
      </w:r>
    </w:p>
    <w:p w14:paraId="2F7C332F" w14:textId="77777777" w:rsidR="00D230DD" w:rsidRPr="00D230DD" w:rsidRDefault="00D230DD" w:rsidP="00D230DD">
      <w:pPr>
        <w:autoSpaceDE w:val="0"/>
        <w:autoSpaceDN w:val="0"/>
        <w:adjustRightInd w:val="0"/>
        <w:snapToGrid w:val="0"/>
        <w:spacing w:line="360" w:lineRule="auto"/>
        <w:ind w:firstLineChars="200" w:firstLine="480"/>
        <w:jc w:val="left"/>
        <w:rPr>
          <w:rFonts w:ascii="宋体" w:hAnsi="宋体"/>
          <w:sz w:val="24"/>
        </w:rPr>
      </w:pPr>
      <w:r w:rsidRPr="00D230DD">
        <w:rPr>
          <w:rFonts w:ascii="宋体" w:hAnsi="宋体" w:hint="eastAsia"/>
          <w:sz w:val="24"/>
        </w:rPr>
        <w:t>拟发行数量、定价依据、监管机构的批准证明文件复印件、基金管理人与承销商签订的销售协议复印件、缴款通知书、基金拟认购的数量、价格、总成本、划款账号、划款金额、划款时间文件等。基金管理人应保证上述信息的真实、完整。</w:t>
      </w:r>
    </w:p>
    <w:p w14:paraId="4AC460D3" w14:textId="4EC5D357" w:rsidR="00D230DD" w:rsidRPr="00D230DD" w:rsidRDefault="00397B4B" w:rsidP="00D230DD">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lastRenderedPageBreak/>
        <w:t>（5）</w:t>
      </w:r>
      <w:r w:rsidR="00D230DD" w:rsidRPr="00D230DD">
        <w:rPr>
          <w:rFonts w:ascii="宋体" w:hAnsi="宋体" w:hint="eastAsia"/>
          <w:sz w:val="24"/>
        </w:rPr>
        <w:t>基金托管人在监督基金管理人投资流通受限证券的过程中，如认为因市场出现剧烈变化导致基金管理人的具体投资行为可能对基金财产造成较大风险，基金托管人有权要求基金管理人对该风险的消除或防范措施进行补充和整改，并做出书面说明。否则，基金托管人经事先书面告知基金管理人，有权拒绝执行其有关指令。因拒绝执行该指令造成基金财产损失的，基金托管人不承担相应责任，并有权报告中国证监会。</w:t>
      </w:r>
    </w:p>
    <w:p w14:paraId="6AC354D1" w14:textId="117D3C24" w:rsidR="00D230DD" w:rsidRPr="00D230DD" w:rsidRDefault="00397B4B" w:rsidP="00D230DD">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（6）</w:t>
      </w:r>
      <w:r w:rsidR="00D230DD" w:rsidRPr="00D230DD">
        <w:rPr>
          <w:rFonts w:ascii="宋体" w:hAnsi="宋体" w:hint="eastAsia"/>
          <w:sz w:val="24"/>
        </w:rPr>
        <w:t>基金管理人应保证基金投资的流通受限证券登记存管在本基金名下，并保证基金托管人能够正常查询。因基金管理人原因产生的流通受限证券登记存管问题，造成基金财产的损失或基金托管人无法安全保管基金财产的责任与损失，由基金管理人承担。</w:t>
      </w:r>
    </w:p>
    <w:p w14:paraId="6299D1C8" w14:textId="74B29FF6" w:rsidR="00D230DD" w:rsidRPr="00D230DD" w:rsidRDefault="00397B4B" w:rsidP="00D230DD">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（7）</w:t>
      </w:r>
      <w:r w:rsidR="00D230DD" w:rsidRPr="00D230DD">
        <w:rPr>
          <w:rFonts w:ascii="宋体" w:hAnsi="宋体" w:hint="eastAsia"/>
          <w:sz w:val="24"/>
        </w:rPr>
        <w:t>如果基金管理人未按照本协议的约定向基金托管人报送相关数据或者报送了虚假的数据，导致基金托管人不能履行托管人职责的，基金管理人应依法承担相应法律后果。除基金托管人未能依据法律法规、基金合同及本协议履行职责外，因投资流通受限证券产生的损失，基金托管人按照本协议履行监督职责后不承担上述损失。</w:t>
      </w:r>
    </w:p>
    <w:p w14:paraId="4211C929" w14:textId="4942C7E5" w:rsidR="00D230DD" w:rsidRPr="00D230DD" w:rsidRDefault="00397B4B" w:rsidP="00D230DD">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8、</w:t>
      </w:r>
      <w:r w:rsidR="00D230DD" w:rsidRPr="00D230DD">
        <w:rPr>
          <w:rFonts w:ascii="宋体" w:hAnsi="宋体" w:hint="eastAsia"/>
          <w:sz w:val="24"/>
        </w:rPr>
        <w:t>基金托管人发现基金管理人的上述事项及投资指令或实际投资运作中违反法律法规和基金合同的规定，应及时以书面形式通知基金管理人限期纠正。基金管理人应积极配合和协助基金托管人的监督和核查。基金管理人收到通知后应在下一工作日及时核对并以书面形式给基金托管人发出回函，就基金托管人的合理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基金托管人发现基金管理人依据交易程序已经生效的投资指令违反法律、行政法规和其他有关规定，或者违反基金合同约定的，应当立即通知基金管理人，并报告中国证监会。</w:t>
      </w:r>
    </w:p>
    <w:p w14:paraId="3F5F0C20" w14:textId="73F7CFF9" w:rsidR="00D230DD" w:rsidRPr="00D230DD" w:rsidRDefault="00397B4B" w:rsidP="00D230DD">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9、</w:t>
      </w:r>
      <w:r w:rsidR="00D230DD" w:rsidRPr="00D230DD">
        <w:rPr>
          <w:rFonts w:ascii="宋体" w:hAnsi="宋体" w:hint="eastAsia"/>
          <w:sz w:val="24"/>
        </w:rPr>
        <w:t>基金管理人有义务配合和协助基金托管人依照法律法规、基金合同和本托管协议对基金业务执行核查。对基金托管人发出的书面提示，基金管理人应在规定时间内答复并改正，或就基金托管人的合理疑义进行解释或举证；对基金托管人按照法规要求需向中国证监会报送基金监督报告的事项，基金管理人应积极配合提供相关数据资料和制度等。</w:t>
      </w:r>
    </w:p>
    <w:p w14:paraId="001F6841" w14:textId="7FF3B092" w:rsidR="00FD086C" w:rsidRDefault="00397B4B" w:rsidP="00397B4B">
      <w:pPr>
        <w:autoSpaceDE w:val="0"/>
        <w:autoSpaceDN w:val="0"/>
        <w:adjustRightInd w:val="0"/>
        <w:snapToGrid w:val="0"/>
        <w:spacing w:line="360" w:lineRule="auto"/>
        <w:ind w:firstLineChars="200" w:firstLine="480"/>
        <w:jc w:val="left"/>
        <w:rPr>
          <w:rFonts w:ascii="宋体" w:hAnsi="宋体"/>
          <w:szCs w:val="24"/>
        </w:rPr>
      </w:pPr>
      <w:r>
        <w:rPr>
          <w:rFonts w:ascii="宋体" w:hAnsi="宋体" w:hint="eastAsia"/>
          <w:sz w:val="24"/>
        </w:rPr>
        <w:lastRenderedPageBreak/>
        <w:t>1</w:t>
      </w:r>
      <w:r>
        <w:rPr>
          <w:rFonts w:ascii="宋体" w:hAnsi="宋体"/>
          <w:sz w:val="24"/>
        </w:rPr>
        <w:t>0</w:t>
      </w:r>
      <w:r>
        <w:rPr>
          <w:rFonts w:ascii="宋体" w:hAnsi="宋体" w:hint="eastAsia"/>
          <w:sz w:val="24"/>
        </w:rPr>
        <w:t>、</w:t>
      </w:r>
      <w:r w:rsidR="00D230DD" w:rsidRPr="00D230DD">
        <w:rPr>
          <w:rFonts w:ascii="宋体" w:hAnsi="宋体" w:hint="eastAsia"/>
          <w:sz w:val="24"/>
        </w:rPr>
        <w:t>基金托管人发现基金管理人有重大违规行为，应及时报告中国证监会，同时通知基金管理人限期纠正，并将纠正结果报告中国证监会。基金管理人无正当理由，拒绝、阻挠对方根据本协议规定行使监督权，或采取拖延、欺诈等手段妨碍对方进行有效监督，情节严重或经基金托管人提出警告仍不改正的，基金托管人应报告中国证监会。</w:t>
      </w:r>
    </w:p>
    <w:p w14:paraId="4FEF41B5" w14:textId="77777777" w:rsidR="00FD086C" w:rsidRPr="00040D5C" w:rsidRDefault="004B071E">
      <w:pPr>
        <w:autoSpaceDE w:val="0"/>
        <w:autoSpaceDN w:val="0"/>
        <w:adjustRightInd w:val="0"/>
        <w:snapToGrid w:val="0"/>
        <w:spacing w:line="360" w:lineRule="auto"/>
        <w:ind w:firstLineChars="200" w:firstLine="482"/>
        <w:jc w:val="left"/>
        <w:rPr>
          <w:rFonts w:ascii="宋体" w:hAnsi="宋体"/>
          <w:b/>
          <w:szCs w:val="24"/>
        </w:rPr>
      </w:pPr>
      <w:r w:rsidRPr="00040D5C">
        <w:rPr>
          <w:rFonts w:ascii="宋体" w:hAnsi="宋体"/>
          <w:b/>
          <w:sz w:val="24"/>
        </w:rPr>
        <w:t>（三）基金管理人对基金托管人的业务核查</w:t>
      </w:r>
    </w:p>
    <w:p w14:paraId="1B9408F9" w14:textId="23925173" w:rsidR="00397B4B" w:rsidRPr="00397B4B" w:rsidRDefault="004B071E" w:rsidP="00397B4B">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1、</w:t>
      </w:r>
      <w:r w:rsidR="00397B4B" w:rsidRPr="00397B4B">
        <w:rPr>
          <w:rFonts w:ascii="宋体" w:hAnsi="宋体" w:hint="eastAsia"/>
          <w:sz w:val="24"/>
        </w:rPr>
        <w:t>基金管理人对基金托管人履行托管职责情况进行核查，核查事项包括基金托管人安全保管基金财产、开设基金财产的资金账户、证券账户等投资所需账户、复核基金管理人计算的基金资产净值和各类基金份额的基金份额净值、根据基金管理人指令办理清算交收、相关信息披露和监督基金投资运作等行为。</w:t>
      </w:r>
    </w:p>
    <w:p w14:paraId="1928F12E" w14:textId="3E18B581" w:rsidR="00397B4B" w:rsidRPr="00397B4B" w:rsidRDefault="00397B4B" w:rsidP="00397B4B">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2、</w:t>
      </w:r>
      <w:r w:rsidRPr="00397B4B">
        <w:rPr>
          <w:rFonts w:ascii="宋体" w:hAnsi="宋体" w:hint="eastAsia"/>
          <w:sz w:val="24"/>
        </w:rPr>
        <w:t>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在下一工作日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24D9A01B" w14:textId="78DE2075" w:rsidR="00397B4B" w:rsidRDefault="00397B4B" w:rsidP="00397B4B">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3、</w:t>
      </w:r>
      <w:r w:rsidRPr="00397B4B">
        <w:rPr>
          <w:rFonts w:ascii="宋体" w:hAnsi="宋体" w:hint="eastAsia"/>
          <w:sz w:val="24"/>
        </w:rPr>
        <w:t>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2F8EE879" w14:textId="77777777" w:rsidR="00FD086C" w:rsidRPr="00040D5C" w:rsidRDefault="004B071E" w:rsidP="00397B4B">
      <w:pPr>
        <w:autoSpaceDE w:val="0"/>
        <w:autoSpaceDN w:val="0"/>
        <w:adjustRightInd w:val="0"/>
        <w:snapToGrid w:val="0"/>
        <w:spacing w:line="360" w:lineRule="auto"/>
        <w:ind w:firstLineChars="200" w:firstLine="482"/>
        <w:jc w:val="left"/>
        <w:rPr>
          <w:rFonts w:ascii="宋体" w:hAnsi="宋体"/>
          <w:b/>
          <w:szCs w:val="24"/>
        </w:rPr>
      </w:pPr>
      <w:r w:rsidRPr="00040D5C">
        <w:rPr>
          <w:rFonts w:ascii="宋体" w:hAnsi="宋体"/>
          <w:b/>
          <w:sz w:val="24"/>
        </w:rPr>
        <w:t>（四）基金财产的保管</w:t>
      </w:r>
    </w:p>
    <w:p w14:paraId="1879241B"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1、基金财产保管的原则</w:t>
      </w:r>
    </w:p>
    <w:p w14:paraId="459095C8" w14:textId="4B9C444D" w:rsidR="00195D71" w:rsidRPr="00195D71" w:rsidRDefault="00195D71" w:rsidP="00195D71">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（1）</w:t>
      </w:r>
      <w:r w:rsidRPr="00195D71">
        <w:rPr>
          <w:rFonts w:ascii="宋体" w:hAnsi="宋体" w:hint="eastAsia"/>
          <w:sz w:val="24"/>
        </w:rPr>
        <w:t>基金财产应独立于基金管理人、基金托管人、证券经纪机构的固有财产。</w:t>
      </w:r>
    </w:p>
    <w:p w14:paraId="56CEF824" w14:textId="5E296580" w:rsidR="00195D71" w:rsidRPr="00195D71" w:rsidRDefault="00195D71" w:rsidP="00195D71">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（2）</w:t>
      </w:r>
      <w:r w:rsidRPr="00195D71">
        <w:rPr>
          <w:rFonts w:ascii="宋体" w:hAnsi="宋体" w:hint="eastAsia"/>
          <w:sz w:val="24"/>
        </w:rPr>
        <w:t>基金托管人应安全保管基金财产。未经基金管理人依据合法程序作出的合法合规指令，基金托管人不得自行运用、处分、分配基金的任何财产。</w:t>
      </w:r>
    </w:p>
    <w:p w14:paraId="5D1258CA" w14:textId="54BD2311" w:rsidR="00195D71" w:rsidRPr="00195D71" w:rsidRDefault="00195D71" w:rsidP="00195D71">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lastRenderedPageBreak/>
        <w:t>（3）</w:t>
      </w:r>
      <w:r w:rsidRPr="00195D71">
        <w:rPr>
          <w:rFonts w:ascii="宋体" w:hAnsi="宋体" w:hint="eastAsia"/>
          <w:sz w:val="24"/>
        </w:rPr>
        <w:t>基金托管人按照规定开设基金财产的资金账户、证券账户等投资所需账户。</w:t>
      </w:r>
    </w:p>
    <w:p w14:paraId="23E523D0" w14:textId="10B43F03" w:rsidR="00195D71" w:rsidRPr="00195D71" w:rsidRDefault="00195D71" w:rsidP="00195D71">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（4）</w:t>
      </w:r>
      <w:r w:rsidRPr="00195D71">
        <w:rPr>
          <w:rFonts w:ascii="宋体" w:hAnsi="宋体" w:hint="eastAsia"/>
          <w:sz w:val="24"/>
        </w:rPr>
        <w:t>基金托管人对所托管的不同基金财产分别设置账户，与基金托管人的其他业务和其他基金的托管业务实行严格的分账管理，确保基金财产的完整与独立。</w:t>
      </w:r>
    </w:p>
    <w:p w14:paraId="289BA1A7" w14:textId="78980478" w:rsidR="00195D71" w:rsidRPr="00195D71" w:rsidRDefault="00195D71" w:rsidP="00195D71">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（5）</w:t>
      </w:r>
      <w:r w:rsidRPr="00195D71">
        <w:rPr>
          <w:rFonts w:ascii="宋体" w:hAnsi="宋体" w:hint="eastAsia"/>
          <w:sz w:val="24"/>
        </w:rPr>
        <w:t>基金托管人根据基金管理人的指令，按照基金合同和本协议的约定保管基金财产，如有特殊情况双方可另行协商解决。</w:t>
      </w:r>
    </w:p>
    <w:p w14:paraId="75955B42" w14:textId="5000285A" w:rsidR="00195D71" w:rsidRPr="00195D71" w:rsidRDefault="00195D71" w:rsidP="00195D71">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（6）</w:t>
      </w:r>
      <w:r w:rsidRPr="00195D71">
        <w:rPr>
          <w:rFonts w:ascii="宋体" w:hAnsi="宋体" w:hint="eastAsia"/>
          <w:sz w:val="24"/>
        </w:rPr>
        <w:t>对于因为基金申购、投资产生的应收资产，应由基金管理人负责与有关当事人确定到账日期并通知基金托管人，到账日基金财产没有到达基金账户的，基金托管人应及时通知基金管理人采取措施进行催收。由此给基金财产造成损失的，基金托管人对此不承担相应责任。</w:t>
      </w:r>
    </w:p>
    <w:p w14:paraId="0189DBE3" w14:textId="3A18C8AC" w:rsidR="00195D71" w:rsidRDefault="00195D71">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（7）</w:t>
      </w:r>
      <w:r w:rsidRPr="00195D71">
        <w:rPr>
          <w:rFonts w:ascii="宋体" w:hAnsi="宋体" w:hint="eastAsia"/>
          <w:sz w:val="24"/>
        </w:rPr>
        <w:t>除依据法律法规和基金合同的规定外，基金托管人不得委托第三人托管基金财产。</w:t>
      </w:r>
    </w:p>
    <w:p w14:paraId="5558D58C"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2、基金募集期间及募集资金的验资</w:t>
      </w:r>
    </w:p>
    <w:p w14:paraId="618927F8" w14:textId="28E6D805" w:rsidR="00195D71" w:rsidRPr="00195D71" w:rsidRDefault="004B071E" w:rsidP="00195D71">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（1）</w:t>
      </w:r>
      <w:r w:rsidR="00195D71" w:rsidRPr="00195D71">
        <w:rPr>
          <w:rFonts w:ascii="宋体" w:hAnsi="宋体" w:hint="eastAsia"/>
          <w:sz w:val="24"/>
        </w:rPr>
        <w:t>基金募集期间的认购款项应存于专用账户。该账户由基金管理人或基金管理人委托的登记机构开立并管理。</w:t>
      </w:r>
    </w:p>
    <w:p w14:paraId="65CF44E3" w14:textId="7DC009B0" w:rsidR="00195D71" w:rsidRPr="00195D71" w:rsidRDefault="00195D71" w:rsidP="00195D71">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w:t>
      </w:r>
      <w:r w:rsidRPr="00195D71">
        <w:rPr>
          <w:rFonts w:ascii="宋体" w:hAnsi="宋体" w:hint="eastAsia"/>
          <w:sz w:val="24"/>
        </w:rPr>
        <w:t>2</w:t>
      </w:r>
      <w:r>
        <w:rPr>
          <w:rFonts w:ascii="宋体" w:hAnsi="宋体" w:hint="eastAsia"/>
          <w:sz w:val="24"/>
        </w:rPr>
        <w:t>）</w:t>
      </w:r>
      <w:r w:rsidRPr="00195D71">
        <w:rPr>
          <w:rFonts w:ascii="宋体" w:hAnsi="宋体" w:hint="eastAsia"/>
          <w:sz w:val="24"/>
        </w:rPr>
        <w:t>基金募集期满或基金停止募集时，募集的基金份额总额、基金募集金额、基金份额持有人人数符合《基金法》、《运作办法》等有关规定后，基金管理人应将募集到的属于基金财产的全部资金划入基金托管人为本基金开立的基金托管资金账户，同时在规定时间内，聘请符合《中华人民共和国证券法》规定的会计师事务所进行验资，出具验资报告。出具的验资报告由参加验资的2名或2名以上中国注册会计师签字方为有效。</w:t>
      </w:r>
    </w:p>
    <w:p w14:paraId="45F07F2C" w14:textId="77777777" w:rsidR="00195D71" w:rsidRDefault="00195D71" w:rsidP="00195D71">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（3）</w:t>
      </w:r>
      <w:r w:rsidRPr="00195D71">
        <w:rPr>
          <w:rFonts w:ascii="宋体" w:hAnsi="宋体" w:hint="eastAsia"/>
          <w:sz w:val="24"/>
        </w:rPr>
        <w:t>若基金募集期限届满，未能达到基金备案的条件，由基金管理人按规定办理退款等事宜，基金托管人应提供充分协助。</w:t>
      </w:r>
    </w:p>
    <w:p w14:paraId="434A72CA" w14:textId="680F09FB" w:rsidR="00FD086C" w:rsidRDefault="004B071E" w:rsidP="00195D7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w:t>
      </w:r>
      <w:r w:rsidR="00195D71">
        <w:rPr>
          <w:rFonts w:ascii="宋体" w:hAnsi="宋体" w:hint="eastAsia"/>
          <w:sz w:val="24"/>
        </w:rPr>
        <w:t>托管</w:t>
      </w:r>
      <w:r>
        <w:rPr>
          <w:rFonts w:ascii="宋体" w:hAnsi="宋体"/>
          <w:sz w:val="24"/>
        </w:rPr>
        <w:t>资金账户的开立和管理</w:t>
      </w:r>
    </w:p>
    <w:p w14:paraId="2B3E9B6A" w14:textId="244E78C1" w:rsidR="00BE7539" w:rsidRPr="00BE7539" w:rsidRDefault="00BE7539" w:rsidP="00BE7539">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w:t>
      </w:r>
      <w:r w:rsidRPr="00BE7539">
        <w:rPr>
          <w:rFonts w:ascii="宋体" w:hAnsi="宋体" w:hint="eastAsia"/>
          <w:sz w:val="24"/>
        </w:rPr>
        <w:t>基金托管人应负责本基金的基金托管资金账户的开设和管理。</w:t>
      </w:r>
    </w:p>
    <w:p w14:paraId="1BDCF120" w14:textId="59C14FB4" w:rsidR="00BE7539" w:rsidRPr="00BE7539" w:rsidRDefault="00BE7539" w:rsidP="00BE7539">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w:t>
      </w:r>
      <w:r w:rsidRPr="00BE7539">
        <w:rPr>
          <w:rFonts w:ascii="宋体" w:hAnsi="宋体" w:hint="eastAsia"/>
          <w:sz w:val="24"/>
        </w:rPr>
        <w:t>基金托管人应以本基金的名义在其营业机构开设本基金的资金账户，并根据基金管理人合法合规的指令办理资金收付。本基金的银行预留印鉴由基金托管人保管和使用。本基金的一切货币收支活动，包括但不限于投资、支付赎回金额、支付基金收益、收取申购款，均需通过本基金的基金托管资金账户进行。</w:t>
      </w:r>
    </w:p>
    <w:p w14:paraId="061B1446" w14:textId="4CE2541D" w:rsidR="00BE7539" w:rsidRPr="00BE7539" w:rsidRDefault="00BE7539" w:rsidP="00BE7539">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（3）</w:t>
      </w:r>
      <w:r w:rsidRPr="00BE7539">
        <w:rPr>
          <w:rFonts w:ascii="宋体" w:hAnsi="宋体" w:hint="eastAsia"/>
          <w:sz w:val="24"/>
        </w:rPr>
        <w:t>基金托管资金账户的开立和使用，限于满足开展本基金业务的需要。基</w:t>
      </w:r>
      <w:r w:rsidRPr="00BE7539">
        <w:rPr>
          <w:rFonts w:ascii="宋体" w:hAnsi="宋体" w:hint="eastAsia"/>
          <w:sz w:val="24"/>
        </w:rPr>
        <w:lastRenderedPageBreak/>
        <w:t>金托管人和基金管理人不得假借本基金的名义开立任何其他银行账户；亦不得使用基金的任何账户进行本基金业务以外的活动。</w:t>
      </w:r>
    </w:p>
    <w:p w14:paraId="57E56505" w14:textId="63287D03" w:rsidR="00BE7539" w:rsidRPr="00BE7539" w:rsidRDefault="00BE7539" w:rsidP="00BE7539">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w:t>
      </w:r>
      <w:r w:rsidRPr="00BE7539">
        <w:rPr>
          <w:rFonts w:ascii="宋体" w:hAnsi="宋体" w:hint="eastAsia"/>
          <w:sz w:val="24"/>
        </w:rPr>
        <w:t>基金托管资金账户的开立和管理应符合相关法律法规的有关规定。</w:t>
      </w:r>
    </w:p>
    <w:p w14:paraId="4EAA59C6" w14:textId="1A2154E0" w:rsidR="00FD086C" w:rsidRDefault="00BE7539" w:rsidP="00BE7539">
      <w:pPr>
        <w:autoSpaceDE w:val="0"/>
        <w:autoSpaceDN w:val="0"/>
        <w:adjustRightInd w:val="0"/>
        <w:snapToGrid w:val="0"/>
        <w:spacing w:line="360" w:lineRule="auto"/>
        <w:ind w:firstLineChars="200" w:firstLine="480"/>
        <w:jc w:val="left"/>
        <w:rPr>
          <w:rFonts w:ascii="宋体" w:hAnsi="宋体"/>
          <w:szCs w:val="24"/>
        </w:rPr>
      </w:pPr>
      <w:r>
        <w:rPr>
          <w:rFonts w:ascii="宋体" w:hAnsi="宋体" w:hint="eastAsia"/>
          <w:sz w:val="24"/>
        </w:rPr>
        <w:t>（</w:t>
      </w:r>
      <w:r>
        <w:rPr>
          <w:rFonts w:ascii="宋体" w:hAnsi="宋体"/>
          <w:sz w:val="24"/>
        </w:rPr>
        <w:t>5</w:t>
      </w:r>
      <w:r>
        <w:rPr>
          <w:rFonts w:ascii="宋体" w:hAnsi="宋体" w:hint="eastAsia"/>
          <w:sz w:val="24"/>
        </w:rPr>
        <w:t>）</w:t>
      </w:r>
      <w:r w:rsidRPr="00BE7539">
        <w:rPr>
          <w:rFonts w:ascii="宋体" w:hAnsi="宋体" w:hint="eastAsia"/>
          <w:sz w:val="24"/>
        </w:rPr>
        <w:t>在符合法律法规规定的条件下，基金托管人可以通过基金托管人专用账户办理基金资产的支付。</w:t>
      </w:r>
    </w:p>
    <w:p w14:paraId="7842DF1D" w14:textId="0BC1DAB0"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4、基金证券账户的开立和管理</w:t>
      </w:r>
    </w:p>
    <w:p w14:paraId="1B10FEA4" w14:textId="22E2E012" w:rsidR="00BE7539" w:rsidRPr="00BE7539" w:rsidRDefault="00BE7539" w:rsidP="00BE7539">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w:t>
      </w:r>
      <w:r w:rsidRPr="00BE7539">
        <w:rPr>
          <w:rFonts w:ascii="宋体" w:hAnsi="宋体" w:hint="eastAsia"/>
          <w:sz w:val="24"/>
        </w:rPr>
        <w:t>基金托管人在中国证券登记结算有限责任公司上海分公司、深圳分公司为本基金开立基金托管人与基金联名的证券账户。</w:t>
      </w:r>
    </w:p>
    <w:p w14:paraId="76058A0E" w14:textId="69F9B50A" w:rsidR="00BE7539" w:rsidRPr="00BE7539" w:rsidRDefault="00BE7539" w:rsidP="00BE7539">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w:t>
      </w:r>
      <w:r w:rsidRPr="00BE7539">
        <w:rPr>
          <w:rFonts w:ascii="宋体" w:hAnsi="宋体" w:hint="eastAsia"/>
          <w:sz w:val="24"/>
        </w:rPr>
        <w:t>基金证券账户的开立和使用，限于满足开展本基金业务的需要。基金托管人和基金管理人不得出借或未经对方同意擅自转让基金的任何证券账户，亦不得使用基金的任何账户进行本基金业务以外的活动。</w:t>
      </w:r>
    </w:p>
    <w:p w14:paraId="4D8E28EE" w14:textId="73822E14" w:rsidR="00BE7539" w:rsidRPr="00BE7539" w:rsidRDefault="00BE7539" w:rsidP="00BE7539">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w:t>
      </w:r>
      <w:r w:rsidRPr="00BE7539">
        <w:rPr>
          <w:rFonts w:ascii="宋体" w:hAnsi="宋体" w:hint="eastAsia"/>
          <w:sz w:val="24"/>
        </w:rPr>
        <w:t>基金证券账户的开立和</w:t>
      </w:r>
      <w:r w:rsidR="003F5B93" w:rsidRPr="003F5B93">
        <w:rPr>
          <w:rFonts w:ascii="宋体" w:hAnsi="宋体" w:hint="eastAsia"/>
          <w:sz w:val="24"/>
        </w:rPr>
        <w:t>开户回执</w:t>
      </w:r>
      <w:r w:rsidRPr="00BE7539">
        <w:rPr>
          <w:rFonts w:ascii="宋体" w:hAnsi="宋体" w:hint="eastAsia"/>
          <w:sz w:val="24"/>
        </w:rPr>
        <w:t>的保管由基金托管人负责，账户资产的管理和运用由基金管理人负责。</w:t>
      </w:r>
    </w:p>
    <w:p w14:paraId="3A50576D" w14:textId="490A5840" w:rsidR="00BE7539" w:rsidRDefault="00BE7539">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w:t>
      </w:r>
      <w:r w:rsidRPr="00BE7539">
        <w:rPr>
          <w:rFonts w:ascii="宋体" w:hAnsi="宋体" w:hint="eastAsia"/>
          <w:sz w:val="24"/>
        </w:rPr>
        <w:t>在本托管协议生效日之后，本基金被允许从事其他投资品种的投资业务，涉及相关账户的开设、使用的，按有关规定开设、使用并管理；若无相关规定，则基金托管人应当比照并遵守上述关于账户开设、使用的规定。</w:t>
      </w:r>
    </w:p>
    <w:p w14:paraId="4326FE71" w14:textId="0CD8DFD3"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5、债券托管</w:t>
      </w:r>
      <w:r w:rsidR="00DE65D3">
        <w:rPr>
          <w:rFonts w:ascii="宋体" w:hAnsi="宋体" w:hint="eastAsia"/>
          <w:sz w:val="24"/>
        </w:rPr>
        <w:t>专</w:t>
      </w:r>
      <w:r>
        <w:rPr>
          <w:rFonts w:ascii="宋体" w:hAnsi="宋体"/>
          <w:sz w:val="24"/>
        </w:rPr>
        <w:t>户的开设和管理</w:t>
      </w:r>
    </w:p>
    <w:p w14:paraId="10B1F894" w14:textId="6D408C66" w:rsidR="00BE7539" w:rsidRDefault="00BE7539">
      <w:pPr>
        <w:autoSpaceDE w:val="0"/>
        <w:autoSpaceDN w:val="0"/>
        <w:adjustRightInd w:val="0"/>
        <w:snapToGrid w:val="0"/>
        <w:spacing w:line="360" w:lineRule="auto"/>
        <w:ind w:firstLineChars="200" w:firstLine="480"/>
        <w:jc w:val="left"/>
        <w:rPr>
          <w:rFonts w:ascii="宋体" w:hAnsi="宋体"/>
          <w:sz w:val="24"/>
        </w:rPr>
      </w:pPr>
      <w:r w:rsidRPr="00BE7539">
        <w:rPr>
          <w:rFonts w:ascii="宋体" w:hAnsi="宋体" w:hint="eastAsia"/>
          <w:sz w:val="24"/>
        </w:rPr>
        <w:t>基金合同生效后，基金托管人根据中国人民银行、中央国债登记结算有限责任公司、银行间市场清算所股份有限公司的有关规定，以本基金的名义在中央国债登记结算有限责任公司、银行间市场清算所股份有限公司开立债券托管与结算账户，并代表基金进行银行间市场债券的结算。基金管理人代表基金签订全国银行间债券市场债券回购主协议。</w:t>
      </w:r>
    </w:p>
    <w:p w14:paraId="4398FC1C" w14:textId="77777777" w:rsidR="00BE7539" w:rsidRPr="00BE7539" w:rsidRDefault="004B071E" w:rsidP="00BE7539">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6、</w:t>
      </w:r>
      <w:r w:rsidR="00BE7539" w:rsidRPr="00BE7539">
        <w:rPr>
          <w:rFonts w:ascii="宋体" w:hAnsi="宋体" w:hint="eastAsia"/>
          <w:sz w:val="24"/>
        </w:rPr>
        <w:t>证券交易资金账户的开立和管理</w:t>
      </w:r>
    </w:p>
    <w:p w14:paraId="5F0C8FC4" w14:textId="3FFF38CD" w:rsidR="00BE7539" w:rsidRPr="00BE7539" w:rsidRDefault="00BE7539" w:rsidP="00BE7539">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（1）</w:t>
      </w:r>
      <w:r w:rsidRPr="00BE7539">
        <w:rPr>
          <w:rFonts w:ascii="宋体" w:hAnsi="宋体" w:hint="eastAsia"/>
          <w:sz w:val="24"/>
        </w:rPr>
        <w:t>基金管理人以本基金的名义在代理证券买卖的证券经纪商处开立证券交易资金账户，用于办理基金托管人所托管的本基金在证券交易所进行证券投资所涉及的资金结算业务。</w:t>
      </w:r>
    </w:p>
    <w:p w14:paraId="7FF44AFC" w14:textId="609621E3" w:rsidR="00BE7539" w:rsidRPr="00BE7539" w:rsidRDefault="00BE7539" w:rsidP="00BE7539">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w:t>
      </w:r>
      <w:r w:rsidRPr="00BE7539">
        <w:rPr>
          <w:rFonts w:ascii="宋体" w:hAnsi="宋体" w:hint="eastAsia"/>
          <w:sz w:val="24"/>
        </w:rPr>
        <w:t>2</w:t>
      </w:r>
      <w:r>
        <w:rPr>
          <w:rFonts w:ascii="宋体" w:hAnsi="宋体" w:hint="eastAsia"/>
          <w:sz w:val="24"/>
        </w:rPr>
        <w:t>）</w:t>
      </w:r>
      <w:r w:rsidRPr="00BE7539">
        <w:rPr>
          <w:rFonts w:ascii="宋体" w:hAnsi="宋体" w:hint="eastAsia"/>
          <w:sz w:val="24"/>
        </w:rPr>
        <w:t>证券交易资金账户与基金托管资金账户建立三方存管关系。证券交易资金账户内的资金，只能通过证银转账方式将资金划转至基金托管资金账户，不得将资金划转至其他任何银行账户。</w:t>
      </w:r>
    </w:p>
    <w:p w14:paraId="42BF5393" w14:textId="6669967C" w:rsidR="00FD086C" w:rsidRDefault="00BE7539" w:rsidP="00BE7539">
      <w:pPr>
        <w:autoSpaceDE w:val="0"/>
        <w:autoSpaceDN w:val="0"/>
        <w:adjustRightInd w:val="0"/>
        <w:snapToGrid w:val="0"/>
        <w:spacing w:line="360" w:lineRule="auto"/>
        <w:ind w:firstLineChars="200" w:firstLine="480"/>
        <w:jc w:val="left"/>
        <w:rPr>
          <w:rFonts w:ascii="宋体" w:hAnsi="宋体"/>
          <w:szCs w:val="24"/>
        </w:rPr>
      </w:pPr>
      <w:r>
        <w:rPr>
          <w:rFonts w:ascii="宋体" w:hAnsi="宋体" w:hint="eastAsia"/>
          <w:sz w:val="24"/>
        </w:rPr>
        <w:t>（3）</w:t>
      </w:r>
      <w:r w:rsidRPr="00BE7539">
        <w:rPr>
          <w:rFonts w:ascii="宋体" w:hAnsi="宋体" w:hint="eastAsia"/>
          <w:sz w:val="24"/>
        </w:rPr>
        <w:t>如因基金管理人、证券经纪商原因致使对应关系无法建立，基金托管人</w:t>
      </w:r>
      <w:r w:rsidRPr="00BE7539">
        <w:rPr>
          <w:rFonts w:ascii="宋体" w:hAnsi="宋体" w:hint="eastAsia"/>
          <w:sz w:val="24"/>
        </w:rPr>
        <w:lastRenderedPageBreak/>
        <w:t>不承担相应责任。基金托管人不负责办理场内的证券交易资金清算，也不负责保管证券交易资金账户内存放的资金。</w:t>
      </w:r>
    </w:p>
    <w:p w14:paraId="19CBD1FB" w14:textId="15815092" w:rsidR="00017707" w:rsidRPr="00017707" w:rsidRDefault="00017707" w:rsidP="00017707">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7、</w:t>
      </w:r>
      <w:r w:rsidRPr="00017707">
        <w:rPr>
          <w:rFonts w:ascii="宋体" w:hAnsi="宋体" w:hint="eastAsia"/>
          <w:sz w:val="24"/>
        </w:rPr>
        <w:t>其他账户的开立和管理</w:t>
      </w:r>
    </w:p>
    <w:p w14:paraId="3B434FF1" w14:textId="154B1EDE" w:rsidR="00017707" w:rsidRPr="00017707" w:rsidRDefault="00017707" w:rsidP="00017707">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（1）</w:t>
      </w:r>
      <w:r w:rsidRPr="00017707">
        <w:rPr>
          <w:rFonts w:ascii="宋体" w:hAnsi="宋体" w:hint="eastAsia"/>
          <w:sz w:val="24"/>
        </w:rPr>
        <w:t>因业务发展需要而开立的其他账户，可以根据法律法规和基金合同的规定，在基金管理人和基金托管人商议后开立。新账户按有关规则使用并管理。</w:t>
      </w:r>
    </w:p>
    <w:p w14:paraId="2A055940" w14:textId="77777777" w:rsidR="00DD577D" w:rsidRDefault="00017707" w:rsidP="00017707">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（2）</w:t>
      </w:r>
      <w:r w:rsidRPr="00017707">
        <w:rPr>
          <w:rFonts w:ascii="宋体" w:hAnsi="宋体" w:hint="eastAsia"/>
          <w:sz w:val="24"/>
        </w:rPr>
        <w:t>法律法规等有关规定对相关账户的开立和管理另有规定的，从其规定办理。</w:t>
      </w:r>
    </w:p>
    <w:p w14:paraId="40F60F82" w14:textId="7BBF01B6" w:rsidR="00FD086C" w:rsidRDefault="00DD577D" w:rsidP="0001770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w:t>
      </w:r>
      <w:r w:rsidR="004B071E">
        <w:rPr>
          <w:rFonts w:ascii="宋体" w:hAnsi="宋体"/>
          <w:sz w:val="24"/>
        </w:rPr>
        <w:t>、基金财产投资的有关有价凭证等的保管</w:t>
      </w:r>
    </w:p>
    <w:p w14:paraId="5EAAFA01" w14:textId="77777777" w:rsidR="00D734D6" w:rsidRDefault="00D734D6">
      <w:pPr>
        <w:autoSpaceDE w:val="0"/>
        <w:autoSpaceDN w:val="0"/>
        <w:adjustRightInd w:val="0"/>
        <w:snapToGrid w:val="0"/>
        <w:spacing w:line="360" w:lineRule="auto"/>
        <w:ind w:firstLineChars="200" w:firstLine="480"/>
        <w:jc w:val="left"/>
        <w:rPr>
          <w:rFonts w:ascii="宋体" w:hAnsi="宋体"/>
          <w:sz w:val="24"/>
        </w:rPr>
      </w:pPr>
      <w:r w:rsidRPr="00D734D6">
        <w:rPr>
          <w:rFonts w:ascii="宋体" w:hAnsi="宋体" w:hint="eastAsia"/>
          <w:sz w:val="24"/>
        </w:rPr>
        <w:t>基金财产投资的有关实物证券、银行定期存款存单等有价凭证由基金托管人负责妥善保管，保管凭证由基金托管人持有。实物证券的购买和转让，由基金托管人根据基金管理人的指令办理。属于基金托管人实际有效控制下的实物证券等有价凭证在基金托管人保管期间的损坏、灭失，由此产生的责任应由基金托管人承担。基金托管人对基金托管人以外机构实际有效控制的证券不承担保管责任。</w:t>
      </w:r>
    </w:p>
    <w:p w14:paraId="2006EAF3" w14:textId="61F14C67" w:rsidR="00FD086C" w:rsidRDefault="00D734D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w:t>
      </w:r>
      <w:r w:rsidR="004B071E">
        <w:rPr>
          <w:rFonts w:ascii="宋体" w:hAnsi="宋体"/>
          <w:sz w:val="24"/>
        </w:rPr>
        <w:t>、与基金财产有关的重大合同的保管</w:t>
      </w:r>
    </w:p>
    <w:p w14:paraId="53B4C4DB" w14:textId="77777777" w:rsidR="00D734D6" w:rsidRDefault="00D734D6">
      <w:pPr>
        <w:autoSpaceDE w:val="0"/>
        <w:autoSpaceDN w:val="0"/>
        <w:adjustRightInd w:val="0"/>
        <w:snapToGrid w:val="0"/>
        <w:spacing w:line="360" w:lineRule="auto"/>
        <w:ind w:firstLineChars="200" w:firstLine="480"/>
        <w:jc w:val="left"/>
        <w:rPr>
          <w:rFonts w:ascii="宋体" w:hAnsi="宋体"/>
          <w:sz w:val="24"/>
        </w:rPr>
      </w:pPr>
      <w:r w:rsidRPr="00D734D6">
        <w:rPr>
          <w:rFonts w:ascii="宋体" w:hAnsi="宋体" w:hint="eastAsia"/>
          <w:sz w:val="24"/>
        </w:rPr>
        <w:t>由基金管理人代表基金签署的、与基金有关的重大合同的原件分别由基金管理人、基金托管人保管。除协议另有规定外，基金管理人在代表基金签署与基金有关的重大合同时应保证基金一方持有两份以上的正本，以便基金管理人和基金托管人至少各持有一份正本的原件。重大合同的保管期限不低于法律法规规定的最低期限。</w:t>
      </w:r>
    </w:p>
    <w:p w14:paraId="76127853" w14:textId="511C6AD7" w:rsidR="00FD086C" w:rsidRPr="00040D5C" w:rsidRDefault="004B071E">
      <w:pPr>
        <w:autoSpaceDE w:val="0"/>
        <w:autoSpaceDN w:val="0"/>
        <w:adjustRightInd w:val="0"/>
        <w:snapToGrid w:val="0"/>
        <w:spacing w:line="360" w:lineRule="auto"/>
        <w:ind w:firstLineChars="200" w:firstLine="482"/>
        <w:jc w:val="left"/>
        <w:rPr>
          <w:rFonts w:ascii="宋体" w:hAnsi="宋体"/>
          <w:b/>
          <w:szCs w:val="24"/>
        </w:rPr>
      </w:pPr>
      <w:r w:rsidRPr="00040D5C">
        <w:rPr>
          <w:rFonts w:ascii="宋体" w:hAnsi="宋体"/>
          <w:b/>
          <w:sz w:val="24"/>
        </w:rPr>
        <w:t>（五）基金资产净值</w:t>
      </w:r>
      <w:r w:rsidR="001604D1" w:rsidRPr="00040D5C">
        <w:rPr>
          <w:rFonts w:ascii="宋体" w:hAnsi="宋体" w:hint="eastAsia"/>
          <w:b/>
          <w:sz w:val="24"/>
        </w:rPr>
        <w:t>的</w:t>
      </w:r>
      <w:r w:rsidRPr="00040D5C">
        <w:rPr>
          <w:rFonts w:ascii="宋体" w:hAnsi="宋体"/>
          <w:b/>
          <w:sz w:val="24"/>
        </w:rPr>
        <w:t>计算</w:t>
      </w:r>
      <w:r w:rsidR="001604D1" w:rsidRPr="00040D5C">
        <w:rPr>
          <w:rFonts w:ascii="宋体" w:hAnsi="宋体" w:hint="eastAsia"/>
          <w:b/>
          <w:sz w:val="24"/>
        </w:rPr>
        <w:t>及</w:t>
      </w:r>
      <w:r w:rsidR="0077236D" w:rsidRPr="00040D5C">
        <w:rPr>
          <w:rFonts w:ascii="宋体" w:hAnsi="宋体" w:hint="eastAsia"/>
          <w:b/>
          <w:sz w:val="24"/>
        </w:rPr>
        <w:t>复核</w:t>
      </w:r>
      <w:r w:rsidR="001604D1" w:rsidRPr="00040D5C">
        <w:rPr>
          <w:rFonts w:ascii="宋体" w:hAnsi="宋体" w:hint="eastAsia"/>
          <w:b/>
          <w:sz w:val="24"/>
        </w:rPr>
        <w:t>程序</w:t>
      </w:r>
    </w:p>
    <w:p w14:paraId="45D3BC09" w14:textId="77777777" w:rsidR="0077236D" w:rsidRPr="0077236D" w:rsidRDefault="0077236D" w:rsidP="0077236D">
      <w:pPr>
        <w:autoSpaceDE w:val="0"/>
        <w:autoSpaceDN w:val="0"/>
        <w:adjustRightInd w:val="0"/>
        <w:snapToGrid w:val="0"/>
        <w:spacing w:line="360" w:lineRule="auto"/>
        <w:ind w:firstLineChars="200" w:firstLine="480"/>
        <w:jc w:val="left"/>
        <w:rPr>
          <w:rFonts w:ascii="宋体" w:hAnsi="宋体"/>
          <w:sz w:val="24"/>
        </w:rPr>
      </w:pPr>
      <w:r w:rsidRPr="0077236D">
        <w:rPr>
          <w:rFonts w:ascii="宋体" w:hAnsi="宋体" w:hint="eastAsia"/>
          <w:sz w:val="24"/>
        </w:rPr>
        <w:t>1、基金资产净值</w:t>
      </w:r>
    </w:p>
    <w:p w14:paraId="66E17810" w14:textId="77777777" w:rsidR="0077236D" w:rsidRPr="0077236D" w:rsidRDefault="0077236D" w:rsidP="0077236D">
      <w:pPr>
        <w:autoSpaceDE w:val="0"/>
        <w:autoSpaceDN w:val="0"/>
        <w:adjustRightInd w:val="0"/>
        <w:snapToGrid w:val="0"/>
        <w:spacing w:line="360" w:lineRule="auto"/>
        <w:ind w:firstLineChars="200" w:firstLine="480"/>
        <w:jc w:val="left"/>
        <w:rPr>
          <w:rFonts w:ascii="宋体" w:hAnsi="宋体"/>
          <w:sz w:val="24"/>
        </w:rPr>
      </w:pPr>
      <w:r w:rsidRPr="0077236D">
        <w:rPr>
          <w:rFonts w:ascii="宋体" w:hAnsi="宋体" w:hint="eastAsia"/>
          <w:sz w:val="24"/>
        </w:rPr>
        <w:t>基金资产净值是指基金资产总值减去基金负债后的价值。</w:t>
      </w:r>
    </w:p>
    <w:p w14:paraId="72C7F2FF" w14:textId="77777777" w:rsidR="0077236D" w:rsidRPr="0077236D" w:rsidRDefault="0077236D" w:rsidP="0077236D">
      <w:pPr>
        <w:autoSpaceDE w:val="0"/>
        <w:autoSpaceDN w:val="0"/>
        <w:adjustRightInd w:val="0"/>
        <w:snapToGrid w:val="0"/>
        <w:spacing w:line="360" w:lineRule="auto"/>
        <w:ind w:firstLineChars="200" w:firstLine="480"/>
        <w:jc w:val="left"/>
        <w:rPr>
          <w:rFonts w:ascii="宋体" w:hAnsi="宋体"/>
          <w:sz w:val="24"/>
        </w:rPr>
      </w:pPr>
      <w:r w:rsidRPr="0077236D">
        <w:rPr>
          <w:rFonts w:ascii="宋体" w:hAnsi="宋体" w:hint="eastAsia"/>
          <w:sz w:val="24"/>
        </w:rPr>
        <w:t>各类基金份额的基金份额净值是按照每个工作日闭市后，该类基金份额的基金资产净值除以当日该类基金份额的余额数量计算，精确到0.0001元，小数点后第5位四舍五入。基金管理人可以设立大额赎回情形下的净值精度应急调整机制，具体可参见相关公告。国家另有规定的，从其规定。</w:t>
      </w:r>
    </w:p>
    <w:p w14:paraId="7BC22422" w14:textId="77777777" w:rsidR="0077236D" w:rsidRPr="0077236D" w:rsidRDefault="0077236D" w:rsidP="0077236D">
      <w:pPr>
        <w:autoSpaceDE w:val="0"/>
        <w:autoSpaceDN w:val="0"/>
        <w:adjustRightInd w:val="0"/>
        <w:snapToGrid w:val="0"/>
        <w:spacing w:line="360" w:lineRule="auto"/>
        <w:ind w:firstLineChars="200" w:firstLine="480"/>
        <w:jc w:val="left"/>
        <w:rPr>
          <w:rFonts w:ascii="宋体" w:hAnsi="宋体"/>
          <w:sz w:val="24"/>
        </w:rPr>
      </w:pPr>
      <w:r w:rsidRPr="0077236D">
        <w:rPr>
          <w:rFonts w:ascii="宋体" w:hAnsi="宋体" w:hint="eastAsia"/>
          <w:sz w:val="24"/>
        </w:rPr>
        <w:t>基金管理人于每个工作日计算各类基金份额的基金资产净值及基金份额净值，并按规定公告，如遇特殊情况，经履行适当程序，可以适当延迟计算或公告。</w:t>
      </w:r>
    </w:p>
    <w:p w14:paraId="61F12429" w14:textId="77777777" w:rsidR="0077236D" w:rsidRPr="0077236D" w:rsidRDefault="0077236D" w:rsidP="0077236D">
      <w:pPr>
        <w:autoSpaceDE w:val="0"/>
        <w:autoSpaceDN w:val="0"/>
        <w:adjustRightInd w:val="0"/>
        <w:snapToGrid w:val="0"/>
        <w:spacing w:line="360" w:lineRule="auto"/>
        <w:ind w:firstLineChars="200" w:firstLine="480"/>
        <w:jc w:val="left"/>
        <w:rPr>
          <w:rFonts w:ascii="宋体" w:hAnsi="宋体"/>
          <w:sz w:val="24"/>
        </w:rPr>
      </w:pPr>
      <w:r w:rsidRPr="0077236D">
        <w:rPr>
          <w:rFonts w:ascii="宋体" w:hAnsi="宋体" w:hint="eastAsia"/>
          <w:sz w:val="24"/>
        </w:rPr>
        <w:t>2、复核程序</w:t>
      </w:r>
    </w:p>
    <w:p w14:paraId="0EFB3B8A" w14:textId="3879BCC0" w:rsidR="0077236D" w:rsidRDefault="0077236D" w:rsidP="0077236D">
      <w:pPr>
        <w:autoSpaceDE w:val="0"/>
        <w:autoSpaceDN w:val="0"/>
        <w:adjustRightInd w:val="0"/>
        <w:snapToGrid w:val="0"/>
        <w:spacing w:line="360" w:lineRule="auto"/>
        <w:ind w:firstLineChars="200" w:firstLine="480"/>
        <w:jc w:val="left"/>
        <w:rPr>
          <w:rFonts w:ascii="宋体" w:hAnsi="宋体"/>
          <w:sz w:val="24"/>
        </w:rPr>
      </w:pPr>
      <w:r w:rsidRPr="0077236D">
        <w:rPr>
          <w:rFonts w:ascii="宋体" w:hAnsi="宋体" w:hint="eastAsia"/>
          <w:sz w:val="24"/>
        </w:rPr>
        <w:t>基金管理人应每个工作日对基金资产估值。但基金管理人根据法律法规或基金</w:t>
      </w:r>
      <w:r w:rsidRPr="0077236D">
        <w:rPr>
          <w:rFonts w:ascii="宋体" w:hAnsi="宋体" w:hint="eastAsia"/>
          <w:sz w:val="24"/>
        </w:rPr>
        <w:lastRenderedPageBreak/>
        <w:t>合同的规定暂停估值时除外。基金管理人每个工作日对基金资产进行估值后，将基金资产净值、各类基金份额净值结果发送基金托管人，经基金托管人复核无误后，由基金管理人依据基金合同和相关法律法规的规定对外公布。月末、年中和年末估值复核与基金会计账目的核对同时进行。</w:t>
      </w:r>
    </w:p>
    <w:p w14:paraId="7FBFA21A" w14:textId="77777777" w:rsidR="00FD086C" w:rsidRPr="00040D5C" w:rsidRDefault="004B071E">
      <w:pPr>
        <w:autoSpaceDE w:val="0"/>
        <w:autoSpaceDN w:val="0"/>
        <w:adjustRightInd w:val="0"/>
        <w:snapToGrid w:val="0"/>
        <w:spacing w:line="360" w:lineRule="auto"/>
        <w:ind w:firstLineChars="200" w:firstLine="482"/>
        <w:jc w:val="left"/>
        <w:rPr>
          <w:rFonts w:ascii="宋体" w:hAnsi="宋体"/>
          <w:b/>
          <w:szCs w:val="24"/>
        </w:rPr>
      </w:pPr>
      <w:r w:rsidRPr="00040D5C">
        <w:rPr>
          <w:rFonts w:ascii="宋体" w:hAnsi="宋体"/>
          <w:b/>
          <w:sz w:val="24"/>
        </w:rPr>
        <w:t>（六）基金份额持有人名册的保管</w:t>
      </w:r>
    </w:p>
    <w:p w14:paraId="75396017" w14:textId="77777777" w:rsidR="0077236D" w:rsidRPr="0077236D" w:rsidRDefault="0077236D" w:rsidP="0077236D">
      <w:pPr>
        <w:autoSpaceDE w:val="0"/>
        <w:autoSpaceDN w:val="0"/>
        <w:adjustRightInd w:val="0"/>
        <w:snapToGrid w:val="0"/>
        <w:spacing w:line="360" w:lineRule="auto"/>
        <w:ind w:firstLineChars="200" w:firstLine="480"/>
        <w:jc w:val="left"/>
        <w:rPr>
          <w:rFonts w:ascii="宋体" w:hAnsi="宋体"/>
          <w:sz w:val="24"/>
        </w:rPr>
      </w:pPr>
      <w:r w:rsidRPr="0077236D">
        <w:rPr>
          <w:rFonts w:ascii="宋体" w:hAnsi="宋体" w:hint="eastAsia"/>
          <w:sz w:val="24"/>
        </w:rPr>
        <w:t>本基金的基金管理人和基金托管人须分别妥善保管的基金份额持有人名册，包括基金合同生效日、基金合同终止日、基金权益登记日、基金份额持有人大会权益登记日、每年6月30日、12月31日的基金份额持有人名册。基金份额持有人名册的内容至少应包括基金份额持有人的名称和持有的基金份额。</w:t>
      </w:r>
    </w:p>
    <w:p w14:paraId="3528376F" w14:textId="77777777" w:rsidR="0077236D" w:rsidRPr="0077236D" w:rsidRDefault="0077236D" w:rsidP="0077236D">
      <w:pPr>
        <w:autoSpaceDE w:val="0"/>
        <w:autoSpaceDN w:val="0"/>
        <w:adjustRightInd w:val="0"/>
        <w:snapToGrid w:val="0"/>
        <w:spacing w:line="360" w:lineRule="auto"/>
        <w:ind w:firstLineChars="200" w:firstLine="480"/>
        <w:jc w:val="left"/>
        <w:rPr>
          <w:rFonts w:ascii="宋体" w:hAnsi="宋体"/>
          <w:sz w:val="24"/>
        </w:rPr>
      </w:pPr>
      <w:r w:rsidRPr="0077236D">
        <w:rPr>
          <w:rFonts w:ascii="宋体" w:hAnsi="宋体" w:hint="eastAsia"/>
          <w:sz w:val="24"/>
        </w:rPr>
        <w:t>基金份额持有人名册由登记机构编制，由基金管理人审核并提交基金托管人保管。基金托管人有权要求基金管理人提供任意一个交易日或全部交易日的基金份额持有人名册，基金管理人应及时提供，不得拖延或拒绝提供。</w:t>
      </w:r>
    </w:p>
    <w:p w14:paraId="62E37883" w14:textId="77777777" w:rsidR="0077236D" w:rsidRPr="0077236D" w:rsidRDefault="0077236D" w:rsidP="0077236D">
      <w:pPr>
        <w:autoSpaceDE w:val="0"/>
        <w:autoSpaceDN w:val="0"/>
        <w:adjustRightInd w:val="0"/>
        <w:snapToGrid w:val="0"/>
        <w:spacing w:line="360" w:lineRule="auto"/>
        <w:ind w:firstLineChars="200" w:firstLine="480"/>
        <w:jc w:val="left"/>
        <w:rPr>
          <w:rFonts w:ascii="宋体" w:hAnsi="宋体"/>
          <w:sz w:val="24"/>
        </w:rPr>
      </w:pPr>
      <w:r w:rsidRPr="0077236D">
        <w:rPr>
          <w:rFonts w:ascii="宋体" w:hAnsi="宋体" w:hint="eastAsia"/>
          <w:sz w:val="24"/>
        </w:rPr>
        <w:t>基金管理人应及时向基金托管人提交基金份额持有人名册。每年6月30日和12月31日的基金份额持有人名册应于下月前十个工作日内提交；基金合同生效日、基金合同终止日、基金份额持有人大会权益登记日等涉及到基金重要事项日期的基金份额持有人名册应于发生日后十个工作日内提交。</w:t>
      </w:r>
    </w:p>
    <w:p w14:paraId="44604E85" w14:textId="77777777" w:rsidR="0077236D" w:rsidRDefault="0077236D">
      <w:pPr>
        <w:autoSpaceDE w:val="0"/>
        <w:autoSpaceDN w:val="0"/>
        <w:adjustRightInd w:val="0"/>
        <w:snapToGrid w:val="0"/>
        <w:spacing w:line="360" w:lineRule="auto"/>
        <w:ind w:firstLineChars="200" w:firstLine="480"/>
        <w:jc w:val="left"/>
        <w:rPr>
          <w:rFonts w:ascii="宋体" w:hAnsi="宋体"/>
          <w:sz w:val="24"/>
        </w:rPr>
      </w:pPr>
      <w:r w:rsidRPr="0077236D">
        <w:rPr>
          <w:rFonts w:ascii="宋体" w:hAnsi="宋体" w:hint="eastAsia"/>
          <w:sz w:val="24"/>
        </w:rPr>
        <w:t>基金管理人和基金托管人应妥善保管基金份额持有人名册，保存期限不低于法律法规规定的最低期限。基金托管人不得将所保管的基金份额持有人名册用于基金托管业务以外的其他用途，并应遵守保密义务。若基金管理人或基金托管人由于自身原因无法妥善保管基金份额持有人名册，应按有关法规规定各自承担相应的责任。</w:t>
      </w:r>
    </w:p>
    <w:p w14:paraId="0AC1F366" w14:textId="77777777" w:rsidR="00FD086C" w:rsidRPr="00040D5C" w:rsidRDefault="004B071E">
      <w:pPr>
        <w:autoSpaceDE w:val="0"/>
        <w:autoSpaceDN w:val="0"/>
        <w:adjustRightInd w:val="0"/>
        <w:snapToGrid w:val="0"/>
        <w:spacing w:line="360" w:lineRule="auto"/>
        <w:ind w:firstLineChars="200" w:firstLine="482"/>
        <w:jc w:val="left"/>
        <w:rPr>
          <w:rFonts w:ascii="宋体" w:hAnsi="宋体"/>
          <w:b/>
          <w:szCs w:val="24"/>
        </w:rPr>
      </w:pPr>
      <w:r w:rsidRPr="00040D5C">
        <w:rPr>
          <w:rFonts w:ascii="宋体" w:hAnsi="宋体"/>
          <w:b/>
          <w:sz w:val="24"/>
        </w:rPr>
        <w:t>（七）争议解决方式</w:t>
      </w:r>
    </w:p>
    <w:p w14:paraId="765B28B2" w14:textId="77777777" w:rsidR="0077236D" w:rsidRPr="0077236D" w:rsidRDefault="0077236D" w:rsidP="0077236D">
      <w:pPr>
        <w:autoSpaceDE w:val="0"/>
        <w:autoSpaceDN w:val="0"/>
        <w:adjustRightInd w:val="0"/>
        <w:snapToGrid w:val="0"/>
        <w:spacing w:line="360" w:lineRule="auto"/>
        <w:ind w:firstLineChars="200" w:firstLine="480"/>
        <w:jc w:val="left"/>
        <w:rPr>
          <w:rFonts w:ascii="宋体" w:hAnsi="宋体"/>
          <w:sz w:val="24"/>
        </w:rPr>
      </w:pPr>
      <w:r w:rsidRPr="0077236D">
        <w:rPr>
          <w:rFonts w:ascii="宋体" w:hAnsi="宋体"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双方当事人均有约束力，除非仲裁裁决另有规定，仲裁费由败诉方承担。</w:t>
      </w:r>
    </w:p>
    <w:p w14:paraId="22353CC5" w14:textId="77777777" w:rsidR="0077236D" w:rsidRPr="0077236D" w:rsidRDefault="0077236D" w:rsidP="0077236D">
      <w:pPr>
        <w:autoSpaceDE w:val="0"/>
        <w:autoSpaceDN w:val="0"/>
        <w:adjustRightInd w:val="0"/>
        <w:snapToGrid w:val="0"/>
        <w:spacing w:line="360" w:lineRule="auto"/>
        <w:ind w:firstLineChars="200" w:firstLine="480"/>
        <w:jc w:val="left"/>
        <w:rPr>
          <w:rFonts w:ascii="宋体" w:hAnsi="宋体"/>
          <w:sz w:val="24"/>
        </w:rPr>
      </w:pPr>
      <w:r w:rsidRPr="0077236D">
        <w:rPr>
          <w:rFonts w:ascii="宋体" w:hAnsi="宋体" w:hint="eastAsia"/>
          <w:sz w:val="24"/>
        </w:rPr>
        <w:t>争议处理期间，双方当事人应恪守基金管理人和基金托管人职责，各自继续忠实、勤勉、尽责地履行基金合同和本托管协议规定的义务，维护基金份额持有人的合法权益。</w:t>
      </w:r>
    </w:p>
    <w:p w14:paraId="2D79B2C2" w14:textId="77777777" w:rsidR="0077236D" w:rsidRDefault="0077236D">
      <w:pPr>
        <w:autoSpaceDE w:val="0"/>
        <w:autoSpaceDN w:val="0"/>
        <w:adjustRightInd w:val="0"/>
        <w:snapToGrid w:val="0"/>
        <w:spacing w:line="360" w:lineRule="auto"/>
        <w:ind w:firstLineChars="200" w:firstLine="480"/>
        <w:jc w:val="left"/>
        <w:rPr>
          <w:rFonts w:ascii="宋体" w:hAnsi="宋体"/>
          <w:sz w:val="24"/>
        </w:rPr>
      </w:pPr>
      <w:r w:rsidRPr="0077236D">
        <w:rPr>
          <w:rFonts w:ascii="宋体" w:hAnsi="宋体" w:hint="eastAsia"/>
          <w:sz w:val="24"/>
        </w:rPr>
        <w:lastRenderedPageBreak/>
        <w:t>本协议适用中华人民共和国法律（不含港澳台地区法律）并从其解释。</w:t>
      </w:r>
    </w:p>
    <w:p w14:paraId="429AC19C" w14:textId="77777777" w:rsidR="0077236D" w:rsidRPr="00040D5C" w:rsidRDefault="004B071E" w:rsidP="0077236D">
      <w:pPr>
        <w:autoSpaceDE w:val="0"/>
        <w:autoSpaceDN w:val="0"/>
        <w:adjustRightInd w:val="0"/>
        <w:snapToGrid w:val="0"/>
        <w:spacing w:line="360" w:lineRule="auto"/>
        <w:ind w:firstLineChars="200" w:firstLine="482"/>
        <w:jc w:val="left"/>
        <w:rPr>
          <w:rFonts w:ascii="宋体" w:hAnsi="宋体"/>
          <w:b/>
          <w:sz w:val="24"/>
        </w:rPr>
      </w:pPr>
      <w:r w:rsidRPr="00040D5C">
        <w:rPr>
          <w:rFonts w:ascii="宋体" w:hAnsi="宋体"/>
          <w:b/>
          <w:sz w:val="24"/>
        </w:rPr>
        <w:t>（八）</w:t>
      </w:r>
      <w:r w:rsidR="0077236D" w:rsidRPr="00040D5C">
        <w:rPr>
          <w:rFonts w:ascii="宋体" w:hAnsi="宋体" w:hint="eastAsia"/>
          <w:b/>
          <w:sz w:val="24"/>
        </w:rPr>
        <w:t>托管协议的变更与终止</w:t>
      </w:r>
    </w:p>
    <w:p w14:paraId="460249B9" w14:textId="77777777" w:rsidR="0077236D" w:rsidRPr="0077236D" w:rsidRDefault="0077236D" w:rsidP="0077236D">
      <w:pPr>
        <w:autoSpaceDE w:val="0"/>
        <w:autoSpaceDN w:val="0"/>
        <w:adjustRightInd w:val="0"/>
        <w:snapToGrid w:val="0"/>
        <w:spacing w:line="360" w:lineRule="auto"/>
        <w:ind w:firstLineChars="200" w:firstLine="480"/>
        <w:jc w:val="left"/>
        <w:rPr>
          <w:rFonts w:ascii="宋体" w:hAnsi="宋体"/>
          <w:sz w:val="24"/>
        </w:rPr>
      </w:pPr>
      <w:r w:rsidRPr="0077236D">
        <w:rPr>
          <w:rFonts w:ascii="宋体" w:hAnsi="宋体" w:hint="eastAsia"/>
          <w:sz w:val="24"/>
        </w:rPr>
        <w:t>1、托管协议的变更程序</w:t>
      </w:r>
    </w:p>
    <w:p w14:paraId="52DDFE48" w14:textId="77777777" w:rsidR="0077236D" w:rsidRDefault="0077236D" w:rsidP="0077236D">
      <w:pPr>
        <w:autoSpaceDE w:val="0"/>
        <w:autoSpaceDN w:val="0"/>
        <w:adjustRightInd w:val="0"/>
        <w:snapToGrid w:val="0"/>
        <w:spacing w:line="360" w:lineRule="auto"/>
        <w:ind w:firstLineChars="200" w:firstLine="480"/>
        <w:jc w:val="left"/>
        <w:rPr>
          <w:rFonts w:ascii="宋体" w:hAnsi="宋体"/>
          <w:sz w:val="24"/>
        </w:rPr>
      </w:pPr>
      <w:r w:rsidRPr="0077236D">
        <w:rPr>
          <w:rFonts w:ascii="宋体" w:hAnsi="宋体" w:hint="eastAsia"/>
          <w:sz w:val="24"/>
        </w:rPr>
        <w:t>本协议双方当事人经协商一致，可以对协议进行修改。修改后的新协议，其内容不得与基金合同的规定有任何冲突。基金托管协议的变更应报中国证监会备案。</w:t>
      </w:r>
    </w:p>
    <w:p w14:paraId="1F67DDD9" w14:textId="49295CE8" w:rsidR="0077236D" w:rsidRPr="0077236D" w:rsidRDefault="0077236D" w:rsidP="0077236D">
      <w:pPr>
        <w:autoSpaceDE w:val="0"/>
        <w:autoSpaceDN w:val="0"/>
        <w:adjustRightInd w:val="0"/>
        <w:snapToGrid w:val="0"/>
        <w:spacing w:line="360" w:lineRule="auto"/>
        <w:ind w:firstLineChars="200" w:firstLine="480"/>
        <w:jc w:val="left"/>
        <w:rPr>
          <w:rFonts w:ascii="宋体" w:hAnsi="宋体"/>
          <w:sz w:val="24"/>
        </w:rPr>
      </w:pPr>
      <w:r w:rsidRPr="0077236D">
        <w:rPr>
          <w:rFonts w:ascii="宋体" w:hAnsi="宋体" w:hint="eastAsia"/>
          <w:sz w:val="24"/>
        </w:rPr>
        <w:t>2、基金托管协议终止的情形</w:t>
      </w:r>
    </w:p>
    <w:p w14:paraId="6EB6A3D9" w14:textId="77777777" w:rsidR="0077236D" w:rsidRPr="0077236D" w:rsidRDefault="0077236D" w:rsidP="0077236D">
      <w:pPr>
        <w:autoSpaceDE w:val="0"/>
        <w:autoSpaceDN w:val="0"/>
        <w:adjustRightInd w:val="0"/>
        <w:snapToGrid w:val="0"/>
        <w:spacing w:line="360" w:lineRule="auto"/>
        <w:ind w:firstLineChars="200" w:firstLine="480"/>
        <w:jc w:val="left"/>
        <w:rPr>
          <w:rFonts w:ascii="宋体" w:hAnsi="宋体"/>
          <w:sz w:val="24"/>
        </w:rPr>
      </w:pPr>
      <w:r w:rsidRPr="0077236D">
        <w:rPr>
          <w:rFonts w:ascii="宋体" w:hAnsi="宋体" w:hint="eastAsia"/>
          <w:sz w:val="24"/>
        </w:rPr>
        <w:t>（1）基金合同终止；</w:t>
      </w:r>
    </w:p>
    <w:p w14:paraId="6FB8A9C0" w14:textId="77777777" w:rsidR="0077236D" w:rsidRPr="0077236D" w:rsidRDefault="0077236D" w:rsidP="0077236D">
      <w:pPr>
        <w:autoSpaceDE w:val="0"/>
        <w:autoSpaceDN w:val="0"/>
        <w:adjustRightInd w:val="0"/>
        <w:snapToGrid w:val="0"/>
        <w:spacing w:line="360" w:lineRule="auto"/>
        <w:ind w:firstLineChars="200" w:firstLine="480"/>
        <w:jc w:val="left"/>
        <w:rPr>
          <w:rFonts w:ascii="宋体" w:hAnsi="宋体"/>
          <w:sz w:val="24"/>
        </w:rPr>
      </w:pPr>
      <w:r w:rsidRPr="0077236D">
        <w:rPr>
          <w:rFonts w:ascii="宋体" w:hAnsi="宋体" w:hint="eastAsia"/>
          <w:sz w:val="24"/>
        </w:rPr>
        <w:t>（2）基金托管人解散、依法被撤销、破产或由其他基金托管人接管基金资产；</w:t>
      </w:r>
    </w:p>
    <w:p w14:paraId="1A551693" w14:textId="77777777" w:rsidR="0077236D" w:rsidRPr="0077236D" w:rsidRDefault="0077236D" w:rsidP="0077236D">
      <w:pPr>
        <w:autoSpaceDE w:val="0"/>
        <w:autoSpaceDN w:val="0"/>
        <w:adjustRightInd w:val="0"/>
        <w:snapToGrid w:val="0"/>
        <w:spacing w:line="360" w:lineRule="auto"/>
        <w:ind w:firstLineChars="200" w:firstLine="480"/>
        <w:jc w:val="left"/>
        <w:rPr>
          <w:rFonts w:ascii="宋体" w:hAnsi="宋体"/>
          <w:sz w:val="24"/>
        </w:rPr>
      </w:pPr>
      <w:r w:rsidRPr="0077236D">
        <w:rPr>
          <w:rFonts w:ascii="宋体" w:hAnsi="宋体" w:hint="eastAsia"/>
          <w:sz w:val="24"/>
        </w:rPr>
        <w:t>（3）基金管理人解散、依法被撤销、破产或由其他基金管理人接管基金管理权；</w:t>
      </w:r>
    </w:p>
    <w:p w14:paraId="60517C82" w14:textId="577C9970" w:rsidR="00FD086C" w:rsidRDefault="0077236D" w:rsidP="0077236D">
      <w:pPr>
        <w:autoSpaceDE w:val="0"/>
        <w:autoSpaceDN w:val="0"/>
        <w:adjustRightInd w:val="0"/>
        <w:snapToGrid w:val="0"/>
        <w:spacing w:line="360" w:lineRule="auto"/>
        <w:ind w:firstLineChars="200" w:firstLine="480"/>
        <w:jc w:val="left"/>
        <w:rPr>
          <w:rFonts w:ascii="宋体" w:hAnsi="宋体"/>
          <w:szCs w:val="24"/>
        </w:rPr>
      </w:pPr>
      <w:r w:rsidRPr="0077236D">
        <w:rPr>
          <w:rFonts w:ascii="宋体" w:hAnsi="宋体" w:hint="eastAsia"/>
          <w:sz w:val="24"/>
        </w:rPr>
        <w:t>（4）发生法律法规、中国证监会或基金合同规定的其他终止事项。</w:t>
      </w:r>
    </w:p>
    <w:p w14:paraId="3122773F" w14:textId="62174D1B" w:rsidR="00A37EB9" w:rsidRDefault="00A37EB9" w:rsidP="00040D5C">
      <w:pPr>
        <w:autoSpaceDE w:val="0"/>
        <w:autoSpaceDN w:val="0"/>
        <w:adjustRightInd w:val="0"/>
        <w:spacing w:line="360" w:lineRule="auto"/>
        <w:rPr>
          <w:rFonts w:ascii="宋体" w:hAnsi="宋体"/>
          <w:szCs w:val="24"/>
        </w:rPr>
      </w:pPr>
    </w:p>
    <w:p w14:paraId="12457492" w14:textId="32F5E278" w:rsidR="00FD086C" w:rsidRDefault="0077236D">
      <w:pPr>
        <w:pStyle w:val="1"/>
        <w:snapToGrid w:val="0"/>
        <w:spacing w:beforeLines="0" w:before="240" w:after="240"/>
        <w:rPr>
          <w:rFonts w:ascii="宋体" w:hAnsi="宋体"/>
          <w:szCs w:val="30"/>
        </w:rPr>
      </w:pPr>
      <w:r>
        <w:rPr>
          <w:rFonts w:ascii="Times New Roman" w:hAnsi="Times New Roman"/>
          <w:sz w:val="30"/>
        </w:rPr>
        <w:br w:type="page"/>
      </w:r>
      <w:bookmarkStart w:id="40" w:name="_Toc147840639"/>
      <w:r w:rsidR="004B071E">
        <w:rPr>
          <w:rFonts w:ascii="Times New Roman" w:hAnsi="Times New Roman"/>
          <w:sz w:val="30"/>
        </w:rPr>
        <w:lastRenderedPageBreak/>
        <w:t>二十</w:t>
      </w:r>
      <w:r w:rsidR="00010049">
        <w:rPr>
          <w:rFonts w:ascii="Times New Roman" w:hAnsi="Times New Roman"/>
          <w:sz w:val="30"/>
        </w:rPr>
        <w:t>一</w:t>
      </w:r>
      <w:r w:rsidR="004B071E">
        <w:rPr>
          <w:rFonts w:ascii="Times New Roman" w:hAnsi="Times New Roman"/>
          <w:sz w:val="30"/>
        </w:rPr>
        <w:t>、对基金份额持有人的服务</w:t>
      </w:r>
      <w:bookmarkEnd w:id="40"/>
    </w:p>
    <w:p w14:paraId="0D95BFDC"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基金管理人承诺为基金份额持有人提供一系列的服务。基金管理人根据基金份额持有人的需要和市场的变化，有权增加或变更服务项目。主要服务内容如下：</w:t>
      </w:r>
    </w:p>
    <w:p w14:paraId="2F60ED2B" w14:textId="77777777" w:rsidR="0077236D" w:rsidRDefault="0077236D" w:rsidP="0077236D">
      <w:pPr>
        <w:widowControl/>
        <w:adjustRightInd w:val="0"/>
        <w:snapToGrid w:val="0"/>
        <w:spacing w:line="360" w:lineRule="auto"/>
        <w:ind w:firstLineChars="200" w:firstLine="482"/>
        <w:rPr>
          <w:rFonts w:hAnsi="宋体"/>
          <w:b/>
          <w:kern w:val="0"/>
          <w:sz w:val="24"/>
        </w:rPr>
      </w:pPr>
      <w:r>
        <w:rPr>
          <w:rFonts w:hAnsi="宋体"/>
          <w:b/>
          <w:kern w:val="0"/>
          <w:sz w:val="24"/>
        </w:rPr>
        <w:t>（一）</w:t>
      </w:r>
      <w:r>
        <w:rPr>
          <w:rFonts w:hAnsi="宋体" w:hint="eastAsia"/>
          <w:b/>
          <w:kern w:val="0"/>
          <w:sz w:val="24"/>
        </w:rPr>
        <w:t>基金募集客户服务相关准备工作</w:t>
      </w:r>
    </w:p>
    <w:p w14:paraId="34776583" w14:textId="77777777" w:rsidR="0077236D" w:rsidRDefault="0077236D" w:rsidP="0077236D">
      <w:pPr>
        <w:widowControl/>
        <w:adjustRightInd w:val="0"/>
        <w:snapToGrid w:val="0"/>
        <w:spacing w:line="360" w:lineRule="auto"/>
        <w:ind w:firstLineChars="200" w:firstLine="480"/>
        <w:rPr>
          <w:rFonts w:hAnsi="宋体"/>
          <w:kern w:val="0"/>
          <w:sz w:val="24"/>
        </w:rPr>
      </w:pPr>
      <w:r>
        <w:rPr>
          <w:rFonts w:hAnsi="宋体" w:hint="eastAsia"/>
          <w:kern w:val="0"/>
          <w:sz w:val="24"/>
        </w:rPr>
        <w:t>基金管理人将通过客户服务电话、公司网站、手机短信及其他服务形式，向投资者提供关于基金募集的信息咨询服务，并为投资者办理基金募集相关业务提供协助。</w:t>
      </w:r>
    </w:p>
    <w:p w14:paraId="30DF80C7" w14:textId="77777777" w:rsidR="00FD086C" w:rsidRDefault="004B071E">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（二）网上直销服务</w:t>
      </w:r>
    </w:p>
    <w:p w14:paraId="2A5ED4B1" w14:textId="77777777" w:rsidR="00110F58" w:rsidRPr="00110F58" w:rsidRDefault="00110F58" w:rsidP="00110F58">
      <w:pPr>
        <w:autoSpaceDE w:val="0"/>
        <w:autoSpaceDN w:val="0"/>
        <w:adjustRightInd w:val="0"/>
        <w:snapToGrid w:val="0"/>
        <w:spacing w:line="360" w:lineRule="auto"/>
        <w:ind w:firstLineChars="200" w:firstLine="480"/>
        <w:jc w:val="left"/>
        <w:rPr>
          <w:rFonts w:ascii="宋体" w:hAnsi="宋体"/>
          <w:sz w:val="24"/>
        </w:rPr>
      </w:pPr>
      <w:r w:rsidRPr="00110F58">
        <w:rPr>
          <w:rFonts w:ascii="宋体" w:hAnsi="宋体" w:hint="eastAsia"/>
          <w:sz w:val="24"/>
        </w:rPr>
        <w:t>本基金管理人已开通基金网上直销服务，个人投资者可以直接通过本基金管理人的网上直销交易平台办理开户手续，并在本基金募集期间通过网上直销交易平台办理本基金的认购业务，在本基金开放日常申购和赎回等业务后通过网上直销交易平台办理本基金的申购和赎回等业务，有关详情可参见相关公告。</w:t>
      </w:r>
    </w:p>
    <w:p w14:paraId="1312572E" w14:textId="77777777" w:rsidR="00110F58" w:rsidRPr="00110F58" w:rsidRDefault="00110F58" w:rsidP="00110F58">
      <w:pPr>
        <w:autoSpaceDE w:val="0"/>
        <w:autoSpaceDN w:val="0"/>
        <w:adjustRightInd w:val="0"/>
        <w:snapToGrid w:val="0"/>
        <w:spacing w:line="360" w:lineRule="auto"/>
        <w:ind w:firstLineChars="200" w:firstLine="480"/>
        <w:jc w:val="left"/>
        <w:rPr>
          <w:rFonts w:ascii="宋体" w:hAnsi="宋体"/>
          <w:sz w:val="24"/>
        </w:rPr>
      </w:pPr>
      <w:r w:rsidRPr="00110F58">
        <w:rPr>
          <w:rFonts w:ascii="宋体" w:hAnsi="宋体" w:hint="eastAsia"/>
          <w:sz w:val="24"/>
        </w:rPr>
        <w:t>基金网上直销交易平台已开通的银行卡及各银行卡交易金额限额请参阅本基金管理人网站。</w:t>
      </w:r>
    </w:p>
    <w:p w14:paraId="54174774" w14:textId="77777777" w:rsidR="00110F58" w:rsidRDefault="00110F58">
      <w:pPr>
        <w:autoSpaceDE w:val="0"/>
        <w:autoSpaceDN w:val="0"/>
        <w:adjustRightInd w:val="0"/>
        <w:snapToGrid w:val="0"/>
        <w:spacing w:line="360" w:lineRule="auto"/>
        <w:ind w:firstLineChars="200" w:firstLine="480"/>
        <w:jc w:val="left"/>
        <w:rPr>
          <w:rFonts w:ascii="宋体" w:hAnsi="宋体"/>
          <w:sz w:val="24"/>
        </w:rPr>
      </w:pPr>
      <w:r w:rsidRPr="00110F58">
        <w:rPr>
          <w:rFonts w:ascii="宋体" w:hAnsi="宋体" w:hint="eastAsia"/>
          <w:sz w:val="24"/>
        </w:rPr>
        <w:t>在条件成熟的时候，本基金管理人将根据基金网上直销业务的发展状况，适时调整可用于网上直销交易平台的银行卡种类，敬请投资人留意相关公告。</w:t>
      </w:r>
    </w:p>
    <w:p w14:paraId="4F98D65D" w14:textId="77777777" w:rsidR="00FD086C" w:rsidRDefault="004B071E">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（三）信息咨询、查询服务</w:t>
      </w:r>
    </w:p>
    <w:p w14:paraId="35649988"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投资人如果想查询基金账户余额、基金产品与服务等信息，请拨打本基金管理人客户服务电话（400-700-5000，021-61055000）或登录本基金管理人网站（www.fund001.com）进行咨询、查询。</w:t>
      </w:r>
    </w:p>
    <w:p w14:paraId="6F62D7E3"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管理人为投资人预设基金查询密码，预设的基金查询密码为投资人开户证件号码的后6位数字，不足6位数字的，前面加“0”补足。基金查询密码用于投资人通过客户服务电话查询基金账户下的账户和交易信息。投资人请在其知晓基金账号后，及时拨打本基金管理人客户服务电话修改基金查询密码。</w:t>
      </w:r>
    </w:p>
    <w:p w14:paraId="3E01055E"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投资人可以拨打本基金管理人客户服务电话投诉直销机构的人员和服务。</w:t>
      </w:r>
    </w:p>
    <w:p w14:paraId="4837C230" w14:textId="77777777" w:rsidR="00FD086C" w:rsidRDefault="004B071E">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（四）基金红利再投资</w:t>
      </w:r>
    </w:p>
    <w:p w14:paraId="65F43A6E" w14:textId="77777777" w:rsidR="001308CC" w:rsidRDefault="001308CC" w:rsidP="001308CC">
      <w:pPr>
        <w:widowControl/>
        <w:adjustRightInd w:val="0"/>
        <w:snapToGrid w:val="0"/>
        <w:spacing w:line="360" w:lineRule="auto"/>
        <w:ind w:firstLineChars="200" w:firstLine="480"/>
        <w:rPr>
          <w:kern w:val="0"/>
          <w:sz w:val="24"/>
        </w:rPr>
      </w:pPr>
      <w:r>
        <w:rPr>
          <w:kern w:val="0"/>
          <w:sz w:val="24"/>
        </w:rPr>
        <w:t>本基金收益分配时，</w:t>
      </w:r>
      <w:r>
        <w:rPr>
          <w:rFonts w:hint="eastAsia"/>
          <w:kern w:val="0"/>
          <w:sz w:val="24"/>
        </w:rPr>
        <w:t>基金份额持有人持有的基金份额可选择现金红利或选择红利再投将现金红利自动转为相应类别的基金份额进行再投资，若投资人不选择，本</w:t>
      </w:r>
      <w:r>
        <w:rPr>
          <w:rFonts w:hint="eastAsia"/>
          <w:kern w:val="0"/>
          <w:sz w:val="24"/>
        </w:rPr>
        <w:lastRenderedPageBreak/>
        <w:t>基金默认的收益分配方式是现金分红。再投资红利按红利再投日（即除息日）除息后的基金份额净值自动转为相应类别的基金份额，并免收申购费用。</w:t>
      </w:r>
    </w:p>
    <w:p w14:paraId="053F7AC6" w14:textId="77777777" w:rsidR="00FD086C" w:rsidRDefault="004B071E">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（五）定期定额投资计划</w:t>
      </w:r>
    </w:p>
    <w:p w14:paraId="675F21C4" w14:textId="77777777" w:rsidR="00110F58" w:rsidRDefault="00110F58" w:rsidP="00110F58">
      <w:pPr>
        <w:widowControl/>
        <w:adjustRightInd w:val="0"/>
        <w:snapToGrid w:val="0"/>
        <w:spacing w:line="360" w:lineRule="auto"/>
        <w:ind w:firstLineChars="200" w:firstLine="480"/>
        <w:rPr>
          <w:kern w:val="0"/>
          <w:sz w:val="24"/>
        </w:rPr>
      </w:pPr>
      <w:r>
        <w:rPr>
          <w:kern w:val="0"/>
          <w:sz w:val="24"/>
        </w:rPr>
        <w:t>待技术条件成熟时，基金</w:t>
      </w:r>
      <w:bookmarkStart w:id="41" w:name="OLE_LINK11"/>
      <w:r>
        <w:rPr>
          <w:kern w:val="0"/>
          <w:sz w:val="24"/>
        </w:rPr>
        <w:t>管理人可通过销售机构为投资人提供定期定额投资的服务。通过定期定额</w:t>
      </w:r>
      <w:bookmarkEnd w:id="41"/>
      <w:r>
        <w:rPr>
          <w:kern w:val="0"/>
          <w:sz w:val="24"/>
        </w:rPr>
        <w:t>投资计划，投资人可以定期定额申购基金份额，具体实施方法另行公告。</w:t>
      </w:r>
    </w:p>
    <w:p w14:paraId="44AC1E27"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服务联系方式：</w:t>
      </w:r>
    </w:p>
    <w:p w14:paraId="1A0D99CF"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本基金管理人的互联网地址及电子信箱</w:t>
      </w:r>
    </w:p>
    <w:p w14:paraId="16D2534C"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网址：www.fund001.com</w:t>
      </w:r>
    </w:p>
    <w:p w14:paraId="1DD24DD3"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电子信箱：services@jysld.com</w:t>
      </w:r>
    </w:p>
    <w:p w14:paraId="28004882"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投资者也可登录本基金管理人网站，直接提出有关本基金的问题和建议。</w:t>
      </w:r>
    </w:p>
    <w:p w14:paraId="2DEA6730" w14:textId="77777777" w:rsidR="00FD086C" w:rsidRDefault="004B071E">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（六）如本招募说明书存在任何您/贵机构无法理解的内容，请通过上述方式联系基金管理人。请确保投资前，您/贵机构已经全面理解了本招募说明书。</w:t>
      </w:r>
    </w:p>
    <w:p w14:paraId="4ECC24A8" w14:textId="07B8D1F8" w:rsidR="00A37EB9" w:rsidRDefault="004B071E" w:rsidP="00040D5C">
      <w:pPr>
        <w:autoSpaceDE w:val="0"/>
        <w:autoSpaceDN w:val="0"/>
        <w:adjustRightInd w:val="0"/>
        <w:spacing w:line="360" w:lineRule="auto"/>
        <w:rPr>
          <w:rFonts w:ascii="宋体" w:hAnsi="宋体"/>
          <w:szCs w:val="24"/>
        </w:rPr>
      </w:pPr>
      <w:r>
        <w:rPr>
          <w:rFonts w:ascii="宋体" w:hAnsi="宋体"/>
          <w:sz w:val="24"/>
        </w:rPr>
        <w:br w:type="page"/>
      </w:r>
    </w:p>
    <w:p w14:paraId="08E6059B" w14:textId="585BBA62" w:rsidR="00A7681A" w:rsidRDefault="004B071E">
      <w:pPr>
        <w:pStyle w:val="1"/>
        <w:snapToGrid w:val="0"/>
        <w:spacing w:beforeLines="0" w:before="240" w:after="240"/>
        <w:rPr>
          <w:rFonts w:ascii="Times New Roman" w:hAnsi="Times New Roman"/>
          <w:sz w:val="30"/>
        </w:rPr>
      </w:pPr>
      <w:bookmarkStart w:id="42" w:name="_Toc147840640"/>
      <w:r>
        <w:rPr>
          <w:rFonts w:ascii="Times New Roman" w:hAnsi="Times New Roman"/>
          <w:sz w:val="30"/>
        </w:rPr>
        <w:lastRenderedPageBreak/>
        <w:t>二十</w:t>
      </w:r>
      <w:r w:rsidR="00010049">
        <w:rPr>
          <w:rFonts w:ascii="Times New Roman" w:hAnsi="Times New Roman" w:hint="eastAsia"/>
          <w:sz w:val="30"/>
        </w:rPr>
        <w:t>二</w:t>
      </w:r>
      <w:r>
        <w:rPr>
          <w:rFonts w:ascii="Times New Roman" w:hAnsi="Times New Roman"/>
          <w:sz w:val="30"/>
        </w:rPr>
        <w:t>、</w:t>
      </w:r>
      <w:r w:rsidR="00A7681A">
        <w:rPr>
          <w:rFonts w:ascii="Times New Roman" w:hAnsi="Times New Roman"/>
          <w:sz w:val="30"/>
        </w:rPr>
        <w:t>其他应披露事项</w:t>
      </w:r>
      <w:bookmarkEnd w:id="42"/>
    </w:p>
    <w:p w14:paraId="11B22B10" w14:textId="77777777" w:rsidR="00A7681A" w:rsidRDefault="00A7681A" w:rsidP="00A7681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基金合同如有未尽事宜，由基金合同当事人各方按有关法律法规协商解决。</w:t>
      </w:r>
    </w:p>
    <w:p w14:paraId="00EF9120" w14:textId="07C270AC" w:rsidR="007E11E7" w:rsidRDefault="007E11E7">
      <w:pPr>
        <w:widowControl/>
        <w:jc w:val="left"/>
      </w:pPr>
      <w:r>
        <w:br w:type="page"/>
      </w:r>
    </w:p>
    <w:p w14:paraId="49693E6A" w14:textId="77777777" w:rsidR="00A7681A" w:rsidRPr="00040D5C" w:rsidRDefault="00A7681A" w:rsidP="00040D5C"/>
    <w:p w14:paraId="08A70F5F" w14:textId="179F1F0F" w:rsidR="00FD086C" w:rsidRDefault="00A7681A">
      <w:pPr>
        <w:pStyle w:val="1"/>
        <w:snapToGrid w:val="0"/>
        <w:spacing w:beforeLines="0" w:before="240" w:after="240"/>
        <w:rPr>
          <w:rFonts w:ascii="宋体" w:hAnsi="宋体"/>
          <w:szCs w:val="30"/>
        </w:rPr>
      </w:pPr>
      <w:bookmarkStart w:id="43" w:name="_Toc147840641"/>
      <w:r>
        <w:rPr>
          <w:rFonts w:ascii="Times New Roman" w:hAnsi="Times New Roman" w:hint="eastAsia"/>
          <w:sz w:val="30"/>
        </w:rPr>
        <w:t>二十三、</w:t>
      </w:r>
      <w:r w:rsidR="004B071E">
        <w:rPr>
          <w:rFonts w:ascii="Times New Roman" w:hAnsi="Times New Roman"/>
          <w:sz w:val="30"/>
        </w:rPr>
        <w:t>招募说明书的存放及查阅方式</w:t>
      </w:r>
      <w:bookmarkEnd w:id="43"/>
    </w:p>
    <w:p w14:paraId="0C057280" w14:textId="7F1075E9"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招募说明书存放在基金管理人、基金托管人和基金销售机构的办公场所，投资人可在办公时间查阅；投资人在支付工本费后，可在合理时间内取得上述文件复制件或复印件。对投资人按此种方式所获得的文件及其复印件，基金管理人和基金托管人保证文本的内容与所公告的内容完全一致。</w:t>
      </w:r>
    </w:p>
    <w:p w14:paraId="48065AD0"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投资人还可以直接登录基金管理人的网站(www.fund001.com)查阅和下载招募说明书。</w:t>
      </w:r>
    </w:p>
    <w:p w14:paraId="36D6ADE3" w14:textId="77777777" w:rsidR="00A37EB9" w:rsidRDefault="004B071E" w:rsidP="00A37EB9">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64D9AC83" w14:textId="4CEEDD8B" w:rsidR="00FD086C" w:rsidRDefault="004B071E">
      <w:pPr>
        <w:pStyle w:val="1"/>
        <w:snapToGrid w:val="0"/>
        <w:spacing w:beforeLines="0" w:before="240" w:after="240"/>
        <w:rPr>
          <w:rFonts w:ascii="宋体" w:hAnsi="宋体"/>
          <w:szCs w:val="30"/>
        </w:rPr>
      </w:pPr>
      <w:bookmarkStart w:id="44" w:name="_Toc147840642"/>
      <w:r>
        <w:rPr>
          <w:rFonts w:ascii="Times New Roman" w:hAnsi="Times New Roman"/>
          <w:sz w:val="30"/>
        </w:rPr>
        <w:lastRenderedPageBreak/>
        <w:t>二十</w:t>
      </w:r>
      <w:r w:rsidR="007E11E7">
        <w:rPr>
          <w:rFonts w:ascii="Times New Roman" w:hAnsi="Times New Roman" w:hint="eastAsia"/>
          <w:sz w:val="30"/>
        </w:rPr>
        <w:t>四</w:t>
      </w:r>
      <w:r>
        <w:rPr>
          <w:rFonts w:ascii="Times New Roman" w:hAnsi="Times New Roman"/>
          <w:sz w:val="30"/>
        </w:rPr>
        <w:t>、备查文件</w:t>
      </w:r>
      <w:bookmarkEnd w:id="44"/>
    </w:p>
    <w:p w14:paraId="0DBC0FA2"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以下备查文件存放在基金管理人的办公场所，在办公时间可供免费查阅。</w:t>
      </w:r>
    </w:p>
    <w:p w14:paraId="02B07EDD" w14:textId="0FD575CB"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（一）中国证监会准予交银施罗德</w:t>
      </w:r>
      <w:r w:rsidR="00CC5C02">
        <w:rPr>
          <w:rFonts w:ascii="宋体" w:hAnsi="宋体"/>
          <w:sz w:val="24"/>
        </w:rPr>
        <w:t>中证红利低波动100指数型</w:t>
      </w:r>
      <w:r>
        <w:rPr>
          <w:rFonts w:ascii="宋体" w:hAnsi="宋体"/>
          <w:sz w:val="24"/>
        </w:rPr>
        <w:t>证券投资基金募集注册的文件</w:t>
      </w:r>
    </w:p>
    <w:p w14:paraId="47FFA2ED" w14:textId="07DB4004"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（二）《交银施罗德</w:t>
      </w:r>
      <w:r w:rsidR="00CC5C02">
        <w:rPr>
          <w:rFonts w:ascii="宋体" w:hAnsi="宋体"/>
          <w:sz w:val="24"/>
        </w:rPr>
        <w:t>中证红利低波动100指数型</w:t>
      </w:r>
      <w:r>
        <w:rPr>
          <w:rFonts w:ascii="宋体" w:hAnsi="宋体"/>
          <w:sz w:val="24"/>
        </w:rPr>
        <w:t>证券投资基金基金合同》</w:t>
      </w:r>
    </w:p>
    <w:p w14:paraId="351A323F" w14:textId="54B55394"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（三）《交银施罗德</w:t>
      </w:r>
      <w:r w:rsidR="00CC5C02">
        <w:rPr>
          <w:rFonts w:ascii="宋体" w:hAnsi="宋体"/>
          <w:sz w:val="24"/>
        </w:rPr>
        <w:t>中证红利低波动100指数型</w:t>
      </w:r>
      <w:r>
        <w:rPr>
          <w:rFonts w:ascii="宋体" w:hAnsi="宋体"/>
          <w:sz w:val="24"/>
        </w:rPr>
        <w:t>证券投资基金托管协议》</w:t>
      </w:r>
    </w:p>
    <w:p w14:paraId="490664B1"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（四）基金管理人业务资格批件、营业执照</w:t>
      </w:r>
    </w:p>
    <w:p w14:paraId="1551B0EC" w14:textId="77777777"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（五）基金托管人业务资格批件、营业执照</w:t>
      </w:r>
    </w:p>
    <w:p w14:paraId="79FD004F" w14:textId="2CD9E5D1" w:rsidR="00FD086C" w:rsidRDefault="004B07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（六）关于申请募集注册交银施罗德</w:t>
      </w:r>
      <w:r w:rsidR="00CC5C02">
        <w:rPr>
          <w:rFonts w:ascii="宋体" w:hAnsi="宋体"/>
          <w:sz w:val="24"/>
        </w:rPr>
        <w:t>中证红利低波动100指数型</w:t>
      </w:r>
      <w:r>
        <w:rPr>
          <w:rFonts w:ascii="宋体" w:hAnsi="宋体"/>
          <w:sz w:val="24"/>
        </w:rPr>
        <w:t>证券投资基金的法律意见书</w:t>
      </w:r>
    </w:p>
    <w:sectPr w:rsidR="00FD086C">
      <w:footerReference w:type="default" r:id="rId15"/>
      <w:pgSz w:w="11920" w:h="16840"/>
      <w:pgMar w:top="1360" w:right="1580" w:bottom="280" w:left="1680" w:header="0" w:footer="1186"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5EEBF43" w16cid:durableId="28D3EE2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2590E3" w14:textId="77777777" w:rsidR="00B00B45" w:rsidRDefault="00B00B45">
      <w:r>
        <w:separator/>
      </w:r>
    </w:p>
  </w:endnote>
  <w:endnote w:type="continuationSeparator" w:id="0">
    <w:p w14:paraId="0D6DE62A" w14:textId="77777777" w:rsidR="00B00B45" w:rsidRDefault="00B00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DEF7E5" w14:textId="130C7876" w:rsidR="00AA0D85" w:rsidRDefault="00AA0D85">
    <w:pPr>
      <w:autoSpaceDE w:val="0"/>
      <w:autoSpaceDN w:val="0"/>
      <w:adjustRightInd w:val="0"/>
      <w:spacing w:line="200" w:lineRule="exact"/>
      <w:jc w:val="left"/>
      <w:rPr>
        <w:rFonts w:ascii="Times New Roman" w:hAnsi="Times New Roman"/>
        <w:kern w:val="0"/>
        <w:sz w:val="20"/>
        <w:szCs w:val="20"/>
      </w:rPr>
    </w:pPr>
    <w:r>
      <w:rPr>
        <w:noProof/>
      </w:rPr>
      <mc:AlternateContent>
        <mc:Choice Requires="wps">
          <w:drawing>
            <wp:anchor distT="0" distB="0" distL="114300" distR="114300" simplePos="0" relativeHeight="251658752" behindDoc="1" locked="0" layoutInCell="0" allowOverlap="1" wp14:anchorId="20DBAACA" wp14:editId="469D13C6">
              <wp:simplePos x="0" y="0"/>
              <wp:positionH relativeFrom="page">
                <wp:posOffset>3726180</wp:posOffset>
              </wp:positionH>
              <wp:positionV relativeFrom="page">
                <wp:posOffset>9939020</wp:posOffset>
              </wp:positionV>
              <wp:extent cx="274320" cy="1397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D69E1F" w14:textId="7BB7F182" w:rsidR="00AA0D85" w:rsidRDefault="00AA0D85">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14768F">
                            <w:rPr>
                              <w:rFonts w:ascii="Times New Roman" w:hAnsi="Times New Roman"/>
                              <w:noProof/>
                              <w:kern w:val="0"/>
                              <w:sz w:val="18"/>
                              <w:szCs w:val="18"/>
                            </w:rPr>
                            <w:t>4</w:t>
                          </w:r>
                          <w:r>
                            <w:rPr>
                              <w:rFonts w:ascii="Times New Roman" w:hAnsi="Times New Roman"/>
                              <w:kern w:val="0"/>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DBAACA" id="_x0000_t202" coordsize="21600,21600" o:spt="202" path="m,l,21600r21600,l21600,xe">
              <v:stroke joinstyle="miter"/>
              <v:path gradientshapeok="t" o:connecttype="rect"/>
            </v:shapetype>
            <v:shape id="Text Box 1" o:spid="_x0000_s1026" type="#_x0000_t202" style="position:absolute;margin-left:293.4pt;margin-top:782.6pt;width:21.6pt;height:1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" o:allowincell="f" filled="f" stroked="f">
              <v:textbox inset="0,0,0,0">
                <w:txbxContent>
                  <w:p w14:paraId="59D69E1F" w14:textId="7BB7F182" w:rsidR="00AA0D85" w:rsidRDefault="00AA0D85">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14768F">
                      <w:rPr>
                        <w:rFonts w:ascii="Times New Roman" w:hAnsi="Times New Roman"/>
                        <w:noProof/>
                        <w:kern w:val="0"/>
                        <w:sz w:val="18"/>
                        <w:szCs w:val="18"/>
                      </w:rPr>
                      <w:t>4</w:t>
                    </w:r>
                    <w:r>
                      <w:rPr>
                        <w:rFonts w:ascii="Times New Roman" w:hAnsi="Times New Roman"/>
                        <w:kern w:val="0"/>
                        <w:sz w:val="18"/>
                        <w:szCs w:val="18"/>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90ED25" w14:textId="574235BD" w:rsidR="00AA0D85" w:rsidRDefault="00AA0D85">
    <w:pPr>
      <w:autoSpaceDE w:val="0"/>
      <w:autoSpaceDN w:val="0"/>
      <w:adjustRightInd w:val="0"/>
      <w:spacing w:line="200" w:lineRule="exact"/>
      <w:jc w:val="left"/>
      <w:rPr>
        <w:rFonts w:ascii="Times New Roman" w:hAnsi="Times New Roman"/>
        <w:kern w:val="0"/>
        <w:sz w:val="20"/>
        <w:szCs w:val="20"/>
      </w:rPr>
    </w:pPr>
    <w:r>
      <w:rPr>
        <w:noProof/>
      </w:rPr>
      <mc:AlternateContent>
        <mc:Choice Requires="wps">
          <w:drawing>
            <wp:anchor distT="0" distB="0" distL="114300" distR="114300" simplePos="0" relativeHeight="251659776" behindDoc="1" locked="0" layoutInCell="0" allowOverlap="1" wp14:anchorId="7DF92392" wp14:editId="0FF22355">
              <wp:simplePos x="0" y="0"/>
              <wp:positionH relativeFrom="page">
                <wp:posOffset>3698875</wp:posOffset>
              </wp:positionH>
              <wp:positionV relativeFrom="page">
                <wp:posOffset>9827895</wp:posOffset>
              </wp:positionV>
              <wp:extent cx="425450" cy="139700"/>
              <wp:effectExtent l="0" t="0" r="0" b="0"/>
              <wp:wrapNone/>
              <wp:docPr id="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4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92C3E7" w14:textId="3DABBD71" w:rsidR="00AA0D85" w:rsidRDefault="00AA0D85">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14768F">
                            <w:rPr>
                              <w:rFonts w:ascii="Times New Roman" w:hAnsi="Times New Roman"/>
                              <w:noProof/>
                              <w:kern w:val="0"/>
                              <w:sz w:val="18"/>
                              <w:szCs w:val="18"/>
                            </w:rPr>
                            <w:t>5</w:t>
                          </w:r>
                          <w:r>
                            <w:rPr>
                              <w:rFonts w:ascii="Times New Roman" w:hAnsi="Times New Roman"/>
                              <w:kern w:val="0"/>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F92392" id="_x0000_t202" coordsize="21600,21600" o:spt="202" path="m,l,21600r21600,l21600,xe">
              <v:stroke joinstyle="miter"/>
              <v:path gradientshapeok="t" o:connecttype="rect"/>
            </v:shapetype>
            <v:shape id="Text Box 20" o:spid="_x0000_s1027" type="#_x0000_t202" style="position:absolute;margin-left:291.25pt;margin-top:773.85pt;width:33.5pt;height:11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" o:allowincell="f" filled="f" stroked="f">
              <v:textbox inset="0,0,0,0">
                <w:txbxContent>
                  <w:p w14:paraId="6A92C3E7" w14:textId="3DABBD71" w:rsidR="00AA0D85" w:rsidRDefault="00AA0D85">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14768F">
                      <w:rPr>
                        <w:rFonts w:ascii="Times New Roman" w:hAnsi="Times New Roman"/>
                        <w:noProof/>
                        <w:kern w:val="0"/>
                        <w:sz w:val="18"/>
                        <w:szCs w:val="18"/>
                      </w:rPr>
                      <w:t>5</w:t>
                    </w:r>
                    <w:r>
                      <w:rPr>
                        <w:rFonts w:ascii="Times New Roman" w:hAnsi="Times New Roman"/>
                        <w:kern w:val="0"/>
                        <w:sz w:val="18"/>
                        <w:szCs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EB57FD" w14:textId="77777777" w:rsidR="00B00B45" w:rsidRDefault="00B00B45">
      <w:r>
        <w:separator/>
      </w:r>
    </w:p>
  </w:footnote>
  <w:footnote w:type="continuationSeparator" w:id="0">
    <w:p w14:paraId="3A3C91BE" w14:textId="77777777" w:rsidR="00B00B45" w:rsidRDefault="00B00B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D9761E" w14:textId="2714D03F" w:rsidR="00AA0D85" w:rsidRDefault="00AA0D85">
    <w:pPr>
      <w:pStyle w:val="a3"/>
      <w:jc w:val="right"/>
    </w:pPr>
    <w:r>
      <w:rPr>
        <w:noProof/>
      </w:rPr>
      <w:drawing>
        <wp:anchor distT="0" distB="0" distL="114300" distR="114300" simplePos="0" relativeHeight="251655680" behindDoc="0" locked="0" layoutInCell="1" allowOverlap="1" wp14:anchorId="011BC185" wp14:editId="22FB8B1E">
          <wp:simplePos x="0" y="0"/>
          <wp:positionH relativeFrom="column">
            <wp:posOffset>19050</wp:posOffset>
          </wp:positionH>
          <wp:positionV relativeFrom="paragraph">
            <wp:posOffset>-152400</wp:posOffset>
          </wp:positionV>
          <wp:extent cx="1714500" cy="238125"/>
          <wp:effectExtent l="0" t="0" r="0" b="0"/>
          <wp:wrapNone/>
          <wp:docPr id="23" name="图片 3"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pic:spPr>
              </pic:pic>
            </a:graphicData>
          </a:graphic>
          <wp14:sizeRelH relativeFrom="page">
            <wp14:pctWidth>0</wp14:pctWidth>
          </wp14:sizeRelH>
          <wp14:sizeRelV relativeFrom="page">
            <wp14:pctHeight>0</wp14:pctHeight>
          </wp14:sizeRelV>
        </wp:anchor>
      </w:drawing>
    </w:r>
  </w:p>
  <w:p w14:paraId="6A95226E" w14:textId="77777777" w:rsidR="00AA0D85" w:rsidRDefault="00AA0D85">
    <w:pPr>
      <w:pStyle w:val="a3"/>
      <w:jc w:val="right"/>
      <w:rPr>
        <w:rFonts w:ascii="宋体" w:hAnsi="宋体"/>
      </w:rPr>
    </w:pPr>
    <w:r>
      <w:rPr>
        <w:rFonts w:ascii="宋体" w:hAnsi="宋体" w:hint="eastAsia"/>
      </w:rPr>
      <w:t>交银施罗德创业板50指数型证券投资基金(更新)招募说明书(2022年第1号)</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0DCCD2" w14:textId="77777777" w:rsidR="00AA0D85" w:rsidRDefault="00AA0D85">
    <w:pPr>
      <w:pStyle w:val="11"/>
      <w:jc w:val="right"/>
    </w:pPr>
  </w:p>
  <w:p w14:paraId="07774E10" w14:textId="77777777" w:rsidR="00AA0D85" w:rsidRDefault="00AA0D85">
    <w:pPr>
      <w:pStyle w:val="11"/>
      <w:jc w:val="right"/>
    </w:pPr>
  </w:p>
  <w:p w14:paraId="06FA7104" w14:textId="77777777" w:rsidR="00AA0D85" w:rsidRDefault="00AA0D85">
    <w:pPr>
      <w:pStyle w:val="a3"/>
      <w:jc w:val="right"/>
    </w:pPr>
  </w:p>
  <w:p w14:paraId="50CE5894" w14:textId="43AE7136" w:rsidR="00AA0D85" w:rsidRDefault="00AA0D85">
    <w:pPr>
      <w:pStyle w:val="a3"/>
      <w:jc w:val="right"/>
    </w:pPr>
    <w:r>
      <w:rPr>
        <w:noProof/>
      </w:rPr>
      <w:drawing>
        <wp:anchor distT="0" distB="0" distL="114300" distR="114300" simplePos="0" relativeHeight="251656704" behindDoc="0" locked="0" layoutInCell="1" allowOverlap="1" wp14:anchorId="2633C5F3" wp14:editId="6DCBEF76">
          <wp:simplePos x="0" y="0"/>
          <wp:positionH relativeFrom="column">
            <wp:posOffset>19050</wp:posOffset>
          </wp:positionH>
          <wp:positionV relativeFrom="paragraph">
            <wp:posOffset>-152400</wp:posOffset>
          </wp:positionV>
          <wp:extent cx="1714500" cy="238125"/>
          <wp:effectExtent l="0" t="0" r="0" b="0"/>
          <wp:wrapNone/>
          <wp:docPr id="2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pic:spPr>
              </pic:pic>
            </a:graphicData>
          </a:graphic>
          <wp14:sizeRelH relativeFrom="page">
            <wp14:pctWidth>0</wp14:pctWidth>
          </wp14:sizeRelH>
          <wp14:sizeRelV relativeFrom="page">
            <wp14:pctHeight>0</wp14:pctHeight>
          </wp14:sizeRelV>
        </wp:anchor>
      </w:drawing>
    </w:r>
  </w:p>
  <w:p w14:paraId="17291377" w14:textId="7C4F3629" w:rsidR="00AA0D85" w:rsidRDefault="00AA0D85">
    <w:pPr>
      <w:pStyle w:val="a3"/>
      <w:jc w:val="right"/>
      <w:rPr>
        <w:rFonts w:ascii="宋体" w:hAnsi="宋体"/>
      </w:rPr>
    </w:pPr>
    <w:r>
      <w:rPr>
        <w:rFonts w:ascii="宋体" w:hAnsi="宋体" w:hint="eastAsia"/>
      </w:rPr>
      <w:t>交银施罗德</w:t>
    </w:r>
    <w:r w:rsidRPr="00710D56">
      <w:rPr>
        <w:rFonts w:ascii="宋体" w:hAnsi="宋体" w:hint="eastAsia"/>
      </w:rPr>
      <w:t>中证红利低波动100指数型</w:t>
    </w:r>
    <w:r>
      <w:rPr>
        <w:rFonts w:ascii="宋体" w:hAnsi="宋体" w:hint="eastAsia"/>
      </w:rPr>
      <w:t>证券投资基金招募说明书</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43499A" w14:textId="77777777" w:rsidR="00AA0D85" w:rsidRDefault="00AA0D85">
    <w:pPr>
      <w:pStyle w:val="a3"/>
      <w:jc w:val="right"/>
    </w:pPr>
  </w:p>
  <w:p w14:paraId="2C6B575D" w14:textId="77777777" w:rsidR="00AA0D85" w:rsidRDefault="00AA0D85">
    <w:pPr>
      <w:pStyle w:val="a3"/>
      <w:jc w:val="right"/>
    </w:pPr>
  </w:p>
  <w:p w14:paraId="2D034A07" w14:textId="77777777" w:rsidR="00AA0D85" w:rsidRDefault="00AA0D85">
    <w:pPr>
      <w:pStyle w:val="a3"/>
      <w:jc w:val="right"/>
    </w:pPr>
  </w:p>
  <w:p w14:paraId="723BADB4" w14:textId="620D6649" w:rsidR="00AA0D85" w:rsidRDefault="00AA0D85">
    <w:pPr>
      <w:pStyle w:val="a3"/>
      <w:jc w:val="right"/>
    </w:pPr>
    <w:r>
      <w:rPr>
        <w:noProof/>
      </w:rPr>
      <w:drawing>
        <wp:anchor distT="0" distB="0" distL="114300" distR="114300" simplePos="0" relativeHeight="251657728" behindDoc="0" locked="0" layoutInCell="1" allowOverlap="1" wp14:anchorId="2B3DD3F5" wp14:editId="14AD93D7">
          <wp:simplePos x="0" y="0"/>
          <wp:positionH relativeFrom="column">
            <wp:posOffset>19050</wp:posOffset>
          </wp:positionH>
          <wp:positionV relativeFrom="paragraph">
            <wp:posOffset>-152400</wp:posOffset>
          </wp:positionV>
          <wp:extent cx="1714500" cy="238125"/>
          <wp:effectExtent l="0" t="0" r="0" b="0"/>
          <wp:wrapNone/>
          <wp:docPr id="7" name="图片 4"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pic:spPr>
              </pic:pic>
            </a:graphicData>
          </a:graphic>
          <wp14:sizeRelH relativeFrom="page">
            <wp14:pctWidth>0</wp14:pctWidth>
          </wp14:sizeRelH>
          <wp14:sizeRelV relativeFrom="page">
            <wp14:pctHeight>0</wp14:pctHeight>
          </wp14:sizeRelV>
        </wp:anchor>
      </w:drawing>
    </w:r>
  </w:p>
  <w:p w14:paraId="7683D74F" w14:textId="6215040A" w:rsidR="00AA0D85" w:rsidRDefault="00AA0D85">
    <w:pPr>
      <w:pStyle w:val="a3"/>
      <w:jc w:val="right"/>
      <w:rPr>
        <w:rFonts w:ascii="宋体" w:hAnsi="宋体"/>
      </w:rPr>
    </w:pPr>
    <w:r>
      <w:rPr>
        <w:rFonts w:ascii="宋体" w:hAnsi="宋体" w:hint="eastAsia"/>
      </w:rPr>
      <w:t>交银施罗德</w:t>
    </w:r>
    <w:r w:rsidRPr="00710D56">
      <w:rPr>
        <w:rFonts w:ascii="宋体" w:hAnsi="宋体" w:hint="eastAsia"/>
      </w:rPr>
      <w:t>中证红利低波动100指数型</w:t>
    </w:r>
    <w:r>
      <w:rPr>
        <w:rFonts w:ascii="宋体" w:hAnsi="宋体" w:hint="eastAsia"/>
      </w:rPr>
      <w:t>证券投资基金招募说明书</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7D73EE"/>
    <w:multiLevelType w:val="multilevel"/>
    <w:tmpl w:val="547D73EE"/>
    <w:lvl w:ilvl="0">
      <w:start w:val="1"/>
      <w:numFmt w:val="decimal"/>
      <w:pStyle w:val="XBRLTitle1"/>
      <w:suff w:val="space"/>
      <w:lvlText w:val="§%1"/>
      <w:lvlJc w:val="left"/>
      <w:pPr>
        <w:ind w:left="425" w:hanging="425"/>
      </w:pPr>
      <w:rPr>
        <w:rFonts w:hint="eastAsia"/>
      </w:rPr>
    </w:lvl>
    <w:lvl w:ilvl="1">
      <w:start w:val="1"/>
      <w:numFmt w:val="decimal"/>
      <w:pStyle w:val="XBRLTitle2"/>
      <w:suff w:val="space"/>
      <w:lvlText w:val="%1.%2"/>
      <w:lvlJc w:val="left"/>
      <w:pPr>
        <w:ind w:left="738" w:hanging="454"/>
      </w:pPr>
      <w:rPr>
        <w:rFonts w:hint="eastAsia"/>
      </w:rPr>
    </w:lvl>
    <w:lvl w:ilvl="2">
      <w:start w:val="1"/>
      <w:numFmt w:val="decimal"/>
      <w:pStyle w:val="XBRLTitle3"/>
      <w:suff w:val="space"/>
      <w:lvlText w:val="%1.%2.%3"/>
      <w:lvlJc w:val="left"/>
      <w:pPr>
        <w:ind w:left="624" w:hanging="624"/>
      </w:pPr>
    </w:lvl>
    <w:lvl w:ilvl="3">
      <w:start w:val="1"/>
      <w:numFmt w:val="decimal"/>
      <w:pStyle w:val="XBRLTitle4"/>
      <w:suff w:val="space"/>
      <w:lvlText w:val="%1.%2.%3.%4"/>
      <w:lvlJc w:val="left"/>
      <w:pPr>
        <w:ind w:left="794" w:hanging="794"/>
      </w:pPr>
      <w:rPr>
        <w:rFonts w:hint="eastAsia"/>
      </w:rPr>
    </w:lvl>
    <w:lvl w:ilvl="4">
      <w:start w:val="1"/>
      <w:numFmt w:val="decimal"/>
      <w:pStyle w:val="XBRLTitle5"/>
      <w:suff w:val="space"/>
      <w:lvlText w:val="%1.%2.%3.%4.%5"/>
      <w:lvlJc w:val="left"/>
      <w:pPr>
        <w:ind w:left="1021" w:hanging="1021"/>
      </w:pPr>
      <w:rPr>
        <w:rFonts w:hint="eastAsia"/>
      </w:rPr>
    </w:lvl>
    <w:lvl w:ilvl="5">
      <w:start w:val="1"/>
      <w:numFmt w:val="decimal"/>
      <w:pStyle w:val="XBRLTitle6"/>
      <w:suff w:val="space"/>
      <w:lvlText w:val="%1.%2.%3.%4.%5.%6"/>
      <w:lvlJc w:val="left"/>
      <w:pPr>
        <w:ind w:left="1021" w:hanging="1021"/>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trackRevisions/>
  <w:defaultTabStop w:val="720"/>
  <w:drawingGridHorizontalSpacing w:val="105"/>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0C9"/>
    <w:rsid w:val="000002A2"/>
    <w:rsid w:val="00001EEA"/>
    <w:rsid w:val="00003EC9"/>
    <w:rsid w:val="0000402D"/>
    <w:rsid w:val="0000428F"/>
    <w:rsid w:val="0000560A"/>
    <w:rsid w:val="00006994"/>
    <w:rsid w:val="00010049"/>
    <w:rsid w:val="0001266E"/>
    <w:rsid w:val="00017707"/>
    <w:rsid w:val="00025061"/>
    <w:rsid w:val="00026A29"/>
    <w:rsid w:val="00026D00"/>
    <w:rsid w:val="00027C73"/>
    <w:rsid w:val="00027F40"/>
    <w:rsid w:val="00030964"/>
    <w:rsid w:val="00030F3E"/>
    <w:rsid w:val="00035405"/>
    <w:rsid w:val="000368A2"/>
    <w:rsid w:val="00036FB6"/>
    <w:rsid w:val="00040D5C"/>
    <w:rsid w:val="00044991"/>
    <w:rsid w:val="00044AFD"/>
    <w:rsid w:val="00044E2C"/>
    <w:rsid w:val="000457B7"/>
    <w:rsid w:val="0004614E"/>
    <w:rsid w:val="00046212"/>
    <w:rsid w:val="000500B8"/>
    <w:rsid w:val="000506ED"/>
    <w:rsid w:val="0005145C"/>
    <w:rsid w:val="000543D5"/>
    <w:rsid w:val="00055792"/>
    <w:rsid w:val="00055F52"/>
    <w:rsid w:val="00061C0D"/>
    <w:rsid w:val="0006212F"/>
    <w:rsid w:val="0006220F"/>
    <w:rsid w:val="00064529"/>
    <w:rsid w:val="000647B8"/>
    <w:rsid w:val="0006506B"/>
    <w:rsid w:val="0006551A"/>
    <w:rsid w:val="000700AC"/>
    <w:rsid w:val="000705A6"/>
    <w:rsid w:val="00070712"/>
    <w:rsid w:val="000757E3"/>
    <w:rsid w:val="0007638A"/>
    <w:rsid w:val="00076B6E"/>
    <w:rsid w:val="000816EA"/>
    <w:rsid w:val="00081744"/>
    <w:rsid w:val="00081F4E"/>
    <w:rsid w:val="000828CE"/>
    <w:rsid w:val="000833CB"/>
    <w:rsid w:val="00083491"/>
    <w:rsid w:val="00084078"/>
    <w:rsid w:val="000843B3"/>
    <w:rsid w:val="000869C2"/>
    <w:rsid w:val="00087F4C"/>
    <w:rsid w:val="00090648"/>
    <w:rsid w:val="00092BD8"/>
    <w:rsid w:val="00093DFA"/>
    <w:rsid w:val="00094253"/>
    <w:rsid w:val="00095030"/>
    <w:rsid w:val="00096488"/>
    <w:rsid w:val="000A01A0"/>
    <w:rsid w:val="000A352B"/>
    <w:rsid w:val="000A46DE"/>
    <w:rsid w:val="000B0F8B"/>
    <w:rsid w:val="000B359E"/>
    <w:rsid w:val="000B3894"/>
    <w:rsid w:val="000B4E04"/>
    <w:rsid w:val="000B6AE6"/>
    <w:rsid w:val="000C1E1E"/>
    <w:rsid w:val="000C38F1"/>
    <w:rsid w:val="000C3FA1"/>
    <w:rsid w:val="000C43B9"/>
    <w:rsid w:val="000C5638"/>
    <w:rsid w:val="000C5E77"/>
    <w:rsid w:val="000C68E9"/>
    <w:rsid w:val="000D075E"/>
    <w:rsid w:val="000D0ADE"/>
    <w:rsid w:val="000D179E"/>
    <w:rsid w:val="000D66DC"/>
    <w:rsid w:val="000E0144"/>
    <w:rsid w:val="000E0E3A"/>
    <w:rsid w:val="000E1CF7"/>
    <w:rsid w:val="000E1F3B"/>
    <w:rsid w:val="000E3AB4"/>
    <w:rsid w:val="000E3BE2"/>
    <w:rsid w:val="000E7544"/>
    <w:rsid w:val="000F0C17"/>
    <w:rsid w:val="000F25D6"/>
    <w:rsid w:val="000F2904"/>
    <w:rsid w:val="000F2C75"/>
    <w:rsid w:val="000F34A1"/>
    <w:rsid w:val="000F5226"/>
    <w:rsid w:val="000F5583"/>
    <w:rsid w:val="000F6050"/>
    <w:rsid w:val="000F66FF"/>
    <w:rsid w:val="000F698D"/>
    <w:rsid w:val="000F7727"/>
    <w:rsid w:val="000F7D42"/>
    <w:rsid w:val="001008A5"/>
    <w:rsid w:val="00100C86"/>
    <w:rsid w:val="0010190D"/>
    <w:rsid w:val="0010287B"/>
    <w:rsid w:val="001068B2"/>
    <w:rsid w:val="00107CBF"/>
    <w:rsid w:val="00110F58"/>
    <w:rsid w:val="001119B8"/>
    <w:rsid w:val="0011339C"/>
    <w:rsid w:val="001135B0"/>
    <w:rsid w:val="00113FAA"/>
    <w:rsid w:val="00115AE5"/>
    <w:rsid w:val="00116489"/>
    <w:rsid w:val="0011648B"/>
    <w:rsid w:val="001166C1"/>
    <w:rsid w:val="00116874"/>
    <w:rsid w:val="001177A3"/>
    <w:rsid w:val="00117E65"/>
    <w:rsid w:val="00124000"/>
    <w:rsid w:val="00124032"/>
    <w:rsid w:val="001240EB"/>
    <w:rsid w:val="0012443D"/>
    <w:rsid w:val="00127053"/>
    <w:rsid w:val="0013066E"/>
    <w:rsid w:val="001308CC"/>
    <w:rsid w:val="0013182D"/>
    <w:rsid w:val="00131CEE"/>
    <w:rsid w:val="0013315B"/>
    <w:rsid w:val="00134FCF"/>
    <w:rsid w:val="00135AD8"/>
    <w:rsid w:val="0013630D"/>
    <w:rsid w:val="001367F2"/>
    <w:rsid w:val="00137942"/>
    <w:rsid w:val="001412E8"/>
    <w:rsid w:val="0014250F"/>
    <w:rsid w:val="00144B52"/>
    <w:rsid w:val="0014768F"/>
    <w:rsid w:val="00153D66"/>
    <w:rsid w:val="0015725E"/>
    <w:rsid w:val="00160224"/>
    <w:rsid w:val="001604D1"/>
    <w:rsid w:val="00162F69"/>
    <w:rsid w:val="00164946"/>
    <w:rsid w:val="00165756"/>
    <w:rsid w:val="00170718"/>
    <w:rsid w:val="00172505"/>
    <w:rsid w:val="001727D8"/>
    <w:rsid w:val="00173324"/>
    <w:rsid w:val="0017362C"/>
    <w:rsid w:val="0017392F"/>
    <w:rsid w:val="0018184C"/>
    <w:rsid w:val="0018198F"/>
    <w:rsid w:val="00181C62"/>
    <w:rsid w:val="00183642"/>
    <w:rsid w:val="001860C4"/>
    <w:rsid w:val="00186FAE"/>
    <w:rsid w:val="00191782"/>
    <w:rsid w:val="001917D4"/>
    <w:rsid w:val="001917FC"/>
    <w:rsid w:val="00191D7F"/>
    <w:rsid w:val="001925A2"/>
    <w:rsid w:val="00195218"/>
    <w:rsid w:val="00195AA9"/>
    <w:rsid w:val="00195D71"/>
    <w:rsid w:val="00197A55"/>
    <w:rsid w:val="00197F7E"/>
    <w:rsid w:val="001A1623"/>
    <w:rsid w:val="001A2263"/>
    <w:rsid w:val="001B2042"/>
    <w:rsid w:val="001B4531"/>
    <w:rsid w:val="001B46A1"/>
    <w:rsid w:val="001B5BDB"/>
    <w:rsid w:val="001B606D"/>
    <w:rsid w:val="001B75F9"/>
    <w:rsid w:val="001C2B9E"/>
    <w:rsid w:val="001C38DA"/>
    <w:rsid w:val="001C6EE7"/>
    <w:rsid w:val="001C700A"/>
    <w:rsid w:val="001C7800"/>
    <w:rsid w:val="001C7A48"/>
    <w:rsid w:val="001C7C12"/>
    <w:rsid w:val="001D2797"/>
    <w:rsid w:val="001D2B67"/>
    <w:rsid w:val="001D3730"/>
    <w:rsid w:val="001D41BA"/>
    <w:rsid w:val="001D433E"/>
    <w:rsid w:val="001D4727"/>
    <w:rsid w:val="001D5665"/>
    <w:rsid w:val="001D61DC"/>
    <w:rsid w:val="001D6377"/>
    <w:rsid w:val="001D68A8"/>
    <w:rsid w:val="001D6B88"/>
    <w:rsid w:val="001D6C5F"/>
    <w:rsid w:val="001D7ECC"/>
    <w:rsid w:val="001E144C"/>
    <w:rsid w:val="001E25FD"/>
    <w:rsid w:val="001E2A4F"/>
    <w:rsid w:val="001E3F8F"/>
    <w:rsid w:val="001E411E"/>
    <w:rsid w:val="001E5250"/>
    <w:rsid w:val="001E6E58"/>
    <w:rsid w:val="001F02CC"/>
    <w:rsid w:val="001F0BB5"/>
    <w:rsid w:val="001F15F4"/>
    <w:rsid w:val="001F1869"/>
    <w:rsid w:val="001F33EB"/>
    <w:rsid w:val="001F4DEA"/>
    <w:rsid w:val="001F4ECB"/>
    <w:rsid w:val="001F7353"/>
    <w:rsid w:val="00201F27"/>
    <w:rsid w:val="00201F9B"/>
    <w:rsid w:val="00203597"/>
    <w:rsid w:val="002076AC"/>
    <w:rsid w:val="00207C52"/>
    <w:rsid w:val="00212B27"/>
    <w:rsid w:val="00212BBA"/>
    <w:rsid w:val="00213A21"/>
    <w:rsid w:val="0021469C"/>
    <w:rsid w:val="00214945"/>
    <w:rsid w:val="00215523"/>
    <w:rsid w:val="00216020"/>
    <w:rsid w:val="00216962"/>
    <w:rsid w:val="00217CA4"/>
    <w:rsid w:val="00221112"/>
    <w:rsid w:val="00221A1B"/>
    <w:rsid w:val="002220A4"/>
    <w:rsid w:val="00223C19"/>
    <w:rsid w:val="00224421"/>
    <w:rsid w:val="0022608D"/>
    <w:rsid w:val="00226503"/>
    <w:rsid w:val="00226A60"/>
    <w:rsid w:val="00231B29"/>
    <w:rsid w:val="00235173"/>
    <w:rsid w:val="0023578C"/>
    <w:rsid w:val="00235AC5"/>
    <w:rsid w:val="0023744F"/>
    <w:rsid w:val="002377E0"/>
    <w:rsid w:val="00240BB6"/>
    <w:rsid w:val="002432CA"/>
    <w:rsid w:val="00243D40"/>
    <w:rsid w:val="00244341"/>
    <w:rsid w:val="00245250"/>
    <w:rsid w:val="002477CB"/>
    <w:rsid w:val="00247BF6"/>
    <w:rsid w:val="00250757"/>
    <w:rsid w:val="00250898"/>
    <w:rsid w:val="00250A33"/>
    <w:rsid w:val="00251126"/>
    <w:rsid w:val="002524D2"/>
    <w:rsid w:val="00252802"/>
    <w:rsid w:val="00252AA7"/>
    <w:rsid w:val="00257DED"/>
    <w:rsid w:val="0026167E"/>
    <w:rsid w:val="00261A50"/>
    <w:rsid w:val="002634C3"/>
    <w:rsid w:val="002648D5"/>
    <w:rsid w:val="00265B3A"/>
    <w:rsid w:val="00270419"/>
    <w:rsid w:val="0027052E"/>
    <w:rsid w:val="00271E9D"/>
    <w:rsid w:val="00271F7D"/>
    <w:rsid w:val="00274E85"/>
    <w:rsid w:val="002777F6"/>
    <w:rsid w:val="00277907"/>
    <w:rsid w:val="00280C42"/>
    <w:rsid w:val="00281B73"/>
    <w:rsid w:val="002833C9"/>
    <w:rsid w:val="00285E5C"/>
    <w:rsid w:val="00287A08"/>
    <w:rsid w:val="00290B63"/>
    <w:rsid w:val="00290E73"/>
    <w:rsid w:val="0029253F"/>
    <w:rsid w:val="00293415"/>
    <w:rsid w:val="002943F4"/>
    <w:rsid w:val="00294689"/>
    <w:rsid w:val="0029539A"/>
    <w:rsid w:val="002A1A82"/>
    <w:rsid w:val="002A2FB0"/>
    <w:rsid w:val="002A4D32"/>
    <w:rsid w:val="002A4E69"/>
    <w:rsid w:val="002A5F87"/>
    <w:rsid w:val="002B017B"/>
    <w:rsid w:val="002B0DC0"/>
    <w:rsid w:val="002B2664"/>
    <w:rsid w:val="002B4E21"/>
    <w:rsid w:val="002B5000"/>
    <w:rsid w:val="002B78AA"/>
    <w:rsid w:val="002B7B75"/>
    <w:rsid w:val="002C383C"/>
    <w:rsid w:val="002D15BB"/>
    <w:rsid w:val="002D1C13"/>
    <w:rsid w:val="002D3109"/>
    <w:rsid w:val="002D378C"/>
    <w:rsid w:val="002D6413"/>
    <w:rsid w:val="002D6F14"/>
    <w:rsid w:val="002D74D5"/>
    <w:rsid w:val="002E3060"/>
    <w:rsid w:val="002E4922"/>
    <w:rsid w:val="002E4B2C"/>
    <w:rsid w:val="002E5261"/>
    <w:rsid w:val="002F00BB"/>
    <w:rsid w:val="002F1DE7"/>
    <w:rsid w:val="002F2627"/>
    <w:rsid w:val="002F2748"/>
    <w:rsid w:val="002F2F34"/>
    <w:rsid w:val="002F4619"/>
    <w:rsid w:val="002F552F"/>
    <w:rsid w:val="002F6423"/>
    <w:rsid w:val="002F6445"/>
    <w:rsid w:val="002F6580"/>
    <w:rsid w:val="002F6DCA"/>
    <w:rsid w:val="002F6DE8"/>
    <w:rsid w:val="002F74D8"/>
    <w:rsid w:val="002F7C72"/>
    <w:rsid w:val="002F7EDC"/>
    <w:rsid w:val="002F7FA3"/>
    <w:rsid w:val="003003A8"/>
    <w:rsid w:val="0030091B"/>
    <w:rsid w:val="00301E62"/>
    <w:rsid w:val="00304063"/>
    <w:rsid w:val="0030555F"/>
    <w:rsid w:val="00305A3B"/>
    <w:rsid w:val="00305A50"/>
    <w:rsid w:val="00305BB4"/>
    <w:rsid w:val="00305C62"/>
    <w:rsid w:val="0030645F"/>
    <w:rsid w:val="003117B9"/>
    <w:rsid w:val="00311C71"/>
    <w:rsid w:val="00313073"/>
    <w:rsid w:val="0031336C"/>
    <w:rsid w:val="0031339F"/>
    <w:rsid w:val="00313CC5"/>
    <w:rsid w:val="00313F3E"/>
    <w:rsid w:val="003150CB"/>
    <w:rsid w:val="00323F65"/>
    <w:rsid w:val="00325276"/>
    <w:rsid w:val="00326147"/>
    <w:rsid w:val="0033051E"/>
    <w:rsid w:val="00332840"/>
    <w:rsid w:val="00333113"/>
    <w:rsid w:val="00333BC4"/>
    <w:rsid w:val="0033401D"/>
    <w:rsid w:val="00334456"/>
    <w:rsid w:val="00336150"/>
    <w:rsid w:val="00336E99"/>
    <w:rsid w:val="00342417"/>
    <w:rsid w:val="003454EC"/>
    <w:rsid w:val="00345DD2"/>
    <w:rsid w:val="00346537"/>
    <w:rsid w:val="00347B94"/>
    <w:rsid w:val="00352422"/>
    <w:rsid w:val="003527DD"/>
    <w:rsid w:val="003547A2"/>
    <w:rsid w:val="0035497B"/>
    <w:rsid w:val="00355171"/>
    <w:rsid w:val="00356D59"/>
    <w:rsid w:val="00362114"/>
    <w:rsid w:val="00362702"/>
    <w:rsid w:val="00362A37"/>
    <w:rsid w:val="00362CF0"/>
    <w:rsid w:val="00362D5D"/>
    <w:rsid w:val="00364AC5"/>
    <w:rsid w:val="00365D15"/>
    <w:rsid w:val="00366940"/>
    <w:rsid w:val="0036702F"/>
    <w:rsid w:val="00367ED1"/>
    <w:rsid w:val="00367F3A"/>
    <w:rsid w:val="00370BDF"/>
    <w:rsid w:val="00372FA2"/>
    <w:rsid w:val="003735E9"/>
    <w:rsid w:val="003739FE"/>
    <w:rsid w:val="003749D5"/>
    <w:rsid w:val="00374A30"/>
    <w:rsid w:val="00380E30"/>
    <w:rsid w:val="00381F7C"/>
    <w:rsid w:val="0038254F"/>
    <w:rsid w:val="003828EC"/>
    <w:rsid w:val="00383488"/>
    <w:rsid w:val="003843BB"/>
    <w:rsid w:val="00385143"/>
    <w:rsid w:val="003859DA"/>
    <w:rsid w:val="00386153"/>
    <w:rsid w:val="00386BA7"/>
    <w:rsid w:val="00390B48"/>
    <w:rsid w:val="0039213A"/>
    <w:rsid w:val="00393BF6"/>
    <w:rsid w:val="00395D4D"/>
    <w:rsid w:val="00396D64"/>
    <w:rsid w:val="00397A06"/>
    <w:rsid w:val="00397B4B"/>
    <w:rsid w:val="003A0FAF"/>
    <w:rsid w:val="003A38BD"/>
    <w:rsid w:val="003A38C8"/>
    <w:rsid w:val="003A6045"/>
    <w:rsid w:val="003A72D0"/>
    <w:rsid w:val="003A7AE1"/>
    <w:rsid w:val="003B22FD"/>
    <w:rsid w:val="003B3004"/>
    <w:rsid w:val="003B3A47"/>
    <w:rsid w:val="003B4168"/>
    <w:rsid w:val="003B42FF"/>
    <w:rsid w:val="003B5DF1"/>
    <w:rsid w:val="003B62D2"/>
    <w:rsid w:val="003B66A3"/>
    <w:rsid w:val="003C27F7"/>
    <w:rsid w:val="003C62C1"/>
    <w:rsid w:val="003C6FA4"/>
    <w:rsid w:val="003D0B3E"/>
    <w:rsid w:val="003D2352"/>
    <w:rsid w:val="003D3863"/>
    <w:rsid w:val="003D3D0A"/>
    <w:rsid w:val="003D5516"/>
    <w:rsid w:val="003E0800"/>
    <w:rsid w:val="003E1584"/>
    <w:rsid w:val="003E33DE"/>
    <w:rsid w:val="003E3593"/>
    <w:rsid w:val="003E585F"/>
    <w:rsid w:val="003E6049"/>
    <w:rsid w:val="003E67F9"/>
    <w:rsid w:val="003E717B"/>
    <w:rsid w:val="003F0D27"/>
    <w:rsid w:val="003F1C98"/>
    <w:rsid w:val="003F317C"/>
    <w:rsid w:val="003F4813"/>
    <w:rsid w:val="003F5B93"/>
    <w:rsid w:val="003F5D0C"/>
    <w:rsid w:val="004015E9"/>
    <w:rsid w:val="00403956"/>
    <w:rsid w:val="00406654"/>
    <w:rsid w:val="00410A9D"/>
    <w:rsid w:val="0041100B"/>
    <w:rsid w:val="004114F3"/>
    <w:rsid w:val="00412894"/>
    <w:rsid w:val="004130C3"/>
    <w:rsid w:val="00413E71"/>
    <w:rsid w:val="00421363"/>
    <w:rsid w:val="00421921"/>
    <w:rsid w:val="0042194B"/>
    <w:rsid w:val="00422100"/>
    <w:rsid w:val="004249DE"/>
    <w:rsid w:val="004254D3"/>
    <w:rsid w:val="0042746B"/>
    <w:rsid w:val="00433B69"/>
    <w:rsid w:val="00434FDC"/>
    <w:rsid w:val="004369AD"/>
    <w:rsid w:val="00436DD6"/>
    <w:rsid w:val="00444FB7"/>
    <w:rsid w:val="00445D0B"/>
    <w:rsid w:val="004460E1"/>
    <w:rsid w:val="00450674"/>
    <w:rsid w:val="0045299B"/>
    <w:rsid w:val="004532C6"/>
    <w:rsid w:val="004533FE"/>
    <w:rsid w:val="00453E68"/>
    <w:rsid w:val="00454715"/>
    <w:rsid w:val="00454D80"/>
    <w:rsid w:val="00456785"/>
    <w:rsid w:val="0046230F"/>
    <w:rsid w:val="00462702"/>
    <w:rsid w:val="00462EB0"/>
    <w:rsid w:val="00463933"/>
    <w:rsid w:val="00464346"/>
    <w:rsid w:val="00470325"/>
    <w:rsid w:val="00470F42"/>
    <w:rsid w:val="00471605"/>
    <w:rsid w:val="0047297A"/>
    <w:rsid w:val="00474709"/>
    <w:rsid w:val="00480184"/>
    <w:rsid w:val="00480516"/>
    <w:rsid w:val="00480658"/>
    <w:rsid w:val="00480D3C"/>
    <w:rsid w:val="00481192"/>
    <w:rsid w:val="0048170B"/>
    <w:rsid w:val="00481BD4"/>
    <w:rsid w:val="00482AA2"/>
    <w:rsid w:val="0048579F"/>
    <w:rsid w:val="00487005"/>
    <w:rsid w:val="00487D7D"/>
    <w:rsid w:val="004901A7"/>
    <w:rsid w:val="00493D88"/>
    <w:rsid w:val="00495D83"/>
    <w:rsid w:val="004A084F"/>
    <w:rsid w:val="004A1FA1"/>
    <w:rsid w:val="004A3225"/>
    <w:rsid w:val="004A3F90"/>
    <w:rsid w:val="004A5F59"/>
    <w:rsid w:val="004A6F1F"/>
    <w:rsid w:val="004B071E"/>
    <w:rsid w:val="004B17D8"/>
    <w:rsid w:val="004B2323"/>
    <w:rsid w:val="004B2455"/>
    <w:rsid w:val="004B62C3"/>
    <w:rsid w:val="004C0BC8"/>
    <w:rsid w:val="004C3233"/>
    <w:rsid w:val="004C461A"/>
    <w:rsid w:val="004C7D23"/>
    <w:rsid w:val="004D0783"/>
    <w:rsid w:val="004D11CB"/>
    <w:rsid w:val="004D1A4A"/>
    <w:rsid w:val="004D49E3"/>
    <w:rsid w:val="004D7163"/>
    <w:rsid w:val="004D749D"/>
    <w:rsid w:val="004E0366"/>
    <w:rsid w:val="004E0F9B"/>
    <w:rsid w:val="004E1C30"/>
    <w:rsid w:val="004E3342"/>
    <w:rsid w:val="004E45AC"/>
    <w:rsid w:val="004E45CF"/>
    <w:rsid w:val="004E4672"/>
    <w:rsid w:val="004E5593"/>
    <w:rsid w:val="004E7A1E"/>
    <w:rsid w:val="004E7CA7"/>
    <w:rsid w:val="004E7F1A"/>
    <w:rsid w:val="004F0352"/>
    <w:rsid w:val="004F0740"/>
    <w:rsid w:val="004F415D"/>
    <w:rsid w:val="004F4980"/>
    <w:rsid w:val="004F63E4"/>
    <w:rsid w:val="004F66F4"/>
    <w:rsid w:val="004F74CD"/>
    <w:rsid w:val="004F7710"/>
    <w:rsid w:val="00502A45"/>
    <w:rsid w:val="0050542C"/>
    <w:rsid w:val="005077C0"/>
    <w:rsid w:val="0051057A"/>
    <w:rsid w:val="00512DC1"/>
    <w:rsid w:val="00514C6B"/>
    <w:rsid w:val="005161EC"/>
    <w:rsid w:val="0051709F"/>
    <w:rsid w:val="005175EB"/>
    <w:rsid w:val="00517E76"/>
    <w:rsid w:val="00521A18"/>
    <w:rsid w:val="00522079"/>
    <w:rsid w:val="00522622"/>
    <w:rsid w:val="0052450E"/>
    <w:rsid w:val="0052506D"/>
    <w:rsid w:val="005252C5"/>
    <w:rsid w:val="00525410"/>
    <w:rsid w:val="00530703"/>
    <w:rsid w:val="00530763"/>
    <w:rsid w:val="00532989"/>
    <w:rsid w:val="0053342A"/>
    <w:rsid w:val="00534EFD"/>
    <w:rsid w:val="005362F2"/>
    <w:rsid w:val="0053719A"/>
    <w:rsid w:val="005377BD"/>
    <w:rsid w:val="00543B42"/>
    <w:rsid w:val="0054651A"/>
    <w:rsid w:val="00546EA9"/>
    <w:rsid w:val="005474CD"/>
    <w:rsid w:val="005478FE"/>
    <w:rsid w:val="005501B7"/>
    <w:rsid w:val="0055152E"/>
    <w:rsid w:val="00552094"/>
    <w:rsid w:val="00553D73"/>
    <w:rsid w:val="00554BAF"/>
    <w:rsid w:val="00554C93"/>
    <w:rsid w:val="00555A15"/>
    <w:rsid w:val="00556291"/>
    <w:rsid w:val="005569E4"/>
    <w:rsid w:val="00560E11"/>
    <w:rsid w:val="00561147"/>
    <w:rsid w:val="00561463"/>
    <w:rsid w:val="00561925"/>
    <w:rsid w:val="00561F8F"/>
    <w:rsid w:val="00563A0E"/>
    <w:rsid w:val="005647D0"/>
    <w:rsid w:val="005709E9"/>
    <w:rsid w:val="0057256B"/>
    <w:rsid w:val="00574C59"/>
    <w:rsid w:val="00576CE2"/>
    <w:rsid w:val="005770AC"/>
    <w:rsid w:val="00577C1A"/>
    <w:rsid w:val="00577FAA"/>
    <w:rsid w:val="0058041D"/>
    <w:rsid w:val="005826AA"/>
    <w:rsid w:val="00583CE7"/>
    <w:rsid w:val="005856E9"/>
    <w:rsid w:val="0058656D"/>
    <w:rsid w:val="005867BB"/>
    <w:rsid w:val="00587452"/>
    <w:rsid w:val="005877D0"/>
    <w:rsid w:val="00591C2A"/>
    <w:rsid w:val="00592461"/>
    <w:rsid w:val="00592539"/>
    <w:rsid w:val="00596A05"/>
    <w:rsid w:val="00596D6D"/>
    <w:rsid w:val="00597284"/>
    <w:rsid w:val="0059729F"/>
    <w:rsid w:val="00597F8F"/>
    <w:rsid w:val="005A1EA2"/>
    <w:rsid w:val="005A2467"/>
    <w:rsid w:val="005A5858"/>
    <w:rsid w:val="005A6E51"/>
    <w:rsid w:val="005A7C7F"/>
    <w:rsid w:val="005A7D88"/>
    <w:rsid w:val="005B130C"/>
    <w:rsid w:val="005B14FF"/>
    <w:rsid w:val="005B3B71"/>
    <w:rsid w:val="005B41ED"/>
    <w:rsid w:val="005B4828"/>
    <w:rsid w:val="005B4B1B"/>
    <w:rsid w:val="005B4F0F"/>
    <w:rsid w:val="005B58F0"/>
    <w:rsid w:val="005C0E62"/>
    <w:rsid w:val="005C0F5B"/>
    <w:rsid w:val="005C1E06"/>
    <w:rsid w:val="005C2E15"/>
    <w:rsid w:val="005C403B"/>
    <w:rsid w:val="005C63CB"/>
    <w:rsid w:val="005D0AA6"/>
    <w:rsid w:val="005D0D00"/>
    <w:rsid w:val="005D165F"/>
    <w:rsid w:val="005D21F3"/>
    <w:rsid w:val="005D2825"/>
    <w:rsid w:val="005D3CF8"/>
    <w:rsid w:val="005D5D89"/>
    <w:rsid w:val="005E0D2D"/>
    <w:rsid w:val="005E3FB6"/>
    <w:rsid w:val="005E708D"/>
    <w:rsid w:val="005F2BCE"/>
    <w:rsid w:val="005F37ED"/>
    <w:rsid w:val="005F435C"/>
    <w:rsid w:val="005F4583"/>
    <w:rsid w:val="005F4ABB"/>
    <w:rsid w:val="005F4F57"/>
    <w:rsid w:val="005F6066"/>
    <w:rsid w:val="005F6562"/>
    <w:rsid w:val="005F6C6D"/>
    <w:rsid w:val="005F6F09"/>
    <w:rsid w:val="005F72DF"/>
    <w:rsid w:val="005F787A"/>
    <w:rsid w:val="006019C7"/>
    <w:rsid w:val="00601E7B"/>
    <w:rsid w:val="00601EBC"/>
    <w:rsid w:val="00602D32"/>
    <w:rsid w:val="006037DF"/>
    <w:rsid w:val="00603A84"/>
    <w:rsid w:val="00605E52"/>
    <w:rsid w:val="006067DC"/>
    <w:rsid w:val="006069EA"/>
    <w:rsid w:val="00610629"/>
    <w:rsid w:val="00611ADD"/>
    <w:rsid w:val="00611BCD"/>
    <w:rsid w:val="00611C90"/>
    <w:rsid w:val="0061258D"/>
    <w:rsid w:val="006142EC"/>
    <w:rsid w:val="006155A5"/>
    <w:rsid w:val="00617824"/>
    <w:rsid w:val="0062243A"/>
    <w:rsid w:val="00624214"/>
    <w:rsid w:val="00625419"/>
    <w:rsid w:val="00626D1A"/>
    <w:rsid w:val="00627429"/>
    <w:rsid w:val="00630081"/>
    <w:rsid w:val="0063089C"/>
    <w:rsid w:val="00631DFA"/>
    <w:rsid w:val="00632A91"/>
    <w:rsid w:val="006345E8"/>
    <w:rsid w:val="00636BB5"/>
    <w:rsid w:val="0063765C"/>
    <w:rsid w:val="006403CB"/>
    <w:rsid w:val="006410B0"/>
    <w:rsid w:val="0064139F"/>
    <w:rsid w:val="00641404"/>
    <w:rsid w:val="006414D6"/>
    <w:rsid w:val="00641EDA"/>
    <w:rsid w:val="00642B97"/>
    <w:rsid w:val="00643680"/>
    <w:rsid w:val="00644453"/>
    <w:rsid w:val="00644B32"/>
    <w:rsid w:val="00644DDB"/>
    <w:rsid w:val="0064639A"/>
    <w:rsid w:val="0064646F"/>
    <w:rsid w:val="00646523"/>
    <w:rsid w:val="006469D4"/>
    <w:rsid w:val="00647BDD"/>
    <w:rsid w:val="0065273C"/>
    <w:rsid w:val="00653761"/>
    <w:rsid w:val="00655ACB"/>
    <w:rsid w:val="00656A74"/>
    <w:rsid w:val="006571B9"/>
    <w:rsid w:val="00657221"/>
    <w:rsid w:val="00661FC1"/>
    <w:rsid w:val="00663FED"/>
    <w:rsid w:val="00664B64"/>
    <w:rsid w:val="006678E3"/>
    <w:rsid w:val="00667A9C"/>
    <w:rsid w:val="006712E8"/>
    <w:rsid w:val="00677DA7"/>
    <w:rsid w:val="00680212"/>
    <w:rsid w:val="00680C90"/>
    <w:rsid w:val="00681036"/>
    <w:rsid w:val="006823AD"/>
    <w:rsid w:val="00682C29"/>
    <w:rsid w:val="00685872"/>
    <w:rsid w:val="00685AD7"/>
    <w:rsid w:val="00691963"/>
    <w:rsid w:val="00692124"/>
    <w:rsid w:val="00692D96"/>
    <w:rsid w:val="00693C96"/>
    <w:rsid w:val="00696339"/>
    <w:rsid w:val="00696982"/>
    <w:rsid w:val="006A3F85"/>
    <w:rsid w:val="006A48FA"/>
    <w:rsid w:val="006A539F"/>
    <w:rsid w:val="006A56F1"/>
    <w:rsid w:val="006A6E5C"/>
    <w:rsid w:val="006B0972"/>
    <w:rsid w:val="006B3153"/>
    <w:rsid w:val="006B5871"/>
    <w:rsid w:val="006B6BB1"/>
    <w:rsid w:val="006B7212"/>
    <w:rsid w:val="006C14C3"/>
    <w:rsid w:val="006C216A"/>
    <w:rsid w:val="006C4B6F"/>
    <w:rsid w:val="006C589D"/>
    <w:rsid w:val="006C5CD7"/>
    <w:rsid w:val="006C6B39"/>
    <w:rsid w:val="006C769C"/>
    <w:rsid w:val="006C7A95"/>
    <w:rsid w:val="006D11E8"/>
    <w:rsid w:val="006D1255"/>
    <w:rsid w:val="006D24D8"/>
    <w:rsid w:val="006D4B0E"/>
    <w:rsid w:val="006D5676"/>
    <w:rsid w:val="006D753C"/>
    <w:rsid w:val="006E0A00"/>
    <w:rsid w:val="006E2C2D"/>
    <w:rsid w:val="006E306D"/>
    <w:rsid w:val="006E4BEC"/>
    <w:rsid w:val="006E6968"/>
    <w:rsid w:val="006E6BD7"/>
    <w:rsid w:val="006E71A6"/>
    <w:rsid w:val="006F04C6"/>
    <w:rsid w:val="006F08A0"/>
    <w:rsid w:val="006F2A97"/>
    <w:rsid w:val="006F3DD6"/>
    <w:rsid w:val="006F5DF4"/>
    <w:rsid w:val="006F600E"/>
    <w:rsid w:val="006F7AD7"/>
    <w:rsid w:val="00702077"/>
    <w:rsid w:val="00702627"/>
    <w:rsid w:val="0070359F"/>
    <w:rsid w:val="0070464C"/>
    <w:rsid w:val="007047EF"/>
    <w:rsid w:val="00705474"/>
    <w:rsid w:val="007057AD"/>
    <w:rsid w:val="007058D2"/>
    <w:rsid w:val="00705B46"/>
    <w:rsid w:val="007076B2"/>
    <w:rsid w:val="00710D56"/>
    <w:rsid w:val="00711BBB"/>
    <w:rsid w:val="0071340A"/>
    <w:rsid w:val="00713FC7"/>
    <w:rsid w:val="00716C53"/>
    <w:rsid w:val="00716FD1"/>
    <w:rsid w:val="00720D0F"/>
    <w:rsid w:val="007218A9"/>
    <w:rsid w:val="0072241C"/>
    <w:rsid w:val="007245A5"/>
    <w:rsid w:val="0072671A"/>
    <w:rsid w:val="00731628"/>
    <w:rsid w:val="00734108"/>
    <w:rsid w:val="007343AD"/>
    <w:rsid w:val="0073448D"/>
    <w:rsid w:val="00735087"/>
    <w:rsid w:val="00736FA0"/>
    <w:rsid w:val="0073755C"/>
    <w:rsid w:val="0074053E"/>
    <w:rsid w:val="007422CF"/>
    <w:rsid w:val="00744796"/>
    <w:rsid w:val="00744C26"/>
    <w:rsid w:val="0075000E"/>
    <w:rsid w:val="00752156"/>
    <w:rsid w:val="00753A7A"/>
    <w:rsid w:val="00755613"/>
    <w:rsid w:val="00756E77"/>
    <w:rsid w:val="007577C2"/>
    <w:rsid w:val="0076038F"/>
    <w:rsid w:val="00760D77"/>
    <w:rsid w:val="007617E5"/>
    <w:rsid w:val="0077124E"/>
    <w:rsid w:val="0077236D"/>
    <w:rsid w:val="007723D4"/>
    <w:rsid w:val="00772FA7"/>
    <w:rsid w:val="00774DFC"/>
    <w:rsid w:val="0077578C"/>
    <w:rsid w:val="00780FFF"/>
    <w:rsid w:val="00781ACA"/>
    <w:rsid w:val="007823CF"/>
    <w:rsid w:val="00783E35"/>
    <w:rsid w:val="00784812"/>
    <w:rsid w:val="00784F67"/>
    <w:rsid w:val="00786754"/>
    <w:rsid w:val="00786D49"/>
    <w:rsid w:val="00787061"/>
    <w:rsid w:val="00790F0A"/>
    <w:rsid w:val="00790F5E"/>
    <w:rsid w:val="007927A6"/>
    <w:rsid w:val="00797F6E"/>
    <w:rsid w:val="007A02EA"/>
    <w:rsid w:val="007A1F4C"/>
    <w:rsid w:val="007A2D74"/>
    <w:rsid w:val="007A53F8"/>
    <w:rsid w:val="007B05BD"/>
    <w:rsid w:val="007B0791"/>
    <w:rsid w:val="007B2295"/>
    <w:rsid w:val="007B232F"/>
    <w:rsid w:val="007B260C"/>
    <w:rsid w:val="007B31A5"/>
    <w:rsid w:val="007B3327"/>
    <w:rsid w:val="007B3533"/>
    <w:rsid w:val="007B3F8E"/>
    <w:rsid w:val="007B4996"/>
    <w:rsid w:val="007B6926"/>
    <w:rsid w:val="007B6FA3"/>
    <w:rsid w:val="007B705D"/>
    <w:rsid w:val="007C1EBA"/>
    <w:rsid w:val="007C2AC0"/>
    <w:rsid w:val="007C312C"/>
    <w:rsid w:val="007C3156"/>
    <w:rsid w:val="007C398E"/>
    <w:rsid w:val="007C5764"/>
    <w:rsid w:val="007C61D0"/>
    <w:rsid w:val="007C6FAA"/>
    <w:rsid w:val="007C768F"/>
    <w:rsid w:val="007D251F"/>
    <w:rsid w:val="007D4FA2"/>
    <w:rsid w:val="007E0874"/>
    <w:rsid w:val="007E0FAD"/>
    <w:rsid w:val="007E11E7"/>
    <w:rsid w:val="007E422E"/>
    <w:rsid w:val="007E60E9"/>
    <w:rsid w:val="007E63F3"/>
    <w:rsid w:val="007E67F3"/>
    <w:rsid w:val="007E6F5A"/>
    <w:rsid w:val="007F07D3"/>
    <w:rsid w:val="007F0916"/>
    <w:rsid w:val="007F1E7D"/>
    <w:rsid w:val="007F2A79"/>
    <w:rsid w:val="007F3026"/>
    <w:rsid w:val="007F42DD"/>
    <w:rsid w:val="007F4E0F"/>
    <w:rsid w:val="007F568E"/>
    <w:rsid w:val="007F77CA"/>
    <w:rsid w:val="008011ED"/>
    <w:rsid w:val="00801636"/>
    <w:rsid w:val="00803935"/>
    <w:rsid w:val="008045D0"/>
    <w:rsid w:val="008059B8"/>
    <w:rsid w:val="00810333"/>
    <w:rsid w:val="00810760"/>
    <w:rsid w:val="0081277D"/>
    <w:rsid w:val="0081415C"/>
    <w:rsid w:val="0081590D"/>
    <w:rsid w:val="00815E57"/>
    <w:rsid w:val="008166F5"/>
    <w:rsid w:val="0081677E"/>
    <w:rsid w:val="00817467"/>
    <w:rsid w:val="0082029C"/>
    <w:rsid w:val="0082043E"/>
    <w:rsid w:val="00822905"/>
    <w:rsid w:val="0082299E"/>
    <w:rsid w:val="00827CD1"/>
    <w:rsid w:val="008313A0"/>
    <w:rsid w:val="0083169B"/>
    <w:rsid w:val="00832164"/>
    <w:rsid w:val="00832F53"/>
    <w:rsid w:val="00834003"/>
    <w:rsid w:val="0083455F"/>
    <w:rsid w:val="00834EA0"/>
    <w:rsid w:val="00843042"/>
    <w:rsid w:val="00843C37"/>
    <w:rsid w:val="00844886"/>
    <w:rsid w:val="00844C2D"/>
    <w:rsid w:val="00846D68"/>
    <w:rsid w:val="008518E5"/>
    <w:rsid w:val="00852B15"/>
    <w:rsid w:val="008543CB"/>
    <w:rsid w:val="00856135"/>
    <w:rsid w:val="00857A96"/>
    <w:rsid w:val="00860419"/>
    <w:rsid w:val="008608CA"/>
    <w:rsid w:val="00861FE5"/>
    <w:rsid w:val="0086376D"/>
    <w:rsid w:val="00866D6F"/>
    <w:rsid w:val="008678C7"/>
    <w:rsid w:val="008703C2"/>
    <w:rsid w:val="0087209F"/>
    <w:rsid w:val="0087503A"/>
    <w:rsid w:val="00875B06"/>
    <w:rsid w:val="008806CC"/>
    <w:rsid w:val="00881829"/>
    <w:rsid w:val="00882C08"/>
    <w:rsid w:val="008849E6"/>
    <w:rsid w:val="0088513E"/>
    <w:rsid w:val="00886300"/>
    <w:rsid w:val="0089099F"/>
    <w:rsid w:val="00890AAF"/>
    <w:rsid w:val="00892F7A"/>
    <w:rsid w:val="00894CEB"/>
    <w:rsid w:val="00896A62"/>
    <w:rsid w:val="00897B73"/>
    <w:rsid w:val="00897B88"/>
    <w:rsid w:val="008A113D"/>
    <w:rsid w:val="008A11BE"/>
    <w:rsid w:val="008A678B"/>
    <w:rsid w:val="008B0034"/>
    <w:rsid w:val="008B0702"/>
    <w:rsid w:val="008B10F2"/>
    <w:rsid w:val="008B2397"/>
    <w:rsid w:val="008B33B5"/>
    <w:rsid w:val="008B3CD6"/>
    <w:rsid w:val="008B6003"/>
    <w:rsid w:val="008B691D"/>
    <w:rsid w:val="008C0DA3"/>
    <w:rsid w:val="008C1079"/>
    <w:rsid w:val="008C2874"/>
    <w:rsid w:val="008C4D11"/>
    <w:rsid w:val="008C7093"/>
    <w:rsid w:val="008D023D"/>
    <w:rsid w:val="008D54FA"/>
    <w:rsid w:val="008D5C05"/>
    <w:rsid w:val="008D6490"/>
    <w:rsid w:val="008D6FFD"/>
    <w:rsid w:val="008E0E41"/>
    <w:rsid w:val="008E1191"/>
    <w:rsid w:val="008E342E"/>
    <w:rsid w:val="008E3E9D"/>
    <w:rsid w:val="008E4D9C"/>
    <w:rsid w:val="008E566D"/>
    <w:rsid w:val="008E588C"/>
    <w:rsid w:val="008E7121"/>
    <w:rsid w:val="008F52D9"/>
    <w:rsid w:val="008F6BC6"/>
    <w:rsid w:val="00902B4C"/>
    <w:rsid w:val="00903A84"/>
    <w:rsid w:val="00903FC5"/>
    <w:rsid w:val="0090403F"/>
    <w:rsid w:val="009071FF"/>
    <w:rsid w:val="009108DB"/>
    <w:rsid w:val="009112EB"/>
    <w:rsid w:val="00913191"/>
    <w:rsid w:val="009131F2"/>
    <w:rsid w:val="00916431"/>
    <w:rsid w:val="00917DBE"/>
    <w:rsid w:val="0092605A"/>
    <w:rsid w:val="0092689A"/>
    <w:rsid w:val="00930089"/>
    <w:rsid w:val="0093228E"/>
    <w:rsid w:val="009325E1"/>
    <w:rsid w:val="00933602"/>
    <w:rsid w:val="009338B2"/>
    <w:rsid w:val="00933FFF"/>
    <w:rsid w:val="009351EF"/>
    <w:rsid w:val="0093698F"/>
    <w:rsid w:val="00940914"/>
    <w:rsid w:val="009409E8"/>
    <w:rsid w:val="00942250"/>
    <w:rsid w:val="00942706"/>
    <w:rsid w:val="00942E51"/>
    <w:rsid w:val="00946A6A"/>
    <w:rsid w:val="00947EB7"/>
    <w:rsid w:val="0095056B"/>
    <w:rsid w:val="00951FC3"/>
    <w:rsid w:val="009520BD"/>
    <w:rsid w:val="0095280D"/>
    <w:rsid w:val="00952B29"/>
    <w:rsid w:val="00953400"/>
    <w:rsid w:val="00953DBA"/>
    <w:rsid w:val="00954137"/>
    <w:rsid w:val="00955882"/>
    <w:rsid w:val="00955ABF"/>
    <w:rsid w:val="00956F74"/>
    <w:rsid w:val="00956F84"/>
    <w:rsid w:val="009575A0"/>
    <w:rsid w:val="00957C6C"/>
    <w:rsid w:val="00960AA2"/>
    <w:rsid w:val="009636FD"/>
    <w:rsid w:val="009649DC"/>
    <w:rsid w:val="00966EB2"/>
    <w:rsid w:val="00970C67"/>
    <w:rsid w:val="00974456"/>
    <w:rsid w:val="00991483"/>
    <w:rsid w:val="009916C3"/>
    <w:rsid w:val="0099296D"/>
    <w:rsid w:val="009935AA"/>
    <w:rsid w:val="00993F94"/>
    <w:rsid w:val="009947EB"/>
    <w:rsid w:val="009951B2"/>
    <w:rsid w:val="009968FB"/>
    <w:rsid w:val="00997B42"/>
    <w:rsid w:val="009A039C"/>
    <w:rsid w:val="009A2859"/>
    <w:rsid w:val="009A305C"/>
    <w:rsid w:val="009A4E90"/>
    <w:rsid w:val="009A50B8"/>
    <w:rsid w:val="009A737B"/>
    <w:rsid w:val="009A78E3"/>
    <w:rsid w:val="009A7C60"/>
    <w:rsid w:val="009B1823"/>
    <w:rsid w:val="009B19C1"/>
    <w:rsid w:val="009B3134"/>
    <w:rsid w:val="009B406F"/>
    <w:rsid w:val="009B443A"/>
    <w:rsid w:val="009B4D09"/>
    <w:rsid w:val="009B6DD1"/>
    <w:rsid w:val="009C1332"/>
    <w:rsid w:val="009C4A4F"/>
    <w:rsid w:val="009C6D34"/>
    <w:rsid w:val="009D2E97"/>
    <w:rsid w:val="009D328E"/>
    <w:rsid w:val="009D3438"/>
    <w:rsid w:val="009D3B88"/>
    <w:rsid w:val="009D40B6"/>
    <w:rsid w:val="009D4D3A"/>
    <w:rsid w:val="009D7AD4"/>
    <w:rsid w:val="009E06B9"/>
    <w:rsid w:val="009E1231"/>
    <w:rsid w:val="009E1A57"/>
    <w:rsid w:val="009E36CA"/>
    <w:rsid w:val="009E4B6B"/>
    <w:rsid w:val="009E566D"/>
    <w:rsid w:val="009E6470"/>
    <w:rsid w:val="009E7175"/>
    <w:rsid w:val="009F08CB"/>
    <w:rsid w:val="009F1E5E"/>
    <w:rsid w:val="009F497B"/>
    <w:rsid w:val="009F4DB9"/>
    <w:rsid w:val="009F5331"/>
    <w:rsid w:val="009F6453"/>
    <w:rsid w:val="009F6AD6"/>
    <w:rsid w:val="009F6F30"/>
    <w:rsid w:val="009F7BFB"/>
    <w:rsid w:val="00A0081F"/>
    <w:rsid w:val="00A01B61"/>
    <w:rsid w:val="00A03BCB"/>
    <w:rsid w:val="00A048F3"/>
    <w:rsid w:val="00A04CA6"/>
    <w:rsid w:val="00A05202"/>
    <w:rsid w:val="00A052DD"/>
    <w:rsid w:val="00A05FA1"/>
    <w:rsid w:val="00A06E6F"/>
    <w:rsid w:val="00A12A49"/>
    <w:rsid w:val="00A135C4"/>
    <w:rsid w:val="00A13CB5"/>
    <w:rsid w:val="00A13FEC"/>
    <w:rsid w:val="00A200C3"/>
    <w:rsid w:val="00A20A84"/>
    <w:rsid w:val="00A21103"/>
    <w:rsid w:val="00A21E3C"/>
    <w:rsid w:val="00A23419"/>
    <w:rsid w:val="00A24BBD"/>
    <w:rsid w:val="00A24CE3"/>
    <w:rsid w:val="00A26D62"/>
    <w:rsid w:val="00A27D2E"/>
    <w:rsid w:val="00A30D78"/>
    <w:rsid w:val="00A31032"/>
    <w:rsid w:val="00A31CCF"/>
    <w:rsid w:val="00A32598"/>
    <w:rsid w:val="00A33EF8"/>
    <w:rsid w:val="00A3432E"/>
    <w:rsid w:val="00A34E9A"/>
    <w:rsid w:val="00A3529C"/>
    <w:rsid w:val="00A37EB9"/>
    <w:rsid w:val="00A40DFB"/>
    <w:rsid w:val="00A435BF"/>
    <w:rsid w:val="00A448B0"/>
    <w:rsid w:val="00A46981"/>
    <w:rsid w:val="00A518CD"/>
    <w:rsid w:val="00A5210B"/>
    <w:rsid w:val="00A524EC"/>
    <w:rsid w:val="00A52F4A"/>
    <w:rsid w:val="00A531D6"/>
    <w:rsid w:val="00A5346F"/>
    <w:rsid w:val="00A54346"/>
    <w:rsid w:val="00A55211"/>
    <w:rsid w:val="00A569C9"/>
    <w:rsid w:val="00A575FB"/>
    <w:rsid w:val="00A57E0C"/>
    <w:rsid w:val="00A6039D"/>
    <w:rsid w:val="00A631B5"/>
    <w:rsid w:val="00A63351"/>
    <w:rsid w:val="00A6487D"/>
    <w:rsid w:val="00A65DF5"/>
    <w:rsid w:val="00A66D3E"/>
    <w:rsid w:val="00A66FBE"/>
    <w:rsid w:val="00A67304"/>
    <w:rsid w:val="00A674C1"/>
    <w:rsid w:val="00A676CE"/>
    <w:rsid w:val="00A7001C"/>
    <w:rsid w:val="00A70A43"/>
    <w:rsid w:val="00A71FFD"/>
    <w:rsid w:val="00A7455C"/>
    <w:rsid w:val="00A7461B"/>
    <w:rsid w:val="00A75807"/>
    <w:rsid w:val="00A7681A"/>
    <w:rsid w:val="00A77913"/>
    <w:rsid w:val="00A8209D"/>
    <w:rsid w:val="00A82740"/>
    <w:rsid w:val="00A860C9"/>
    <w:rsid w:val="00A9137F"/>
    <w:rsid w:val="00A9483B"/>
    <w:rsid w:val="00A94F2C"/>
    <w:rsid w:val="00A972E1"/>
    <w:rsid w:val="00AA0D85"/>
    <w:rsid w:val="00AA2D9E"/>
    <w:rsid w:val="00AA3C07"/>
    <w:rsid w:val="00AA3F8C"/>
    <w:rsid w:val="00AA4CE0"/>
    <w:rsid w:val="00AA6E6B"/>
    <w:rsid w:val="00AB3052"/>
    <w:rsid w:val="00AB4248"/>
    <w:rsid w:val="00AB4520"/>
    <w:rsid w:val="00AB4A20"/>
    <w:rsid w:val="00AB572D"/>
    <w:rsid w:val="00AB5A86"/>
    <w:rsid w:val="00AB6170"/>
    <w:rsid w:val="00AB707C"/>
    <w:rsid w:val="00AC09D4"/>
    <w:rsid w:val="00AC0B37"/>
    <w:rsid w:val="00AC2185"/>
    <w:rsid w:val="00AC3068"/>
    <w:rsid w:val="00AC3C48"/>
    <w:rsid w:val="00AC4067"/>
    <w:rsid w:val="00AC53DF"/>
    <w:rsid w:val="00AC54F8"/>
    <w:rsid w:val="00AC692A"/>
    <w:rsid w:val="00AC6E58"/>
    <w:rsid w:val="00AD0F08"/>
    <w:rsid w:val="00AD1585"/>
    <w:rsid w:val="00AD15A5"/>
    <w:rsid w:val="00AD1747"/>
    <w:rsid w:val="00AD235B"/>
    <w:rsid w:val="00AD33C1"/>
    <w:rsid w:val="00AD560B"/>
    <w:rsid w:val="00AD5BBB"/>
    <w:rsid w:val="00AE02B5"/>
    <w:rsid w:val="00AE0494"/>
    <w:rsid w:val="00AE0B28"/>
    <w:rsid w:val="00AE0C8D"/>
    <w:rsid w:val="00AE0D50"/>
    <w:rsid w:val="00AE1947"/>
    <w:rsid w:val="00AE1ADF"/>
    <w:rsid w:val="00AE242E"/>
    <w:rsid w:val="00AE2D8E"/>
    <w:rsid w:val="00AE4C9F"/>
    <w:rsid w:val="00AE61AB"/>
    <w:rsid w:val="00AE69FE"/>
    <w:rsid w:val="00AE6BBD"/>
    <w:rsid w:val="00AE7A40"/>
    <w:rsid w:val="00AE7EF9"/>
    <w:rsid w:val="00AF2210"/>
    <w:rsid w:val="00AF4A88"/>
    <w:rsid w:val="00AF60FC"/>
    <w:rsid w:val="00AF619D"/>
    <w:rsid w:val="00AF6B6A"/>
    <w:rsid w:val="00B00B45"/>
    <w:rsid w:val="00B014D6"/>
    <w:rsid w:val="00B01A75"/>
    <w:rsid w:val="00B02D39"/>
    <w:rsid w:val="00B03711"/>
    <w:rsid w:val="00B03B6B"/>
    <w:rsid w:val="00B04CC3"/>
    <w:rsid w:val="00B06194"/>
    <w:rsid w:val="00B17DE2"/>
    <w:rsid w:val="00B2096A"/>
    <w:rsid w:val="00B20E8D"/>
    <w:rsid w:val="00B21C36"/>
    <w:rsid w:val="00B27424"/>
    <w:rsid w:val="00B32541"/>
    <w:rsid w:val="00B3267F"/>
    <w:rsid w:val="00B35F87"/>
    <w:rsid w:val="00B379DA"/>
    <w:rsid w:val="00B37A67"/>
    <w:rsid w:val="00B41203"/>
    <w:rsid w:val="00B41500"/>
    <w:rsid w:val="00B5297F"/>
    <w:rsid w:val="00B52E16"/>
    <w:rsid w:val="00B53812"/>
    <w:rsid w:val="00B53C36"/>
    <w:rsid w:val="00B60F9A"/>
    <w:rsid w:val="00B623DA"/>
    <w:rsid w:val="00B62736"/>
    <w:rsid w:val="00B62A71"/>
    <w:rsid w:val="00B62EF9"/>
    <w:rsid w:val="00B630C6"/>
    <w:rsid w:val="00B64448"/>
    <w:rsid w:val="00B65DC0"/>
    <w:rsid w:val="00B67C2D"/>
    <w:rsid w:val="00B70D91"/>
    <w:rsid w:val="00B72FA0"/>
    <w:rsid w:val="00B73209"/>
    <w:rsid w:val="00B75341"/>
    <w:rsid w:val="00B7708B"/>
    <w:rsid w:val="00B7721B"/>
    <w:rsid w:val="00B80E25"/>
    <w:rsid w:val="00B80FB0"/>
    <w:rsid w:val="00B8347E"/>
    <w:rsid w:val="00B84B4A"/>
    <w:rsid w:val="00B8589C"/>
    <w:rsid w:val="00B86BAC"/>
    <w:rsid w:val="00B94A3B"/>
    <w:rsid w:val="00B97B35"/>
    <w:rsid w:val="00BA3196"/>
    <w:rsid w:val="00BA3509"/>
    <w:rsid w:val="00BA4671"/>
    <w:rsid w:val="00BA513D"/>
    <w:rsid w:val="00BA5877"/>
    <w:rsid w:val="00BB124C"/>
    <w:rsid w:val="00BB17E3"/>
    <w:rsid w:val="00BB1CDB"/>
    <w:rsid w:val="00BB2110"/>
    <w:rsid w:val="00BB30C0"/>
    <w:rsid w:val="00BB3645"/>
    <w:rsid w:val="00BB547E"/>
    <w:rsid w:val="00BB69B7"/>
    <w:rsid w:val="00BC2581"/>
    <w:rsid w:val="00BC3F55"/>
    <w:rsid w:val="00BC481A"/>
    <w:rsid w:val="00BC4D26"/>
    <w:rsid w:val="00BC555D"/>
    <w:rsid w:val="00BC658E"/>
    <w:rsid w:val="00BD0218"/>
    <w:rsid w:val="00BD113A"/>
    <w:rsid w:val="00BD1869"/>
    <w:rsid w:val="00BD200B"/>
    <w:rsid w:val="00BD63DF"/>
    <w:rsid w:val="00BD64D4"/>
    <w:rsid w:val="00BD7C4B"/>
    <w:rsid w:val="00BE33E8"/>
    <w:rsid w:val="00BE62FA"/>
    <w:rsid w:val="00BE7539"/>
    <w:rsid w:val="00BE7668"/>
    <w:rsid w:val="00BE7B19"/>
    <w:rsid w:val="00BF2BEB"/>
    <w:rsid w:val="00BF3197"/>
    <w:rsid w:val="00BF5E23"/>
    <w:rsid w:val="00BF6AD1"/>
    <w:rsid w:val="00C01DB8"/>
    <w:rsid w:val="00C0300F"/>
    <w:rsid w:val="00C04C13"/>
    <w:rsid w:val="00C0523E"/>
    <w:rsid w:val="00C06B87"/>
    <w:rsid w:val="00C06C3C"/>
    <w:rsid w:val="00C0751C"/>
    <w:rsid w:val="00C07D81"/>
    <w:rsid w:val="00C07F14"/>
    <w:rsid w:val="00C11B64"/>
    <w:rsid w:val="00C1218B"/>
    <w:rsid w:val="00C12B6B"/>
    <w:rsid w:val="00C1303D"/>
    <w:rsid w:val="00C135F1"/>
    <w:rsid w:val="00C140D0"/>
    <w:rsid w:val="00C1462F"/>
    <w:rsid w:val="00C14775"/>
    <w:rsid w:val="00C150A5"/>
    <w:rsid w:val="00C21127"/>
    <w:rsid w:val="00C22B21"/>
    <w:rsid w:val="00C22D88"/>
    <w:rsid w:val="00C23593"/>
    <w:rsid w:val="00C23845"/>
    <w:rsid w:val="00C27091"/>
    <w:rsid w:val="00C30450"/>
    <w:rsid w:val="00C31724"/>
    <w:rsid w:val="00C31846"/>
    <w:rsid w:val="00C32A33"/>
    <w:rsid w:val="00C34278"/>
    <w:rsid w:val="00C367FB"/>
    <w:rsid w:val="00C37AE4"/>
    <w:rsid w:val="00C41389"/>
    <w:rsid w:val="00C414D0"/>
    <w:rsid w:val="00C41BB7"/>
    <w:rsid w:val="00C42379"/>
    <w:rsid w:val="00C43B48"/>
    <w:rsid w:val="00C44004"/>
    <w:rsid w:val="00C445F4"/>
    <w:rsid w:val="00C507F0"/>
    <w:rsid w:val="00C517E4"/>
    <w:rsid w:val="00C54DF3"/>
    <w:rsid w:val="00C610B6"/>
    <w:rsid w:val="00C6257F"/>
    <w:rsid w:val="00C63117"/>
    <w:rsid w:val="00C640C7"/>
    <w:rsid w:val="00C65784"/>
    <w:rsid w:val="00C67BDD"/>
    <w:rsid w:val="00C70F24"/>
    <w:rsid w:val="00C717F6"/>
    <w:rsid w:val="00C72498"/>
    <w:rsid w:val="00C72FD7"/>
    <w:rsid w:val="00C8155C"/>
    <w:rsid w:val="00C856F3"/>
    <w:rsid w:val="00C85D03"/>
    <w:rsid w:val="00C871AD"/>
    <w:rsid w:val="00C907F0"/>
    <w:rsid w:val="00C93A91"/>
    <w:rsid w:val="00C95601"/>
    <w:rsid w:val="00C95D6D"/>
    <w:rsid w:val="00C96870"/>
    <w:rsid w:val="00CA1947"/>
    <w:rsid w:val="00CA1C91"/>
    <w:rsid w:val="00CA323D"/>
    <w:rsid w:val="00CA54A0"/>
    <w:rsid w:val="00CA54E2"/>
    <w:rsid w:val="00CA55EC"/>
    <w:rsid w:val="00CA5A9B"/>
    <w:rsid w:val="00CB5515"/>
    <w:rsid w:val="00CB76EF"/>
    <w:rsid w:val="00CB773B"/>
    <w:rsid w:val="00CB7840"/>
    <w:rsid w:val="00CB7D21"/>
    <w:rsid w:val="00CC0E24"/>
    <w:rsid w:val="00CC2390"/>
    <w:rsid w:val="00CC34E2"/>
    <w:rsid w:val="00CC4A5C"/>
    <w:rsid w:val="00CC5BB7"/>
    <w:rsid w:val="00CC5C02"/>
    <w:rsid w:val="00CC5F62"/>
    <w:rsid w:val="00CC69B4"/>
    <w:rsid w:val="00CC6D17"/>
    <w:rsid w:val="00CC7102"/>
    <w:rsid w:val="00CC7CF3"/>
    <w:rsid w:val="00CD1E85"/>
    <w:rsid w:val="00CD3AEA"/>
    <w:rsid w:val="00CD3C32"/>
    <w:rsid w:val="00CD4235"/>
    <w:rsid w:val="00CD4569"/>
    <w:rsid w:val="00CD56D7"/>
    <w:rsid w:val="00CD57FC"/>
    <w:rsid w:val="00CD632A"/>
    <w:rsid w:val="00CD6D83"/>
    <w:rsid w:val="00CE0B6D"/>
    <w:rsid w:val="00CE127E"/>
    <w:rsid w:val="00CE1C10"/>
    <w:rsid w:val="00CE217C"/>
    <w:rsid w:val="00CE3583"/>
    <w:rsid w:val="00CE4AE9"/>
    <w:rsid w:val="00CE77A3"/>
    <w:rsid w:val="00CF198C"/>
    <w:rsid w:val="00CF41D0"/>
    <w:rsid w:val="00CF66CB"/>
    <w:rsid w:val="00CF7C14"/>
    <w:rsid w:val="00D00CF9"/>
    <w:rsid w:val="00D012FF"/>
    <w:rsid w:val="00D04CD8"/>
    <w:rsid w:val="00D04DEC"/>
    <w:rsid w:val="00D114ED"/>
    <w:rsid w:val="00D1261E"/>
    <w:rsid w:val="00D13F32"/>
    <w:rsid w:val="00D14B5E"/>
    <w:rsid w:val="00D1685E"/>
    <w:rsid w:val="00D171BA"/>
    <w:rsid w:val="00D230DD"/>
    <w:rsid w:val="00D25B74"/>
    <w:rsid w:val="00D25CA1"/>
    <w:rsid w:val="00D31096"/>
    <w:rsid w:val="00D31474"/>
    <w:rsid w:val="00D32933"/>
    <w:rsid w:val="00D3579F"/>
    <w:rsid w:val="00D36B62"/>
    <w:rsid w:val="00D37BF5"/>
    <w:rsid w:val="00D421A7"/>
    <w:rsid w:val="00D428E9"/>
    <w:rsid w:val="00D42987"/>
    <w:rsid w:val="00D42C18"/>
    <w:rsid w:val="00D43F5E"/>
    <w:rsid w:val="00D44623"/>
    <w:rsid w:val="00D47CF6"/>
    <w:rsid w:val="00D50820"/>
    <w:rsid w:val="00D511C3"/>
    <w:rsid w:val="00D5481D"/>
    <w:rsid w:val="00D55B2D"/>
    <w:rsid w:val="00D60045"/>
    <w:rsid w:val="00D628AE"/>
    <w:rsid w:val="00D647C9"/>
    <w:rsid w:val="00D6632B"/>
    <w:rsid w:val="00D6667C"/>
    <w:rsid w:val="00D67995"/>
    <w:rsid w:val="00D7163F"/>
    <w:rsid w:val="00D716AB"/>
    <w:rsid w:val="00D71F86"/>
    <w:rsid w:val="00D7298C"/>
    <w:rsid w:val="00D734D6"/>
    <w:rsid w:val="00D73998"/>
    <w:rsid w:val="00D75B70"/>
    <w:rsid w:val="00D76FD9"/>
    <w:rsid w:val="00D800BD"/>
    <w:rsid w:val="00D8036C"/>
    <w:rsid w:val="00D80AA1"/>
    <w:rsid w:val="00D80E8D"/>
    <w:rsid w:val="00D816C8"/>
    <w:rsid w:val="00D81BC5"/>
    <w:rsid w:val="00D827CE"/>
    <w:rsid w:val="00D84DEB"/>
    <w:rsid w:val="00D877A6"/>
    <w:rsid w:val="00D904D9"/>
    <w:rsid w:val="00D946F0"/>
    <w:rsid w:val="00D95156"/>
    <w:rsid w:val="00D95BD9"/>
    <w:rsid w:val="00D95DC3"/>
    <w:rsid w:val="00D96A46"/>
    <w:rsid w:val="00D96A67"/>
    <w:rsid w:val="00DA114C"/>
    <w:rsid w:val="00DA12D5"/>
    <w:rsid w:val="00DA3326"/>
    <w:rsid w:val="00DA3644"/>
    <w:rsid w:val="00DA3FCB"/>
    <w:rsid w:val="00DA630F"/>
    <w:rsid w:val="00DA6A38"/>
    <w:rsid w:val="00DA6B30"/>
    <w:rsid w:val="00DA7040"/>
    <w:rsid w:val="00DB07B5"/>
    <w:rsid w:val="00DB07F9"/>
    <w:rsid w:val="00DB3CAF"/>
    <w:rsid w:val="00DB4966"/>
    <w:rsid w:val="00DB5871"/>
    <w:rsid w:val="00DC1386"/>
    <w:rsid w:val="00DC437C"/>
    <w:rsid w:val="00DC7A46"/>
    <w:rsid w:val="00DD0F54"/>
    <w:rsid w:val="00DD3577"/>
    <w:rsid w:val="00DD4F7A"/>
    <w:rsid w:val="00DD5050"/>
    <w:rsid w:val="00DD5306"/>
    <w:rsid w:val="00DD577D"/>
    <w:rsid w:val="00DD5903"/>
    <w:rsid w:val="00DD5E1E"/>
    <w:rsid w:val="00DE229B"/>
    <w:rsid w:val="00DE3A2B"/>
    <w:rsid w:val="00DE4A81"/>
    <w:rsid w:val="00DE65D3"/>
    <w:rsid w:val="00DE7AB8"/>
    <w:rsid w:val="00DF310D"/>
    <w:rsid w:val="00DF3188"/>
    <w:rsid w:val="00DF4F4C"/>
    <w:rsid w:val="00DF5529"/>
    <w:rsid w:val="00DF6DE8"/>
    <w:rsid w:val="00DF6FB0"/>
    <w:rsid w:val="00DF76B3"/>
    <w:rsid w:val="00DF76F2"/>
    <w:rsid w:val="00E00083"/>
    <w:rsid w:val="00E009E2"/>
    <w:rsid w:val="00E01112"/>
    <w:rsid w:val="00E01DE7"/>
    <w:rsid w:val="00E0411F"/>
    <w:rsid w:val="00E0572E"/>
    <w:rsid w:val="00E10005"/>
    <w:rsid w:val="00E1238E"/>
    <w:rsid w:val="00E124B9"/>
    <w:rsid w:val="00E13F21"/>
    <w:rsid w:val="00E14954"/>
    <w:rsid w:val="00E149E3"/>
    <w:rsid w:val="00E1612B"/>
    <w:rsid w:val="00E17515"/>
    <w:rsid w:val="00E20591"/>
    <w:rsid w:val="00E22766"/>
    <w:rsid w:val="00E22786"/>
    <w:rsid w:val="00E2572E"/>
    <w:rsid w:val="00E2692D"/>
    <w:rsid w:val="00E271C2"/>
    <w:rsid w:val="00E27AC2"/>
    <w:rsid w:val="00E30031"/>
    <w:rsid w:val="00E31023"/>
    <w:rsid w:val="00E329A6"/>
    <w:rsid w:val="00E34CB5"/>
    <w:rsid w:val="00E36419"/>
    <w:rsid w:val="00E37789"/>
    <w:rsid w:val="00E41E29"/>
    <w:rsid w:val="00E42265"/>
    <w:rsid w:val="00E44F78"/>
    <w:rsid w:val="00E45DAA"/>
    <w:rsid w:val="00E46560"/>
    <w:rsid w:val="00E47307"/>
    <w:rsid w:val="00E47601"/>
    <w:rsid w:val="00E5099C"/>
    <w:rsid w:val="00E50DB1"/>
    <w:rsid w:val="00E51053"/>
    <w:rsid w:val="00E51A6B"/>
    <w:rsid w:val="00E51A9F"/>
    <w:rsid w:val="00E52CA8"/>
    <w:rsid w:val="00E550CE"/>
    <w:rsid w:val="00E56C38"/>
    <w:rsid w:val="00E60B86"/>
    <w:rsid w:val="00E62E45"/>
    <w:rsid w:val="00E62F7D"/>
    <w:rsid w:val="00E642D8"/>
    <w:rsid w:val="00E6537B"/>
    <w:rsid w:val="00E657C7"/>
    <w:rsid w:val="00E67FA1"/>
    <w:rsid w:val="00E700B8"/>
    <w:rsid w:val="00E702B9"/>
    <w:rsid w:val="00E70588"/>
    <w:rsid w:val="00E74412"/>
    <w:rsid w:val="00E74B3C"/>
    <w:rsid w:val="00E754CB"/>
    <w:rsid w:val="00E75FA1"/>
    <w:rsid w:val="00E76419"/>
    <w:rsid w:val="00E77039"/>
    <w:rsid w:val="00E77787"/>
    <w:rsid w:val="00E77CD7"/>
    <w:rsid w:val="00E81702"/>
    <w:rsid w:val="00E82017"/>
    <w:rsid w:val="00E82538"/>
    <w:rsid w:val="00E82792"/>
    <w:rsid w:val="00E844D7"/>
    <w:rsid w:val="00E8453C"/>
    <w:rsid w:val="00E90F76"/>
    <w:rsid w:val="00E92E9D"/>
    <w:rsid w:val="00E93B3C"/>
    <w:rsid w:val="00E96A7F"/>
    <w:rsid w:val="00EA031A"/>
    <w:rsid w:val="00EA0CE9"/>
    <w:rsid w:val="00EA1A40"/>
    <w:rsid w:val="00EA330D"/>
    <w:rsid w:val="00EA50E9"/>
    <w:rsid w:val="00EA5190"/>
    <w:rsid w:val="00EA5F4C"/>
    <w:rsid w:val="00EA6109"/>
    <w:rsid w:val="00EB2688"/>
    <w:rsid w:val="00EB2E9B"/>
    <w:rsid w:val="00EB42A0"/>
    <w:rsid w:val="00EB6181"/>
    <w:rsid w:val="00EB664F"/>
    <w:rsid w:val="00EB7E37"/>
    <w:rsid w:val="00EC12E8"/>
    <w:rsid w:val="00EC1357"/>
    <w:rsid w:val="00EC5ACF"/>
    <w:rsid w:val="00ED22A8"/>
    <w:rsid w:val="00ED2479"/>
    <w:rsid w:val="00ED4EB4"/>
    <w:rsid w:val="00ED5D09"/>
    <w:rsid w:val="00ED7107"/>
    <w:rsid w:val="00ED75FC"/>
    <w:rsid w:val="00EE2221"/>
    <w:rsid w:val="00EE276F"/>
    <w:rsid w:val="00EE2982"/>
    <w:rsid w:val="00EE329B"/>
    <w:rsid w:val="00EE3D5C"/>
    <w:rsid w:val="00EE634F"/>
    <w:rsid w:val="00EE788D"/>
    <w:rsid w:val="00EF369D"/>
    <w:rsid w:val="00EF38A7"/>
    <w:rsid w:val="00EF6A39"/>
    <w:rsid w:val="00F00B38"/>
    <w:rsid w:val="00F01597"/>
    <w:rsid w:val="00F02DB8"/>
    <w:rsid w:val="00F0376E"/>
    <w:rsid w:val="00F044B3"/>
    <w:rsid w:val="00F05E83"/>
    <w:rsid w:val="00F07DC4"/>
    <w:rsid w:val="00F07E05"/>
    <w:rsid w:val="00F10842"/>
    <w:rsid w:val="00F10F8D"/>
    <w:rsid w:val="00F13C42"/>
    <w:rsid w:val="00F15C50"/>
    <w:rsid w:val="00F161F7"/>
    <w:rsid w:val="00F206E8"/>
    <w:rsid w:val="00F21755"/>
    <w:rsid w:val="00F21F2E"/>
    <w:rsid w:val="00F23947"/>
    <w:rsid w:val="00F23B61"/>
    <w:rsid w:val="00F276F1"/>
    <w:rsid w:val="00F315D0"/>
    <w:rsid w:val="00F32680"/>
    <w:rsid w:val="00F336FB"/>
    <w:rsid w:val="00F33A66"/>
    <w:rsid w:val="00F34368"/>
    <w:rsid w:val="00F34E5A"/>
    <w:rsid w:val="00F35452"/>
    <w:rsid w:val="00F35886"/>
    <w:rsid w:val="00F35953"/>
    <w:rsid w:val="00F40CA7"/>
    <w:rsid w:val="00F40CED"/>
    <w:rsid w:val="00F44659"/>
    <w:rsid w:val="00F45532"/>
    <w:rsid w:val="00F45ED2"/>
    <w:rsid w:val="00F53C4F"/>
    <w:rsid w:val="00F56A51"/>
    <w:rsid w:val="00F61899"/>
    <w:rsid w:val="00F62E90"/>
    <w:rsid w:val="00F66CD4"/>
    <w:rsid w:val="00F66E01"/>
    <w:rsid w:val="00F7129A"/>
    <w:rsid w:val="00F7180D"/>
    <w:rsid w:val="00F727A7"/>
    <w:rsid w:val="00F727FE"/>
    <w:rsid w:val="00F729D7"/>
    <w:rsid w:val="00F74320"/>
    <w:rsid w:val="00F774CD"/>
    <w:rsid w:val="00F80F59"/>
    <w:rsid w:val="00F82E69"/>
    <w:rsid w:val="00F8414D"/>
    <w:rsid w:val="00F84181"/>
    <w:rsid w:val="00F84C5D"/>
    <w:rsid w:val="00F86271"/>
    <w:rsid w:val="00F87164"/>
    <w:rsid w:val="00F87176"/>
    <w:rsid w:val="00F87303"/>
    <w:rsid w:val="00F91287"/>
    <w:rsid w:val="00F917FA"/>
    <w:rsid w:val="00F91B28"/>
    <w:rsid w:val="00F91DA0"/>
    <w:rsid w:val="00F9306F"/>
    <w:rsid w:val="00F94B4E"/>
    <w:rsid w:val="00F978B7"/>
    <w:rsid w:val="00F97E8C"/>
    <w:rsid w:val="00FA2FCD"/>
    <w:rsid w:val="00FA3FA8"/>
    <w:rsid w:val="00FA4718"/>
    <w:rsid w:val="00FA6E64"/>
    <w:rsid w:val="00FB1DCD"/>
    <w:rsid w:val="00FB2F0E"/>
    <w:rsid w:val="00FB31CC"/>
    <w:rsid w:val="00FC05EE"/>
    <w:rsid w:val="00FC2EC6"/>
    <w:rsid w:val="00FC339A"/>
    <w:rsid w:val="00FC36E0"/>
    <w:rsid w:val="00FC4E57"/>
    <w:rsid w:val="00FC546F"/>
    <w:rsid w:val="00FC6F5E"/>
    <w:rsid w:val="00FC711A"/>
    <w:rsid w:val="00FC7D31"/>
    <w:rsid w:val="00FD086C"/>
    <w:rsid w:val="00FD13AC"/>
    <w:rsid w:val="00FD1F83"/>
    <w:rsid w:val="00FD2D28"/>
    <w:rsid w:val="00FD419A"/>
    <w:rsid w:val="00FD6BFE"/>
    <w:rsid w:val="00FE100C"/>
    <w:rsid w:val="00FE34B0"/>
    <w:rsid w:val="00FE3FF3"/>
    <w:rsid w:val="00FE6D8B"/>
    <w:rsid w:val="00FE735E"/>
    <w:rsid w:val="00FF05A6"/>
    <w:rsid w:val="00FF459F"/>
    <w:rsid w:val="00FF4D4F"/>
    <w:rsid w:val="00FF7B22"/>
    <w:rsid w:val="1A113708"/>
    <w:rsid w:val="4D8212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941D70"/>
  <w15:docId w15:val="{2F9E2928-F333-4084-B2BE-A4D06CAE5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uiPriority="0"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Lines="100" w:before="100" w:afterLines="100" w:after="100" w:line="360" w:lineRule="auto"/>
      <w:jc w:val="center"/>
      <w:outlineLvl w:val="0"/>
    </w:pPr>
    <w:rPr>
      <w:b/>
      <w:bCs/>
      <w:kern w:val="44"/>
      <w:sz w:val="28"/>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Cambria" w:hAnsi="Cambria"/>
      <w:b/>
      <w:bCs/>
      <w:sz w:val="32"/>
      <w:szCs w:val="32"/>
    </w:rPr>
  </w:style>
  <w:style w:type="paragraph" w:styleId="4">
    <w:name w:val="heading 4"/>
    <w:basedOn w:val="a"/>
    <w:next w:val="a"/>
    <w:link w:val="40"/>
    <w:uiPriority w:val="9"/>
    <w:unhideWhenUsed/>
    <w:qFormat/>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pBdr>
        <w:bottom w:val="single" w:sz="6" w:space="1" w:color="auto"/>
      </w:pBdr>
      <w:tabs>
        <w:tab w:val="center" w:pos="4153"/>
        <w:tab w:val="right" w:pos="8306"/>
      </w:tabs>
      <w:snapToGrid w:val="0"/>
      <w:jc w:val="center"/>
    </w:pPr>
    <w:rPr>
      <w:kern w:val="0"/>
      <w:sz w:val="18"/>
      <w:szCs w:val="18"/>
    </w:rPr>
  </w:style>
  <w:style w:type="paragraph" w:styleId="a5">
    <w:name w:val="annotation subject"/>
    <w:basedOn w:val="a6"/>
    <w:next w:val="a6"/>
    <w:link w:val="a7"/>
    <w:uiPriority w:val="99"/>
    <w:unhideWhenUsed/>
    <w:rPr>
      <w:b/>
      <w:bCs/>
    </w:rPr>
  </w:style>
  <w:style w:type="paragraph" w:styleId="a6">
    <w:name w:val="annotation text"/>
    <w:basedOn w:val="a"/>
    <w:link w:val="a8"/>
    <w:unhideWhenUsed/>
    <w:qFormat/>
    <w:pPr>
      <w:jc w:val="left"/>
    </w:pPr>
  </w:style>
  <w:style w:type="paragraph" w:styleId="a9">
    <w:name w:val="Document Map"/>
    <w:basedOn w:val="a"/>
    <w:link w:val="aa"/>
    <w:uiPriority w:val="99"/>
    <w:unhideWhenUsed/>
    <w:rPr>
      <w:rFonts w:ascii="宋体"/>
      <w:sz w:val="18"/>
      <w:szCs w:val="18"/>
    </w:rPr>
  </w:style>
  <w:style w:type="paragraph" w:styleId="ab">
    <w:name w:val="Balloon Text"/>
    <w:basedOn w:val="a"/>
    <w:semiHidden/>
    <w:rPr>
      <w:sz w:val="18"/>
      <w:szCs w:val="18"/>
    </w:rPr>
  </w:style>
  <w:style w:type="paragraph" w:styleId="ac">
    <w:name w:val="footer"/>
    <w:basedOn w:val="a"/>
    <w:link w:val="ad"/>
    <w:uiPriority w:val="99"/>
    <w:unhideWhenUsed/>
    <w:pPr>
      <w:tabs>
        <w:tab w:val="center" w:pos="4153"/>
        <w:tab w:val="right" w:pos="8306"/>
      </w:tabs>
      <w:snapToGrid w:val="0"/>
      <w:jc w:val="left"/>
    </w:pPr>
    <w:rPr>
      <w:kern w:val="0"/>
      <w:sz w:val="18"/>
      <w:szCs w:val="18"/>
    </w:rPr>
  </w:style>
  <w:style w:type="paragraph" w:styleId="11">
    <w:name w:val="toc 1"/>
    <w:basedOn w:val="a"/>
    <w:next w:val="a"/>
    <w:uiPriority w:val="39"/>
    <w:unhideWhenUsed/>
  </w:style>
  <w:style w:type="paragraph" w:styleId="ae">
    <w:name w:val="Subtitle"/>
    <w:basedOn w:val="a"/>
    <w:next w:val="a"/>
    <w:link w:val="af"/>
    <w:qFormat/>
    <w:pPr>
      <w:spacing w:before="240" w:after="60" w:line="312" w:lineRule="auto"/>
      <w:jc w:val="center"/>
      <w:outlineLvl w:val="1"/>
    </w:pPr>
    <w:rPr>
      <w:rFonts w:ascii="Cambria" w:hAnsi="Cambria"/>
      <w:b/>
      <w:bCs/>
      <w:kern w:val="28"/>
      <w:sz w:val="32"/>
      <w:szCs w:val="32"/>
    </w:rPr>
  </w:style>
  <w:style w:type="paragraph" w:styleId="21">
    <w:name w:val="toc 2"/>
    <w:basedOn w:val="a"/>
    <w:next w:val="a"/>
    <w:uiPriority w:val="39"/>
    <w:unhideWhenUsed/>
    <w:pPr>
      <w:ind w:leftChars="200" w:left="480"/>
    </w:pPr>
  </w:style>
  <w:style w:type="character" w:styleId="af0">
    <w:name w:val="Hyperlink"/>
    <w:uiPriority w:val="99"/>
    <w:unhideWhenUsed/>
    <w:rPr>
      <w:color w:val="0000FF"/>
      <w:u w:val="single"/>
    </w:rPr>
  </w:style>
  <w:style w:type="character" w:styleId="af1">
    <w:name w:val="annotation reference"/>
    <w:unhideWhenUsed/>
    <w:rPr>
      <w:sz w:val="21"/>
      <w:szCs w:val="21"/>
    </w:rPr>
  </w:style>
  <w:style w:type="table" w:styleId="af2">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5">
    <w:name w:val="Light Shading Accent 5"/>
    <w:basedOn w:val="a1"/>
    <w:uiPriority w:val="60"/>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l2br w:val="nil"/>
          <w:tr2bl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2EAF1"/>
      </w:tcPr>
    </w:tblStylePr>
    <w:tblStylePr w:type="band1Horz">
      <w:tblPr/>
      <w:tcPr>
        <w:tcBorders>
          <w:top w:val="nil"/>
          <w:left w:val="nil"/>
          <w:bottom w:val="nil"/>
          <w:right w:val="nil"/>
          <w:insideH w:val="nil"/>
          <w:insideV w:val="nil"/>
          <w:tl2br w:val="nil"/>
          <w:tr2bl w:val="nil"/>
        </w:tcBorders>
        <w:shd w:val="clear" w:color="auto" w:fill="D2EAF1"/>
      </w:tcPr>
    </w:tblStylePr>
  </w:style>
  <w:style w:type="paragraph" w:customStyle="1" w:styleId="af3">
    <w:basedOn w:val="1"/>
    <w:next w:val="a"/>
    <w:uiPriority w:val="39"/>
    <w:qFormat/>
    <w:pPr>
      <w:widowControl/>
      <w:spacing w:beforeLines="0" w:before="480" w:line="276" w:lineRule="auto"/>
      <w:jc w:val="left"/>
      <w:outlineLvl w:val="9"/>
    </w:pPr>
    <w:rPr>
      <w:rFonts w:ascii="Cambria" w:hAnsi="Cambria"/>
      <w:color w:val="365F91"/>
      <w:kern w:val="0"/>
      <w:szCs w:val="28"/>
    </w:rPr>
  </w:style>
  <w:style w:type="paragraph" w:customStyle="1" w:styleId="XBRLTitle6">
    <w:name w:val="XBRLTitle6"/>
    <w:basedOn w:val="ae"/>
    <w:next w:val="4"/>
    <w:qFormat/>
    <w:pPr>
      <w:keepNext/>
      <w:keepLines/>
      <w:numPr>
        <w:ilvl w:val="5"/>
        <w:numId w:val="1"/>
      </w:numPr>
      <w:ind w:left="0" w:firstLine="0"/>
      <w:jc w:val="left"/>
    </w:pPr>
    <w:rPr>
      <w:bCs w:val="0"/>
      <w:sz w:val="24"/>
    </w:rPr>
  </w:style>
  <w:style w:type="paragraph" w:customStyle="1" w:styleId="af4">
    <w:uiPriority w:val="99"/>
    <w:semiHidden/>
    <w:rPr>
      <w:kern w:val="2"/>
      <w:sz w:val="21"/>
      <w:szCs w:val="22"/>
    </w:rPr>
  </w:style>
  <w:style w:type="paragraph" w:customStyle="1" w:styleId="Default">
    <w:name w:val="Default"/>
    <w:pPr>
      <w:widowControl w:val="0"/>
      <w:autoSpaceDE w:val="0"/>
      <w:autoSpaceDN w:val="0"/>
      <w:adjustRightInd w:val="0"/>
    </w:pPr>
    <w:rPr>
      <w:rFonts w:ascii="宋体" w:cs="宋体"/>
      <w:color w:val="000000"/>
      <w:sz w:val="24"/>
      <w:szCs w:val="24"/>
    </w:rPr>
  </w:style>
  <w:style w:type="paragraph" w:customStyle="1" w:styleId="XBRLTitle1">
    <w:name w:val="XBRLTitle1"/>
    <w:basedOn w:val="1"/>
    <w:next w:val="2"/>
    <w:qFormat/>
    <w:pPr>
      <w:numPr>
        <w:numId w:val="1"/>
      </w:numPr>
      <w:spacing w:beforeLines="50" w:before="340" w:afterLines="50" w:after="330" w:line="240" w:lineRule="auto"/>
    </w:pPr>
    <w:rPr>
      <w:rFonts w:ascii="Cambria" w:hAnsi="Cambria"/>
    </w:rPr>
  </w:style>
  <w:style w:type="paragraph" w:customStyle="1" w:styleId="XBRLTitle2">
    <w:name w:val="XBRLTitle2"/>
    <w:basedOn w:val="ae"/>
    <w:next w:val="4"/>
    <w:qFormat/>
    <w:pPr>
      <w:keepNext/>
      <w:keepLines/>
      <w:numPr>
        <w:ilvl w:val="1"/>
        <w:numId w:val="1"/>
      </w:numPr>
      <w:jc w:val="left"/>
    </w:pPr>
    <w:rPr>
      <w:bCs w:val="0"/>
      <w:sz w:val="24"/>
    </w:rPr>
  </w:style>
  <w:style w:type="paragraph" w:customStyle="1" w:styleId="XBRLTitle3">
    <w:name w:val="XBRLTitle3"/>
    <w:basedOn w:val="ae"/>
    <w:next w:val="4"/>
    <w:qFormat/>
    <w:pPr>
      <w:keepNext/>
      <w:keepLines/>
      <w:numPr>
        <w:ilvl w:val="2"/>
        <w:numId w:val="1"/>
      </w:numPr>
      <w:ind w:left="0" w:firstLine="0"/>
      <w:jc w:val="left"/>
    </w:pPr>
    <w:rPr>
      <w:bCs w:val="0"/>
      <w:sz w:val="24"/>
    </w:rPr>
  </w:style>
  <w:style w:type="paragraph" w:customStyle="1" w:styleId="XBRLTitle5">
    <w:name w:val="XBRLTitle5"/>
    <w:basedOn w:val="ae"/>
    <w:next w:val="4"/>
    <w:qFormat/>
    <w:pPr>
      <w:keepNext/>
      <w:keepLines/>
      <w:numPr>
        <w:ilvl w:val="4"/>
        <w:numId w:val="1"/>
      </w:numPr>
      <w:ind w:left="0" w:firstLine="0"/>
      <w:jc w:val="left"/>
    </w:pPr>
    <w:rPr>
      <w:bCs w:val="0"/>
      <w:sz w:val="24"/>
    </w:rPr>
  </w:style>
  <w:style w:type="paragraph" w:customStyle="1" w:styleId="XBRLTitle4">
    <w:name w:val="XBRLTitle4"/>
    <w:basedOn w:val="ae"/>
    <w:next w:val="4"/>
    <w:qFormat/>
    <w:pPr>
      <w:keepNext/>
      <w:keepLines/>
      <w:numPr>
        <w:ilvl w:val="3"/>
        <w:numId w:val="1"/>
      </w:numPr>
      <w:ind w:left="0" w:firstLine="0"/>
      <w:jc w:val="left"/>
    </w:pPr>
    <w:rPr>
      <w:bCs w:val="0"/>
      <w:sz w:val="24"/>
    </w:rPr>
  </w:style>
  <w:style w:type="character" w:customStyle="1" w:styleId="Char1">
    <w:name w:val="副标题 Char1"/>
    <w:rPr>
      <w:rFonts w:ascii="Cambria" w:hAnsi="Cambria"/>
      <w:b/>
      <w:kern w:val="28"/>
      <w:sz w:val="24"/>
      <w:szCs w:val="32"/>
    </w:rPr>
  </w:style>
  <w:style w:type="character" w:customStyle="1" w:styleId="txtcontent11">
    <w:name w:val="txtcontent11"/>
    <w:rPr>
      <w:rFonts w:ascii="ˎ̥" w:hAnsi="ˎ̥" w:hint="default"/>
      <w:color w:val="000000"/>
      <w:sz w:val="21"/>
      <w:szCs w:val="21"/>
    </w:rPr>
  </w:style>
  <w:style w:type="character" w:customStyle="1" w:styleId="a8">
    <w:name w:val="批注文字 字符"/>
    <w:link w:val="a6"/>
    <w:qFormat/>
    <w:rPr>
      <w:kern w:val="2"/>
      <w:sz w:val="21"/>
      <w:szCs w:val="22"/>
    </w:rPr>
  </w:style>
  <w:style w:type="character" w:customStyle="1" w:styleId="a7">
    <w:name w:val="批注主题 字符"/>
    <w:link w:val="a5"/>
    <w:uiPriority w:val="99"/>
    <w:semiHidden/>
    <w:rPr>
      <w:b/>
      <w:bCs/>
      <w:kern w:val="2"/>
      <w:sz w:val="21"/>
      <w:szCs w:val="22"/>
    </w:rPr>
  </w:style>
  <w:style w:type="character" w:customStyle="1" w:styleId="a4">
    <w:name w:val="页眉 字符"/>
    <w:link w:val="a3"/>
    <w:uiPriority w:val="99"/>
    <w:rPr>
      <w:sz w:val="18"/>
      <w:szCs w:val="18"/>
    </w:rPr>
  </w:style>
  <w:style w:type="character" w:customStyle="1" w:styleId="af">
    <w:name w:val="副标题 字符"/>
    <w:link w:val="ae"/>
    <w:rPr>
      <w:rFonts w:ascii="Cambria" w:hAnsi="Cambria" w:cs="Times New Roman"/>
      <w:b/>
      <w:bCs/>
      <w:kern w:val="28"/>
      <w:sz w:val="32"/>
      <w:szCs w:val="32"/>
    </w:rPr>
  </w:style>
  <w:style w:type="character" w:customStyle="1" w:styleId="aa">
    <w:name w:val="文档结构图 字符"/>
    <w:link w:val="a9"/>
    <w:uiPriority w:val="99"/>
    <w:semiHidden/>
    <w:rPr>
      <w:rFonts w:ascii="宋体"/>
      <w:kern w:val="2"/>
      <w:sz w:val="18"/>
      <w:szCs w:val="18"/>
    </w:rPr>
  </w:style>
  <w:style w:type="character" w:customStyle="1" w:styleId="ad">
    <w:name w:val="页脚 字符"/>
    <w:link w:val="ac"/>
    <w:uiPriority w:val="99"/>
    <w:rPr>
      <w:sz w:val="18"/>
      <w:szCs w:val="18"/>
    </w:rPr>
  </w:style>
  <w:style w:type="character" w:customStyle="1" w:styleId="20">
    <w:name w:val="标题 2 字符"/>
    <w:link w:val="2"/>
    <w:uiPriority w:val="9"/>
    <w:semiHidden/>
    <w:rPr>
      <w:rFonts w:ascii="Cambria" w:eastAsia="宋体" w:hAnsi="Cambria" w:cs="Times New Roman"/>
      <w:b/>
      <w:bCs/>
      <w:kern w:val="2"/>
      <w:sz w:val="32"/>
      <w:szCs w:val="32"/>
    </w:rPr>
  </w:style>
  <w:style w:type="character" w:customStyle="1" w:styleId="40">
    <w:name w:val="标题 4 字符"/>
    <w:link w:val="4"/>
    <w:uiPriority w:val="9"/>
    <w:semiHidden/>
    <w:rPr>
      <w:rFonts w:ascii="Cambria" w:eastAsia="宋体" w:hAnsi="Cambria" w:cs="Times New Roman"/>
      <w:b/>
      <w:bCs/>
      <w:kern w:val="2"/>
      <w:sz w:val="28"/>
      <w:szCs w:val="28"/>
    </w:rPr>
  </w:style>
  <w:style w:type="character" w:customStyle="1" w:styleId="10">
    <w:name w:val="标题 1 字符"/>
    <w:link w:val="1"/>
    <w:uiPriority w:val="9"/>
    <w:rPr>
      <w:b/>
      <w:bCs/>
      <w:kern w:val="44"/>
      <w:sz w:val="28"/>
      <w:szCs w:val="44"/>
    </w:rPr>
  </w:style>
  <w:style w:type="character" w:styleId="af5">
    <w:name w:val="FollowedHyperlink"/>
    <w:uiPriority w:val="99"/>
    <w:semiHidden/>
    <w:unhideWhenUsed/>
    <w:rsid w:val="000A46DE"/>
    <w:rPr>
      <w:color w:val="800080"/>
      <w:u w:val="single"/>
    </w:rPr>
  </w:style>
  <w:style w:type="paragraph" w:styleId="af6">
    <w:name w:val="Normal Indent"/>
    <w:basedOn w:val="a"/>
    <w:qFormat/>
    <w:rsid w:val="00B94A3B"/>
    <w:pPr>
      <w:ind w:firstLineChars="200" w:firstLine="420"/>
    </w:pPr>
    <w:rPr>
      <w:rFonts w:ascii="Times New Roman" w:hAnsi="Times New Roman"/>
      <w:szCs w:val="20"/>
    </w:rPr>
  </w:style>
  <w:style w:type="paragraph" w:styleId="af7">
    <w:name w:val="Revision"/>
    <w:hidden/>
    <w:uiPriority w:val="99"/>
    <w:semiHidden/>
    <w:rsid w:val="00172505"/>
    <w:rPr>
      <w:kern w:val="2"/>
      <w:sz w:val="21"/>
      <w:szCs w:val="22"/>
    </w:rPr>
  </w:style>
  <w:style w:type="character" w:styleId="af8">
    <w:name w:val="Placeholder Text"/>
    <w:basedOn w:val="a0"/>
    <w:uiPriority w:val="99"/>
    <w:semiHidden/>
    <w:rsid w:val="00E2278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7208402">
      <w:bodyDiv w:val="1"/>
      <w:marLeft w:val="0"/>
      <w:marRight w:val="0"/>
      <w:marTop w:val="0"/>
      <w:marBottom w:val="0"/>
      <w:divBdr>
        <w:top w:val="none" w:sz="0" w:space="0" w:color="auto"/>
        <w:left w:val="none" w:sz="0" w:space="0" w:color="auto"/>
        <w:bottom w:val="none" w:sz="0" w:space="0" w:color="auto"/>
        <w:right w:val="none" w:sz="0" w:space="0" w:color="auto"/>
      </w:divBdr>
    </w:div>
    <w:div w:id="559251008">
      <w:bodyDiv w:val="1"/>
      <w:marLeft w:val="0"/>
      <w:marRight w:val="0"/>
      <w:marTop w:val="0"/>
      <w:marBottom w:val="0"/>
      <w:divBdr>
        <w:top w:val="none" w:sz="0" w:space="0" w:color="auto"/>
        <w:left w:val="none" w:sz="0" w:space="0" w:color="auto"/>
        <w:bottom w:val="none" w:sz="0" w:space="0" w:color="auto"/>
        <w:right w:val="none" w:sz="0" w:space="0" w:color="auto"/>
      </w:divBdr>
      <w:divsChild>
        <w:div w:id="1912540637">
          <w:marLeft w:val="0"/>
          <w:marRight w:val="0"/>
          <w:marTop w:val="0"/>
          <w:marBottom w:val="0"/>
          <w:divBdr>
            <w:top w:val="none" w:sz="0" w:space="0" w:color="auto"/>
            <w:left w:val="none" w:sz="0" w:space="0" w:color="auto"/>
            <w:bottom w:val="none" w:sz="0" w:space="0" w:color="auto"/>
            <w:right w:val="none" w:sz="0" w:space="0" w:color="auto"/>
          </w:divBdr>
        </w:div>
      </w:divsChild>
    </w:div>
    <w:div w:id="968319286">
      <w:bodyDiv w:val="1"/>
      <w:marLeft w:val="0"/>
      <w:marRight w:val="0"/>
      <w:marTop w:val="0"/>
      <w:marBottom w:val="0"/>
      <w:divBdr>
        <w:top w:val="none" w:sz="0" w:space="0" w:color="auto"/>
        <w:left w:val="none" w:sz="0" w:space="0" w:color="auto"/>
        <w:bottom w:val="none" w:sz="0" w:space="0" w:color="auto"/>
        <w:right w:val="none" w:sz="0" w:space="0" w:color="auto"/>
      </w:divBdr>
      <w:divsChild>
        <w:div w:id="1524978991">
          <w:marLeft w:val="0"/>
          <w:marRight w:val="0"/>
          <w:marTop w:val="0"/>
          <w:marBottom w:val="0"/>
          <w:divBdr>
            <w:top w:val="none" w:sz="0" w:space="0" w:color="auto"/>
            <w:left w:val="none" w:sz="0" w:space="0" w:color="auto"/>
            <w:bottom w:val="none" w:sz="0" w:space="0" w:color="auto"/>
            <w:right w:val="none" w:sz="0" w:space="0" w:color="auto"/>
          </w:divBdr>
        </w:div>
        <w:div w:id="247228354">
          <w:marLeft w:val="0"/>
          <w:marRight w:val="0"/>
          <w:marTop w:val="0"/>
          <w:marBottom w:val="0"/>
          <w:divBdr>
            <w:top w:val="none" w:sz="0" w:space="0" w:color="auto"/>
            <w:left w:val="none" w:sz="0" w:space="0" w:color="auto"/>
            <w:bottom w:val="none" w:sz="0" w:space="0" w:color="auto"/>
            <w:right w:val="none" w:sz="0" w:space="0" w:color="auto"/>
          </w:divBdr>
        </w:div>
      </w:divsChild>
    </w:div>
    <w:div w:id="1681733329">
      <w:bodyDiv w:val="1"/>
      <w:marLeft w:val="0"/>
      <w:marRight w:val="0"/>
      <w:marTop w:val="0"/>
      <w:marBottom w:val="0"/>
      <w:divBdr>
        <w:top w:val="none" w:sz="0" w:space="0" w:color="auto"/>
        <w:left w:val="none" w:sz="0" w:space="0" w:color="auto"/>
        <w:bottom w:val="none" w:sz="0" w:space="0" w:color="auto"/>
        <w:right w:val="none" w:sz="0" w:space="0" w:color="auto"/>
      </w:divBdr>
      <w:divsChild>
        <w:div w:id="188475552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sindex.com.cn" TargetMode="External"/><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2068"/>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563F7F7-AE7B-4FF7-AEA7-B61A27C53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13332</Words>
  <Characters>75996</Characters>
  <Application>Microsoft Office Word</Application>
  <DocSecurity>0</DocSecurity>
  <Lines>633</Lines>
  <Paragraphs>178</Paragraphs>
  <ScaleCrop>false</ScaleCrop>
  <Company>Microsoft</Company>
  <LinksUpToDate>false</LinksUpToDate>
  <CharactersWithSpaces>89150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系统用户</dc:creator>
  <cp:lastModifiedBy>张婕茹</cp:lastModifiedBy>
  <cp:revision>54</cp:revision>
  <cp:lastPrinted>2023-10-16T03:15:00Z</cp:lastPrinted>
  <dcterms:created xsi:type="dcterms:W3CDTF">2023-10-13T06:23:00Z</dcterms:created>
  <dcterms:modified xsi:type="dcterms:W3CDTF">2024-01-29T02:15:00Z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