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4EAC1" w14:textId="77777777" w:rsidR="00C61788" w:rsidRPr="00EB07BC" w:rsidRDefault="00C61788">
      <w:pPr>
        <w:rPr>
          <w:sz w:val="32"/>
        </w:rPr>
      </w:pPr>
    </w:p>
    <w:p w14:paraId="182EB213" w14:textId="77777777" w:rsidR="00C61788" w:rsidRPr="00EB07BC" w:rsidRDefault="00C61788">
      <w:pPr>
        <w:rPr>
          <w:sz w:val="32"/>
        </w:rPr>
      </w:pPr>
    </w:p>
    <w:p w14:paraId="52725313" w14:textId="77777777" w:rsidR="00C61788" w:rsidRPr="00EB07BC" w:rsidRDefault="00C61788">
      <w:pPr>
        <w:rPr>
          <w:sz w:val="32"/>
        </w:rPr>
      </w:pPr>
    </w:p>
    <w:p w14:paraId="06E9E762" w14:textId="12DD52F7" w:rsidR="00C61788" w:rsidRPr="00EB07BC" w:rsidRDefault="00701A9A">
      <w:pPr>
        <w:jc w:val="center"/>
        <w:rPr>
          <w:sz w:val="32"/>
        </w:rPr>
      </w:pPr>
      <w:r>
        <w:rPr>
          <w:noProof/>
        </w:rPr>
        <w:drawing>
          <wp:inline distT="0" distB="0" distL="0" distR="0" wp14:anchorId="40CB7D01" wp14:editId="4058345B">
            <wp:extent cx="4343400" cy="577850"/>
            <wp:effectExtent l="0" t="0" r="0" b="0"/>
            <wp:docPr id="5"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3400" cy="577850"/>
                    </a:xfrm>
                    <a:prstGeom prst="rect">
                      <a:avLst/>
                    </a:prstGeom>
                    <a:noFill/>
                    <a:ln>
                      <a:noFill/>
                    </a:ln>
                  </pic:spPr>
                </pic:pic>
              </a:graphicData>
            </a:graphic>
          </wp:inline>
        </w:drawing>
      </w:r>
    </w:p>
    <w:p w14:paraId="565E4828" w14:textId="77777777" w:rsidR="00234D74" w:rsidRDefault="00234D74">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7A031127" w14:textId="77777777" w:rsidR="00234D74" w:rsidRDefault="00234D74">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62B5F136" w14:textId="77777777" w:rsidR="00234D74" w:rsidRDefault="00BC098F">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交银施罗德丰晟收益债券型证券投资基金</w:t>
      </w:r>
    </w:p>
    <w:p w14:paraId="78F3A21E" w14:textId="77777777" w:rsidR="00234D74" w:rsidRDefault="00BC098F">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(更新)招募说明书</w:t>
      </w:r>
    </w:p>
    <w:p w14:paraId="359F629E" w14:textId="03F6AFCC" w:rsidR="00234D74" w:rsidRDefault="00BC098F">
      <w:pPr>
        <w:snapToGrid w:val="0"/>
        <w:spacing w:line="360" w:lineRule="auto"/>
        <w:jc w:val="center"/>
        <w:rPr>
          <w:rFonts w:ascii="宋体" w:hAnsi="宋体"/>
          <w:b/>
          <w:sz w:val="30"/>
          <w:szCs w:val="30"/>
        </w:rPr>
      </w:pPr>
      <w:r>
        <w:rPr>
          <w:rFonts w:ascii="Times New Roman" w:hAnsi="Times New Roman"/>
          <w:b/>
          <w:color w:val="000000"/>
          <w:sz w:val="32"/>
          <w:szCs w:val="32"/>
        </w:rPr>
        <w:t>(2023</w:t>
      </w:r>
      <w:r>
        <w:rPr>
          <w:rFonts w:ascii="Times New Roman" w:hAnsi="Times New Roman"/>
          <w:b/>
          <w:color w:val="000000"/>
          <w:sz w:val="32"/>
          <w:szCs w:val="32"/>
        </w:rPr>
        <w:t>年第</w:t>
      </w:r>
      <w:r w:rsidR="00E25C52">
        <w:rPr>
          <w:rFonts w:ascii="Times New Roman" w:hAnsi="Times New Roman"/>
          <w:b/>
          <w:color w:val="000000"/>
          <w:sz w:val="32"/>
          <w:szCs w:val="32"/>
        </w:rPr>
        <w:t>2</w:t>
      </w:r>
      <w:r>
        <w:rPr>
          <w:rFonts w:ascii="Times New Roman" w:hAnsi="Times New Roman"/>
          <w:b/>
          <w:color w:val="000000"/>
          <w:sz w:val="32"/>
          <w:szCs w:val="32"/>
        </w:rPr>
        <w:t>号</w:t>
      </w:r>
      <w:r>
        <w:rPr>
          <w:rFonts w:ascii="Times New Roman" w:hAnsi="Times New Roman"/>
          <w:b/>
          <w:color w:val="000000"/>
          <w:sz w:val="32"/>
          <w:szCs w:val="32"/>
        </w:rPr>
        <w:t>)</w:t>
      </w:r>
    </w:p>
    <w:p w14:paraId="3E971BD8" w14:textId="77777777" w:rsidR="00234D74" w:rsidRDefault="00234D74">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4613FC25" w14:textId="77777777" w:rsidR="00234D74" w:rsidRDefault="00234D74">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07BCE6A5" w14:textId="77777777" w:rsidR="00234D74" w:rsidRDefault="00234D74">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74E8FB31" w14:textId="77777777" w:rsidR="00234D74" w:rsidRDefault="00234D74">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28F969EF" w14:textId="77777777" w:rsidR="00234D74" w:rsidRDefault="00234D74">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0361B54B" w14:textId="77777777" w:rsidR="00234D74" w:rsidRDefault="00234D74">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5674ABF4" w14:textId="77777777" w:rsidR="00234D74" w:rsidRDefault="00BC098F">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14:paraId="54F581D6" w14:textId="77777777" w:rsidR="00234D74" w:rsidRDefault="00BC098F">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基金托管人：招商银行股份有限公司</w:t>
      </w:r>
    </w:p>
    <w:p w14:paraId="6982D28B" w14:textId="77777777" w:rsidR="00234D74" w:rsidRDefault="00234D74">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5AD41C99" w14:textId="77777777" w:rsidR="00234D74" w:rsidRDefault="00234D74">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165A0E53" w14:textId="30C57DA4" w:rsidR="00234D74" w:rsidRDefault="0062394E">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二〇二三年</w:t>
      </w:r>
      <w:r w:rsidR="00E36064">
        <w:rPr>
          <w:rFonts w:ascii="Times New Roman" w:hAnsi="Times New Roman" w:hint="eastAsia"/>
          <w:b/>
          <w:spacing w:val="2"/>
          <w:w w:val="99"/>
          <w:kern w:val="0"/>
          <w:sz w:val="28"/>
          <w:szCs w:val="32"/>
        </w:rPr>
        <w:t>十二</w:t>
      </w:r>
      <w:r>
        <w:rPr>
          <w:rFonts w:ascii="Times New Roman" w:hAnsi="Times New Roman"/>
          <w:b/>
          <w:spacing w:val="2"/>
          <w:w w:val="99"/>
          <w:kern w:val="0"/>
          <w:sz w:val="28"/>
          <w:szCs w:val="32"/>
        </w:rPr>
        <w:t>月</w:t>
      </w:r>
    </w:p>
    <w:p w14:paraId="17E4397B" w14:textId="77777777" w:rsidR="00234D74" w:rsidRDefault="00234D74">
      <w:pPr>
        <w:autoSpaceDE w:val="0"/>
        <w:autoSpaceDN w:val="0"/>
        <w:adjustRightInd w:val="0"/>
        <w:snapToGrid w:val="0"/>
        <w:spacing w:line="360" w:lineRule="auto"/>
        <w:ind w:left="1347" w:rightChars="6" w:right="13"/>
        <w:rPr>
          <w:rFonts w:ascii="宋体" w:hAnsi="宋体"/>
          <w:kern w:val="0"/>
          <w:sz w:val="32"/>
          <w:szCs w:val="32"/>
        </w:rPr>
        <w:sectPr w:rsidR="00234D74">
          <w:headerReference w:type="default" r:id="rId9"/>
          <w:footerReference w:type="default" r:id="rId10"/>
          <w:headerReference w:type="first" r:id="rId11"/>
          <w:pgSz w:w="11920" w:h="16840"/>
          <w:pgMar w:top="1560" w:right="1680" w:bottom="280" w:left="1680" w:header="0" w:footer="1073" w:gutter="0"/>
          <w:pgNumType w:start="1"/>
          <w:cols w:space="720"/>
          <w:titlePg/>
          <w:docGrid w:linePitch="286"/>
        </w:sectPr>
      </w:pPr>
    </w:p>
    <w:p w14:paraId="297DE76C" w14:textId="77777777" w:rsidR="00234D74" w:rsidRDefault="00BC098F">
      <w:pPr>
        <w:pStyle w:val="1"/>
        <w:snapToGrid w:val="0"/>
        <w:spacing w:beforeLines="0" w:before="240" w:after="240"/>
        <w:rPr>
          <w:rFonts w:ascii="宋体" w:hAnsi="宋体"/>
          <w:kern w:val="0"/>
        </w:rPr>
      </w:pPr>
      <w:bookmarkStart w:id="0" w:name="_Toc324920538"/>
      <w:bookmarkStart w:id="1" w:name="_Toc496884613"/>
      <w:bookmarkStart w:id="2" w:name="_Toc135728676"/>
      <w:r>
        <w:rPr>
          <w:rFonts w:ascii="Times New Roman" w:hAnsi="Times New Roman"/>
          <w:kern w:val="0"/>
        </w:rPr>
        <w:lastRenderedPageBreak/>
        <w:t>重要提示</w:t>
      </w:r>
      <w:bookmarkEnd w:id="0"/>
      <w:bookmarkEnd w:id="1"/>
      <w:bookmarkEnd w:id="2"/>
    </w:p>
    <w:p w14:paraId="5E23D580" w14:textId="77777777" w:rsidR="00234D74" w:rsidRDefault="00BC098F">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交银施罗德丰晟收益债券型证券投资基金（以下简称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）经</w:t>
      </w:r>
      <w:r>
        <w:rPr>
          <w:rFonts w:ascii="Times New Roman" w:hAnsi="Times New Roman"/>
          <w:kern w:val="0"/>
          <w:sz w:val="24"/>
        </w:rPr>
        <w:t>2017</w:t>
      </w:r>
      <w:r>
        <w:rPr>
          <w:rFonts w:ascii="Times New Roman" w:hAnsi="Times New Roman"/>
          <w:kern w:val="0"/>
          <w:sz w:val="24"/>
        </w:rPr>
        <w:t>年</w:t>
      </w:r>
      <w:r>
        <w:rPr>
          <w:rFonts w:ascii="Times New Roman" w:hAnsi="Times New Roman"/>
          <w:kern w:val="0"/>
          <w:sz w:val="24"/>
        </w:rPr>
        <w:t>12</w:t>
      </w:r>
      <w:r>
        <w:rPr>
          <w:rFonts w:ascii="Times New Roman" w:hAnsi="Times New Roman"/>
          <w:kern w:val="0"/>
          <w:sz w:val="24"/>
        </w:rPr>
        <w:t>月</w:t>
      </w:r>
      <w:r>
        <w:rPr>
          <w:rFonts w:ascii="Times New Roman" w:hAnsi="Times New Roman"/>
          <w:kern w:val="0"/>
          <w:sz w:val="24"/>
        </w:rPr>
        <w:t>26</w:t>
      </w:r>
      <w:r>
        <w:rPr>
          <w:rFonts w:ascii="Times New Roman" w:hAnsi="Times New Roman"/>
          <w:kern w:val="0"/>
          <w:sz w:val="24"/>
        </w:rPr>
        <w:t>日中国证券监督管理委员会（以下简称</w:t>
      </w:r>
      <w:r>
        <w:rPr>
          <w:rFonts w:ascii="Times New Roman" w:hAnsi="Times New Roman"/>
          <w:kern w:val="0"/>
          <w:sz w:val="24"/>
        </w:rPr>
        <w:t>“</w:t>
      </w:r>
      <w:r>
        <w:rPr>
          <w:rFonts w:ascii="Times New Roman" w:hAnsi="Times New Roman"/>
          <w:kern w:val="0"/>
          <w:sz w:val="24"/>
        </w:rPr>
        <w:t>中国证监会</w:t>
      </w:r>
      <w:r>
        <w:rPr>
          <w:rFonts w:ascii="Times New Roman" w:hAnsi="Times New Roman"/>
          <w:kern w:val="0"/>
          <w:sz w:val="24"/>
        </w:rPr>
        <w:t>”</w:t>
      </w:r>
      <w:r>
        <w:rPr>
          <w:rFonts w:ascii="Times New Roman" w:hAnsi="Times New Roman"/>
          <w:kern w:val="0"/>
          <w:sz w:val="24"/>
        </w:rPr>
        <w:t>）证监许可【</w:t>
      </w:r>
      <w:r>
        <w:rPr>
          <w:rFonts w:ascii="Times New Roman" w:hAnsi="Times New Roman"/>
          <w:kern w:val="0"/>
          <w:sz w:val="24"/>
        </w:rPr>
        <w:t>2017</w:t>
      </w:r>
      <w:r>
        <w:rPr>
          <w:rFonts w:ascii="Times New Roman" w:hAnsi="Times New Roman"/>
          <w:kern w:val="0"/>
          <w:sz w:val="24"/>
        </w:rPr>
        <w:t>】</w:t>
      </w:r>
      <w:r>
        <w:rPr>
          <w:rFonts w:ascii="Times New Roman" w:hAnsi="Times New Roman"/>
          <w:kern w:val="0"/>
          <w:sz w:val="24"/>
        </w:rPr>
        <w:t>2396</w:t>
      </w:r>
      <w:r>
        <w:rPr>
          <w:rFonts w:ascii="Times New Roman" w:hAnsi="Times New Roman"/>
          <w:kern w:val="0"/>
          <w:sz w:val="24"/>
        </w:rPr>
        <w:t>号文准予募集注册。本基金基金合同于</w:t>
      </w:r>
      <w:r>
        <w:rPr>
          <w:rFonts w:ascii="Times New Roman" w:hAnsi="Times New Roman"/>
          <w:kern w:val="0"/>
          <w:sz w:val="24"/>
        </w:rPr>
        <w:t>2018</w:t>
      </w:r>
      <w:r>
        <w:rPr>
          <w:rFonts w:ascii="Times New Roman" w:hAnsi="Times New Roman"/>
          <w:kern w:val="0"/>
          <w:sz w:val="24"/>
        </w:rPr>
        <w:t>年</w:t>
      </w:r>
      <w:r>
        <w:rPr>
          <w:rFonts w:ascii="Times New Roman" w:hAnsi="Times New Roman"/>
          <w:kern w:val="0"/>
          <w:sz w:val="24"/>
        </w:rPr>
        <w:t>5</w:t>
      </w:r>
      <w:r>
        <w:rPr>
          <w:rFonts w:ascii="Times New Roman" w:hAnsi="Times New Roman"/>
          <w:kern w:val="0"/>
          <w:sz w:val="24"/>
        </w:rPr>
        <w:t>月</w:t>
      </w:r>
      <w:r>
        <w:rPr>
          <w:rFonts w:ascii="Times New Roman" w:hAnsi="Times New Roman"/>
          <w:kern w:val="0"/>
          <w:sz w:val="24"/>
        </w:rPr>
        <w:t>23</w:t>
      </w:r>
      <w:r>
        <w:rPr>
          <w:rFonts w:ascii="Times New Roman" w:hAnsi="Times New Roman"/>
          <w:kern w:val="0"/>
          <w:sz w:val="24"/>
        </w:rPr>
        <w:t>日正式生效。</w:t>
      </w:r>
    </w:p>
    <w:p w14:paraId="1FC28357" w14:textId="77777777" w:rsidR="00234D74" w:rsidRDefault="00BC098F">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注册，但中国证监会对本基金募集的注册，并不表明其对本基金的价值和收益作出实质性判断或保证，也不表明投资于本基金没有风险。中国证监会不对基金的投资价值及市场前景等作出实质性判断或者保证。</w:t>
      </w:r>
    </w:p>
    <w:p w14:paraId="04357368" w14:textId="77777777" w:rsidR="00234D74" w:rsidRDefault="00BC098F">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1199053F" w14:textId="77777777" w:rsidR="00234D74" w:rsidRDefault="00BC098F">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本基金在基金合同生效之日起两年（含两年）的期间内采取封闭式运作。封闭期内，基金投资者不能申购、赎回本基金基金份额。本基金转为开放式运作后基金投资者方可申购、赎回本基金基金份额。</w:t>
      </w:r>
    </w:p>
    <w:p w14:paraId="366AF8A9" w14:textId="77777777" w:rsidR="00234D74" w:rsidRDefault="00BC098F">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包括实施侧袋机制时的特定风险）；交易对手违约风险；投资中小企业私募债的特有风险；投资资产支持证券的特有风险；连续六十个工作日出现基金份额持有人数量不满</w:t>
      </w:r>
      <w:r>
        <w:rPr>
          <w:rFonts w:ascii="Times New Roman" w:hAnsi="Times New Roman"/>
          <w:kern w:val="0"/>
          <w:sz w:val="24"/>
        </w:rPr>
        <w:t>200</w:t>
      </w:r>
      <w:r>
        <w:rPr>
          <w:rFonts w:ascii="Times New Roman" w:hAnsi="Times New Roman"/>
          <w:kern w:val="0"/>
          <w:sz w:val="24"/>
        </w:rPr>
        <w:t>人或基金资产净值低于</w:t>
      </w:r>
      <w:r>
        <w:rPr>
          <w:rFonts w:ascii="Times New Roman" w:hAnsi="Times New Roman"/>
          <w:kern w:val="0"/>
          <w:sz w:val="24"/>
        </w:rPr>
        <w:t>5000</w:t>
      </w:r>
      <w:r>
        <w:rPr>
          <w:rFonts w:ascii="Times New Roman" w:hAnsi="Times New Roman"/>
          <w:kern w:val="0"/>
          <w:sz w:val="24"/>
        </w:rPr>
        <w:t>万元情形时基金管理人可依基金合同约定提前终止基金合同的风险；投资本基金特有的其他风险等等。</w:t>
      </w:r>
    </w:p>
    <w:p w14:paraId="40D23CC4" w14:textId="77777777" w:rsidR="00234D74" w:rsidRDefault="00BC098F">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w:t>
      </w:r>
      <w:r>
        <w:rPr>
          <w:rFonts w:ascii="Times New Roman" w:hAnsi="Times New Roman"/>
          <w:kern w:val="0"/>
          <w:sz w:val="24"/>
        </w:rPr>
        <w:lastRenderedPageBreak/>
        <w:t>负面影响和损失。</w:t>
      </w:r>
    </w:p>
    <w:p w14:paraId="5C720F15" w14:textId="77777777" w:rsidR="00234D74" w:rsidRDefault="00BC098F">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本基金是一只债券型基金，其预期风险与预期收益高于货币市场基金，低于混合型基金和股票型基金。</w:t>
      </w:r>
    </w:p>
    <w:p w14:paraId="1EB97757" w14:textId="77777777" w:rsidR="00234D74" w:rsidRDefault="00BC098F">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人在投资本基金前应认真阅读本基金的招募说明书、基金合同、基金产品资料概要等信息披露文件，自主判断基金的投资价值，自主作出投资决策，自行承担投资风险。基金的过往业绩并不代表未来表现。基金管理人管理的其他基金的业绩并不构成对本基金业绩表现的保证。基金管理人提醒投资者基金投资的</w:t>
      </w:r>
      <w:r>
        <w:rPr>
          <w:rFonts w:ascii="Times New Roman" w:hAnsi="Times New Roman"/>
          <w:kern w:val="0"/>
          <w:sz w:val="24"/>
        </w:rPr>
        <w:t>“</w:t>
      </w:r>
      <w:r>
        <w:rPr>
          <w:rFonts w:ascii="Times New Roman" w:hAnsi="Times New Roman"/>
          <w:kern w:val="0"/>
          <w:sz w:val="24"/>
        </w:rPr>
        <w:t>买者自负</w:t>
      </w:r>
      <w:r>
        <w:rPr>
          <w:rFonts w:ascii="Times New Roman" w:hAnsi="Times New Roman"/>
          <w:kern w:val="0"/>
          <w:sz w:val="24"/>
        </w:rPr>
        <w:t>”</w:t>
      </w:r>
      <w:r>
        <w:rPr>
          <w:rFonts w:ascii="Times New Roman" w:hAnsi="Times New Roman"/>
          <w:kern w:val="0"/>
          <w:sz w:val="24"/>
        </w:rPr>
        <w:t>原则，在投资者作出投资决策后，基金运营状况与基金净值变化引致的投资风险，由投资者自行负责。</w:t>
      </w:r>
    </w:p>
    <w:p w14:paraId="4C240EDC" w14:textId="77777777" w:rsidR="00234D74" w:rsidRDefault="00BC098F">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本基金单一投资者持有基金份额数不得超过基金份额总数的</w:t>
      </w:r>
      <w:r>
        <w:rPr>
          <w:rFonts w:ascii="Times New Roman" w:hAnsi="Times New Roman"/>
          <w:kern w:val="0"/>
          <w:sz w:val="24"/>
        </w:rPr>
        <w:t>50%</w:t>
      </w:r>
      <w:r>
        <w:rPr>
          <w:rFonts w:ascii="Times New Roman" w:hAnsi="Times New Roman"/>
          <w:kern w:val="0"/>
          <w:sz w:val="24"/>
        </w:rPr>
        <w:t>，但在基金运作过程中因基金份额赎回等情形导致被动超过前述</w:t>
      </w:r>
      <w:r>
        <w:rPr>
          <w:rFonts w:ascii="Times New Roman" w:hAnsi="Times New Roman"/>
          <w:kern w:val="0"/>
          <w:sz w:val="24"/>
        </w:rPr>
        <w:t>50%</w:t>
      </w:r>
      <w:r>
        <w:rPr>
          <w:rFonts w:ascii="Times New Roman" w:hAnsi="Times New Roman"/>
          <w:kern w:val="0"/>
          <w:sz w:val="24"/>
        </w:rPr>
        <w:t>比例的除外。</w:t>
      </w:r>
    </w:p>
    <w:p w14:paraId="1E5AE7FD" w14:textId="0CA25A3F" w:rsidR="00234D74" w:rsidRDefault="0062394E">
      <w:pPr>
        <w:autoSpaceDE w:val="0"/>
        <w:autoSpaceDN w:val="0"/>
        <w:adjustRightInd w:val="0"/>
        <w:snapToGrid w:val="0"/>
        <w:spacing w:line="360" w:lineRule="auto"/>
        <w:ind w:leftChars="50" w:left="105" w:firstLineChars="200" w:firstLine="480"/>
        <w:rPr>
          <w:rFonts w:ascii="宋体" w:hAnsi="宋体"/>
          <w:kern w:val="0"/>
          <w:sz w:val="24"/>
        </w:rPr>
      </w:pPr>
      <w:r w:rsidRPr="00156651">
        <w:rPr>
          <w:rFonts w:ascii="Times New Roman" w:hAnsi="Times New Roman" w:hint="eastAsia"/>
          <w:kern w:val="0"/>
          <w:sz w:val="24"/>
        </w:rPr>
        <w:t>本次更新招募说明书主要对本基金增设</w:t>
      </w:r>
      <w:r>
        <w:rPr>
          <w:rFonts w:ascii="Times New Roman" w:hAnsi="Times New Roman"/>
          <w:kern w:val="0"/>
          <w:sz w:val="24"/>
        </w:rPr>
        <w:t>D</w:t>
      </w:r>
      <w:r w:rsidRPr="00156651">
        <w:rPr>
          <w:rFonts w:ascii="Times New Roman" w:hAnsi="Times New Roman" w:hint="eastAsia"/>
          <w:kern w:val="0"/>
          <w:sz w:val="24"/>
        </w:rPr>
        <w:t>类基金份额</w:t>
      </w:r>
      <w:r>
        <w:rPr>
          <w:rFonts w:ascii="Times New Roman" w:hAnsi="Times New Roman" w:hint="eastAsia"/>
          <w:kern w:val="0"/>
          <w:sz w:val="24"/>
        </w:rPr>
        <w:t>的</w:t>
      </w:r>
      <w:r w:rsidRPr="00156651">
        <w:rPr>
          <w:rFonts w:ascii="Times New Roman" w:hAnsi="Times New Roman" w:hint="eastAsia"/>
          <w:kern w:val="0"/>
          <w:sz w:val="24"/>
        </w:rPr>
        <w:t>相关信息进行更新，前述内容更新截止日为</w:t>
      </w:r>
      <w:r>
        <w:rPr>
          <w:rFonts w:ascii="Times New Roman" w:hAnsi="Times New Roman" w:hint="eastAsia"/>
          <w:kern w:val="0"/>
          <w:sz w:val="24"/>
        </w:rPr>
        <w:t>20</w:t>
      </w:r>
      <w:r w:rsidR="00655BD2">
        <w:rPr>
          <w:rFonts w:ascii="Times New Roman" w:hAnsi="Times New Roman"/>
          <w:kern w:val="0"/>
          <w:sz w:val="24"/>
        </w:rPr>
        <w:t>23</w:t>
      </w:r>
      <w:r w:rsidRPr="00156651">
        <w:rPr>
          <w:rFonts w:ascii="Times New Roman" w:hAnsi="Times New Roman" w:hint="eastAsia"/>
          <w:kern w:val="0"/>
          <w:sz w:val="24"/>
        </w:rPr>
        <w:t>年</w:t>
      </w:r>
      <w:r w:rsidR="00655BD2">
        <w:rPr>
          <w:rFonts w:ascii="Times New Roman" w:hAnsi="Times New Roman"/>
          <w:kern w:val="0"/>
          <w:sz w:val="24"/>
        </w:rPr>
        <w:t>12</w:t>
      </w:r>
      <w:r w:rsidRPr="00156651">
        <w:rPr>
          <w:rFonts w:ascii="Times New Roman" w:hAnsi="Times New Roman" w:hint="eastAsia"/>
          <w:kern w:val="0"/>
          <w:sz w:val="24"/>
        </w:rPr>
        <w:t>月</w:t>
      </w:r>
      <w:r w:rsidR="00655BD2">
        <w:rPr>
          <w:rFonts w:ascii="Times New Roman" w:hAnsi="Times New Roman" w:hint="eastAsia"/>
          <w:kern w:val="0"/>
          <w:sz w:val="24"/>
        </w:rPr>
        <w:t>1</w:t>
      </w:r>
      <w:r w:rsidR="00655BD2">
        <w:rPr>
          <w:rFonts w:ascii="Times New Roman" w:hAnsi="Times New Roman"/>
          <w:kern w:val="0"/>
          <w:sz w:val="24"/>
        </w:rPr>
        <w:t>8</w:t>
      </w:r>
      <w:r w:rsidRPr="00156651">
        <w:rPr>
          <w:rFonts w:ascii="Times New Roman" w:hAnsi="Times New Roman" w:hint="eastAsia"/>
          <w:kern w:val="0"/>
          <w:sz w:val="24"/>
        </w:rPr>
        <w:t>日</w:t>
      </w:r>
      <w:r>
        <w:rPr>
          <w:rFonts w:ascii="Times New Roman" w:hAnsi="Times New Roman" w:hint="eastAsia"/>
          <w:kern w:val="0"/>
          <w:sz w:val="24"/>
        </w:rPr>
        <w:t>，</w:t>
      </w:r>
      <w:r w:rsidRPr="00156651">
        <w:rPr>
          <w:rFonts w:ascii="Times New Roman" w:hAnsi="Times New Roman" w:hint="eastAsia"/>
          <w:kern w:val="0"/>
          <w:sz w:val="24"/>
        </w:rPr>
        <w:t>除非另有说明，</w:t>
      </w:r>
      <w:r w:rsidR="00BC098F">
        <w:rPr>
          <w:rFonts w:ascii="Times New Roman" w:hAnsi="Times New Roman"/>
          <w:kern w:val="0"/>
          <w:sz w:val="24"/>
        </w:rPr>
        <w:t>本招募说明书</w:t>
      </w:r>
      <w:r>
        <w:rPr>
          <w:rFonts w:ascii="Times New Roman" w:hAnsi="Times New Roman" w:hint="eastAsia"/>
          <w:kern w:val="0"/>
          <w:sz w:val="24"/>
        </w:rPr>
        <w:t>其他</w:t>
      </w:r>
      <w:r w:rsidR="00BC098F">
        <w:rPr>
          <w:rFonts w:ascii="Times New Roman" w:hAnsi="Times New Roman"/>
          <w:kern w:val="0"/>
          <w:sz w:val="24"/>
        </w:rPr>
        <w:t>所载内容截止日为</w:t>
      </w:r>
      <w:r w:rsidR="00BC098F">
        <w:rPr>
          <w:rFonts w:ascii="Times New Roman" w:hAnsi="Times New Roman"/>
          <w:kern w:val="0"/>
          <w:sz w:val="24"/>
        </w:rPr>
        <w:t>2023</w:t>
      </w:r>
      <w:r w:rsidR="00BC098F">
        <w:rPr>
          <w:rFonts w:ascii="Times New Roman" w:hAnsi="Times New Roman"/>
          <w:kern w:val="0"/>
          <w:sz w:val="24"/>
        </w:rPr>
        <w:t>年</w:t>
      </w:r>
      <w:r w:rsidR="00BC098F">
        <w:rPr>
          <w:rFonts w:ascii="Times New Roman" w:hAnsi="Times New Roman"/>
          <w:kern w:val="0"/>
          <w:sz w:val="24"/>
        </w:rPr>
        <w:t>04</w:t>
      </w:r>
      <w:r w:rsidR="00BC098F">
        <w:rPr>
          <w:rFonts w:ascii="Times New Roman" w:hAnsi="Times New Roman"/>
          <w:kern w:val="0"/>
          <w:sz w:val="24"/>
        </w:rPr>
        <w:t>月</w:t>
      </w:r>
      <w:r w:rsidR="00BC098F">
        <w:rPr>
          <w:rFonts w:ascii="Times New Roman" w:hAnsi="Times New Roman"/>
          <w:kern w:val="0"/>
          <w:sz w:val="24"/>
        </w:rPr>
        <w:t>28</w:t>
      </w:r>
      <w:r w:rsidR="00BC098F">
        <w:rPr>
          <w:rFonts w:ascii="Times New Roman" w:hAnsi="Times New Roman"/>
          <w:kern w:val="0"/>
          <w:sz w:val="24"/>
        </w:rPr>
        <w:t>日，有关财务数据和净值表现截止日为</w:t>
      </w:r>
      <w:r w:rsidR="00BC098F">
        <w:rPr>
          <w:rFonts w:ascii="Times New Roman" w:hAnsi="Times New Roman"/>
          <w:kern w:val="0"/>
          <w:sz w:val="24"/>
        </w:rPr>
        <w:t>2023</w:t>
      </w:r>
      <w:r w:rsidR="00BC098F">
        <w:rPr>
          <w:rFonts w:ascii="Times New Roman" w:hAnsi="Times New Roman"/>
          <w:kern w:val="0"/>
          <w:sz w:val="24"/>
        </w:rPr>
        <w:t>年</w:t>
      </w:r>
      <w:r w:rsidR="00BC098F">
        <w:rPr>
          <w:rFonts w:ascii="Times New Roman" w:hAnsi="Times New Roman"/>
          <w:kern w:val="0"/>
          <w:sz w:val="24"/>
        </w:rPr>
        <w:t>03</w:t>
      </w:r>
      <w:r w:rsidR="00BC098F">
        <w:rPr>
          <w:rFonts w:ascii="Times New Roman" w:hAnsi="Times New Roman"/>
          <w:kern w:val="0"/>
          <w:sz w:val="24"/>
        </w:rPr>
        <w:t>月</w:t>
      </w:r>
      <w:r w:rsidR="00BC098F">
        <w:rPr>
          <w:rFonts w:ascii="Times New Roman" w:hAnsi="Times New Roman"/>
          <w:kern w:val="0"/>
          <w:sz w:val="24"/>
        </w:rPr>
        <w:t>31</w:t>
      </w:r>
      <w:r w:rsidR="00BC098F">
        <w:rPr>
          <w:rFonts w:ascii="Times New Roman" w:hAnsi="Times New Roman"/>
          <w:kern w:val="0"/>
          <w:sz w:val="24"/>
        </w:rPr>
        <w:t>日。本招募说明书所载的财务数据未经审计。</w:t>
      </w:r>
    </w:p>
    <w:p w14:paraId="20829520" w14:textId="77777777" w:rsidR="00234D74" w:rsidRDefault="00234D74">
      <w:pPr>
        <w:autoSpaceDE w:val="0"/>
        <w:autoSpaceDN w:val="0"/>
        <w:adjustRightInd w:val="0"/>
        <w:snapToGrid w:val="0"/>
        <w:spacing w:before="51" w:line="360" w:lineRule="auto"/>
        <w:ind w:left="120" w:rightChars="6" w:right="13" w:firstLine="480"/>
        <w:rPr>
          <w:rFonts w:ascii="宋体" w:hAnsi="宋体"/>
          <w:kern w:val="0"/>
          <w:szCs w:val="24"/>
        </w:rPr>
        <w:sectPr w:rsidR="00234D74">
          <w:headerReference w:type="default" r:id="rId12"/>
          <w:pgSz w:w="11920" w:h="16840"/>
          <w:pgMar w:top="1440" w:right="1680" w:bottom="280" w:left="1680" w:header="0" w:footer="1073" w:gutter="0"/>
          <w:pgNumType w:start="1"/>
          <w:cols w:space="720"/>
        </w:sectPr>
      </w:pPr>
    </w:p>
    <w:p w14:paraId="4C9FB9A7" w14:textId="77777777" w:rsidR="006121CB" w:rsidRPr="006121CB" w:rsidRDefault="00BC098F" w:rsidP="006121CB">
      <w:pPr>
        <w:pStyle w:val="af3"/>
        <w:snapToGrid w:val="0"/>
        <w:spacing w:after="240" w:line="360" w:lineRule="auto"/>
        <w:jc w:val="center"/>
        <w:rPr>
          <w:rFonts w:ascii="宋体" w:hAnsi="宋体"/>
          <w:noProof/>
          <w:sz w:val="24"/>
        </w:rPr>
      </w:pPr>
      <w:r w:rsidRPr="006121CB">
        <w:rPr>
          <w:rFonts w:ascii="宋体" w:hAnsi="宋体"/>
          <w:color w:val="000000"/>
          <w:position w:val="-4"/>
          <w:sz w:val="24"/>
          <w:szCs w:val="30"/>
        </w:rPr>
        <w:lastRenderedPageBreak/>
        <w:t>目</w:t>
      </w:r>
      <w:r w:rsidRPr="006121CB">
        <w:rPr>
          <w:rFonts w:ascii="宋体" w:hAnsi="宋体"/>
          <w:color w:val="000000"/>
          <w:position w:val="-4"/>
          <w:sz w:val="24"/>
          <w:szCs w:val="30"/>
        </w:rPr>
        <w:tab/>
        <w:t>录</w:t>
      </w:r>
      <w:r w:rsidR="006121CB" w:rsidRPr="006121CB">
        <w:rPr>
          <w:rFonts w:ascii="宋体" w:hAnsi="宋体"/>
          <w:color w:val="000000"/>
          <w:position w:val="-4"/>
          <w:sz w:val="24"/>
          <w:szCs w:val="30"/>
        </w:rPr>
        <w:fldChar w:fldCharType="begin"/>
      </w:r>
      <w:r w:rsidR="006121CB" w:rsidRPr="006121CB">
        <w:rPr>
          <w:rFonts w:ascii="宋体" w:hAnsi="宋体"/>
          <w:color w:val="000000"/>
          <w:position w:val="-4"/>
          <w:sz w:val="24"/>
          <w:szCs w:val="30"/>
        </w:rPr>
        <w:instrText xml:space="preserve"> TOC \o "1-3" \f - \h \t "-1" </w:instrText>
      </w:r>
      <w:r w:rsidR="006121CB" w:rsidRPr="006121CB">
        <w:rPr>
          <w:rFonts w:ascii="宋体" w:hAnsi="宋体"/>
          <w:color w:val="000000"/>
          <w:position w:val="-4"/>
          <w:sz w:val="24"/>
          <w:szCs w:val="30"/>
        </w:rPr>
        <w:fldChar w:fldCharType="separate"/>
      </w:r>
    </w:p>
    <w:p w14:paraId="26A20B05" w14:textId="0E45BB0B" w:rsidR="006121CB" w:rsidRPr="0044405B" w:rsidRDefault="007F568F" w:rsidP="006121CB">
      <w:pPr>
        <w:pStyle w:val="11"/>
        <w:tabs>
          <w:tab w:val="right" w:leader="dot" w:pos="8550"/>
        </w:tabs>
        <w:spacing w:line="360" w:lineRule="auto"/>
        <w:rPr>
          <w:rFonts w:ascii="宋体" w:hAnsi="宋体"/>
          <w:noProof/>
          <w:sz w:val="24"/>
        </w:rPr>
      </w:pPr>
      <w:hyperlink w:anchor="_Toc135728676" w:history="1">
        <w:r w:rsidR="006121CB" w:rsidRPr="006121CB">
          <w:rPr>
            <w:rStyle w:val="af0"/>
            <w:rFonts w:ascii="宋体" w:hAnsi="宋体" w:hint="eastAsia"/>
            <w:noProof/>
            <w:kern w:val="0"/>
            <w:sz w:val="24"/>
          </w:rPr>
          <w:t>重要提示</w:t>
        </w:r>
        <w:r w:rsidR="006121CB" w:rsidRPr="006121CB">
          <w:rPr>
            <w:rFonts w:ascii="宋体" w:hAnsi="宋体"/>
            <w:noProof/>
            <w:sz w:val="24"/>
          </w:rPr>
          <w:tab/>
        </w:r>
        <w:r w:rsidR="006121CB" w:rsidRPr="006121CB">
          <w:rPr>
            <w:rFonts w:ascii="宋体" w:hAnsi="宋体"/>
            <w:noProof/>
            <w:sz w:val="24"/>
          </w:rPr>
          <w:fldChar w:fldCharType="begin"/>
        </w:r>
        <w:r w:rsidR="006121CB" w:rsidRPr="006121CB">
          <w:rPr>
            <w:rFonts w:ascii="宋体" w:hAnsi="宋体"/>
            <w:noProof/>
            <w:sz w:val="24"/>
          </w:rPr>
          <w:instrText xml:space="preserve"> PAGEREF _Toc135728676 \h </w:instrText>
        </w:r>
        <w:r w:rsidR="006121CB" w:rsidRPr="006121CB">
          <w:rPr>
            <w:rFonts w:ascii="宋体" w:hAnsi="宋体"/>
            <w:noProof/>
            <w:sz w:val="24"/>
          </w:rPr>
        </w:r>
        <w:r w:rsidR="006121CB" w:rsidRPr="006121CB">
          <w:rPr>
            <w:rFonts w:ascii="宋体" w:hAnsi="宋体"/>
            <w:noProof/>
            <w:sz w:val="24"/>
          </w:rPr>
          <w:fldChar w:fldCharType="separate"/>
        </w:r>
        <w:r w:rsidR="00F95BAB">
          <w:rPr>
            <w:rFonts w:ascii="宋体" w:hAnsi="宋体"/>
            <w:noProof/>
            <w:sz w:val="24"/>
          </w:rPr>
          <w:t>1</w:t>
        </w:r>
        <w:r w:rsidR="006121CB" w:rsidRPr="006121CB">
          <w:rPr>
            <w:rFonts w:ascii="宋体" w:hAnsi="宋体"/>
            <w:noProof/>
            <w:sz w:val="24"/>
          </w:rPr>
          <w:fldChar w:fldCharType="end"/>
        </w:r>
      </w:hyperlink>
    </w:p>
    <w:p w14:paraId="318D8001" w14:textId="1A8DA13D" w:rsidR="006121CB" w:rsidRPr="0044405B" w:rsidRDefault="007F568F" w:rsidP="006121CB">
      <w:pPr>
        <w:pStyle w:val="11"/>
        <w:tabs>
          <w:tab w:val="right" w:leader="dot" w:pos="8550"/>
        </w:tabs>
        <w:spacing w:line="360" w:lineRule="auto"/>
        <w:rPr>
          <w:rFonts w:ascii="宋体" w:hAnsi="宋体"/>
          <w:noProof/>
          <w:sz w:val="24"/>
        </w:rPr>
      </w:pPr>
      <w:hyperlink w:anchor="_Toc135728677" w:history="1">
        <w:r w:rsidR="006121CB" w:rsidRPr="006121CB">
          <w:rPr>
            <w:rStyle w:val="af0"/>
            <w:rFonts w:ascii="宋体" w:hAnsi="宋体" w:hint="eastAsia"/>
            <w:noProof/>
            <w:sz w:val="24"/>
          </w:rPr>
          <w:t>一、绪言</w:t>
        </w:r>
        <w:r w:rsidR="006121CB" w:rsidRPr="006121CB">
          <w:rPr>
            <w:rFonts w:ascii="宋体" w:hAnsi="宋体"/>
            <w:noProof/>
            <w:sz w:val="24"/>
          </w:rPr>
          <w:tab/>
        </w:r>
        <w:r w:rsidR="006121CB" w:rsidRPr="006121CB">
          <w:rPr>
            <w:rFonts w:ascii="宋体" w:hAnsi="宋体"/>
            <w:noProof/>
            <w:sz w:val="24"/>
          </w:rPr>
          <w:fldChar w:fldCharType="begin"/>
        </w:r>
        <w:r w:rsidR="006121CB" w:rsidRPr="006121CB">
          <w:rPr>
            <w:rFonts w:ascii="宋体" w:hAnsi="宋体"/>
            <w:noProof/>
            <w:sz w:val="24"/>
          </w:rPr>
          <w:instrText xml:space="preserve"> PAGEREF _Toc135728677 \h </w:instrText>
        </w:r>
        <w:r w:rsidR="006121CB" w:rsidRPr="006121CB">
          <w:rPr>
            <w:rFonts w:ascii="宋体" w:hAnsi="宋体"/>
            <w:noProof/>
            <w:sz w:val="24"/>
          </w:rPr>
        </w:r>
        <w:r w:rsidR="006121CB" w:rsidRPr="006121CB">
          <w:rPr>
            <w:rFonts w:ascii="宋体" w:hAnsi="宋体"/>
            <w:noProof/>
            <w:sz w:val="24"/>
          </w:rPr>
          <w:fldChar w:fldCharType="separate"/>
        </w:r>
        <w:r w:rsidR="00F95BAB">
          <w:rPr>
            <w:rFonts w:ascii="宋体" w:hAnsi="宋体"/>
            <w:noProof/>
            <w:sz w:val="24"/>
          </w:rPr>
          <w:t>4</w:t>
        </w:r>
        <w:r w:rsidR="006121CB" w:rsidRPr="006121CB">
          <w:rPr>
            <w:rFonts w:ascii="宋体" w:hAnsi="宋体"/>
            <w:noProof/>
            <w:sz w:val="24"/>
          </w:rPr>
          <w:fldChar w:fldCharType="end"/>
        </w:r>
      </w:hyperlink>
    </w:p>
    <w:p w14:paraId="1C748141" w14:textId="62901C86" w:rsidR="006121CB" w:rsidRPr="0044405B" w:rsidRDefault="007F568F" w:rsidP="006121CB">
      <w:pPr>
        <w:pStyle w:val="11"/>
        <w:tabs>
          <w:tab w:val="right" w:leader="dot" w:pos="8550"/>
        </w:tabs>
        <w:spacing w:line="360" w:lineRule="auto"/>
        <w:rPr>
          <w:rFonts w:ascii="宋体" w:hAnsi="宋体"/>
          <w:noProof/>
          <w:sz w:val="24"/>
        </w:rPr>
      </w:pPr>
      <w:hyperlink w:anchor="_Toc135728678" w:history="1">
        <w:r w:rsidR="006121CB" w:rsidRPr="006121CB">
          <w:rPr>
            <w:rStyle w:val="af0"/>
            <w:rFonts w:ascii="宋体" w:hAnsi="宋体" w:hint="eastAsia"/>
            <w:noProof/>
            <w:sz w:val="24"/>
          </w:rPr>
          <w:t>二、释义</w:t>
        </w:r>
        <w:r w:rsidR="006121CB" w:rsidRPr="006121CB">
          <w:rPr>
            <w:rFonts w:ascii="宋体" w:hAnsi="宋体"/>
            <w:noProof/>
            <w:sz w:val="24"/>
          </w:rPr>
          <w:tab/>
        </w:r>
        <w:r w:rsidR="006121CB" w:rsidRPr="006121CB">
          <w:rPr>
            <w:rFonts w:ascii="宋体" w:hAnsi="宋体"/>
            <w:noProof/>
            <w:sz w:val="24"/>
          </w:rPr>
          <w:fldChar w:fldCharType="begin"/>
        </w:r>
        <w:r w:rsidR="006121CB" w:rsidRPr="006121CB">
          <w:rPr>
            <w:rFonts w:ascii="宋体" w:hAnsi="宋体"/>
            <w:noProof/>
            <w:sz w:val="24"/>
          </w:rPr>
          <w:instrText xml:space="preserve"> PAGEREF _Toc135728678 \h </w:instrText>
        </w:r>
        <w:r w:rsidR="006121CB" w:rsidRPr="006121CB">
          <w:rPr>
            <w:rFonts w:ascii="宋体" w:hAnsi="宋体"/>
            <w:noProof/>
            <w:sz w:val="24"/>
          </w:rPr>
        </w:r>
        <w:r w:rsidR="006121CB" w:rsidRPr="006121CB">
          <w:rPr>
            <w:rFonts w:ascii="宋体" w:hAnsi="宋体"/>
            <w:noProof/>
            <w:sz w:val="24"/>
          </w:rPr>
          <w:fldChar w:fldCharType="separate"/>
        </w:r>
        <w:r w:rsidR="00F95BAB">
          <w:rPr>
            <w:rFonts w:ascii="宋体" w:hAnsi="宋体"/>
            <w:noProof/>
            <w:sz w:val="24"/>
          </w:rPr>
          <w:t>5</w:t>
        </w:r>
        <w:r w:rsidR="006121CB" w:rsidRPr="006121CB">
          <w:rPr>
            <w:rFonts w:ascii="宋体" w:hAnsi="宋体"/>
            <w:noProof/>
            <w:sz w:val="24"/>
          </w:rPr>
          <w:fldChar w:fldCharType="end"/>
        </w:r>
      </w:hyperlink>
    </w:p>
    <w:p w14:paraId="3C8F5AC1" w14:textId="7E01129C" w:rsidR="006121CB" w:rsidRPr="0044405B" w:rsidRDefault="007F568F" w:rsidP="006121CB">
      <w:pPr>
        <w:pStyle w:val="11"/>
        <w:tabs>
          <w:tab w:val="right" w:leader="dot" w:pos="8550"/>
        </w:tabs>
        <w:spacing w:line="360" w:lineRule="auto"/>
        <w:rPr>
          <w:rFonts w:ascii="宋体" w:hAnsi="宋体"/>
          <w:noProof/>
          <w:sz w:val="24"/>
        </w:rPr>
      </w:pPr>
      <w:hyperlink w:anchor="_Toc135728679" w:history="1">
        <w:r w:rsidR="006121CB" w:rsidRPr="006121CB">
          <w:rPr>
            <w:rStyle w:val="af0"/>
            <w:rFonts w:ascii="宋体" w:hAnsi="宋体" w:hint="eastAsia"/>
            <w:noProof/>
            <w:sz w:val="24"/>
          </w:rPr>
          <w:t>三、基金管理人</w:t>
        </w:r>
        <w:r w:rsidR="006121CB" w:rsidRPr="006121CB">
          <w:rPr>
            <w:rFonts w:ascii="宋体" w:hAnsi="宋体"/>
            <w:noProof/>
            <w:sz w:val="24"/>
          </w:rPr>
          <w:tab/>
        </w:r>
        <w:r w:rsidR="006121CB" w:rsidRPr="006121CB">
          <w:rPr>
            <w:rFonts w:ascii="宋体" w:hAnsi="宋体"/>
            <w:noProof/>
            <w:sz w:val="24"/>
          </w:rPr>
          <w:fldChar w:fldCharType="begin"/>
        </w:r>
        <w:r w:rsidR="006121CB" w:rsidRPr="006121CB">
          <w:rPr>
            <w:rFonts w:ascii="宋体" w:hAnsi="宋体"/>
            <w:noProof/>
            <w:sz w:val="24"/>
          </w:rPr>
          <w:instrText xml:space="preserve"> PAGEREF _Toc135728679 \h </w:instrText>
        </w:r>
        <w:r w:rsidR="006121CB" w:rsidRPr="006121CB">
          <w:rPr>
            <w:rFonts w:ascii="宋体" w:hAnsi="宋体"/>
            <w:noProof/>
            <w:sz w:val="24"/>
          </w:rPr>
        </w:r>
        <w:r w:rsidR="006121CB" w:rsidRPr="006121CB">
          <w:rPr>
            <w:rFonts w:ascii="宋体" w:hAnsi="宋体"/>
            <w:noProof/>
            <w:sz w:val="24"/>
          </w:rPr>
          <w:fldChar w:fldCharType="separate"/>
        </w:r>
        <w:r w:rsidR="00F95BAB">
          <w:rPr>
            <w:rFonts w:ascii="宋体" w:hAnsi="宋体"/>
            <w:noProof/>
            <w:sz w:val="24"/>
          </w:rPr>
          <w:t>10</w:t>
        </w:r>
        <w:r w:rsidR="006121CB" w:rsidRPr="006121CB">
          <w:rPr>
            <w:rFonts w:ascii="宋体" w:hAnsi="宋体"/>
            <w:noProof/>
            <w:sz w:val="24"/>
          </w:rPr>
          <w:fldChar w:fldCharType="end"/>
        </w:r>
      </w:hyperlink>
    </w:p>
    <w:p w14:paraId="6299642B" w14:textId="0500C546" w:rsidR="006121CB" w:rsidRPr="0044405B" w:rsidRDefault="007F568F" w:rsidP="006121CB">
      <w:pPr>
        <w:pStyle w:val="11"/>
        <w:tabs>
          <w:tab w:val="right" w:leader="dot" w:pos="8550"/>
        </w:tabs>
        <w:spacing w:line="360" w:lineRule="auto"/>
        <w:rPr>
          <w:rFonts w:ascii="宋体" w:hAnsi="宋体"/>
          <w:noProof/>
          <w:sz w:val="24"/>
        </w:rPr>
      </w:pPr>
      <w:hyperlink w:anchor="_Toc135728680" w:history="1">
        <w:r w:rsidR="006121CB" w:rsidRPr="006121CB">
          <w:rPr>
            <w:rStyle w:val="af0"/>
            <w:rFonts w:ascii="宋体" w:hAnsi="宋体" w:hint="eastAsia"/>
            <w:noProof/>
            <w:sz w:val="24"/>
          </w:rPr>
          <w:t>四、基金托管人</w:t>
        </w:r>
        <w:r w:rsidR="006121CB" w:rsidRPr="006121CB">
          <w:rPr>
            <w:rFonts w:ascii="宋体" w:hAnsi="宋体"/>
            <w:noProof/>
            <w:sz w:val="24"/>
          </w:rPr>
          <w:tab/>
        </w:r>
        <w:r w:rsidR="006121CB" w:rsidRPr="006121CB">
          <w:rPr>
            <w:rFonts w:ascii="宋体" w:hAnsi="宋体"/>
            <w:noProof/>
            <w:sz w:val="24"/>
          </w:rPr>
          <w:fldChar w:fldCharType="begin"/>
        </w:r>
        <w:r w:rsidR="006121CB" w:rsidRPr="006121CB">
          <w:rPr>
            <w:rFonts w:ascii="宋体" w:hAnsi="宋体"/>
            <w:noProof/>
            <w:sz w:val="24"/>
          </w:rPr>
          <w:instrText xml:space="preserve"> PAGEREF _Toc135728680 \h </w:instrText>
        </w:r>
        <w:r w:rsidR="006121CB" w:rsidRPr="006121CB">
          <w:rPr>
            <w:rFonts w:ascii="宋体" w:hAnsi="宋体"/>
            <w:noProof/>
            <w:sz w:val="24"/>
          </w:rPr>
        </w:r>
        <w:r w:rsidR="006121CB" w:rsidRPr="006121CB">
          <w:rPr>
            <w:rFonts w:ascii="宋体" w:hAnsi="宋体"/>
            <w:noProof/>
            <w:sz w:val="24"/>
          </w:rPr>
          <w:fldChar w:fldCharType="separate"/>
        </w:r>
        <w:r w:rsidR="00F95BAB">
          <w:rPr>
            <w:rFonts w:ascii="宋体" w:hAnsi="宋体"/>
            <w:noProof/>
            <w:sz w:val="24"/>
          </w:rPr>
          <w:t>19</w:t>
        </w:r>
        <w:r w:rsidR="006121CB" w:rsidRPr="006121CB">
          <w:rPr>
            <w:rFonts w:ascii="宋体" w:hAnsi="宋体"/>
            <w:noProof/>
            <w:sz w:val="24"/>
          </w:rPr>
          <w:fldChar w:fldCharType="end"/>
        </w:r>
      </w:hyperlink>
    </w:p>
    <w:p w14:paraId="31A4BF75" w14:textId="261A578F" w:rsidR="006121CB" w:rsidRPr="0044405B" w:rsidRDefault="007F568F" w:rsidP="006121CB">
      <w:pPr>
        <w:pStyle w:val="11"/>
        <w:tabs>
          <w:tab w:val="right" w:leader="dot" w:pos="8550"/>
        </w:tabs>
        <w:spacing w:line="360" w:lineRule="auto"/>
        <w:rPr>
          <w:rFonts w:ascii="宋体" w:hAnsi="宋体"/>
          <w:noProof/>
          <w:sz w:val="24"/>
        </w:rPr>
      </w:pPr>
      <w:hyperlink w:anchor="_Toc135728681" w:history="1">
        <w:r w:rsidR="006121CB" w:rsidRPr="006121CB">
          <w:rPr>
            <w:rStyle w:val="af0"/>
            <w:rFonts w:ascii="宋体" w:hAnsi="宋体" w:hint="eastAsia"/>
            <w:noProof/>
            <w:sz w:val="24"/>
          </w:rPr>
          <w:t>五、相关服务机构</w:t>
        </w:r>
        <w:r w:rsidR="006121CB" w:rsidRPr="006121CB">
          <w:rPr>
            <w:rFonts w:ascii="宋体" w:hAnsi="宋体"/>
            <w:noProof/>
            <w:sz w:val="24"/>
          </w:rPr>
          <w:tab/>
        </w:r>
        <w:r w:rsidR="006121CB" w:rsidRPr="006121CB">
          <w:rPr>
            <w:rFonts w:ascii="宋体" w:hAnsi="宋体"/>
            <w:noProof/>
            <w:sz w:val="24"/>
          </w:rPr>
          <w:fldChar w:fldCharType="begin"/>
        </w:r>
        <w:r w:rsidR="006121CB" w:rsidRPr="006121CB">
          <w:rPr>
            <w:rFonts w:ascii="宋体" w:hAnsi="宋体"/>
            <w:noProof/>
            <w:sz w:val="24"/>
          </w:rPr>
          <w:instrText xml:space="preserve"> PAGEREF _Toc135728681 \h </w:instrText>
        </w:r>
        <w:r w:rsidR="006121CB" w:rsidRPr="006121CB">
          <w:rPr>
            <w:rFonts w:ascii="宋体" w:hAnsi="宋体"/>
            <w:noProof/>
            <w:sz w:val="24"/>
          </w:rPr>
        </w:r>
        <w:r w:rsidR="006121CB" w:rsidRPr="006121CB">
          <w:rPr>
            <w:rFonts w:ascii="宋体" w:hAnsi="宋体"/>
            <w:noProof/>
            <w:sz w:val="24"/>
          </w:rPr>
          <w:fldChar w:fldCharType="separate"/>
        </w:r>
        <w:r w:rsidR="00F95BAB">
          <w:rPr>
            <w:rFonts w:ascii="宋体" w:hAnsi="宋体"/>
            <w:noProof/>
            <w:sz w:val="24"/>
          </w:rPr>
          <w:t>25</w:t>
        </w:r>
        <w:r w:rsidR="006121CB" w:rsidRPr="006121CB">
          <w:rPr>
            <w:rFonts w:ascii="宋体" w:hAnsi="宋体"/>
            <w:noProof/>
            <w:sz w:val="24"/>
          </w:rPr>
          <w:fldChar w:fldCharType="end"/>
        </w:r>
      </w:hyperlink>
    </w:p>
    <w:p w14:paraId="1851AC52" w14:textId="330F234E" w:rsidR="006121CB" w:rsidRPr="0044405B" w:rsidRDefault="007F568F" w:rsidP="006121CB">
      <w:pPr>
        <w:pStyle w:val="11"/>
        <w:tabs>
          <w:tab w:val="right" w:leader="dot" w:pos="8550"/>
        </w:tabs>
        <w:spacing w:line="360" w:lineRule="auto"/>
        <w:rPr>
          <w:rFonts w:ascii="宋体" w:hAnsi="宋体"/>
          <w:noProof/>
          <w:sz w:val="24"/>
        </w:rPr>
      </w:pPr>
      <w:hyperlink w:anchor="_Toc135728682" w:history="1">
        <w:r w:rsidR="006121CB" w:rsidRPr="006121CB">
          <w:rPr>
            <w:rStyle w:val="af0"/>
            <w:rFonts w:ascii="宋体" w:hAnsi="宋体" w:hint="eastAsia"/>
            <w:noProof/>
            <w:sz w:val="24"/>
          </w:rPr>
          <w:t>六、基金的募集</w:t>
        </w:r>
        <w:r w:rsidR="006121CB" w:rsidRPr="006121CB">
          <w:rPr>
            <w:rFonts w:ascii="宋体" w:hAnsi="宋体"/>
            <w:noProof/>
            <w:sz w:val="24"/>
          </w:rPr>
          <w:tab/>
        </w:r>
        <w:r w:rsidR="006121CB" w:rsidRPr="006121CB">
          <w:rPr>
            <w:rFonts w:ascii="宋体" w:hAnsi="宋体"/>
            <w:noProof/>
            <w:sz w:val="24"/>
          </w:rPr>
          <w:fldChar w:fldCharType="begin"/>
        </w:r>
        <w:r w:rsidR="006121CB" w:rsidRPr="006121CB">
          <w:rPr>
            <w:rFonts w:ascii="宋体" w:hAnsi="宋体"/>
            <w:noProof/>
            <w:sz w:val="24"/>
          </w:rPr>
          <w:instrText xml:space="preserve"> PAGEREF _Toc135728682 \h </w:instrText>
        </w:r>
        <w:r w:rsidR="006121CB" w:rsidRPr="006121CB">
          <w:rPr>
            <w:rFonts w:ascii="宋体" w:hAnsi="宋体"/>
            <w:noProof/>
            <w:sz w:val="24"/>
          </w:rPr>
        </w:r>
        <w:r w:rsidR="006121CB" w:rsidRPr="006121CB">
          <w:rPr>
            <w:rFonts w:ascii="宋体" w:hAnsi="宋体"/>
            <w:noProof/>
            <w:sz w:val="24"/>
          </w:rPr>
          <w:fldChar w:fldCharType="separate"/>
        </w:r>
        <w:r w:rsidR="00F95BAB">
          <w:rPr>
            <w:rFonts w:ascii="宋体" w:hAnsi="宋体"/>
            <w:noProof/>
            <w:sz w:val="24"/>
          </w:rPr>
          <w:t>50</w:t>
        </w:r>
        <w:r w:rsidR="006121CB" w:rsidRPr="006121CB">
          <w:rPr>
            <w:rFonts w:ascii="宋体" w:hAnsi="宋体"/>
            <w:noProof/>
            <w:sz w:val="24"/>
          </w:rPr>
          <w:fldChar w:fldCharType="end"/>
        </w:r>
      </w:hyperlink>
    </w:p>
    <w:p w14:paraId="104C7DD7" w14:textId="66CA308A" w:rsidR="006121CB" w:rsidRPr="0044405B" w:rsidRDefault="007F568F" w:rsidP="006121CB">
      <w:pPr>
        <w:pStyle w:val="11"/>
        <w:tabs>
          <w:tab w:val="right" w:leader="dot" w:pos="8550"/>
        </w:tabs>
        <w:spacing w:line="360" w:lineRule="auto"/>
        <w:rPr>
          <w:rFonts w:ascii="宋体" w:hAnsi="宋体"/>
          <w:noProof/>
          <w:sz w:val="24"/>
        </w:rPr>
      </w:pPr>
      <w:hyperlink w:anchor="_Toc135728683" w:history="1">
        <w:r w:rsidR="006121CB" w:rsidRPr="006121CB">
          <w:rPr>
            <w:rStyle w:val="af0"/>
            <w:rFonts w:ascii="宋体" w:hAnsi="宋体" w:hint="eastAsia"/>
            <w:noProof/>
            <w:sz w:val="24"/>
          </w:rPr>
          <w:t>七、基金合同的生效</w:t>
        </w:r>
        <w:r w:rsidR="006121CB" w:rsidRPr="006121CB">
          <w:rPr>
            <w:rFonts w:ascii="宋体" w:hAnsi="宋体"/>
            <w:noProof/>
            <w:sz w:val="24"/>
          </w:rPr>
          <w:tab/>
        </w:r>
        <w:r w:rsidR="006121CB" w:rsidRPr="006121CB">
          <w:rPr>
            <w:rFonts w:ascii="宋体" w:hAnsi="宋体"/>
            <w:noProof/>
            <w:sz w:val="24"/>
          </w:rPr>
          <w:fldChar w:fldCharType="begin"/>
        </w:r>
        <w:r w:rsidR="006121CB" w:rsidRPr="006121CB">
          <w:rPr>
            <w:rFonts w:ascii="宋体" w:hAnsi="宋体"/>
            <w:noProof/>
            <w:sz w:val="24"/>
          </w:rPr>
          <w:instrText xml:space="preserve"> PAGEREF _Toc135728683 \h </w:instrText>
        </w:r>
        <w:r w:rsidR="006121CB" w:rsidRPr="006121CB">
          <w:rPr>
            <w:rFonts w:ascii="宋体" w:hAnsi="宋体"/>
            <w:noProof/>
            <w:sz w:val="24"/>
          </w:rPr>
        </w:r>
        <w:r w:rsidR="006121CB" w:rsidRPr="006121CB">
          <w:rPr>
            <w:rFonts w:ascii="宋体" w:hAnsi="宋体"/>
            <w:noProof/>
            <w:sz w:val="24"/>
          </w:rPr>
          <w:fldChar w:fldCharType="separate"/>
        </w:r>
        <w:r w:rsidR="00F95BAB">
          <w:rPr>
            <w:rFonts w:ascii="宋体" w:hAnsi="宋体"/>
            <w:noProof/>
            <w:sz w:val="24"/>
          </w:rPr>
          <w:t>51</w:t>
        </w:r>
        <w:r w:rsidR="006121CB" w:rsidRPr="006121CB">
          <w:rPr>
            <w:rFonts w:ascii="宋体" w:hAnsi="宋体"/>
            <w:noProof/>
            <w:sz w:val="24"/>
          </w:rPr>
          <w:fldChar w:fldCharType="end"/>
        </w:r>
      </w:hyperlink>
    </w:p>
    <w:p w14:paraId="61844F7C" w14:textId="75B509BA" w:rsidR="006121CB" w:rsidRPr="0044405B" w:rsidRDefault="007F568F" w:rsidP="006121CB">
      <w:pPr>
        <w:pStyle w:val="11"/>
        <w:tabs>
          <w:tab w:val="right" w:leader="dot" w:pos="8550"/>
        </w:tabs>
        <w:spacing w:line="360" w:lineRule="auto"/>
        <w:rPr>
          <w:rFonts w:ascii="宋体" w:hAnsi="宋体"/>
          <w:noProof/>
          <w:sz w:val="24"/>
        </w:rPr>
      </w:pPr>
      <w:hyperlink w:anchor="_Toc135728684" w:history="1">
        <w:r w:rsidR="006121CB" w:rsidRPr="006121CB">
          <w:rPr>
            <w:rStyle w:val="af0"/>
            <w:rFonts w:ascii="宋体" w:hAnsi="宋体" w:hint="eastAsia"/>
            <w:noProof/>
            <w:sz w:val="24"/>
          </w:rPr>
          <w:t>八、基金份额的申购与赎回</w:t>
        </w:r>
        <w:r w:rsidR="006121CB" w:rsidRPr="006121CB">
          <w:rPr>
            <w:rFonts w:ascii="宋体" w:hAnsi="宋体"/>
            <w:noProof/>
            <w:sz w:val="24"/>
          </w:rPr>
          <w:tab/>
        </w:r>
        <w:r w:rsidR="006121CB" w:rsidRPr="006121CB">
          <w:rPr>
            <w:rFonts w:ascii="宋体" w:hAnsi="宋体"/>
            <w:noProof/>
            <w:sz w:val="24"/>
          </w:rPr>
          <w:fldChar w:fldCharType="begin"/>
        </w:r>
        <w:r w:rsidR="006121CB" w:rsidRPr="006121CB">
          <w:rPr>
            <w:rFonts w:ascii="宋体" w:hAnsi="宋体"/>
            <w:noProof/>
            <w:sz w:val="24"/>
          </w:rPr>
          <w:instrText xml:space="preserve"> PAGEREF _Toc135728684 \h </w:instrText>
        </w:r>
        <w:r w:rsidR="006121CB" w:rsidRPr="006121CB">
          <w:rPr>
            <w:rFonts w:ascii="宋体" w:hAnsi="宋体"/>
            <w:noProof/>
            <w:sz w:val="24"/>
          </w:rPr>
        </w:r>
        <w:r w:rsidR="006121CB" w:rsidRPr="006121CB">
          <w:rPr>
            <w:rFonts w:ascii="宋体" w:hAnsi="宋体"/>
            <w:noProof/>
            <w:sz w:val="24"/>
          </w:rPr>
          <w:fldChar w:fldCharType="separate"/>
        </w:r>
        <w:r w:rsidR="00F95BAB">
          <w:rPr>
            <w:rFonts w:ascii="宋体" w:hAnsi="宋体"/>
            <w:noProof/>
            <w:sz w:val="24"/>
          </w:rPr>
          <w:t>52</w:t>
        </w:r>
        <w:r w:rsidR="006121CB" w:rsidRPr="006121CB">
          <w:rPr>
            <w:rFonts w:ascii="宋体" w:hAnsi="宋体"/>
            <w:noProof/>
            <w:sz w:val="24"/>
          </w:rPr>
          <w:fldChar w:fldCharType="end"/>
        </w:r>
      </w:hyperlink>
    </w:p>
    <w:p w14:paraId="2BEA3299" w14:textId="3D431E7B" w:rsidR="006121CB" w:rsidRPr="0044405B" w:rsidRDefault="007F568F" w:rsidP="006121CB">
      <w:pPr>
        <w:pStyle w:val="11"/>
        <w:tabs>
          <w:tab w:val="right" w:leader="dot" w:pos="8550"/>
        </w:tabs>
        <w:spacing w:line="360" w:lineRule="auto"/>
        <w:rPr>
          <w:rFonts w:ascii="宋体" w:hAnsi="宋体"/>
          <w:noProof/>
          <w:sz w:val="24"/>
        </w:rPr>
      </w:pPr>
      <w:hyperlink w:anchor="_Toc135728685" w:history="1">
        <w:r w:rsidR="006121CB" w:rsidRPr="006121CB">
          <w:rPr>
            <w:rStyle w:val="af0"/>
            <w:rFonts w:ascii="宋体" w:hAnsi="宋体" w:hint="eastAsia"/>
            <w:noProof/>
            <w:sz w:val="24"/>
          </w:rPr>
          <w:t>九、基金的转换</w:t>
        </w:r>
        <w:r w:rsidR="006121CB" w:rsidRPr="006121CB">
          <w:rPr>
            <w:rFonts w:ascii="宋体" w:hAnsi="宋体"/>
            <w:noProof/>
            <w:sz w:val="24"/>
          </w:rPr>
          <w:tab/>
        </w:r>
        <w:r w:rsidR="006121CB" w:rsidRPr="006121CB">
          <w:rPr>
            <w:rFonts w:ascii="宋体" w:hAnsi="宋体"/>
            <w:noProof/>
            <w:sz w:val="24"/>
          </w:rPr>
          <w:fldChar w:fldCharType="begin"/>
        </w:r>
        <w:r w:rsidR="006121CB" w:rsidRPr="006121CB">
          <w:rPr>
            <w:rFonts w:ascii="宋体" w:hAnsi="宋体"/>
            <w:noProof/>
            <w:sz w:val="24"/>
          </w:rPr>
          <w:instrText xml:space="preserve"> PAGEREF _Toc135728685 \h </w:instrText>
        </w:r>
        <w:r w:rsidR="006121CB" w:rsidRPr="006121CB">
          <w:rPr>
            <w:rFonts w:ascii="宋体" w:hAnsi="宋体"/>
            <w:noProof/>
            <w:sz w:val="24"/>
          </w:rPr>
        </w:r>
        <w:r w:rsidR="006121CB" w:rsidRPr="006121CB">
          <w:rPr>
            <w:rFonts w:ascii="宋体" w:hAnsi="宋体"/>
            <w:noProof/>
            <w:sz w:val="24"/>
          </w:rPr>
          <w:fldChar w:fldCharType="separate"/>
        </w:r>
        <w:r w:rsidR="00F95BAB">
          <w:rPr>
            <w:rFonts w:ascii="宋体" w:hAnsi="宋体"/>
            <w:noProof/>
            <w:sz w:val="24"/>
          </w:rPr>
          <w:t>68</w:t>
        </w:r>
        <w:r w:rsidR="006121CB" w:rsidRPr="006121CB">
          <w:rPr>
            <w:rFonts w:ascii="宋体" w:hAnsi="宋体"/>
            <w:noProof/>
            <w:sz w:val="24"/>
          </w:rPr>
          <w:fldChar w:fldCharType="end"/>
        </w:r>
      </w:hyperlink>
    </w:p>
    <w:p w14:paraId="52A3D64C" w14:textId="52F51C8A" w:rsidR="006121CB" w:rsidRPr="0044405B" w:rsidRDefault="007F568F" w:rsidP="006121CB">
      <w:pPr>
        <w:pStyle w:val="11"/>
        <w:tabs>
          <w:tab w:val="right" w:leader="dot" w:pos="8550"/>
        </w:tabs>
        <w:spacing w:line="360" w:lineRule="auto"/>
        <w:rPr>
          <w:rFonts w:ascii="宋体" w:hAnsi="宋体"/>
          <w:noProof/>
          <w:sz w:val="24"/>
        </w:rPr>
      </w:pPr>
      <w:hyperlink w:anchor="_Toc135728686" w:history="1">
        <w:r w:rsidR="006121CB" w:rsidRPr="006121CB">
          <w:rPr>
            <w:rStyle w:val="af0"/>
            <w:rFonts w:ascii="宋体" w:hAnsi="宋体" w:hint="eastAsia"/>
            <w:noProof/>
            <w:sz w:val="24"/>
          </w:rPr>
          <w:t>十、基金的投资</w:t>
        </w:r>
        <w:r w:rsidR="006121CB" w:rsidRPr="006121CB">
          <w:rPr>
            <w:rFonts w:ascii="宋体" w:hAnsi="宋体"/>
            <w:noProof/>
            <w:sz w:val="24"/>
          </w:rPr>
          <w:tab/>
        </w:r>
        <w:r w:rsidR="006121CB" w:rsidRPr="006121CB">
          <w:rPr>
            <w:rFonts w:ascii="宋体" w:hAnsi="宋体"/>
            <w:noProof/>
            <w:sz w:val="24"/>
          </w:rPr>
          <w:fldChar w:fldCharType="begin"/>
        </w:r>
        <w:r w:rsidR="006121CB" w:rsidRPr="006121CB">
          <w:rPr>
            <w:rFonts w:ascii="宋体" w:hAnsi="宋体"/>
            <w:noProof/>
            <w:sz w:val="24"/>
          </w:rPr>
          <w:instrText xml:space="preserve"> PAGEREF _Toc135728686 \h </w:instrText>
        </w:r>
        <w:r w:rsidR="006121CB" w:rsidRPr="006121CB">
          <w:rPr>
            <w:rFonts w:ascii="宋体" w:hAnsi="宋体"/>
            <w:noProof/>
            <w:sz w:val="24"/>
          </w:rPr>
        </w:r>
        <w:r w:rsidR="006121CB" w:rsidRPr="006121CB">
          <w:rPr>
            <w:rFonts w:ascii="宋体" w:hAnsi="宋体"/>
            <w:noProof/>
            <w:sz w:val="24"/>
          </w:rPr>
          <w:fldChar w:fldCharType="separate"/>
        </w:r>
        <w:r w:rsidR="00F95BAB">
          <w:rPr>
            <w:rFonts w:ascii="宋体" w:hAnsi="宋体"/>
            <w:noProof/>
            <w:sz w:val="24"/>
          </w:rPr>
          <w:t>75</w:t>
        </w:r>
        <w:r w:rsidR="006121CB" w:rsidRPr="006121CB">
          <w:rPr>
            <w:rFonts w:ascii="宋体" w:hAnsi="宋体"/>
            <w:noProof/>
            <w:sz w:val="24"/>
          </w:rPr>
          <w:fldChar w:fldCharType="end"/>
        </w:r>
      </w:hyperlink>
    </w:p>
    <w:p w14:paraId="7260FCB8" w14:textId="2054BB64" w:rsidR="006121CB" w:rsidRPr="0044405B" w:rsidRDefault="007F568F" w:rsidP="006121CB">
      <w:pPr>
        <w:pStyle w:val="11"/>
        <w:tabs>
          <w:tab w:val="right" w:leader="dot" w:pos="8550"/>
        </w:tabs>
        <w:spacing w:line="360" w:lineRule="auto"/>
        <w:rPr>
          <w:rFonts w:ascii="宋体" w:hAnsi="宋体"/>
          <w:noProof/>
          <w:sz w:val="24"/>
        </w:rPr>
      </w:pPr>
      <w:hyperlink w:anchor="_Toc135728687" w:history="1">
        <w:r w:rsidR="006121CB" w:rsidRPr="006121CB">
          <w:rPr>
            <w:rStyle w:val="af0"/>
            <w:rFonts w:ascii="宋体" w:hAnsi="宋体" w:hint="eastAsia"/>
            <w:noProof/>
            <w:sz w:val="24"/>
          </w:rPr>
          <w:t>十一、基金的业绩</w:t>
        </w:r>
        <w:r w:rsidR="006121CB" w:rsidRPr="006121CB">
          <w:rPr>
            <w:rFonts w:ascii="宋体" w:hAnsi="宋体"/>
            <w:noProof/>
            <w:sz w:val="24"/>
          </w:rPr>
          <w:tab/>
        </w:r>
        <w:r w:rsidR="006121CB" w:rsidRPr="006121CB">
          <w:rPr>
            <w:rFonts w:ascii="宋体" w:hAnsi="宋体"/>
            <w:noProof/>
            <w:sz w:val="24"/>
          </w:rPr>
          <w:fldChar w:fldCharType="begin"/>
        </w:r>
        <w:r w:rsidR="006121CB" w:rsidRPr="006121CB">
          <w:rPr>
            <w:rFonts w:ascii="宋体" w:hAnsi="宋体"/>
            <w:noProof/>
            <w:sz w:val="24"/>
          </w:rPr>
          <w:instrText xml:space="preserve"> PAGEREF _Toc135728687 \h </w:instrText>
        </w:r>
        <w:r w:rsidR="006121CB" w:rsidRPr="006121CB">
          <w:rPr>
            <w:rFonts w:ascii="宋体" w:hAnsi="宋体"/>
            <w:noProof/>
            <w:sz w:val="24"/>
          </w:rPr>
        </w:r>
        <w:r w:rsidR="006121CB" w:rsidRPr="006121CB">
          <w:rPr>
            <w:rFonts w:ascii="宋体" w:hAnsi="宋体"/>
            <w:noProof/>
            <w:sz w:val="24"/>
          </w:rPr>
          <w:fldChar w:fldCharType="separate"/>
        </w:r>
        <w:r w:rsidR="00F95BAB">
          <w:rPr>
            <w:rFonts w:ascii="宋体" w:hAnsi="宋体"/>
            <w:noProof/>
            <w:sz w:val="24"/>
          </w:rPr>
          <w:t>87</w:t>
        </w:r>
        <w:r w:rsidR="006121CB" w:rsidRPr="006121CB">
          <w:rPr>
            <w:rFonts w:ascii="宋体" w:hAnsi="宋体"/>
            <w:noProof/>
            <w:sz w:val="24"/>
          </w:rPr>
          <w:fldChar w:fldCharType="end"/>
        </w:r>
      </w:hyperlink>
    </w:p>
    <w:p w14:paraId="0DCC1A41" w14:textId="6DA5BC53" w:rsidR="006121CB" w:rsidRPr="0044405B" w:rsidRDefault="007F568F" w:rsidP="006121CB">
      <w:pPr>
        <w:pStyle w:val="11"/>
        <w:tabs>
          <w:tab w:val="right" w:leader="dot" w:pos="8550"/>
        </w:tabs>
        <w:spacing w:line="360" w:lineRule="auto"/>
        <w:rPr>
          <w:rFonts w:ascii="宋体" w:hAnsi="宋体"/>
          <w:noProof/>
          <w:sz w:val="24"/>
        </w:rPr>
      </w:pPr>
      <w:hyperlink w:anchor="_Toc135728688" w:history="1">
        <w:r w:rsidR="006121CB" w:rsidRPr="006121CB">
          <w:rPr>
            <w:rStyle w:val="af0"/>
            <w:rFonts w:ascii="宋体" w:hAnsi="宋体" w:hint="eastAsia"/>
            <w:noProof/>
            <w:sz w:val="24"/>
          </w:rPr>
          <w:t>十二、基金的财产</w:t>
        </w:r>
        <w:r w:rsidR="006121CB" w:rsidRPr="006121CB">
          <w:rPr>
            <w:rFonts w:ascii="宋体" w:hAnsi="宋体"/>
            <w:noProof/>
            <w:sz w:val="24"/>
          </w:rPr>
          <w:tab/>
        </w:r>
        <w:r w:rsidR="006121CB" w:rsidRPr="006121CB">
          <w:rPr>
            <w:rFonts w:ascii="宋体" w:hAnsi="宋体"/>
            <w:noProof/>
            <w:sz w:val="24"/>
          </w:rPr>
          <w:fldChar w:fldCharType="begin"/>
        </w:r>
        <w:r w:rsidR="006121CB" w:rsidRPr="006121CB">
          <w:rPr>
            <w:rFonts w:ascii="宋体" w:hAnsi="宋体"/>
            <w:noProof/>
            <w:sz w:val="24"/>
          </w:rPr>
          <w:instrText xml:space="preserve"> PAGEREF _Toc135728688 \h </w:instrText>
        </w:r>
        <w:r w:rsidR="006121CB" w:rsidRPr="006121CB">
          <w:rPr>
            <w:rFonts w:ascii="宋体" w:hAnsi="宋体"/>
            <w:noProof/>
            <w:sz w:val="24"/>
          </w:rPr>
        </w:r>
        <w:r w:rsidR="006121CB" w:rsidRPr="006121CB">
          <w:rPr>
            <w:rFonts w:ascii="宋体" w:hAnsi="宋体"/>
            <w:noProof/>
            <w:sz w:val="24"/>
          </w:rPr>
          <w:fldChar w:fldCharType="separate"/>
        </w:r>
        <w:r w:rsidR="00F95BAB">
          <w:rPr>
            <w:rFonts w:ascii="宋体" w:hAnsi="宋体"/>
            <w:noProof/>
            <w:sz w:val="24"/>
          </w:rPr>
          <w:t>90</w:t>
        </w:r>
        <w:r w:rsidR="006121CB" w:rsidRPr="006121CB">
          <w:rPr>
            <w:rFonts w:ascii="宋体" w:hAnsi="宋体"/>
            <w:noProof/>
            <w:sz w:val="24"/>
          </w:rPr>
          <w:fldChar w:fldCharType="end"/>
        </w:r>
      </w:hyperlink>
    </w:p>
    <w:p w14:paraId="6A17E961" w14:textId="0A36A38F" w:rsidR="006121CB" w:rsidRPr="0044405B" w:rsidRDefault="007F568F" w:rsidP="006121CB">
      <w:pPr>
        <w:pStyle w:val="11"/>
        <w:tabs>
          <w:tab w:val="right" w:leader="dot" w:pos="8550"/>
        </w:tabs>
        <w:spacing w:line="360" w:lineRule="auto"/>
        <w:rPr>
          <w:rFonts w:ascii="宋体" w:hAnsi="宋体"/>
          <w:noProof/>
          <w:sz w:val="24"/>
        </w:rPr>
      </w:pPr>
      <w:hyperlink w:anchor="_Toc135728689" w:history="1">
        <w:r w:rsidR="006121CB" w:rsidRPr="006121CB">
          <w:rPr>
            <w:rStyle w:val="af0"/>
            <w:rFonts w:ascii="宋体" w:hAnsi="宋体" w:hint="eastAsia"/>
            <w:noProof/>
            <w:sz w:val="24"/>
          </w:rPr>
          <w:t>十三、基金资产的估值</w:t>
        </w:r>
        <w:r w:rsidR="006121CB" w:rsidRPr="006121CB">
          <w:rPr>
            <w:rFonts w:ascii="宋体" w:hAnsi="宋体"/>
            <w:noProof/>
            <w:sz w:val="24"/>
          </w:rPr>
          <w:tab/>
        </w:r>
        <w:r w:rsidR="006121CB" w:rsidRPr="006121CB">
          <w:rPr>
            <w:rFonts w:ascii="宋体" w:hAnsi="宋体"/>
            <w:noProof/>
            <w:sz w:val="24"/>
          </w:rPr>
          <w:fldChar w:fldCharType="begin"/>
        </w:r>
        <w:r w:rsidR="006121CB" w:rsidRPr="006121CB">
          <w:rPr>
            <w:rFonts w:ascii="宋体" w:hAnsi="宋体"/>
            <w:noProof/>
            <w:sz w:val="24"/>
          </w:rPr>
          <w:instrText xml:space="preserve"> PAGEREF _Toc135728689 \h </w:instrText>
        </w:r>
        <w:r w:rsidR="006121CB" w:rsidRPr="006121CB">
          <w:rPr>
            <w:rFonts w:ascii="宋体" w:hAnsi="宋体"/>
            <w:noProof/>
            <w:sz w:val="24"/>
          </w:rPr>
        </w:r>
        <w:r w:rsidR="006121CB" w:rsidRPr="006121CB">
          <w:rPr>
            <w:rFonts w:ascii="宋体" w:hAnsi="宋体"/>
            <w:noProof/>
            <w:sz w:val="24"/>
          </w:rPr>
          <w:fldChar w:fldCharType="separate"/>
        </w:r>
        <w:r w:rsidR="00F95BAB">
          <w:rPr>
            <w:rFonts w:ascii="宋体" w:hAnsi="宋体"/>
            <w:noProof/>
            <w:sz w:val="24"/>
          </w:rPr>
          <w:t>91</w:t>
        </w:r>
        <w:r w:rsidR="006121CB" w:rsidRPr="006121CB">
          <w:rPr>
            <w:rFonts w:ascii="宋体" w:hAnsi="宋体"/>
            <w:noProof/>
            <w:sz w:val="24"/>
          </w:rPr>
          <w:fldChar w:fldCharType="end"/>
        </w:r>
      </w:hyperlink>
    </w:p>
    <w:p w14:paraId="3261302A" w14:textId="6D2D4B89" w:rsidR="006121CB" w:rsidRPr="0044405B" w:rsidRDefault="007F568F" w:rsidP="006121CB">
      <w:pPr>
        <w:pStyle w:val="11"/>
        <w:tabs>
          <w:tab w:val="right" w:leader="dot" w:pos="8550"/>
        </w:tabs>
        <w:spacing w:line="360" w:lineRule="auto"/>
        <w:rPr>
          <w:rFonts w:ascii="宋体" w:hAnsi="宋体"/>
          <w:noProof/>
          <w:sz w:val="24"/>
        </w:rPr>
      </w:pPr>
      <w:hyperlink w:anchor="_Toc135728690" w:history="1">
        <w:r w:rsidR="006121CB" w:rsidRPr="006121CB">
          <w:rPr>
            <w:rStyle w:val="af0"/>
            <w:rFonts w:ascii="宋体" w:hAnsi="宋体" w:hint="eastAsia"/>
            <w:noProof/>
            <w:sz w:val="24"/>
          </w:rPr>
          <w:t>十四、基金收益与分配</w:t>
        </w:r>
        <w:r w:rsidR="006121CB" w:rsidRPr="006121CB">
          <w:rPr>
            <w:rFonts w:ascii="宋体" w:hAnsi="宋体"/>
            <w:noProof/>
            <w:sz w:val="24"/>
          </w:rPr>
          <w:tab/>
        </w:r>
        <w:r w:rsidR="006121CB" w:rsidRPr="006121CB">
          <w:rPr>
            <w:rFonts w:ascii="宋体" w:hAnsi="宋体"/>
            <w:noProof/>
            <w:sz w:val="24"/>
          </w:rPr>
          <w:fldChar w:fldCharType="begin"/>
        </w:r>
        <w:r w:rsidR="006121CB" w:rsidRPr="006121CB">
          <w:rPr>
            <w:rFonts w:ascii="宋体" w:hAnsi="宋体"/>
            <w:noProof/>
            <w:sz w:val="24"/>
          </w:rPr>
          <w:instrText xml:space="preserve"> PAGEREF _Toc135728690 \h </w:instrText>
        </w:r>
        <w:r w:rsidR="006121CB" w:rsidRPr="006121CB">
          <w:rPr>
            <w:rFonts w:ascii="宋体" w:hAnsi="宋体"/>
            <w:noProof/>
            <w:sz w:val="24"/>
          </w:rPr>
        </w:r>
        <w:r w:rsidR="006121CB" w:rsidRPr="006121CB">
          <w:rPr>
            <w:rFonts w:ascii="宋体" w:hAnsi="宋体"/>
            <w:noProof/>
            <w:sz w:val="24"/>
          </w:rPr>
          <w:fldChar w:fldCharType="separate"/>
        </w:r>
        <w:r w:rsidR="00F95BAB">
          <w:rPr>
            <w:rFonts w:ascii="宋体" w:hAnsi="宋体"/>
            <w:noProof/>
            <w:sz w:val="24"/>
          </w:rPr>
          <w:t>96</w:t>
        </w:r>
        <w:r w:rsidR="006121CB" w:rsidRPr="006121CB">
          <w:rPr>
            <w:rFonts w:ascii="宋体" w:hAnsi="宋体"/>
            <w:noProof/>
            <w:sz w:val="24"/>
          </w:rPr>
          <w:fldChar w:fldCharType="end"/>
        </w:r>
      </w:hyperlink>
    </w:p>
    <w:p w14:paraId="558193BF" w14:textId="7DB7B583" w:rsidR="006121CB" w:rsidRPr="0044405B" w:rsidRDefault="007F568F" w:rsidP="006121CB">
      <w:pPr>
        <w:pStyle w:val="11"/>
        <w:tabs>
          <w:tab w:val="right" w:leader="dot" w:pos="8550"/>
        </w:tabs>
        <w:spacing w:line="360" w:lineRule="auto"/>
        <w:rPr>
          <w:rFonts w:ascii="宋体" w:hAnsi="宋体"/>
          <w:noProof/>
          <w:sz w:val="24"/>
        </w:rPr>
      </w:pPr>
      <w:hyperlink w:anchor="_Toc135728691" w:history="1">
        <w:r w:rsidR="006121CB" w:rsidRPr="006121CB">
          <w:rPr>
            <w:rStyle w:val="af0"/>
            <w:rFonts w:ascii="宋体" w:hAnsi="宋体" w:hint="eastAsia"/>
            <w:noProof/>
            <w:sz w:val="24"/>
          </w:rPr>
          <w:t>十五、基金的费用与税收</w:t>
        </w:r>
        <w:r w:rsidR="006121CB" w:rsidRPr="006121CB">
          <w:rPr>
            <w:rFonts w:ascii="宋体" w:hAnsi="宋体"/>
            <w:noProof/>
            <w:sz w:val="24"/>
          </w:rPr>
          <w:tab/>
        </w:r>
        <w:r w:rsidR="006121CB" w:rsidRPr="006121CB">
          <w:rPr>
            <w:rFonts w:ascii="宋体" w:hAnsi="宋体"/>
            <w:noProof/>
            <w:sz w:val="24"/>
          </w:rPr>
          <w:fldChar w:fldCharType="begin"/>
        </w:r>
        <w:r w:rsidR="006121CB" w:rsidRPr="006121CB">
          <w:rPr>
            <w:rFonts w:ascii="宋体" w:hAnsi="宋体"/>
            <w:noProof/>
            <w:sz w:val="24"/>
          </w:rPr>
          <w:instrText xml:space="preserve"> PAGEREF _Toc135728691 \h </w:instrText>
        </w:r>
        <w:r w:rsidR="006121CB" w:rsidRPr="006121CB">
          <w:rPr>
            <w:rFonts w:ascii="宋体" w:hAnsi="宋体"/>
            <w:noProof/>
            <w:sz w:val="24"/>
          </w:rPr>
        </w:r>
        <w:r w:rsidR="006121CB" w:rsidRPr="006121CB">
          <w:rPr>
            <w:rFonts w:ascii="宋体" w:hAnsi="宋体"/>
            <w:noProof/>
            <w:sz w:val="24"/>
          </w:rPr>
          <w:fldChar w:fldCharType="separate"/>
        </w:r>
        <w:r w:rsidR="00F95BAB">
          <w:rPr>
            <w:rFonts w:ascii="宋体" w:hAnsi="宋体"/>
            <w:noProof/>
            <w:sz w:val="24"/>
          </w:rPr>
          <w:t>98</w:t>
        </w:r>
        <w:r w:rsidR="006121CB" w:rsidRPr="006121CB">
          <w:rPr>
            <w:rFonts w:ascii="宋体" w:hAnsi="宋体"/>
            <w:noProof/>
            <w:sz w:val="24"/>
          </w:rPr>
          <w:fldChar w:fldCharType="end"/>
        </w:r>
      </w:hyperlink>
    </w:p>
    <w:p w14:paraId="670DF414" w14:textId="0BBB4E6A" w:rsidR="006121CB" w:rsidRPr="0044405B" w:rsidRDefault="007F568F" w:rsidP="006121CB">
      <w:pPr>
        <w:pStyle w:val="11"/>
        <w:tabs>
          <w:tab w:val="right" w:leader="dot" w:pos="8550"/>
        </w:tabs>
        <w:spacing w:line="360" w:lineRule="auto"/>
        <w:rPr>
          <w:rFonts w:ascii="宋体" w:hAnsi="宋体"/>
          <w:noProof/>
          <w:sz w:val="24"/>
        </w:rPr>
      </w:pPr>
      <w:hyperlink w:anchor="_Toc135728692" w:history="1">
        <w:r w:rsidR="006121CB" w:rsidRPr="006121CB">
          <w:rPr>
            <w:rStyle w:val="af0"/>
            <w:rFonts w:ascii="宋体" w:hAnsi="宋体" w:hint="eastAsia"/>
            <w:noProof/>
            <w:sz w:val="24"/>
          </w:rPr>
          <w:t>十六、基金的会计与审计</w:t>
        </w:r>
        <w:r w:rsidR="006121CB" w:rsidRPr="006121CB">
          <w:rPr>
            <w:rFonts w:ascii="宋体" w:hAnsi="宋体"/>
            <w:noProof/>
            <w:sz w:val="24"/>
          </w:rPr>
          <w:tab/>
        </w:r>
        <w:r w:rsidR="006121CB" w:rsidRPr="006121CB">
          <w:rPr>
            <w:rFonts w:ascii="宋体" w:hAnsi="宋体"/>
            <w:noProof/>
            <w:sz w:val="24"/>
          </w:rPr>
          <w:fldChar w:fldCharType="begin"/>
        </w:r>
        <w:r w:rsidR="006121CB" w:rsidRPr="006121CB">
          <w:rPr>
            <w:rFonts w:ascii="宋体" w:hAnsi="宋体"/>
            <w:noProof/>
            <w:sz w:val="24"/>
          </w:rPr>
          <w:instrText xml:space="preserve"> PAGEREF _Toc135728692 \h </w:instrText>
        </w:r>
        <w:r w:rsidR="006121CB" w:rsidRPr="006121CB">
          <w:rPr>
            <w:rFonts w:ascii="宋体" w:hAnsi="宋体"/>
            <w:noProof/>
            <w:sz w:val="24"/>
          </w:rPr>
        </w:r>
        <w:r w:rsidR="006121CB" w:rsidRPr="006121CB">
          <w:rPr>
            <w:rFonts w:ascii="宋体" w:hAnsi="宋体"/>
            <w:noProof/>
            <w:sz w:val="24"/>
          </w:rPr>
          <w:fldChar w:fldCharType="separate"/>
        </w:r>
        <w:r w:rsidR="00F95BAB">
          <w:rPr>
            <w:rFonts w:ascii="宋体" w:hAnsi="宋体"/>
            <w:noProof/>
            <w:sz w:val="24"/>
          </w:rPr>
          <w:t>101</w:t>
        </w:r>
        <w:r w:rsidR="006121CB" w:rsidRPr="006121CB">
          <w:rPr>
            <w:rFonts w:ascii="宋体" w:hAnsi="宋体"/>
            <w:noProof/>
            <w:sz w:val="24"/>
          </w:rPr>
          <w:fldChar w:fldCharType="end"/>
        </w:r>
      </w:hyperlink>
    </w:p>
    <w:p w14:paraId="1D59A079" w14:textId="2BBBFAAC" w:rsidR="006121CB" w:rsidRPr="0044405B" w:rsidRDefault="007F568F" w:rsidP="006121CB">
      <w:pPr>
        <w:pStyle w:val="11"/>
        <w:tabs>
          <w:tab w:val="right" w:leader="dot" w:pos="8550"/>
        </w:tabs>
        <w:spacing w:line="360" w:lineRule="auto"/>
        <w:rPr>
          <w:rFonts w:ascii="宋体" w:hAnsi="宋体"/>
          <w:noProof/>
          <w:sz w:val="24"/>
        </w:rPr>
      </w:pPr>
      <w:hyperlink w:anchor="_Toc135728693" w:history="1">
        <w:r w:rsidR="006121CB" w:rsidRPr="006121CB">
          <w:rPr>
            <w:rStyle w:val="af0"/>
            <w:rFonts w:ascii="宋体" w:hAnsi="宋体" w:hint="eastAsia"/>
            <w:noProof/>
            <w:sz w:val="24"/>
          </w:rPr>
          <w:t>十七、基金的信息披露</w:t>
        </w:r>
        <w:r w:rsidR="006121CB" w:rsidRPr="006121CB">
          <w:rPr>
            <w:rFonts w:ascii="宋体" w:hAnsi="宋体"/>
            <w:noProof/>
            <w:sz w:val="24"/>
          </w:rPr>
          <w:tab/>
        </w:r>
        <w:r w:rsidR="006121CB" w:rsidRPr="006121CB">
          <w:rPr>
            <w:rFonts w:ascii="宋体" w:hAnsi="宋体"/>
            <w:noProof/>
            <w:sz w:val="24"/>
          </w:rPr>
          <w:fldChar w:fldCharType="begin"/>
        </w:r>
        <w:r w:rsidR="006121CB" w:rsidRPr="006121CB">
          <w:rPr>
            <w:rFonts w:ascii="宋体" w:hAnsi="宋体"/>
            <w:noProof/>
            <w:sz w:val="24"/>
          </w:rPr>
          <w:instrText xml:space="preserve"> PAGEREF _Toc135728693 \h </w:instrText>
        </w:r>
        <w:r w:rsidR="006121CB" w:rsidRPr="006121CB">
          <w:rPr>
            <w:rFonts w:ascii="宋体" w:hAnsi="宋体"/>
            <w:noProof/>
            <w:sz w:val="24"/>
          </w:rPr>
        </w:r>
        <w:r w:rsidR="006121CB" w:rsidRPr="006121CB">
          <w:rPr>
            <w:rFonts w:ascii="宋体" w:hAnsi="宋体"/>
            <w:noProof/>
            <w:sz w:val="24"/>
          </w:rPr>
          <w:fldChar w:fldCharType="separate"/>
        </w:r>
        <w:r w:rsidR="00F95BAB">
          <w:rPr>
            <w:rFonts w:ascii="宋体" w:hAnsi="宋体"/>
            <w:noProof/>
            <w:sz w:val="24"/>
          </w:rPr>
          <w:t>102</w:t>
        </w:r>
        <w:r w:rsidR="006121CB" w:rsidRPr="006121CB">
          <w:rPr>
            <w:rFonts w:ascii="宋体" w:hAnsi="宋体"/>
            <w:noProof/>
            <w:sz w:val="24"/>
          </w:rPr>
          <w:fldChar w:fldCharType="end"/>
        </w:r>
      </w:hyperlink>
    </w:p>
    <w:p w14:paraId="126E0971" w14:textId="658C5ADE" w:rsidR="006121CB" w:rsidRPr="0044405B" w:rsidRDefault="007F568F" w:rsidP="006121CB">
      <w:pPr>
        <w:pStyle w:val="11"/>
        <w:tabs>
          <w:tab w:val="right" w:leader="dot" w:pos="8550"/>
        </w:tabs>
        <w:spacing w:line="360" w:lineRule="auto"/>
        <w:rPr>
          <w:rFonts w:ascii="宋体" w:hAnsi="宋体"/>
          <w:noProof/>
          <w:sz w:val="24"/>
        </w:rPr>
      </w:pPr>
      <w:hyperlink w:anchor="_Toc135728694" w:history="1">
        <w:r w:rsidR="006121CB" w:rsidRPr="006121CB">
          <w:rPr>
            <w:rStyle w:val="af0"/>
            <w:rFonts w:ascii="宋体" w:hAnsi="宋体" w:hint="eastAsia"/>
            <w:noProof/>
            <w:sz w:val="24"/>
          </w:rPr>
          <w:t>十八、侧袋机制</w:t>
        </w:r>
        <w:r w:rsidR="006121CB" w:rsidRPr="006121CB">
          <w:rPr>
            <w:rFonts w:ascii="宋体" w:hAnsi="宋体"/>
            <w:noProof/>
            <w:sz w:val="24"/>
          </w:rPr>
          <w:tab/>
        </w:r>
        <w:r w:rsidR="006121CB" w:rsidRPr="006121CB">
          <w:rPr>
            <w:rFonts w:ascii="宋体" w:hAnsi="宋体"/>
            <w:noProof/>
            <w:sz w:val="24"/>
          </w:rPr>
          <w:fldChar w:fldCharType="begin"/>
        </w:r>
        <w:r w:rsidR="006121CB" w:rsidRPr="006121CB">
          <w:rPr>
            <w:rFonts w:ascii="宋体" w:hAnsi="宋体"/>
            <w:noProof/>
            <w:sz w:val="24"/>
          </w:rPr>
          <w:instrText xml:space="preserve"> PAGEREF _Toc135728694 \h </w:instrText>
        </w:r>
        <w:r w:rsidR="006121CB" w:rsidRPr="006121CB">
          <w:rPr>
            <w:rFonts w:ascii="宋体" w:hAnsi="宋体"/>
            <w:noProof/>
            <w:sz w:val="24"/>
          </w:rPr>
        </w:r>
        <w:r w:rsidR="006121CB" w:rsidRPr="006121CB">
          <w:rPr>
            <w:rFonts w:ascii="宋体" w:hAnsi="宋体"/>
            <w:noProof/>
            <w:sz w:val="24"/>
          </w:rPr>
          <w:fldChar w:fldCharType="separate"/>
        </w:r>
        <w:r w:rsidR="00F95BAB">
          <w:rPr>
            <w:rFonts w:ascii="宋体" w:hAnsi="宋体"/>
            <w:noProof/>
            <w:sz w:val="24"/>
          </w:rPr>
          <w:t>109</w:t>
        </w:r>
        <w:r w:rsidR="006121CB" w:rsidRPr="006121CB">
          <w:rPr>
            <w:rFonts w:ascii="宋体" w:hAnsi="宋体"/>
            <w:noProof/>
            <w:sz w:val="24"/>
          </w:rPr>
          <w:fldChar w:fldCharType="end"/>
        </w:r>
      </w:hyperlink>
    </w:p>
    <w:p w14:paraId="226CF278" w14:textId="5486F44D" w:rsidR="006121CB" w:rsidRPr="0044405B" w:rsidRDefault="007F568F" w:rsidP="006121CB">
      <w:pPr>
        <w:pStyle w:val="11"/>
        <w:tabs>
          <w:tab w:val="right" w:leader="dot" w:pos="8550"/>
        </w:tabs>
        <w:spacing w:line="360" w:lineRule="auto"/>
        <w:rPr>
          <w:rFonts w:ascii="宋体" w:hAnsi="宋体"/>
          <w:noProof/>
          <w:sz w:val="24"/>
        </w:rPr>
      </w:pPr>
      <w:hyperlink w:anchor="_Toc135728695" w:history="1">
        <w:r w:rsidR="006121CB" w:rsidRPr="006121CB">
          <w:rPr>
            <w:rStyle w:val="af0"/>
            <w:rFonts w:ascii="宋体" w:hAnsi="宋体" w:hint="eastAsia"/>
            <w:noProof/>
            <w:sz w:val="24"/>
          </w:rPr>
          <w:t>十九、风险揭示</w:t>
        </w:r>
        <w:r w:rsidR="006121CB" w:rsidRPr="006121CB">
          <w:rPr>
            <w:rFonts w:ascii="宋体" w:hAnsi="宋体"/>
            <w:noProof/>
            <w:sz w:val="24"/>
          </w:rPr>
          <w:tab/>
        </w:r>
        <w:r w:rsidR="006121CB" w:rsidRPr="006121CB">
          <w:rPr>
            <w:rFonts w:ascii="宋体" w:hAnsi="宋体"/>
            <w:noProof/>
            <w:sz w:val="24"/>
          </w:rPr>
          <w:fldChar w:fldCharType="begin"/>
        </w:r>
        <w:r w:rsidR="006121CB" w:rsidRPr="006121CB">
          <w:rPr>
            <w:rFonts w:ascii="宋体" w:hAnsi="宋体"/>
            <w:noProof/>
            <w:sz w:val="24"/>
          </w:rPr>
          <w:instrText xml:space="preserve"> PAGEREF _Toc135728695 \h </w:instrText>
        </w:r>
        <w:r w:rsidR="006121CB" w:rsidRPr="006121CB">
          <w:rPr>
            <w:rFonts w:ascii="宋体" w:hAnsi="宋体"/>
            <w:noProof/>
            <w:sz w:val="24"/>
          </w:rPr>
        </w:r>
        <w:r w:rsidR="006121CB" w:rsidRPr="006121CB">
          <w:rPr>
            <w:rFonts w:ascii="宋体" w:hAnsi="宋体"/>
            <w:noProof/>
            <w:sz w:val="24"/>
          </w:rPr>
          <w:fldChar w:fldCharType="separate"/>
        </w:r>
        <w:r w:rsidR="00F95BAB">
          <w:rPr>
            <w:rFonts w:ascii="宋体" w:hAnsi="宋体"/>
            <w:noProof/>
            <w:sz w:val="24"/>
          </w:rPr>
          <w:t>112</w:t>
        </w:r>
        <w:r w:rsidR="006121CB" w:rsidRPr="006121CB">
          <w:rPr>
            <w:rFonts w:ascii="宋体" w:hAnsi="宋体"/>
            <w:noProof/>
            <w:sz w:val="24"/>
          </w:rPr>
          <w:fldChar w:fldCharType="end"/>
        </w:r>
      </w:hyperlink>
    </w:p>
    <w:p w14:paraId="489EA4D5" w14:textId="58571F43" w:rsidR="006121CB" w:rsidRPr="0044405B" w:rsidRDefault="007F568F" w:rsidP="006121CB">
      <w:pPr>
        <w:pStyle w:val="11"/>
        <w:tabs>
          <w:tab w:val="right" w:leader="dot" w:pos="8550"/>
        </w:tabs>
        <w:spacing w:line="360" w:lineRule="auto"/>
        <w:rPr>
          <w:rFonts w:ascii="宋体" w:hAnsi="宋体"/>
          <w:noProof/>
          <w:sz w:val="24"/>
        </w:rPr>
      </w:pPr>
      <w:hyperlink w:anchor="_Toc135728696" w:history="1">
        <w:r w:rsidR="006121CB" w:rsidRPr="006121CB">
          <w:rPr>
            <w:rStyle w:val="af0"/>
            <w:rFonts w:ascii="宋体" w:hAnsi="宋体" w:hint="eastAsia"/>
            <w:noProof/>
            <w:sz w:val="24"/>
          </w:rPr>
          <w:t>二十、基金合同的变更、终止与基金财产的清算</w:t>
        </w:r>
        <w:r w:rsidR="006121CB" w:rsidRPr="006121CB">
          <w:rPr>
            <w:rFonts w:ascii="宋体" w:hAnsi="宋体"/>
            <w:noProof/>
            <w:sz w:val="24"/>
          </w:rPr>
          <w:tab/>
        </w:r>
        <w:r w:rsidR="006121CB" w:rsidRPr="006121CB">
          <w:rPr>
            <w:rFonts w:ascii="宋体" w:hAnsi="宋体"/>
            <w:noProof/>
            <w:sz w:val="24"/>
          </w:rPr>
          <w:fldChar w:fldCharType="begin"/>
        </w:r>
        <w:r w:rsidR="006121CB" w:rsidRPr="006121CB">
          <w:rPr>
            <w:rFonts w:ascii="宋体" w:hAnsi="宋体"/>
            <w:noProof/>
            <w:sz w:val="24"/>
          </w:rPr>
          <w:instrText xml:space="preserve"> PAGEREF _Toc135728696 \h </w:instrText>
        </w:r>
        <w:r w:rsidR="006121CB" w:rsidRPr="006121CB">
          <w:rPr>
            <w:rFonts w:ascii="宋体" w:hAnsi="宋体"/>
            <w:noProof/>
            <w:sz w:val="24"/>
          </w:rPr>
        </w:r>
        <w:r w:rsidR="006121CB" w:rsidRPr="006121CB">
          <w:rPr>
            <w:rFonts w:ascii="宋体" w:hAnsi="宋体"/>
            <w:noProof/>
            <w:sz w:val="24"/>
          </w:rPr>
          <w:fldChar w:fldCharType="separate"/>
        </w:r>
        <w:r w:rsidR="00F95BAB">
          <w:rPr>
            <w:rFonts w:ascii="宋体" w:hAnsi="宋体"/>
            <w:noProof/>
            <w:sz w:val="24"/>
          </w:rPr>
          <w:t>119</w:t>
        </w:r>
        <w:r w:rsidR="006121CB" w:rsidRPr="006121CB">
          <w:rPr>
            <w:rFonts w:ascii="宋体" w:hAnsi="宋体"/>
            <w:noProof/>
            <w:sz w:val="24"/>
          </w:rPr>
          <w:fldChar w:fldCharType="end"/>
        </w:r>
      </w:hyperlink>
    </w:p>
    <w:p w14:paraId="092664E9" w14:textId="21573FC2" w:rsidR="006121CB" w:rsidRPr="0044405B" w:rsidRDefault="007F568F" w:rsidP="006121CB">
      <w:pPr>
        <w:pStyle w:val="11"/>
        <w:tabs>
          <w:tab w:val="right" w:leader="dot" w:pos="8550"/>
        </w:tabs>
        <w:spacing w:line="360" w:lineRule="auto"/>
        <w:rPr>
          <w:rFonts w:ascii="宋体" w:hAnsi="宋体"/>
          <w:noProof/>
          <w:sz w:val="24"/>
        </w:rPr>
      </w:pPr>
      <w:hyperlink w:anchor="_Toc135728697" w:history="1">
        <w:r w:rsidR="006121CB" w:rsidRPr="006121CB">
          <w:rPr>
            <w:rStyle w:val="af0"/>
            <w:rFonts w:ascii="宋体" w:hAnsi="宋体" w:hint="eastAsia"/>
            <w:noProof/>
            <w:sz w:val="24"/>
          </w:rPr>
          <w:t>二十一、基金合同内容摘要</w:t>
        </w:r>
        <w:r w:rsidR="006121CB" w:rsidRPr="006121CB">
          <w:rPr>
            <w:rFonts w:ascii="宋体" w:hAnsi="宋体"/>
            <w:noProof/>
            <w:sz w:val="24"/>
          </w:rPr>
          <w:tab/>
        </w:r>
        <w:r w:rsidR="006121CB" w:rsidRPr="006121CB">
          <w:rPr>
            <w:rFonts w:ascii="宋体" w:hAnsi="宋体"/>
            <w:noProof/>
            <w:sz w:val="24"/>
          </w:rPr>
          <w:fldChar w:fldCharType="begin"/>
        </w:r>
        <w:r w:rsidR="006121CB" w:rsidRPr="006121CB">
          <w:rPr>
            <w:rFonts w:ascii="宋体" w:hAnsi="宋体"/>
            <w:noProof/>
            <w:sz w:val="24"/>
          </w:rPr>
          <w:instrText xml:space="preserve"> PAGEREF _Toc135728697 \h </w:instrText>
        </w:r>
        <w:r w:rsidR="006121CB" w:rsidRPr="006121CB">
          <w:rPr>
            <w:rFonts w:ascii="宋体" w:hAnsi="宋体"/>
            <w:noProof/>
            <w:sz w:val="24"/>
          </w:rPr>
        </w:r>
        <w:r w:rsidR="006121CB" w:rsidRPr="006121CB">
          <w:rPr>
            <w:rFonts w:ascii="宋体" w:hAnsi="宋体"/>
            <w:noProof/>
            <w:sz w:val="24"/>
          </w:rPr>
          <w:fldChar w:fldCharType="separate"/>
        </w:r>
        <w:r w:rsidR="00F95BAB">
          <w:rPr>
            <w:rFonts w:ascii="宋体" w:hAnsi="宋体"/>
            <w:noProof/>
            <w:sz w:val="24"/>
          </w:rPr>
          <w:t>121</w:t>
        </w:r>
        <w:r w:rsidR="006121CB" w:rsidRPr="006121CB">
          <w:rPr>
            <w:rFonts w:ascii="宋体" w:hAnsi="宋体"/>
            <w:noProof/>
            <w:sz w:val="24"/>
          </w:rPr>
          <w:fldChar w:fldCharType="end"/>
        </w:r>
      </w:hyperlink>
    </w:p>
    <w:p w14:paraId="20F9F6D8" w14:textId="2B35B6F7" w:rsidR="006121CB" w:rsidRPr="0044405B" w:rsidRDefault="007F568F" w:rsidP="006121CB">
      <w:pPr>
        <w:pStyle w:val="11"/>
        <w:tabs>
          <w:tab w:val="right" w:leader="dot" w:pos="8550"/>
        </w:tabs>
        <w:spacing w:line="360" w:lineRule="auto"/>
        <w:rPr>
          <w:rFonts w:ascii="宋体" w:hAnsi="宋体"/>
          <w:noProof/>
          <w:sz w:val="24"/>
        </w:rPr>
      </w:pPr>
      <w:hyperlink w:anchor="_Toc135728698" w:history="1">
        <w:r w:rsidR="006121CB" w:rsidRPr="006121CB">
          <w:rPr>
            <w:rStyle w:val="af0"/>
            <w:rFonts w:ascii="宋体" w:hAnsi="宋体" w:hint="eastAsia"/>
            <w:noProof/>
            <w:sz w:val="24"/>
          </w:rPr>
          <w:t>二十二、托管协议的内容摘要</w:t>
        </w:r>
        <w:r w:rsidR="006121CB" w:rsidRPr="006121CB">
          <w:rPr>
            <w:rFonts w:ascii="宋体" w:hAnsi="宋体"/>
            <w:noProof/>
            <w:sz w:val="24"/>
          </w:rPr>
          <w:tab/>
        </w:r>
        <w:r w:rsidR="006121CB" w:rsidRPr="006121CB">
          <w:rPr>
            <w:rFonts w:ascii="宋体" w:hAnsi="宋体"/>
            <w:noProof/>
            <w:sz w:val="24"/>
          </w:rPr>
          <w:fldChar w:fldCharType="begin"/>
        </w:r>
        <w:r w:rsidR="006121CB" w:rsidRPr="006121CB">
          <w:rPr>
            <w:rFonts w:ascii="宋体" w:hAnsi="宋体"/>
            <w:noProof/>
            <w:sz w:val="24"/>
          </w:rPr>
          <w:instrText xml:space="preserve"> PAGEREF _Toc135728698 \h </w:instrText>
        </w:r>
        <w:r w:rsidR="006121CB" w:rsidRPr="006121CB">
          <w:rPr>
            <w:rFonts w:ascii="宋体" w:hAnsi="宋体"/>
            <w:noProof/>
            <w:sz w:val="24"/>
          </w:rPr>
        </w:r>
        <w:r w:rsidR="006121CB" w:rsidRPr="006121CB">
          <w:rPr>
            <w:rFonts w:ascii="宋体" w:hAnsi="宋体"/>
            <w:noProof/>
            <w:sz w:val="24"/>
          </w:rPr>
          <w:fldChar w:fldCharType="separate"/>
        </w:r>
        <w:r w:rsidR="00F95BAB">
          <w:rPr>
            <w:rFonts w:ascii="宋体" w:hAnsi="宋体"/>
            <w:noProof/>
            <w:sz w:val="24"/>
          </w:rPr>
          <w:t>138</w:t>
        </w:r>
        <w:r w:rsidR="006121CB" w:rsidRPr="006121CB">
          <w:rPr>
            <w:rFonts w:ascii="宋体" w:hAnsi="宋体"/>
            <w:noProof/>
            <w:sz w:val="24"/>
          </w:rPr>
          <w:fldChar w:fldCharType="end"/>
        </w:r>
      </w:hyperlink>
    </w:p>
    <w:p w14:paraId="307F78CA" w14:textId="46B8F221" w:rsidR="006121CB" w:rsidRPr="0044405B" w:rsidRDefault="007F568F" w:rsidP="006121CB">
      <w:pPr>
        <w:pStyle w:val="11"/>
        <w:tabs>
          <w:tab w:val="right" w:leader="dot" w:pos="8550"/>
        </w:tabs>
        <w:spacing w:line="360" w:lineRule="auto"/>
        <w:rPr>
          <w:rFonts w:ascii="宋体" w:hAnsi="宋体"/>
          <w:noProof/>
          <w:sz w:val="24"/>
        </w:rPr>
      </w:pPr>
      <w:hyperlink w:anchor="_Toc135728699" w:history="1">
        <w:r w:rsidR="006121CB" w:rsidRPr="006121CB">
          <w:rPr>
            <w:rStyle w:val="af0"/>
            <w:rFonts w:ascii="宋体" w:hAnsi="宋体" w:hint="eastAsia"/>
            <w:noProof/>
            <w:sz w:val="24"/>
          </w:rPr>
          <w:t>二十三、对基金份额持有人的服务</w:t>
        </w:r>
        <w:r w:rsidR="006121CB" w:rsidRPr="006121CB">
          <w:rPr>
            <w:rFonts w:ascii="宋体" w:hAnsi="宋体"/>
            <w:noProof/>
            <w:sz w:val="24"/>
          </w:rPr>
          <w:tab/>
        </w:r>
        <w:r w:rsidR="006121CB" w:rsidRPr="006121CB">
          <w:rPr>
            <w:rFonts w:ascii="宋体" w:hAnsi="宋体"/>
            <w:noProof/>
            <w:sz w:val="24"/>
          </w:rPr>
          <w:fldChar w:fldCharType="begin"/>
        </w:r>
        <w:r w:rsidR="006121CB" w:rsidRPr="006121CB">
          <w:rPr>
            <w:rFonts w:ascii="宋体" w:hAnsi="宋体"/>
            <w:noProof/>
            <w:sz w:val="24"/>
          </w:rPr>
          <w:instrText xml:space="preserve"> PAGEREF _Toc135728699 \h </w:instrText>
        </w:r>
        <w:r w:rsidR="006121CB" w:rsidRPr="006121CB">
          <w:rPr>
            <w:rFonts w:ascii="宋体" w:hAnsi="宋体"/>
            <w:noProof/>
            <w:sz w:val="24"/>
          </w:rPr>
        </w:r>
        <w:r w:rsidR="006121CB" w:rsidRPr="006121CB">
          <w:rPr>
            <w:rFonts w:ascii="宋体" w:hAnsi="宋体"/>
            <w:noProof/>
            <w:sz w:val="24"/>
          </w:rPr>
          <w:fldChar w:fldCharType="separate"/>
        </w:r>
        <w:r w:rsidR="00F95BAB">
          <w:rPr>
            <w:rFonts w:ascii="宋体" w:hAnsi="宋体"/>
            <w:noProof/>
            <w:sz w:val="24"/>
          </w:rPr>
          <w:t>154</w:t>
        </w:r>
        <w:r w:rsidR="006121CB" w:rsidRPr="006121CB">
          <w:rPr>
            <w:rFonts w:ascii="宋体" w:hAnsi="宋体"/>
            <w:noProof/>
            <w:sz w:val="24"/>
          </w:rPr>
          <w:fldChar w:fldCharType="end"/>
        </w:r>
      </w:hyperlink>
    </w:p>
    <w:p w14:paraId="25499954" w14:textId="402DB202" w:rsidR="006121CB" w:rsidRPr="0044405B" w:rsidRDefault="007F568F" w:rsidP="006121CB">
      <w:pPr>
        <w:pStyle w:val="11"/>
        <w:tabs>
          <w:tab w:val="right" w:leader="dot" w:pos="8550"/>
        </w:tabs>
        <w:spacing w:line="360" w:lineRule="auto"/>
        <w:rPr>
          <w:rFonts w:ascii="宋体" w:hAnsi="宋体"/>
          <w:noProof/>
          <w:sz w:val="24"/>
        </w:rPr>
      </w:pPr>
      <w:hyperlink w:anchor="_Toc135728700" w:history="1">
        <w:r w:rsidR="006121CB" w:rsidRPr="006121CB">
          <w:rPr>
            <w:rStyle w:val="af0"/>
            <w:rFonts w:ascii="宋体" w:hAnsi="宋体" w:hint="eastAsia"/>
            <w:noProof/>
            <w:sz w:val="24"/>
          </w:rPr>
          <w:t>二十四、其他应披露事项</w:t>
        </w:r>
        <w:r w:rsidR="006121CB" w:rsidRPr="006121CB">
          <w:rPr>
            <w:rFonts w:ascii="宋体" w:hAnsi="宋体"/>
            <w:noProof/>
            <w:sz w:val="24"/>
          </w:rPr>
          <w:tab/>
        </w:r>
        <w:r w:rsidR="006121CB" w:rsidRPr="006121CB">
          <w:rPr>
            <w:rFonts w:ascii="宋体" w:hAnsi="宋体"/>
            <w:noProof/>
            <w:sz w:val="24"/>
          </w:rPr>
          <w:fldChar w:fldCharType="begin"/>
        </w:r>
        <w:r w:rsidR="006121CB" w:rsidRPr="006121CB">
          <w:rPr>
            <w:rFonts w:ascii="宋体" w:hAnsi="宋体"/>
            <w:noProof/>
            <w:sz w:val="24"/>
          </w:rPr>
          <w:instrText xml:space="preserve"> PAGEREF _Toc135728700 \h </w:instrText>
        </w:r>
        <w:r w:rsidR="006121CB" w:rsidRPr="006121CB">
          <w:rPr>
            <w:rFonts w:ascii="宋体" w:hAnsi="宋体"/>
            <w:noProof/>
            <w:sz w:val="24"/>
          </w:rPr>
        </w:r>
        <w:r w:rsidR="006121CB" w:rsidRPr="006121CB">
          <w:rPr>
            <w:rFonts w:ascii="宋体" w:hAnsi="宋体"/>
            <w:noProof/>
            <w:sz w:val="24"/>
          </w:rPr>
          <w:fldChar w:fldCharType="separate"/>
        </w:r>
        <w:r w:rsidR="00F95BAB">
          <w:rPr>
            <w:rFonts w:ascii="宋体" w:hAnsi="宋体"/>
            <w:noProof/>
            <w:sz w:val="24"/>
          </w:rPr>
          <w:t>156</w:t>
        </w:r>
        <w:r w:rsidR="006121CB" w:rsidRPr="006121CB">
          <w:rPr>
            <w:rFonts w:ascii="宋体" w:hAnsi="宋体"/>
            <w:noProof/>
            <w:sz w:val="24"/>
          </w:rPr>
          <w:fldChar w:fldCharType="end"/>
        </w:r>
      </w:hyperlink>
    </w:p>
    <w:p w14:paraId="138BEAFC" w14:textId="3412BE49" w:rsidR="006121CB" w:rsidRPr="0044405B" w:rsidRDefault="007F568F" w:rsidP="006121CB">
      <w:pPr>
        <w:pStyle w:val="11"/>
        <w:tabs>
          <w:tab w:val="right" w:leader="dot" w:pos="8550"/>
        </w:tabs>
        <w:spacing w:line="360" w:lineRule="auto"/>
        <w:rPr>
          <w:rFonts w:ascii="宋体" w:hAnsi="宋体"/>
          <w:noProof/>
          <w:sz w:val="24"/>
        </w:rPr>
      </w:pPr>
      <w:hyperlink w:anchor="_Toc135728701" w:history="1">
        <w:r w:rsidR="006121CB" w:rsidRPr="006121CB">
          <w:rPr>
            <w:rStyle w:val="af0"/>
            <w:rFonts w:ascii="宋体" w:hAnsi="宋体" w:hint="eastAsia"/>
            <w:noProof/>
            <w:sz w:val="24"/>
          </w:rPr>
          <w:t>二十五、招募说明书的存放及查阅方式</w:t>
        </w:r>
        <w:r w:rsidR="006121CB" w:rsidRPr="006121CB">
          <w:rPr>
            <w:rFonts w:ascii="宋体" w:hAnsi="宋体"/>
            <w:noProof/>
            <w:sz w:val="24"/>
          </w:rPr>
          <w:tab/>
        </w:r>
        <w:r w:rsidR="006121CB" w:rsidRPr="006121CB">
          <w:rPr>
            <w:rFonts w:ascii="宋体" w:hAnsi="宋体"/>
            <w:noProof/>
            <w:sz w:val="24"/>
          </w:rPr>
          <w:fldChar w:fldCharType="begin"/>
        </w:r>
        <w:r w:rsidR="006121CB" w:rsidRPr="006121CB">
          <w:rPr>
            <w:rFonts w:ascii="宋体" w:hAnsi="宋体"/>
            <w:noProof/>
            <w:sz w:val="24"/>
          </w:rPr>
          <w:instrText xml:space="preserve"> PAGEREF _Toc135728701 \h </w:instrText>
        </w:r>
        <w:r w:rsidR="006121CB" w:rsidRPr="006121CB">
          <w:rPr>
            <w:rFonts w:ascii="宋体" w:hAnsi="宋体"/>
            <w:noProof/>
            <w:sz w:val="24"/>
          </w:rPr>
        </w:r>
        <w:r w:rsidR="006121CB" w:rsidRPr="006121CB">
          <w:rPr>
            <w:rFonts w:ascii="宋体" w:hAnsi="宋体"/>
            <w:noProof/>
            <w:sz w:val="24"/>
          </w:rPr>
          <w:fldChar w:fldCharType="separate"/>
        </w:r>
        <w:r w:rsidR="00F95BAB">
          <w:rPr>
            <w:rFonts w:ascii="宋体" w:hAnsi="宋体"/>
            <w:noProof/>
            <w:sz w:val="24"/>
          </w:rPr>
          <w:t>160</w:t>
        </w:r>
        <w:r w:rsidR="006121CB" w:rsidRPr="006121CB">
          <w:rPr>
            <w:rFonts w:ascii="宋体" w:hAnsi="宋体"/>
            <w:noProof/>
            <w:sz w:val="24"/>
          </w:rPr>
          <w:fldChar w:fldCharType="end"/>
        </w:r>
      </w:hyperlink>
    </w:p>
    <w:p w14:paraId="79C27340" w14:textId="4E1ABBE7" w:rsidR="006121CB" w:rsidRPr="0044405B" w:rsidRDefault="007F568F" w:rsidP="006121CB">
      <w:pPr>
        <w:pStyle w:val="11"/>
        <w:tabs>
          <w:tab w:val="right" w:leader="dot" w:pos="8550"/>
        </w:tabs>
        <w:spacing w:line="360" w:lineRule="auto"/>
        <w:rPr>
          <w:rFonts w:ascii="宋体" w:hAnsi="宋体"/>
          <w:noProof/>
          <w:sz w:val="24"/>
        </w:rPr>
      </w:pPr>
      <w:hyperlink w:anchor="_Toc135728702" w:history="1">
        <w:r w:rsidR="006121CB" w:rsidRPr="006121CB">
          <w:rPr>
            <w:rStyle w:val="af0"/>
            <w:rFonts w:ascii="宋体" w:hAnsi="宋体" w:hint="eastAsia"/>
            <w:noProof/>
            <w:sz w:val="24"/>
          </w:rPr>
          <w:t>二十六、备查文件</w:t>
        </w:r>
        <w:r w:rsidR="006121CB" w:rsidRPr="006121CB">
          <w:rPr>
            <w:rFonts w:ascii="宋体" w:hAnsi="宋体"/>
            <w:noProof/>
            <w:sz w:val="24"/>
          </w:rPr>
          <w:tab/>
        </w:r>
        <w:r w:rsidR="006121CB" w:rsidRPr="006121CB">
          <w:rPr>
            <w:rFonts w:ascii="宋体" w:hAnsi="宋体"/>
            <w:noProof/>
            <w:sz w:val="24"/>
          </w:rPr>
          <w:fldChar w:fldCharType="begin"/>
        </w:r>
        <w:r w:rsidR="006121CB" w:rsidRPr="006121CB">
          <w:rPr>
            <w:rFonts w:ascii="宋体" w:hAnsi="宋体"/>
            <w:noProof/>
            <w:sz w:val="24"/>
          </w:rPr>
          <w:instrText xml:space="preserve"> PAGEREF _Toc135728702 \h </w:instrText>
        </w:r>
        <w:r w:rsidR="006121CB" w:rsidRPr="006121CB">
          <w:rPr>
            <w:rFonts w:ascii="宋体" w:hAnsi="宋体"/>
            <w:noProof/>
            <w:sz w:val="24"/>
          </w:rPr>
        </w:r>
        <w:r w:rsidR="006121CB" w:rsidRPr="006121CB">
          <w:rPr>
            <w:rFonts w:ascii="宋体" w:hAnsi="宋体"/>
            <w:noProof/>
            <w:sz w:val="24"/>
          </w:rPr>
          <w:fldChar w:fldCharType="separate"/>
        </w:r>
        <w:r w:rsidR="00F95BAB">
          <w:rPr>
            <w:rFonts w:ascii="宋体" w:hAnsi="宋体"/>
            <w:noProof/>
            <w:sz w:val="24"/>
          </w:rPr>
          <w:t>161</w:t>
        </w:r>
        <w:r w:rsidR="006121CB" w:rsidRPr="006121CB">
          <w:rPr>
            <w:rFonts w:ascii="宋体" w:hAnsi="宋体"/>
            <w:noProof/>
            <w:sz w:val="24"/>
          </w:rPr>
          <w:fldChar w:fldCharType="end"/>
        </w:r>
      </w:hyperlink>
    </w:p>
    <w:p w14:paraId="412B2714" w14:textId="72A76E66" w:rsidR="00234D74" w:rsidRDefault="006121CB" w:rsidP="00F95BAB">
      <w:pPr>
        <w:pStyle w:val="af3"/>
        <w:snapToGrid w:val="0"/>
        <w:spacing w:after="240" w:line="360" w:lineRule="auto"/>
        <w:sectPr w:rsidR="00234D74">
          <w:pgSz w:w="11920" w:h="16840"/>
          <w:pgMar w:top="1480" w:right="1680" w:bottom="280" w:left="1680" w:header="0" w:footer="1073" w:gutter="0"/>
          <w:cols w:space="720"/>
        </w:sectPr>
      </w:pPr>
      <w:r w:rsidRPr="006121CB">
        <w:rPr>
          <w:rFonts w:ascii="宋体" w:hAnsi="宋体"/>
          <w:color w:val="000000"/>
          <w:position w:val="-4"/>
          <w:sz w:val="24"/>
          <w:szCs w:val="30"/>
        </w:rPr>
        <w:fldChar w:fldCharType="end"/>
      </w:r>
    </w:p>
    <w:p w14:paraId="2F8708FA" w14:textId="77777777" w:rsidR="00234D74" w:rsidRDefault="00BC098F">
      <w:pPr>
        <w:pStyle w:val="1"/>
        <w:snapToGrid w:val="0"/>
        <w:spacing w:beforeLines="0" w:before="240" w:after="240"/>
        <w:rPr>
          <w:rFonts w:ascii="宋体" w:hAnsi="宋体"/>
          <w:szCs w:val="30"/>
        </w:rPr>
      </w:pPr>
      <w:bookmarkStart w:id="3" w:name="_Toc135728677"/>
      <w:r>
        <w:rPr>
          <w:rFonts w:ascii="Times New Roman" w:hAnsi="Times New Roman"/>
          <w:sz w:val="30"/>
        </w:rPr>
        <w:lastRenderedPageBreak/>
        <w:t>一、绪言</w:t>
      </w:r>
      <w:bookmarkEnd w:id="3"/>
    </w:p>
    <w:p w14:paraId="6A70291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丰晟收益债券型证券投资基金招募说明书》（以下简称“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规定》”）和其他相关法律法规的规定以及《交银施罗德丰晟收益债券型证券投资基金基金合同》（以下简称“基金合同”）编写。</w:t>
      </w:r>
    </w:p>
    <w:p w14:paraId="6BE497F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3BA6C54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07EC34CE" w14:textId="77777777" w:rsidR="00C61788" w:rsidRDefault="00BC098F" w:rsidP="00C6178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BB272CB" w14:textId="77777777" w:rsidR="00234D74" w:rsidRDefault="00BC098F">
      <w:pPr>
        <w:pStyle w:val="1"/>
        <w:snapToGrid w:val="0"/>
        <w:spacing w:beforeLines="0" w:before="240" w:after="240"/>
        <w:rPr>
          <w:rFonts w:ascii="宋体" w:hAnsi="宋体"/>
          <w:szCs w:val="30"/>
        </w:rPr>
      </w:pPr>
      <w:bookmarkStart w:id="4" w:name="_Toc135728678"/>
      <w:r>
        <w:rPr>
          <w:rFonts w:ascii="Times New Roman" w:hAnsi="Times New Roman"/>
          <w:sz w:val="30"/>
        </w:rPr>
        <w:lastRenderedPageBreak/>
        <w:t>二、释义</w:t>
      </w:r>
      <w:bookmarkEnd w:id="4"/>
    </w:p>
    <w:p w14:paraId="57EA92D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p w14:paraId="5D0F10D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1、基金或本基金：指交银施罗德丰晟收益债券型证券投资基金</w:t>
      </w:r>
    </w:p>
    <w:p w14:paraId="260551A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2、基金管理人或本基金管理人：指交银施罗德基金管理有限公司</w:t>
      </w:r>
    </w:p>
    <w:p w14:paraId="35198BA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3、基金托管人或本基金托管人：指招商银行股份有限公司</w:t>
      </w:r>
    </w:p>
    <w:p w14:paraId="300FF47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4、基金合同或《基金合同》：指《交银施罗德丰晟收益债券型证券投资基金基金合同》及对基金合同的任何有效修订和补充</w:t>
      </w:r>
    </w:p>
    <w:p w14:paraId="6F224EC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5、托管协议：指基金管理人与基金托管人就本基金签订之《交银施罗德丰晟收益债券型证券投资基金托管协议》及对该托管协议的任何有效修订和补充</w:t>
      </w:r>
    </w:p>
    <w:p w14:paraId="1235D29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6、招募说明书、本招募说明书或《招募说明书》：指《交银施罗德丰晟收益债券型证券投资基金招募说明书》及其更新</w:t>
      </w:r>
    </w:p>
    <w:p w14:paraId="35DC7C5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7、基金份额发售公告：指《交银施罗德丰晟收益债券型证券投资基金基金份额发售公告》</w:t>
      </w:r>
    </w:p>
    <w:p w14:paraId="6699EF4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8、基金产品资料概要：指《交银施罗德丰晟收益债券型证券投资基金基金产品资料概要》及其更新</w:t>
      </w:r>
    </w:p>
    <w:p w14:paraId="3A7CD44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9、法律法规：指中国现行有效并公布实施的法律、行政法规、规范性文件、司法解释、行政规章以及其他对基金合同当事人有约束力的决定、决议、通知等</w:t>
      </w:r>
    </w:p>
    <w:p w14:paraId="61E77F3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10、《基金法》：指《中华人民共和国证券投资基金法》及颁布机关对其不时做出的修订</w:t>
      </w:r>
    </w:p>
    <w:p w14:paraId="0907D39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11、《销售办法》：指《证券投资基金销售管理办法》及颁布机关对其不时做出的修订</w:t>
      </w:r>
    </w:p>
    <w:p w14:paraId="0C4C4E2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12、《信息披露办法》：指《公开募集证券投资基金信息披露管理办法》及颁布机关对其不时做出的修订</w:t>
      </w:r>
    </w:p>
    <w:p w14:paraId="665FC86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13、《运作办法》：指《公开募集证券投资基金运作管理办法》及颁布机关对其不时做出的修订</w:t>
      </w:r>
    </w:p>
    <w:p w14:paraId="0398BA4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14、《流动性规定》：指《公开募集开放式证券投资基金流动性风险管理规定》及颁布机关对其不时做出的修订</w:t>
      </w:r>
    </w:p>
    <w:p w14:paraId="152F87A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15、流动性受限资产：指由于法律法规、监管、合同或操作障碍等原因无法以合理价格予以变现的资产，包括但不限于到期日在 10 个交易日以上的逆回购与银</w:t>
      </w:r>
      <w:r>
        <w:rPr>
          <w:rFonts w:ascii="宋体" w:hAnsi="宋体"/>
          <w:sz w:val="24"/>
        </w:rPr>
        <w:lastRenderedPageBreak/>
        <w:t>行定期存款（含协议约定有条件提前支取的银行存款）、资产支持证券、因发行人债务违约无法进行转让或交易的债券等</w:t>
      </w:r>
    </w:p>
    <w:p w14:paraId="5B747C5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摆动定价机制：指当开放式基金遭遇大额申购赎回时，通过调整基金份额净值的方式，将基金调整投资组合的市场冲击成本分配给实际申购、赎回的投资者。具体处理原则与操作规范遵循相关法律法规以及监管部门、自律规则的规定</w:t>
      </w:r>
    </w:p>
    <w:p w14:paraId="1ED311E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17、中国证监会：指中国证券监督管理委员会</w:t>
      </w:r>
    </w:p>
    <w:p w14:paraId="2262FE9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18、银行业监督管理机构：指中国人民银行和/或中国银行业监督管理委员会</w:t>
      </w:r>
    </w:p>
    <w:p w14:paraId="4ACDFD1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19、基金合同当事人：指受基金合同约束，根据基金合同享有权利并承担义务的法律主体，包括基金管理人、基金托管人和基金份额持有人</w:t>
      </w:r>
    </w:p>
    <w:p w14:paraId="5B73161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20、个人投资者：指依据有关法律法规规定可投资于证券投资基金的自然人</w:t>
      </w:r>
    </w:p>
    <w:p w14:paraId="6923A68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21、机构投资者：指依法可以投资证券投资基金的、在中华人民共和国境内合法登记并存续或经有关政府部门批准设立并存续的企业法人、事业法人、社会团体或其他组织</w:t>
      </w:r>
    </w:p>
    <w:p w14:paraId="17B7928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22、合格境外机构投资者：指符合《合格境外机构投资者境内证券投资管理办法》及相关法律法规规定，可以投资于在中国境内依法募集的证券投资基金的中国境外的机构投资者</w:t>
      </w:r>
    </w:p>
    <w:p w14:paraId="787C516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23、人民币合格境外机构投资者：指按照《人民币合格境外机构投资者境内证券投资试点办法》及相关法律法规规定，运用来自境外的人民币资金进行中国境内证券投资的境外机构投资者</w:t>
      </w:r>
    </w:p>
    <w:p w14:paraId="544CB86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24、投资人或投资者：指个人投资者、机构投资者、合格境外机构投资者和人民币合格境外机构投资者以及法律法规或中国证监会允许购买证券投资基金的其他投资人的合称</w:t>
      </w:r>
    </w:p>
    <w:p w14:paraId="1E4A762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25、基金份额持有人：指依基金合同和招募说明书合法取得基金份额的投资人</w:t>
      </w:r>
    </w:p>
    <w:p w14:paraId="29A25A0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26、基金销售业务：指基金管理人或销售机构宣传推介基金，发售基金份额，办理基金份额的申购、赎回、转换、转托管及定期定额投资等业务</w:t>
      </w:r>
    </w:p>
    <w:p w14:paraId="5464A56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27、销售机构：指交银施罗德基金管理有限公司以及符合《销售办法》和中国证监会规定的其他条件，取得基金销售业务资格并与基金管理人签订了基金销售服务协议，办理基金销售业务的机构</w:t>
      </w:r>
    </w:p>
    <w:p w14:paraId="342AE2C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28、登记业务：指基金登记、存管、过户、清算和结算业务，具体内容包括投资人基金账户的建立和管理、基金份额登记、基金销售业务的确认、清算和结算、</w:t>
      </w:r>
      <w:r>
        <w:rPr>
          <w:rFonts w:ascii="宋体" w:hAnsi="宋体"/>
          <w:sz w:val="24"/>
        </w:rPr>
        <w:lastRenderedPageBreak/>
        <w:t>代理发放红利、建立并保管基金份额持有人名册和办理非交易过户等</w:t>
      </w:r>
    </w:p>
    <w:p w14:paraId="6C4A84C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29、登记机构：指办理登记业务的机构。基金的登记机构为交银施罗德基金管理有限公司或接受交银施罗德基金管理有限公司委托办理登记业务的机构</w:t>
      </w:r>
    </w:p>
    <w:p w14:paraId="01D548C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30、基金账户：指登记机构为投资人开立的、记录其持有的、基金管理人所管理的基金份额余额及其变动情况的账户</w:t>
      </w:r>
    </w:p>
    <w:p w14:paraId="6E56870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31、基金交易账户：指销售机构为投资人开立的、记录投资人通过该销售机构办理认购、申购、赎回、转换、定期定额投资及转托管等业务而引起的基金份额变动及结余情况的账户</w:t>
      </w:r>
    </w:p>
    <w:p w14:paraId="0888393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32、基金合同生效日：指基金募集达到法律法规规定及基金合同规定的条件，基金管理人向中国证监会办理基金备案手续完毕，并获得中国证监会书面确认的日期</w:t>
      </w:r>
    </w:p>
    <w:p w14:paraId="6D070F8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33、基金合同终止日：指基金合同规定的基金合同终止事由出现后，基金财产清算完毕，清算结果报中国证监会备案并予以公告的日期</w:t>
      </w:r>
    </w:p>
    <w:p w14:paraId="42EC6CA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34、基金募集期：指自基金份额发售之日起至发售结束之日止的期间，最长不得超过3个月</w:t>
      </w:r>
    </w:p>
    <w:p w14:paraId="03108FF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35、存续期：指基金合同生效至终止之间的不定期期限</w:t>
      </w:r>
    </w:p>
    <w:p w14:paraId="2D6EEB8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36、工作日：指上海证券交易所、深圳证券交易所的正常交易日</w:t>
      </w:r>
    </w:p>
    <w:p w14:paraId="134DEE1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37、T日：指销售机构在规定时间受理投资人申购、赎回或其他业务申请的开放日</w:t>
      </w:r>
    </w:p>
    <w:p w14:paraId="2FB2B4C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38、T+n日：指自T日起第n个工作日(不包含T日)</w:t>
      </w:r>
    </w:p>
    <w:p w14:paraId="75CD1AE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封闭期：指基金合同生效之日起两年(含两年)的期间内，本基金采取封闭式运作的存续期间。在基金合同中如无特别指明即为自基金合同生效之日起至两个公历年后对应日止，若两年后对应日为非工作日的，相应顺延。期间基金份额保持不变，基金份额持有人不得申请申购或赎回本基金</w:t>
      </w:r>
    </w:p>
    <w:p w14:paraId="588D814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40、开放日：指本基金封闭期结束后转为开放式运作期间，为投资人办理基金份额申购、赎回或其他业务的工作日</w:t>
      </w:r>
    </w:p>
    <w:p w14:paraId="47A67D8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41、开放时间：指开放日基金接受申购、赎回或其他交易的时间段</w:t>
      </w:r>
    </w:p>
    <w:p w14:paraId="5929947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w:t>
      </w:r>
      <w:r>
        <w:rPr>
          <w:rFonts w:ascii="宋体" w:hAnsi="宋体"/>
          <w:sz w:val="24"/>
        </w:rPr>
        <w:lastRenderedPageBreak/>
        <w:t>人共同遵守</w:t>
      </w:r>
    </w:p>
    <w:p w14:paraId="2B320BA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43、认购：指在基金募集期内，投资人根据基金合同和招募说明书的规定申请购买基金份额的行为</w:t>
      </w:r>
    </w:p>
    <w:p w14:paraId="39F4C3E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44、申购：指基金合同生效且封闭期结束后，投资人根据基金合同和招募说明书的规定申请购买基金份额的行为</w:t>
      </w:r>
    </w:p>
    <w:p w14:paraId="7E0C596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45、赎回：指基金合同生效且封闭期结束后，基金份额持有人按基金合同和招募说明书规定的条件要求将基金份额兑换为现金的行为</w:t>
      </w:r>
    </w:p>
    <w:p w14:paraId="3ACE67C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46、销售服务费：指从基金资产中计提的，用于本基金市场推广、销售以及基金份额持有人服务的费用</w:t>
      </w:r>
    </w:p>
    <w:p w14:paraId="1B7059AC" w14:textId="1E1A2C74"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47、基金份额类别：指本基金根据认购/申购费用、销售服务费</w:t>
      </w:r>
      <w:r w:rsidR="00A20796" w:rsidRPr="003118F1">
        <w:rPr>
          <w:rFonts w:hAnsi="宋体" w:hint="eastAsia"/>
          <w:bCs/>
          <w:sz w:val="24"/>
        </w:rPr>
        <w:t>收取标准和</w:t>
      </w:r>
      <w:r>
        <w:rPr>
          <w:rFonts w:ascii="宋体" w:hAnsi="宋体"/>
          <w:sz w:val="24"/>
        </w:rPr>
        <w:t>收取方式的不同，将基金份额分为不同的类别。在投资人认购/申购时收取认购/申购费用、赎回时收取赎回费的，称为A类基金份额；在投资人认购/申购时不收取认购/申购费用、赎回时收取赎回费的，同时从本类别基金资产中计提销售服务费的，称为C类基金份额</w:t>
      </w:r>
      <w:r w:rsidR="00A20796" w:rsidRPr="00CF37AC">
        <w:rPr>
          <w:rFonts w:ascii="宋体" w:hAnsi="宋体" w:hint="eastAsia"/>
          <w:sz w:val="24"/>
        </w:rPr>
        <w:t>；在投资人申购时收取申购费用、赎回时收取赎回费</w:t>
      </w:r>
      <w:r w:rsidR="00A20796">
        <w:rPr>
          <w:rFonts w:ascii="宋体" w:hAnsi="宋体" w:hint="eastAsia"/>
          <w:sz w:val="24"/>
        </w:rPr>
        <w:t>用</w:t>
      </w:r>
      <w:r w:rsidR="00A20796" w:rsidRPr="00CF37AC">
        <w:rPr>
          <w:rFonts w:ascii="宋体" w:hAnsi="宋体" w:hint="eastAsia"/>
          <w:sz w:val="24"/>
        </w:rPr>
        <w:t>的，称为D</w:t>
      </w:r>
      <w:r w:rsidR="00A20796">
        <w:rPr>
          <w:rFonts w:ascii="宋体" w:hAnsi="宋体" w:hint="eastAsia"/>
          <w:sz w:val="24"/>
        </w:rPr>
        <w:t>类基金份额</w:t>
      </w:r>
      <w:r w:rsidR="00A20796" w:rsidRPr="005D4911">
        <w:rPr>
          <w:rFonts w:ascii="宋体" w:hAnsi="宋体" w:hint="eastAsia"/>
          <w:sz w:val="24"/>
        </w:rPr>
        <w:t>，A类基金份额与D类基金份额设置不同的申购费</w:t>
      </w:r>
      <w:r w:rsidR="00A20796">
        <w:rPr>
          <w:rFonts w:hAnsi="宋体" w:hint="eastAsia"/>
          <w:bCs/>
          <w:sz w:val="24"/>
        </w:rPr>
        <w:t>、赎回费</w:t>
      </w:r>
      <w:r w:rsidR="00A20796" w:rsidRPr="005D4911">
        <w:rPr>
          <w:rFonts w:ascii="宋体" w:hAnsi="宋体" w:hint="eastAsia"/>
          <w:sz w:val="24"/>
        </w:rPr>
        <w:t>收取标准</w:t>
      </w:r>
    </w:p>
    <w:p w14:paraId="402CD22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48、基金转换：指基金份额持有人按照基金合同和基金管理人届时有效公告规定的条件，申请将其持有基金管理人管理的、某一基金的基金份额转换为基金管理人管理的其他基金基金份额的行为</w:t>
      </w:r>
    </w:p>
    <w:p w14:paraId="12881F7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49、转托管：指基金份额持有人在本基金的不同销售机构之间实施的变更所持基金份额销售机构的操作</w:t>
      </w:r>
    </w:p>
    <w:p w14:paraId="0B2C735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4350EF2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巨额赎回：指本基金单个开放日，基金净赎回申请（赎回申请份额总数加上基金转换中转出申请份额总数后扣除申购申请份额总数及基金转换中转入申请份额总数后的余额）超过上一开放日基金总份额的10%的情形</w:t>
      </w:r>
    </w:p>
    <w:p w14:paraId="12F26C6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52、元：指人民币元</w:t>
      </w:r>
    </w:p>
    <w:p w14:paraId="793573B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53、基金收益：指基金投资所得债券利息、买卖证券价差、银行存款利息、已实现的其他合法收入及因运用基金财产带来的成本和费用的节约</w:t>
      </w:r>
    </w:p>
    <w:p w14:paraId="12A564E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54、基金资产总值：指基金拥有的各类有价证券、银行存款本息、基金应收申</w:t>
      </w:r>
      <w:r>
        <w:rPr>
          <w:rFonts w:ascii="宋体" w:hAnsi="宋体"/>
          <w:sz w:val="24"/>
        </w:rPr>
        <w:lastRenderedPageBreak/>
        <w:t>购款及其他资产的价值总和</w:t>
      </w:r>
    </w:p>
    <w:p w14:paraId="6E1D1D4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55、基金资产净值：指基金资产总值减去基金负债后的价值</w:t>
      </w:r>
    </w:p>
    <w:p w14:paraId="6DF9167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56、基金份额净值：指计算日基金资产净值除以计算日基金份额总数</w:t>
      </w:r>
    </w:p>
    <w:p w14:paraId="07DECB6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57、基金资产估值：指计算评估基金资产和负债的价值，以确定基金资产净值和基金份额净值的过程</w:t>
      </w:r>
    </w:p>
    <w:p w14:paraId="092D62D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58、指定媒介：指中国证监会指定的用以进行信息披露的全国性报刊及指定互联网网站（包括基金管理人网站、基金托管人网站、中国证监会基金电子披露网站）等媒介</w:t>
      </w:r>
    </w:p>
    <w:p w14:paraId="2D34BB3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5AFE741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6EB9352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61、不可抗力：指基金合同当事人不能预见、不能避免且不能克服的客观事件</w:t>
      </w:r>
    </w:p>
    <w:p w14:paraId="523A0BD6" w14:textId="77777777" w:rsidR="00C61788" w:rsidRDefault="00BC098F" w:rsidP="00C6178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7E500C3" w14:textId="77777777" w:rsidR="00234D74" w:rsidRDefault="00BC098F">
      <w:pPr>
        <w:pStyle w:val="1"/>
        <w:snapToGrid w:val="0"/>
        <w:spacing w:beforeLines="0" w:before="240" w:after="240"/>
        <w:rPr>
          <w:rFonts w:ascii="宋体" w:hAnsi="宋体"/>
          <w:szCs w:val="30"/>
        </w:rPr>
      </w:pPr>
      <w:bookmarkStart w:id="5" w:name="_Toc135728679"/>
      <w:r>
        <w:rPr>
          <w:rFonts w:ascii="Times New Roman" w:hAnsi="Times New Roman"/>
          <w:sz w:val="30"/>
        </w:rPr>
        <w:lastRenderedPageBreak/>
        <w:t>三、基金管理人</w:t>
      </w:r>
      <w:bookmarkEnd w:id="5"/>
    </w:p>
    <w:p w14:paraId="475B018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（一）基金管理人概况</w:t>
      </w:r>
    </w:p>
    <w:p w14:paraId="09562C8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49F5F48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w:t>
      </w:r>
      <w:bookmarkStart w:id="6" w:name="_GoBack"/>
      <w:bookmarkEnd w:id="6"/>
      <w:r>
        <w:rPr>
          <w:rFonts w:ascii="宋体" w:hAnsi="宋体"/>
          <w:sz w:val="24"/>
        </w:rPr>
        <w:t>路188号交通银行大楼二层（裙）</w:t>
      </w:r>
    </w:p>
    <w:p w14:paraId="7BB2CA9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1511E94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6B2E2EA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65C1179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3BB38C3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14:paraId="7217244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7CD85D4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联系人：郭佳敏</w:t>
      </w:r>
    </w:p>
    <w:p w14:paraId="137FA61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电话：（021）61055050</w:t>
      </w:r>
    </w:p>
    <w:p w14:paraId="2313A1D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传真：（021）61055034</w:t>
      </w:r>
    </w:p>
    <w:p w14:paraId="433474A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交银施罗德基金管理有限公司（以下简称“公司”）经中国证监会证监基金字[2005]128号文批准设立。公司股权结构如下：</w:t>
      </w:r>
    </w:p>
    <w:tbl>
      <w:tblPr>
        <w:tblW w:w="5000" w:type="pct"/>
        <w:tblCellMar>
          <w:left w:w="0" w:type="dxa"/>
          <w:right w:w="0" w:type="dxa"/>
        </w:tblCellMar>
        <w:tblLook w:val="0000" w:firstRow="0" w:lastRow="0" w:firstColumn="0" w:lastColumn="0" w:noHBand="0" w:noVBand="0"/>
      </w:tblPr>
      <w:tblGrid>
        <w:gridCol w:w="4325"/>
        <w:gridCol w:w="4325"/>
      </w:tblGrid>
      <w:tr w:rsidR="00234D74" w14:paraId="59B51F28"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E6BB8FB"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14:paraId="15A44343"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股权比例</w:t>
            </w:r>
          </w:p>
        </w:tc>
      </w:tr>
      <w:tr w:rsidR="00234D74" w14:paraId="4A6027AA"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47915C1"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044446E3"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r>
      <w:tr w:rsidR="00234D74" w14:paraId="453075F9"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5DE7D3F"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2377C795"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r>
      <w:tr w:rsidR="00234D74" w14:paraId="5F1CD068"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F2A98F0"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503A13F7"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r>
    </w:tbl>
    <w:p w14:paraId="6F74124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（二）主要成员情况</w:t>
      </w:r>
    </w:p>
    <w:p w14:paraId="4C1BB7FF" w14:textId="77777777" w:rsidR="001D49EC" w:rsidRPr="001D49EC" w:rsidRDefault="001D49EC" w:rsidP="001D49EC">
      <w:pPr>
        <w:autoSpaceDE w:val="0"/>
        <w:autoSpaceDN w:val="0"/>
        <w:adjustRightInd w:val="0"/>
        <w:snapToGrid w:val="0"/>
        <w:spacing w:line="360" w:lineRule="auto"/>
        <w:ind w:firstLineChars="200" w:firstLine="480"/>
        <w:jc w:val="left"/>
        <w:rPr>
          <w:rFonts w:ascii="宋体" w:hAnsi="宋体"/>
          <w:sz w:val="24"/>
        </w:rPr>
      </w:pPr>
      <w:r w:rsidRPr="001D49EC">
        <w:rPr>
          <w:rFonts w:ascii="宋体" w:hAnsi="宋体" w:hint="eastAsia"/>
          <w:sz w:val="24"/>
        </w:rPr>
        <w:t>1、基金管理人董事会成员</w:t>
      </w:r>
    </w:p>
    <w:p w14:paraId="5E6E7F90" w14:textId="77777777" w:rsidR="001D49EC" w:rsidRPr="001D49EC" w:rsidRDefault="001D49EC" w:rsidP="001D49EC">
      <w:pPr>
        <w:autoSpaceDE w:val="0"/>
        <w:autoSpaceDN w:val="0"/>
        <w:adjustRightInd w:val="0"/>
        <w:snapToGrid w:val="0"/>
        <w:spacing w:line="360" w:lineRule="auto"/>
        <w:ind w:firstLineChars="200" w:firstLine="480"/>
        <w:jc w:val="left"/>
        <w:rPr>
          <w:rFonts w:ascii="宋体" w:hAnsi="宋体"/>
          <w:sz w:val="24"/>
        </w:rPr>
      </w:pPr>
      <w:r w:rsidRPr="001D49EC">
        <w:rPr>
          <w:rFonts w:ascii="宋体" w:hAnsi="宋体" w:hint="eastAsia"/>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50208D8E" w14:textId="77777777" w:rsidR="001D49EC" w:rsidRPr="001D49EC" w:rsidRDefault="001D49EC" w:rsidP="001D49EC">
      <w:pPr>
        <w:autoSpaceDE w:val="0"/>
        <w:autoSpaceDN w:val="0"/>
        <w:adjustRightInd w:val="0"/>
        <w:snapToGrid w:val="0"/>
        <w:spacing w:line="360" w:lineRule="auto"/>
        <w:ind w:firstLineChars="200" w:firstLine="480"/>
        <w:jc w:val="left"/>
        <w:rPr>
          <w:rFonts w:ascii="宋体" w:hAnsi="宋体"/>
          <w:sz w:val="24"/>
        </w:rPr>
      </w:pPr>
      <w:r w:rsidRPr="001D49EC">
        <w:rPr>
          <w:rFonts w:ascii="宋体" w:hAnsi="宋体" w:hint="eastAsia"/>
          <w:sz w:val="24"/>
        </w:rPr>
        <w:t>童洁萍女士，董事，硕士。现任交通银行总行个人金融业务部副总经理。历任交通银行南京分行个人金融业务部副高级经理、江苏省分行个人金融业务部副总经理、总经理、玄武支行行长。</w:t>
      </w:r>
    </w:p>
    <w:p w14:paraId="0BE35D0D" w14:textId="77777777" w:rsidR="001D49EC" w:rsidRPr="001D49EC" w:rsidRDefault="001D49EC" w:rsidP="001D49EC">
      <w:pPr>
        <w:autoSpaceDE w:val="0"/>
        <w:autoSpaceDN w:val="0"/>
        <w:adjustRightInd w:val="0"/>
        <w:snapToGrid w:val="0"/>
        <w:spacing w:line="360" w:lineRule="auto"/>
        <w:ind w:firstLineChars="200" w:firstLine="480"/>
        <w:jc w:val="left"/>
        <w:rPr>
          <w:rFonts w:ascii="宋体" w:hAnsi="宋体"/>
          <w:sz w:val="24"/>
        </w:rPr>
      </w:pPr>
      <w:r w:rsidRPr="001D49EC">
        <w:rPr>
          <w:rFonts w:ascii="宋体" w:hAnsi="宋体" w:hint="eastAsia"/>
          <w:sz w:val="24"/>
        </w:rPr>
        <w:t>王贤家先生，董事，学士。现任交通银行总行风险管理部/内控案防办副总经理。历任交通银行总行国际业务部外汇资金处交易员、澳门分行资金部主管、总行</w:t>
      </w:r>
      <w:r w:rsidRPr="001D49EC">
        <w:rPr>
          <w:rFonts w:ascii="宋体" w:hAnsi="宋体" w:hint="eastAsia"/>
          <w:sz w:val="24"/>
        </w:rPr>
        <w:lastRenderedPageBreak/>
        <w:t>金融市场部债券投资部副高级经理、外汇交易部高级经理。</w:t>
      </w:r>
    </w:p>
    <w:p w14:paraId="2C7574BF" w14:textId="77777777" w:rsidR="001D49EC" w:rsidRPr="001D49EC" w:rsidRDefault="001D49EC" w:rsidP="001D49EC">
      <w:pPr>
        <w:autoSpaceDE w:val="0"/>
        <w:autoSpaceDN w:val="0"/>
        <w:adjustRightInd w:val="0"/>
        <w:snapToGrid w:val="0"/>
        <w:spacing w:line="360" w:lineRule="auto"/>
        <w:ind w:firstLineChars="200" w:firstLine="480"/>
        <w:jc w:val="left"/>
        <w:rPr>
          <w:rFonts w:ascii="宋体" w:hAnsi="宋体"/>
          <w:sz w:val="24"/>
        </w:rPr>
      </w:pPr>
      <w:r w:rsidRPr="001D49EC">
        <w:rPr>
          <w:rFonts w:ascii="宋体" w:hAnsi="宋体" w:hint="eastAsia"/>
          <w:sz w:val="24"/>
        </w:rPr>
        <w:t>谢卫先生，董事，总经理，博士，高级经济师，第十、十一、十二届民盟中央委员、第十一、十二、十三届全国政协委员。现任交银施罗德基金管理有限公司总经理，兼任交银施罗德资产管理(香港)有限公司董事长、交银施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310C7FA1" w14:textId="77777777" w:rsidR="001D49EC" w:rsidRPr="001D49EC" w:rsidRDefault="001D49EC" w:rsidP="001D49EC">
      <w:pPr>
        <w:autoSpaceDE w:val="0"/>
        <w:autoSpaceDN w:val="0"/>
        <w:adjustRightInd w:val="0"/>
        <w:snapToGrid w:val="0"/>
        <w:spacing w:line="360" w:lineRule="auto"/>
        <w:ind w:firstLineChars="200" w:firstLine="480"/>
        <w:jc w:val="left"/>
        <w:rPr>
          <w:rFonts w:ascii="宋体" w:hAnsi="宋体"/>
          <w:sz w:val="24"/>
        </w:rPr>
      </w:pPr>
      <w:r w:rsidRPr="001D49EC">
        <w:rPr>
          <w:rFonts w:ascii="宋体" w:hAnsi="宋体" w:hint="eastAsia"/>
          <w:sz w:val="24"/>
        </w:rPr>
        <w:t>杜伟麒（Chris Durack）先生，董事，硕士。现任施罗德投资亚太区行政总裁。历任施罗德投资澳大利亚董事兼产品及分销主管、香港行政总裁兼亚太区机构业务主管、澳大利亚行政总裁兼亚太区联席主管等职。</w:t>
      </w:r>
    </w:p>
    <w:p w14:paraId="47891ED3" w14:textId="77777777" w:rsidR="001D49EC" w:rsidRPr="001D49EC" w:rsidRDefault="001D49EC" w:rsidP="001D49EC">
      <w:pPr>
        <w:autoSpaceDE w:val="0"/>
        <w:autoSpaceDN w:val="0"/>
        <w:adjustRightInd w:val="0"/>
        <w:snapToGrid w:val="0"/>
        <w:spacing w:line="360" w:lineRule="auto"/>
        <w:ind w:firstLineChars="200" w:firstLine="480"/>
        <w:jc w:val="left"/>
        <w:rPr>
          <w:rFonts w:ascii="宋体" w:hAnsi="宋体"/>
          <w:sz w:val="24"/>
        </w:rPr>
      </w:pPr>
      <w:r w:rsidRPr="001D49EC">
        <w:rPr>
          <w:rFonts w:ascii="宋体" w:hAnsi="宋体" w:hint="eastAsia"/>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14:paraId="72706E99" w14:textId="77777777" w:rsidR="001D49EC" w:rsidRPr="001D49EC" w:rsidRDefault="001D49EC" w:rsidP="001D49EC">
      <w:pPr>
        <w:autoSpaceDE w:val="0"/>
        <w:autoSpaceDN w:val="0"/>
        <w:adjustRightInd w:val="0"/>
        <w:snapToGrid w:val="0"/>
        <w:spacing w:line="360" w:lineRule="auto"/>
        <w:ind w:firstLineChars="200" w:firstLine="480"/>
        <w:jc w:val="left"/>
        <w:rPr>
          <w:rFonts w:ascii="宋体" w:hAnsi="宋体"/>
          <w:sz w:val="24"/>
        </w:rPr>
      </w:pPr>
      <w:r w:rsidRPr="001D49EC">
        <w:rPr>
          <w:rFonts w:ascii="宋体" w:hAnsi="宋体" w:hint="eastAsia"/>
          <w:sz w:val="24"/>
        </w:rPr>
        <w:t>郝爱群女士，独立董事，学士。历任人民银行稽核司副处长、处长，合作司调研员，非银司副巡视员、副司长，银监会非银部副主任，银行监管一部副主任、巡视员，汇金公司派出董事。</w:t>
      </w:r>
    </w:p>
    <w:p w14:paraId="5E4FDDA4" w14:textId="77777777" w:rsidR="001D49EC" w:rsidRPr="001D49EC" w:rsidRDefault="001D49EC" w:rsidP="001D49EC">
      <w:pPr>
        <w:autoSpaceDE w:val="0"/>
        <w:autoSpaceDN w:val="0"/>
        <w:adjustRightInd w:val="0"/>
        <w:snapToGrid w:val="0"/>
        <w:spacing w:line="360" w:lineRule="auto"/>
        <w:ind w:firstLineChars="200" w:firstLine="480"/>
        <w:jc w:val="left"/>
        <w:rPr>
          <w:rFonts w:ascii="宋体" w:hAnsi="宋体"/>
          <w:sz w:val="24"/>
        </w:rPr>
      </w:pPr>
      <w:r w:rsidRPr="001D49EC">
        <w:rPr>
          <w:rFonts w:ascii="宋体" w:hAnsi="宋体" w:hint="eastAsia"/>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38F6B25F" w14:textId="77777777" w:rsidR="001D49EC" w:rsidRPr="001D49EC" w:rsidRDefault="001D49EC" w:rsidP="001D49EC">
      <w:pPr>
        <w:autoSpaceDE w:val="0"/>
        <w:autoSpaceDN w:val="0"/>
        <w:adjustRightInd w:val="0"/>
        <w:snapToGrid w:val="0"/>
        <w:spacing w:line="360" w:lineRule="auto"/>
        <w:ind w:firstLineChars="200" w:firstLine="480"/>
        <w:jc w:val="left"/>
        <w:rPr>
          <w:rFonts w:ascii="宋体" w:hAnsi="宋体"/>
          <w:sz w:val="24"/>
        </w:rPr>
      </w:pPr>
      <w:r w:rsidRPr="001D49EC">
        <w:rPr>
          <w:rFonts w:ascii="宋体" w:hAnsi="宋体" w:hint="eastAsia"/>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6B25BF86" w14:textId="77777777" w:rsidR="001D49EC" w:rsidRPr="001D49EC" w:rsidRDefault="001D49EC" w:rsidP="001D49EC">
      <w:pPr>
        <w:autoSpaceDE w:val="0"/>
        <w:autoSpaceDN w:val="0"/>
        <w:adjustRightInd w:val="0"/>
        <w:snapToGrid w:val="0"/>
        <w:spacing w:line="360" w:lineRule="auto"/>
        <w:ind w:firstLineChars="200" w:firstLine="480"/>
        <w:jc w:val="left"/>
        <w:rPr>
          <w:rFonts w:ascii="宋体" w:hAnsi="宋体"/>
          <w:sz w:val="24"/>
        </w:rPr>
      </w:pPr>
      <w:r w:rsidRPr="001D49EC">
        <w:rPr>
          <w:rFonts w:ascii="宋体" w:hAnsi="宋体" w:hint="eastAsia"/>
          <w:sz w:val="24"/>
        </w:rPr>
        <w:t>2、基金管理人监事会成员</w:t>
      </w:r>
    </w:p>
    <w:p w14:paraId="22316FCB" w14:textId="77777777" w:rsidR="001D49EC" w:rsidRPr="001D49EC" w:rsidRDefault="001D49EC" w:rsidP="001D49EC">
      <w:pPr>
        <w:autoSpaceDE w:val="0"/>
        <w:autoSpaceDN w:val="0"/>
        <w:adjustRightInd w:val="0"/>
        <w:snapToGrid w:val="0"/>
        <w:spacing w:line="360" w:lineRule="auto"/>
        <w:ind w:firstLineChars="200" w:firstLine="480"/>
        <w:jc w:val="left"/>
        <w:rPr>
          <w:rFonts w:ascii="宋体" w:hAnsi="宋体"/>
          <w:sz w:val="24"/>
        </w:rPr>
      </w:pPr>
      <w:r w:rsidRPr="001D49EC">
        <w:rPr>
          <w:rFonts w:ascii="宋体" w:hAnsi="宋体" w:hint="eastAsia"/>
          <w:sz w:val="24"/>
        </w:rPr>
        <w:t>梅津芝女士，监事长，学士。高级经济师、审计师。现任交通银行工会办公室主任。历任交通银行山西省分行个人金融业务部高级经理，交通银行山西省分行副行长，交通银行个人金融业务部副总经理、私人银行部总经理。</w:t>
      </w:r>
    </w:p>
    <w:p w14:paraId="5D9A78D0" w14:textId="77777777" w:rsidR="001D49EC" w:rsidRPr="001D49EC" w:rsidRDefault="001D49EC" w:rsidP="001D49EC">
      <w:pPr>
        <w:autoSpaceDE w:val="0"/>
        <w:autoSpaceDN w:val="0"/>
        <w:adjustRightInd w:val="0"/>
        <w:snapToGrid w:val="0"/>
        <w:spacing w:line="360" w:lineRule="auto"/>
        <w:ind w:firstLineChars="200" w:firstLine="480"/>
        <w:jc w:val="left"/>
        <w:rPr>
          <w:rFonts w:ascii="宋体" w:hAnsi="宋体"/>
          <w:sz w:val="24"/>
        </w:rPr>
      </w:pPr>
      <w:r w:rsidRPr="001D49EC">
        <w:rPr>
          <w:rFonts w:ascii="宋体" w:hAnsi="宋体" w:hint="eastAsia"/>
          <w:sz w:val="24"/>
        </w:rPr>
        <w:lastRenderedPageBreak/>
        <w:t>林凯珊女士，监事，硕士。现任施罗德投资管理（香港）有限公司中国内地及中国香港法律部主管。历任香港证券及期货事务监察委员会发牌科经理、的近律师行律师。</w:t>
      </w:r>
    </w:p>
    <w:p w14:paraId="0A19BB00" w14:textId="77777777" w:rsidR="001D49EC" w:rsidRPr="001D49EC" w:rsidRDefault="001D49EC" w:rsidP="001D49EC">
      <w:pPr>
        <w:autoSpaceDE w:val="0"/>
        <w:autoSpaceDN w:val="0"/>
        <w:adjustRightInd w:val="0"/>
        <w:snapToGrid w:val="0"/>
        <w:spacing w:line="360" w:lineRule="auto"/>
        <w:ind w:firstLineChars="200" w:firstLine="480"/>
        <w:jc w:val="left"/>
        <w:rPr>
          <w:rFonts w:ascii="宋体" w:hAnsi="宋体"/>
          <w:sz w:val="24"/>
        </w:rPr>
      </w:pPr>
      <w:r w:rsidRPr="001D49EC">
        <w:rPr>
          <w:rFonts w:ascii="宋体" w:hAnsi="宋体" w:hint="eastAsia"/>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14:paraId="1827B702" w14:textId="77777777" w:rsidR="001D49EC" w:rsidRPr="001D49EC" w:rsidRDefault="001D49EC" w:rsidP="001D49EC">
      <w:pPr>
        <w:autoSpaceDE w:val="0"/>
        <w:autoSpaceDN w:val="0"/>
        <w:adjustRightInd w:val="0"/>
        <w:snapToGrid w:val="0"/>
        <w:spacing w:line="360" w:lineRule="auto"/>
        <w:ind w:firstLineChars="200" w:firstLine="480"/>
        <w:jc w:val="left"/>
        <w:rPr>
          <w:rFonts w:ascii="宋体" w:hAnsi="宋体"/>
          <w:sz w:val="24"/>
        </w:rPr>
      </w:pPr>
      <w:r w:rsidRPr="001D49EC">
        <w:rPr>
          <w:rFonts w:ascii="宋体" w:hAnsi="宋体" w:hint="eastAsia"/>
          <w:sz w:val="24"/>
        </w:rPr>
        <w:t>黄伟峰先生，监事，硕士。现任交银施罗德基金管理有限公司高级专家、市场总监。历任平安人寿保险公司上海分公司行政督导、营销管理经理，交银施罗德基金管理有限公司行政部总经理助理、西部营销中心总经理、机构理财部（上海）总经理兼产品开发部总经理。</w:t>
      </w:r>
    </w:p>
    <w:p w14:paraId="46A4908F" w14:textId="77777777" w:rsidR="001D49EC" w:rsidRPr="001D49EC" w:rsidRDefault="001D49EC" w:rsidP="001D49EC">
      <w:pPr>
        <w:autoSpaceDE w:val="0"/>
        <w:autoSpaceDN w:val="0"/>
        <w:adjustRightInd w:val="0"/>
        <w:snapToGrid w:val="0"/>
        <w:spacing w:line="360" w:lineRule="auto"/>
        <w:ind w:firstLineChars="200" w:firstLine="480"/>
        <w:jc w:val="left"/>
        <w:rPr>
          <w:rFonts w:ascii="宋体" w:hAnsi="宋体"/>
          <w:sz w:val="24"/>
        </w:rPr>
      </w:pPr>
      <w:r w:rsidRPr="001D49EC">
        <w:rPr>
          <w:rFonts w:ascii="宋体" w:hAnsi="宋体" w:hint="eastAsia"/>
          <w:sz w:val="24"/>
        </w:rPr>
        <w:t>3、基金管理人高级管理人员</w:t>
      </w:r>
    </w:p>
    <w:p w14:paraId="324A86B5" w14:textId="77777777" w:rsidR="001D49EC" w:rsidRPr="001D49EC" w:rsidRDefault="001D49EC" w:rsidP="001D49EC">
      <w:pPr>
        <w:autoSpaceDE w:val="0"/>
        <w:autoSpaceDN w:val="0"/>
        <w:adjustRightInd w:val="0"/>
        <w:snapToGrid w:val="0"/>
        <w:spacing w:line="360" w:lineRule="auto"/>
        <w:ind w:firstLineChars="200" w:firstLine="480"/>
        <w:jc w:val="left"/>
        <w:rPr>
          <w:rFonts w:ascii="宋体" w:hAnsi="宋体"/>
          <w:sz w:val="24"/>
        </w:rPr>
      </w:pPr>
      <w:r w:rsidRPr="001D49EC">
        <w:rPr>
          <w:rFonts w:ascii="宋体" w:hAnsi="宋体" w:hint="eastAsia"/>
          <w:sz w:val="24"/>
        </w:rPr>
        <w:t>谢卫先生，总经理。简历同上。</w:t>
      </w:r>
    </w:p>
    <w:p w14:paraId="701E8F8A" w14:textId="77777777" w:rsidR="001D49EC" w:rsidRPr="001D49EC" w:rsidRDefault="001D49EC" w:rsidP="001D49EC">
      <w:pPr>
        <w:autoSpaceDE w:val="0"/>
        <w:autoSpaceDN w:val="0"/>
        <w:adjustRightInd w:val="0"/>
        <w:snapToGrid w:val="0"/>
        <w:spacing w:line="360" w:lineRule="auto"/>
        <w:ind w:firstLineChars="200" w:firstLine="480"/>
        <w:jc w:val="left"/>
        <w:rPr>
          <w:rFonts w:ascii="宋体" w:hAnsi="宋体"/>
          <w:sz w:val="24"/>
        </w:rPr>
      </w:pPr>
      <w:r w:rsidRPr="001D49EC">
        <w:rPr>
          <w:rFonts w:ascii="宋体" w:hAnsi="宋体" w:hint="eastAsia"/>
          <w:sz w:val="24"/>
        </w:rPr>
        <w:t>印皓女士，副总经理，硕士。历任交通银行研究开发部副主管体改规划员，交通银行市场营销部副主管市场规划员、主管市场规划员，交通银行公司业务部副高级经理、高级经理，交通银行机构业务部高级经理、总经理助理、副总经理，交银施罗德资产管理有限公司董事长。</w:t>
      </w:r>
    </w:p>
    <w:p w14:paraId="5F758D67" w14:textId="77777777" w:rsidR="001D49EC" w:rsidRPr="001D49EC" w:rsidRDefault="001D49EC" w:rsidP="001D49EC">
      <w:pPr>
        <w:autoSpaceDE w:val="0"/>
        <w:autoSpaceDN w:val="0"/>
        <w:adjustRightInd w:val="0"/>
        <w:snapToGrid w:val="0"/>
        <w:spacing w:line="360" w:lineRule="auto"/>
        <w:ind w:firstLineChars="200" w:firstLine="480"/>
        <w:jc w:val="left"/>
        <w:rPr>
          <w:rFonts w:ascii="宋体" w:hAnsi="宋体"/>
          <w:sz w:val="24"/>
        </w:rPr>
      </w:pPr>
      <w:r w:rsidRPr="001D49EC">
        <w:rPr>
          <w:rFonts w:ascii="宋体" w:hAnsi="宋体" w:hint="eastAsia"/>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3B1E2593" w14:textId="77777777" w:rsidR="001D49EC" w:rsidRDefault="001D49EC">
      <w:pPr>
        <w:autoSpaceDE w:val="0"/>
        <w:autoSpaceDN w:val="0"/>
        <w:adjustRightInd w:val="0"/>
        <w:snapToGrid w:val="0"/>
        <w:spacing w:line="360" w:lineRule="auto"/>
        <w:ind w:firstLineChars="200" w:firstLine="480"/>
        <w:jc w:val="left"/>
        <w:rPr>
          <w:rFonts w:ascii="宋体" w:hAnsi="宋体"/>
          <w:sz w:val="24"/>
        </w:rPr>
      </w:pPr>
      <w:r w:rsidRPr="001D49EC">
        <w:rPr>
          <w:rFonts w:ascii="宋体" w:hAnsi="宋体" w:hint="eastAsia"/>
          <w:sz w:val="24"/>
        </w:rPr>
        <w:t>马俊先生，副总经理，硕士。历任交通银行总行投资管理部高级投资分析、副高级经理，交银施罗德基金管理有限公司总裁办公室总经理、研究部副总经理、研究总监、综合管理部总经理。</w:t>
      </w:r>
    </w:p>
    <w:p w14:paraId="55B2338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4、本基金基金经理</w:t>
      </w:r>
    </w:p>
    <w:p w14:paraId="306FD67A" w14:textId="2C1B12A2"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于海颖女士:基金经理。天津大学数量经济学硕士、经济学学士，1</w:t>
      </w:r>
      <w:r w:rsidR="00BB5ACE">
        <w:rPr>
          <w:rFonts w:ascii="宋体" w:hAnsi="宋体"/>
          <w:sz w:val="24"/>
        </w:rPr>
        <w:t>7</w:t>
      </w:r>
      <w:r>
        <w:rPr>
          <w:rFonts w:ascii="宋体" w:hAnsi="宋体"/>
          <w:sz w:val="24"/>
        </w:rPr>
        <w:t>年证券投资行业从业经验。2004年至2006年任北方国际信托投资股份有限公司固定收益研究员，2006年至2010年任光大保德信基金管理有限公司交易员、基金经理助理、基金经理，2010年至2014年任银华基金管理有限公司基金经理，2014年至2016年任五矿证券有限公司固定收益事业部投资管理部总经理。于2007年11月9日至2010年8月30日任光大保德信货币市场基金基金经理，2008年10月29日至2010年8月30日任光大</w:t>
      </w:r>
      <w:r>
        <w:rPr>
          <w:rFonts w:ascii="宋体" w:hAnsi="宋体"/>
          <w:sz w:val="24"/>
        </w:rPr>
        <w:lastRenderedPageBreak/>
        <w:t>保德信增利收益债券型证券投资基金基金经理，2011年6月28日至2013年6月16日任银华永祥保本混合型证券投资基金基金经理，2011年8月2日至2014年4月24日任银华货币市场证券投资基金基金经理,2012年8月9日至2014年10月7日任银华纯债信用主题债券型证券投资基金（LOF）基金经理，2013年4月1日至2014年4月24日任银华交易型货币市场基金基金经理，2013年8月7日至2014年10月7日任银华信用四季红债券型证券投资基金基金经理，2013年9月18日至2014年10月7日任银华信用季季红债券型证券投资基金基金经理，2014年5月8日至2014年10月7日任银华信用债券型证券投资基金(LOF)基金经理。2016年加入交银施罗德基金管理有限公司，任固定收益（公募）投资总监、基金经理。曾任交银施罗德丰盈收益债券型证券投资基金(2016年12月29日至2020年08月21日)</w:t>
      </w:r>
      <w:r w:rsidR="00E07FAD" w:rsidRPr="00E07FAD">
        <w:rPr>
          <w:rFonts w:ascii="宋体" w:hAnsi="宋体" w:hint="eastAsia"/>
          <w:sz w:val="24"/>
        </w:rPr>
        <w:t>、交银施罗德丰硕收益债券型证券投资基金（2017年6月10日至2018年7月18日）</w:t>
      </w:r>
      <w:r>
        <w:rPr>
          <w:rFonts w:ascii="宋体" w:hAnsi="宋体"/>
          <w:sz w:val="24"/>
        </w:rPr>
        <w:t>、交银施罗德增利债券证券投资基金(2017年06月10日至2020年08月21日)、交银施罗德定期支付月月丰债券型证券投资基金(2017年06月10日至2019年03月14日)、交银施罗德增利增强债券型证券投资基金(2017年06月10日至2019年03月15日)、交银施罗德稳固收益债券型证券投资基金(2017年06月10日至2019年03月15日)、交银施罗德强化回报债券型证券投资基金(2017年06月10日至2019年03月14日)、交银施罗德荣鑫灵活配置混合型证券投资基金(2017年06月10日至2019年03月15日)、交银施罗德增强收益债券型证券投资基金(2017年06月10日至2019年03月15日)、交银施罗德裕如纯债债券型证券投资基金(2018年05月25日至2021年01月15日)的基金经理。现任交银施罗德纯债债券型发起式证券投资基金(2017年06月10日至今)、交银施罗德丰晟收益债券型证券投资基金(2018年05月23日至今)、交银施罗德裕泰两年定期开放债券型证券投资基金(2019年12月10日至今)、交银施罗德裕坤纯债一年定期开放债券型发起式证券投资基金(2019年12月26日至今)、交银施罗德鸿光一年持有期混合型证券投资基金(2021年03月08日至今)、交银施罗德鸿福六个月持有期混合型证券投资基金(2021年03月30日至今)、交银施罗德鸿信一年持有期混合型证券投资基金(2021年08月06日至今)、交银施罗德鸿泰一年持有期混合型证券投资基金(2021年11月24日至今)、交银施罗德裕盈纯债债券型证券投资基金(2022年11月12日至今)</w:t>
      </w:r>
      <w:r w:rsidR="00105D80">
        <w:rPr>
          <w:rFonts w:ascii="宋体" w:hAnsi="宋体" w:hint="eastAsia"/>
          <w:sz w:val="24"/>
        </w:rPr>
        <w:t>、</w:t>
      </w:r>
      <w:r w:rsidR="00105D80" w:rsidRPr="00062546">
        <w:rPr>
          <w:rFonts w:ascii="宋体" w:hAnsi="宋体" w:hint="eastAsia"/>
          <w:sz w:val="24"/>
        </w:rPr>
        <w:t>交银施罗德裕如纯债债券型证券投资基金</w:t>
      </w:r>
      <w:r w:rsidR="00105D80">
        <w:rPr>
          <w:rFonts w:ascii="宋体" w:hAnsi="宋体"/>
          <w:sz w:val="24"/>
        </w:rPr>
        <w:t>(2023年09月07日至今)</w:t>
      </w:r>
      <w:r>
        <w:rPr>
          <w:rFonts w:ascii="宋体" w:hAnsi="宋体"/>
          <w:sz w:val="24"/>
        </w:rPr>
        <w:t>的基金经理。</w:t>
      </w:r>
    </w:p>
    <w:p w14:paraId="4D83D9A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本基金历任基金经理：</w:t>
      </w:r>
    </w:p>
    <w:p w14:paraId="564141D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魏玉敏女士(2018年08月29日至2020年10月16日)。</w:t>
      </w:r>
    </w:p>
    <w:p w14:paraId="2086D59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5、投资决策委员会成员</w:t>
      </w:r>
    </w:p>
    <w:p w14:paraId="6FBC62C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委员：谢卫（总经理）</w:t>
      </w:r>
    </w:p>
    <w:p w14:paraId="29259E12" w14:textId="76F151CF"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w:t>
      </w:r>
    </w:p>
    <w:p w14:paraId="232DDA1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王少成（权益投资总监、基金经理）</w:t>
      </w:r>
    </w:p>
    <w:p w14:paraId="3114EED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于海颖（固定收益（公募）投资总监、基金经理）</w:t>
      </w:r>
    </w:p>
    <w:p w14:paraId="0B1A737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王崇（权益投资副总监、权益部一级专家、基金经理）</w:t>
      </w:r>
    </w:p>
    <w:p w14:paraId="10CC3DCD" w14:textId="51C6C800"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上述人员之间不存在近亲属关系，上述各项人员信息更新截止日为</w:t>
      </w:r>
      <w:r w:rsidR="00933A26">
        <w:rPr>
          <w:rFonts w:ascii="宋体" w:hAnsi="宋体"/>
          <w:sz w:val="24"/>
        </w:rPr>
        <w:t>2023年</w:t>
      </w:r>
      <w:r w:rsidR="00C47CAD">
        <w:rPr>
          <w:rFonts w:ascii="宋体" w:hAnsi="宋体"/>
          <w:sz w:val="24"/>
        </w:rPr>
        <w:t>12</w:t>
      </w:r>
      <w:r>
        <w:rPr>
          <w:rFonts w:ascii="宋体" w:hAnsi="宋体"/>
          <w:sz w:val="24"/>
        </w:rPr>
        <w:t>月</w:t>
      </w:r>
      <w:r w:rsidR="00C47CAD">
        <w:rPr>
          <w:rFonts w:ascii="宋体" w:hAnsi="宋体"/>
          <w:sz w:val="24"/>
        </w:rPr>
        <w:t>18</w:t>
      </w:r>
      <w:r>
        <w:rPr>
          <w:rFonts w:ascii="宋体" w:hAnsi="宋体"/>
          <w:sz w:val="24"/>
        </w:rPr>
        <w:t>日，期后变动（如有）敬请关注基金管理人发布的相关公告。</w:t>
      </w:r>
    </w:p>
    <w:p w14:paraId="066BA35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14:paraId="6A65E71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14:paraId="626051A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242A234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14:paraId="7F9834E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4、按照基金合同的约定确定基金收益分配方案，及时向基金份额持有人分配收益；</w:t>
      </w:r>
    </w:p>
    <w:p w14:paraId="0D337C0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5、进行基金会计核算并编制基金财务会计报告；</w:t>
      </w:r>
    </w:p>
    <w:p w14:paraId="0B2921C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14:paraId="4401D35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7、计算并公告基金净值信息，确定基金份额申购、赎回价格；</w:t>
      </w:r>
    </w:p>
    <w:p w14:paraId="1514A63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8、办理与基金财产管理业务活动有关的信息披露事项；</w:t>
      </w:r>
    </w:p>
    <w:p w14:paraId="5439530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9、按照规定召集基金份额持有人大会；</w:t>
      </w:r>
    </w:p>
    <w:p w14:paraId="36327B6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14:paraId="49B5B63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11、以基金管理人名义，代表基金份额持有人利益行使诉讼权利或者实施其他法律行为；</w:t>
      </w:r>
    </w:p>
    <w:p w14:paraId="5B1BA5C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14:paraId="4EB4C38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（四）基金管理人的承诺</w:t>
      </w:r>
    </w:p>
    <w:p w14:paraId="07BDD6E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1、基金管理人承诺不从事违反《中华人民共和国证券法》的行为，并承诺建立健全内部控制制度，采取有效措施，防止违反《中华人民共和国证券法》行为的发生；</w:t>
      </w:r>
    </w:p>
    <w:p w14:paraId="18EA32F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14:paraId="6BB2C9E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（1）将基金管理人固有财产或者他人财产混同于基金财产从事证券投资；</w:t>
      </w:r>
    </w:p>
    <w:p w14:paraId="44F9AE3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14:paraId="399E40E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14:paraId="072C1F6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14:paraId="42BE861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（5）侵占、挪用基金财产；</w:t>
      </w:r>
    </w:p>
    <w:p w14:paraId="222A227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（6）法律、行政法规和中国证监会禁止的其他行为。</w:t>
      </w:r>
    </w:p>
    <w:p w14:paraId="4579762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14:paraId="5FB70CE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14:paraId="0C7736D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14:paraId="547EA02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14:paraId="18D3DDA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14:paraId="12EB1A7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2、不利用职务之便为自己、受雇人或任何第三者谋取利益；</w:t>
      </w:r>
    </w:p>
    <w:p w14:paraId="60626BE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3、不泄露在任职期间知悉的有关证券、基金的商业秘密，尚未依法公开的基金投资内容、基金投资计划等信息，或利用该信息从事或者明示、暗示他人从事相关的交易活动；</w:t>
      </w:r>
    </w:p>
    <w:p w14:paraId="3AD1F9E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4、不以任何形式为其他组织或个人进行证券交易。</w:t>
      </w:r>
    </w:p>
    <w:p w14:paraId="246DA26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14:paraId="1CFB66A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1、风险管理的原则</w:t>
      </w:r>
    </w:p>
    <w:p w14:paraId="739E522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全面性原则</w:t>
      </w:r>
    </w:p>
    <w:p w14:paraId="1BC2D6E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公司风险管理必须覆盖公司的所有部门和岗位，渗透各项业务过程和业务环节。</w:t>
      </w:r>
    </w:p>
    <w:p w14:paraId="1CBAED8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独立性原则</w:t>
      </w:r>
    </w:p>
    <w:p w14:paraId="4A3721D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公司设立独立的风险管理部，风险管理部保持高度的独立性和权威性，负责对公司各部门风险控制工作进行监督和检查。</w:t>
      </w:r>
    </w:p>
    <w:p w14:paraId="40193D9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相互制约原则</w:t>
      </w:r>
    </w:p>
    <w:p w14:paraId="235CD4E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公司及各部门在内部组织结构的设计上要形成一种相互制约的机制，建立不同岗位之间的制衡体系。</w:t>
      </w:r>
    </w:p>
    <w:p w14:paraId="3B61405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 定性和定量相结合原则</w:t>
      </w:r>
    </w:p>
    <w:p w14:paraId="1CEF3FC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建立完备的风险管理指标体系，使风险管理更具客观性和操作性。</w:t>
      </w:r>
    </w:p>
    <w:p w14:paraId="216F534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2、风险管理和内部风险控制体系结构</w:t>
      </w:r>
    </w:p>
    <w:p w14:paraId="46DB4A7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65C3EE5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（1）董事会</w:t>
      </w:r>
    </w:p>
    <w:p w14:paraId="289ACA1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14:paraId="5548537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（2）监事会</w:t>
      </w:r>
    </w:p>
    <w:p w14:paraId="52B7A88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14:paraId="6AC9B6E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（3）合规审核及风险管理委员会</w:t>
      </w:r>
    </w:p>
    <w:p w14:paraId="577BD1E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42F83A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（4）风险控制委员会</w:t>
      </w:r>
    </w:p>
    <w:p w14:paraId="6DDB3CA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0EB253A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（5）督察长</w:t>
      </w:r>
    </w:p>
    <w:p w14:paraId="6A3FA25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14:paraId="2644467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（6）风险管理部</w:t>
      </w:r>
    </w:p>
    <w:p w14:paraId="2451038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5301FF6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（7）审计部</w:t>
      </w:r>
    </w:p>
    <w:p w14:paraId="0EB001B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w:t>
      </w:r>
      <w:r>
        <w:rPr>
          <w:rFonts w:ascii="宋体" w:hAnsi="宋体"/>
          <w:sz w:val="24"/>
        </w:rPr>
        <w:lastRenderedPageBreak/>
        <w:t>及管理目标，对公司内部控制体系的适当性及运行的效果和效率进行独立评价，协助促进公司风险管理、控制和治理过程的完善，实现合规经营目标。</w:t>
      </w:r>
    </w:p>
    <w:p w14:paraId="113D8CA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（8）法律合规部</w:t>
      </w:r>
    </w:p>
    <w:p w14:paraId="014A136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11D802E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（9）业务部门</w:t>
      </w:r>
    </w:p>
    <w:p w14:paraId="26F35A1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14:paraId="60D4F0D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14:paraId="6428A30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（1）建立内控体系，完善内控制度</w:t>
      </w:r>
    </w:p>
    <w:p w14:paraId="06029B1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14:paraId="2D044B2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（2）建立相互分离、相互制衡的内控机制</w:t>
      </w:r>
    </w:p>
    <w:p w14:paraId="18C4A8F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14:paraId="4B928DE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（3）建立、健全岗位责任制</w:t>
      </w:r>
    </w:p>
    <w:p w14:paraId="505ABB0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14:paraId="43C5A26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（4）建立风险分类、识别、评估、报告、提示程序</w:t>
      </w:r>
    </w:p>
    <w:p w14:paraId="0FF53A3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4DC72B2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（5）建立有效的内部监控系统</w:t>
      </w:r>
    </w:p>
    <w:p w14:paraId="6CCFECA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14:paraId="7FB5DEC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（6）使用数量化的风险管理手段</w:t>
      </w:r>
    </w:p>
    <w:p w14:paraId="7F30C06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w:t>
      </w:r>
      <w:r>
        <w:rPr>
          <w:rFonts w:ascii="宋体" w:hAnsi="宋体"/>
          <w:sz w:val="24"/>
        </w:rPr>
        <w:lastRenderedPageBreak/>
        <w:t>指数趋势、行业及个股的风险，以便公司及时采取有效的措施，对风险进行分散、控制和规避，尽可能地减少损失。</w:t>
      </w:r>
    </w:p>
    <w:p w14:paraId="0C52F5B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（7）提供足够的培训</w:t>
      </w:r>
    </w:p>
    <w:p w14:paraId="65A9E29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14:paraId="4165DA7F" w14:textId="77777777" w:rsidR="00C61788" w:rsidRDefault="00BC098F" w:rsidP="00C6178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B7C23B5" w14:textId="77777777" w:rsidR="00234D74" w:rsidRDefault="00BC098F">
      <w:pPr>
        <w:pStyle w:val="1"/>
        <w:snapToGrid w:val="0"/>
        <w:spacing w:beforeLines="0" w:before="240" w:after="240"/>
        <w:rPr>
          <w:rFonts w:ascii="宋体" w:hAnsi="宋体"/>
          <w:szCs w:val="30"/>
        </w:rPr>
      </w:pPr>
      <w:bookmarkStart w:id="7" w:name="_Toc135728680"/>
      <w:r>
        <w:rPr>
          <w:rFonts w:ascii="Times New Roman" w:hAnsi="Times New Roman"/>
          <w:sz w:val="30"/>
        </w:rPr>
        <w:lastRenderedPageBreak/>
        <w:t>四、基金托管人</w:t>
      </w:r>
      <w:bookmarkEnd w:id="7"/>
    </w:p>
    <w:p w14:paraId="6472D455" w14:textId="77777777" w:rsidR="00234D74" w:rsidRDefault="00BC098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（一）基金托管人情况</w:t>
      </w:r>
    </w:p>
    <w:p w14:paraId="2448AB3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1、基本情况</w:t>
      </w:r>
    </w:p>
    <w:p w14:paraId="12DCBA1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名称：招商银行股份有限公司（以下简称“招商银行”）</w:t>
      </w:r>
    </w:p>
    <w:p w14:paraId="38DADF4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设立日期：1987年4月8日</w:t>
      </w:r>
    </w:p>
    <w:p w14:paraId="3FB4EDC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注册地址：深圳市深南大道7088号招商银行大厦</w:t>
      </w:r>
    </w:p>
    <w:p w14:paraId="1B13BC1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办公地址：深圳市深南大道7088号招商银行大厦</w:t>
      </w:r>
    </w:p>
    <w:p w14:paraId="5F23D0C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注册资本：252.20亿元</w:t>
      </w:r>
    </w:p>
    <w:p w14:paraId="7C0CC63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14:paraId="111C419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行长：王良</w:t>
      </w:r>
    </w:p>
    <w:p w14:paraId="040CCDA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资产托管业务批准文号：证监基金字[2002]83号</w:t>
      </w:r>
    </w:p>
    <w:p w14:paraId="7A3AD91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电话：0755-83199084</w:t>
      </w:r>
    </w:p>
    <w:p w14:paraId="3EA7E5A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传真：0755-83195201</w:t>
      </w:r>
    </w:p>
    <w:p w14:paraId="4A2239D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资产托管部信息披露负责人：张燕</w:t>
      </w:r>
    </w:p>
    <w:p w14:paraId="1E10F45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2、发展概况</w:t>
      </w:r>
    </w:p>
    <w:p w14:paraId="0B79CF2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2022年9月30日，本集团总资产97,071.11亿元人民币，高级法下资本充足率17.17%，权重法下资本充足率14.36%。</w:t>
      </w:r>
    </w:p>
    <w:p w14:paraId="5B0BB03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2002年8月，招商银行成立基金托管部；2005年8月，经报中国证监会同意，更名为资产托管部，现下设业务管理团队、基金券商产品团队、银保信托产品团队、养老金团队、交易与清算团队、项目管理团队、稽核监察团队、基金外包业务团队、系统与数据团队9个职能团队，现有员工150人。2002年11月，经中国人民银行和中国证监会批准获得证券投资基金托管业务资格，成为国内第一家获得该项业务资格上市银行；2003年4月，正式办理基金托管业务。招商银行作为托管业务资质最全的商业银行，拥有证券投资基金托管、受托投资管理托管、合格境外机构投资</w:t>
      </w:r>
      <w:r>
        <w:rPr>
          <w:rFonts w:ascii="宋体" w:hAnsi="宋体"/>
          <w:sz w:val="24"/>
        </w:rPr>
        <w:lastRenderedPageBreak/>
        <w:t>者托管（QFII）、合格境内机构投资者托管（QDII）、全国社会保障基金托管、保险资金托管、企业年金基金托管、存托凭证试点存托人等业务资格。</w:t>
      </w:r>
    </w:p>
    <w:p w14:paraId="6A74845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商银行确立“因势而变、先您所想”的托管理念和“财富所托、信守承诺”的托管核心价值，独创“6S托管银行”品牌体系，以“保护您的业务、保护您的财富”为历史使命，不断创新托管系统、服务和产品：在业内率先推出“网上托管银行系统”、托管业务综合系统和“6心”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14:paraId="13063E0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商银行资产托管业务持续稳健发展，社会影响力不断提升,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银行再度荣膺《财资》“中国最佳托管银行奖”；“全功能网上托管银行2.0”荣获《银行家》2017中国金融创新“十佳金融产品创新奖”；8月荣膺国际财经权威媒体《亚洲银行家》“中国年度托管银行奖”。2018年1月招商银行荣膺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荣膺公募基金20年“最佳基金托管银行”奖；5月荣膺国际财经权威媒体《亚洲银行家》“中国年度托管银行奖”；12月荣膺2018东方财富风云榜“2018年度最佳托管银行”、“20年最值得信赖托管银行”奖。2019年3月招商银行荣获《中国基金报》“2018年度最佳基金托管银行”奖；6月荣获《财资》“中国最佳托管机构”“中国最佳养老金托管机构”“中国最佳零售基金行政外包”三项大奖；12月荣获2019东方财富风云榜“2019年度最佳托管银行”奖。2020年1月，荣膺中央国债登记结算有限责任公司“2019年度优秀资产托管机构”奖项；6月荣获《财资》“中国最佳托管机</w:t>
      </w:r>
      <w:r>
        <w:rPr>
          <w:rFonts w:ascii="宋体" w:hAnsi="宋体"/>
          <w:sz w:val="24"/>
        </w:rPr>
        <w:lastRenderedPageBreak/>
        <w:t>构”“最佳公募基金托管机构”“最佳公募基金行政外包机构”三项大奖；10月荣获《中国基金报》“2019年度最佳基金托管银行”奖。2021年1月，荣膺中央国债登记结算有限责任公司“2020年度优秀资产托管机构”奖项；1月荣获2020东方财富风云榜“2020年度最受欢迎托管银行”奖项；2021年10月，荣获国新投资有限公司“2021年度优秀托管银行奖”和《证券时报》“2021年度杰出资产托管银行天玑奖”；2021年12月，荣获《中国基金报》第三届中国公募基金英华奖“2020年度最佳基金托管银行”；2022年1月荣获中央国债登记结算有限责任公司“2021年度优秀资产托管机构、估值业务杰出机构”；9月荣获《财资》“中国最佳托管银行”“最佳公募基金托管银行”“最佳理财托管银行”三项大奖。</w:t>
      </w:r>
    </w:p>
    <w:p w14:paraId="71863109" w14:textId="77777777" w:rsidR="00234D74" w:rsidRDefault="00BC098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（二）主要人员情况</w:t>
      </w:r>
    </w:p>
    <w:p w14:paraId="441423B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缪建民先生，本行董事长、非执行董事，2020年9月起担任本行董事、董事长。中央财经大学经济学博士，高级经济师。中国共产党第十九届、二十届中央委员会候补委员。招商局集团有限公司董事长。曾任中国人寿保险（集团）公司副董事长、总裁，中国人民保险 集团股份有限公司副董事长、总裁、董事长，曾兼任中国人民财产保险股份有限公司董事长，中国人保资产管理有限公司董事长，中国人民健康保险股份有限公司董事长，中国人民保险（香港）有限公司董事长，人保资本投资管理有限公司董事长，中国人民养老保险有限责任公司董事长，中国人民人寿保险股份有限公司董事长。</w:t>
      </w:r>
    </w:p>
    <w:p w14:paraId="53AA669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良先生，本公司执行董事、党委书记、行长，兼任财务负责人、董事会秘书。中国人民大学硕士研究生学历，高级经济师。1995年6月加入本公司北京分行，自2001年10月起历任本公司北京分行行长助理、副行长、行长，2012年6月任本公司行长助理兼任北京分行行长，2013年11月不再兼任本公司北京分行行长，2015年1月任本公司副行长，2016年11月至2019年4月兼任本公司董事会秘书，2019年4月起兼任本公司财务负责人，2021年8月起任本公司常务副行长兼任董事会秘书、公司秘书及香港上市相关事宜之授权代表，2022年4月18日起全面主持本公司工作，2022年5月19日起任本公司党委书记，2022年6月15日起任本公司行长。兼任中国支付清算协会副会长、中国银保监会数据治理高层指导协调委员会委员、中国银行业协会中间业务专业委员会第四届主任、中国金融会计学会第六届常务理事。</w:t>
      </w:r>
    </w:p>
    <w:p w14:paraId="4B2D88A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汪建中先生，本行副行长。1991年加入本行；2002年10月至2013年12月历任本行长沙分行行长，总行公司银行部副总经理，佛山分行筹备组组长，佛山分行行</w:t>
      </w:r>
      <w:r>
        <w:rPr>
          <w:rFonts w:ascii="宋体" w:hAnsi="宋体"/>
          <w:sz w:val="24"/>
        </w:rPr>
        <w:lastRenderedPageBreak/>
        <w:t>长，武汉分行行长；2013年12月至2016年10月任本行业务总监兼公司金融总部总裁，期间先后兼任公司金融综合管理部总经理、战略客户部总经理；2016年10月至2017年4月任本行业务总监兼北京分行行长；2017年4月起任本行党委委员兼北京分行行长。2019年4月起任本行副行长。</w:t>
      </w:r>
    </w:p>
    <w:p w14:paraId="2CE0C03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孙乐女士，招商银行资产托管部总经理，硕士研究生毕业，2001年8月加入招商银行至今，历任招商银行合肥分行风险控制部副经理、经理、信贷管理部总经理助理、副总经理、总经理、公司银行部总经理、中小企业金融部总经理、投行与金融市场部总经理；无锡分行行长助理、副行长；南京分行副行长，具有20余年银行从业经验，在风险管理、信贷管理、公司金融、资产托管等领域有深入的研究和丰富的实务经验。</w:t>
      </w:r>
    </w:p>
    <w:p w14:paraId="453BE63C" w14:textId="77777777" w:rsidR="00234D74" w:rsidRDefault="00BC098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（三）基金托管业务经营情况</w:t>
      </w:r>
    </w:p>
    <w:p w14:paraId="25FC723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截至2022年9月30日，招商银行股份有限公司累计托管1129只证券投资基金。</w:t>
      </w:r>
    </w:p>
    <w:p w14:paraId="60B6DA29" w14:textId="77777777" w:rsidR="00234D74" w:rsidRDefault="00BC098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（四）托管人的内部控制制度</w:t>
      </w:r>
    </w:p>
    <w:p w14:paraId="61DC2E7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内部控制目标</w:t>
      </w:r>
    </w:p>
    <w:p w14:paraId="56F031D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14:paraId="57B533C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内部控制组织结构</w:t>
      </w:r>
    </w:p>
    <w:p w14:paraId="5D8FA93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招商银行资产托管业务建立三级内部控制及风险防范体系：</w:t>
      </w:r>
    </w:p>
    <w:p w14:paraId="6B5A7F1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一级内部控制及风险防范是在招商银行总行风险管控层面对风险进行预防和控制；总行风险管理部、法律合规部、审计部独立对资产托管业务进行评估监督，并提出内控提升管理建议。</w:t>
      </w:r>
    </w:p>
    <w:p w14:paraId="09CB4BD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二级内部控制及风险防范是招商银行资产托管部设立风险合规管理相关团队，负责部门内部风险预防和控制，及时发现内部控制缺陷，提出整改方案，跟踪整改情况，并直接向部门总经理室报告。</w:t>
      </w:r>
    </w:p>
    <w:p w14:paraId="572A05F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三级内部控制及风险防范是招商银行资产托管部在设置专业岗位时，遵循内控制衡原则，视业务的风险程度制定相应监督制衡机制。</w:t>
      </w:r>
    </w:p>
    <w:p w14:paraId="0233ED2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 内部控制原则</w:t>
      </w:r>
    </w:p>
    <w:p w14:paraId="1D1D1CB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（1）全面性原则。内部控制覆盖各项业务过程和操作环节、覆盖所有团队和岗位，并由全部人员参与。</w:t>
      </w:r>
    </w:p>
    <w:p w14:paraId="00E3CA3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（2）审慎性原则。托管组织体系的构成、内部管理制度的建立均以防范风险、审慎经营为出发点，体现“内控优先”的要求。</w:t>
      </w:r>
    </w:p>
    <w:p w14:paraId="3DD164C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（3）独立性原则。招商银行资产托管部各团队、各岗位职责保持相对独立，不同托管资产之间、托管资产和自有资产之间相互分离。内部控制的检查、评价部门独立于内部控制的建立和执行部门。</w:t>
      </w:r>
    </w:p>
    <w:p w14:paraId="2513834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14:paraId="78A10CF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（5）适应性原则。内部控制适应招商银行托管业务风险管理的需要，并能够随着托管业务经营战略、经营方针、经营理念等内部环境的变化和国家法律、法规、政策制度等外部环境的改变及时进行修订和完善。</w:t>
      </w:r>
    </w:p>
    <w:p w14:paraId="557A6FF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（6）防火墙原则。招商银行资产托管部办公场地与我行其他业务场地隔离，办公网和业务网物理分离，部门业务网和全行业务网防火墙策略分离，以达到风险防范的目的。</w:t>
      </w:r>
    </w:p>
    <w:p w14:paraId="552523B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（7）重要性原则。内部控制在实现全面控制的基础上，关注重要托管业务重要事项和高风险环节。</w:t>
      </w:r>
    </w:p>
    <w:p w14:paraId="0CD872B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（8）制衡性原则。内部控制能够实现在托管组织体系、机构设置、权责分配及业务流程等方面相互制约、相互监督，同时兼顾运营效率。</w:t>
      </w:r>
    </w:p>
    <w:p w14:paraId="66B659C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内部控制措施</w:t>
      </w:r>
    </w:p>
    <w:p w14:paraId="7CA026E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完善的制度建设。招商银行资产托管部从资产托管业务内控管理、产品受理、会计核算、资金清算、岗位管理、档案管理和信息管理等方面制定一系列规章制度，建立了三层制度体系，即：基本规定、业务管理办法和业务操作规程。制度结构层次清晰、管理要求明确，满足风险管理全覆盖的要求，保证资产托管业务科学化、制度化、规范化运作。</w:t>
      </w:r>
    </w:p>
    <w:p w14:paraId="27022BF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（2）业务信息风险控制。招商银行资产托管部在数据传输和保存方面有严格的加密和备份措施，采用加密、直连方式传输数据，数据执行异地实时备份，所有</w:t>
      </w:r>
      <w:r>
        <w:rPr>
          <w:rFonts w:ascii="宋体" w:hAnsi="宋体"/>
          <w:sz w:val="24"/>
        </w:rPr>
        <w:lastRenderedPageBreak/>
        <w:t>的业务信息须经过严格的授权方能进行访问。</w:t>
      </w:r>
    </w:p>
    <w:p w14:paraId="195C67F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（3）客户资料风险控制。招商银行资产托管部对业务办理过程中获取的客户资料严格保密，除法律法规和其他有关规定、监管机构及审计要求外，不向任何机构、部门或个人泄露。</w:t>
      </w:r>
    </w:p>
    <w:p w14:paraId="090C1C3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信息技术系统风险控制。招商银行对信息技术系统机房、权限管理实行双人双岗双责，电脑机房24小时值班并设置门禁，所有电脑设置密码及相应权限。业务网和办公网、托管业务网与全行业务网双分离制度，与外部业务机构实行防火墙保护，对信息技术系统采取两地三中心的应急备份管理措施等，保证信息技术系统的安全。</w:t>
      </w:r>
    </w:p>
    <w:p w14:paraId="30A2012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（5）人力资源控制。招商银行资产托管部通过建立良好的企业文化和员工培训、激励机制、加强人力资源管理及建立人才梯级队伍及人才储备机制，有效地进行人力资源管理。</w:t>
      </w:r>
    </w:p>
    <w:p w14:paraId="52140DD6" w14:textId="77777777" w:rsidR="00234D74" w:rsidRDefault="00BC098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（五）基金托管人对基金管理人运作基金进行监督的方法和程序</w:t>
      </w:r>
    </w:p>
    <w:p w14:paraId="6663B98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中华人民共和国证券投资基金法》《公开募集证券投资基金运作管理办法》等有关法律法规的规定及基金合同、托管协议的约定，对基金投资范围、投资比例、投资组合等情况的合法性、合规性进行监督和核查。</w:t>
      </w:r>
    </w:p>
    <w:p w14:paraId="1AD2959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1BC1984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p>
    <w:p w14:paraId="6CFA9348" w14:textId="77777777" w:rsidR="00C61788" w:rsidRDefault="00BC098F" w:rsidP="00C6178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3F12EA9" w14:textId="77777777" w:rsidR="00234D74" w:rsidRDefault="00BC098F">
      <w:pPr>
        <w:pStyle w:val="1"/>
        <w:snapToGrid w:val="0"/>
        <w:spacing w:beforeLines="0" w:before="240" w:after="240"/>
        <w:rPr>
          <w:rFonts w:ascii="宋体" w:hAnsi="宋体"/>
          <w:szCs w:val="30"/>
        </w:rPr>
      </w:pPr>
      <w:bookmarkStart w:id="8" w:name="_Toc135728681"/>
      <w:r>
        <w:rPr>
          <w:rFonts w:ascii="Times New Roman" w:hAnsi="Times New Roman"/>
          <w:sz w:val="30"/>
        </w:rPr>
        <w:lastRenderedPageBreak/>
        <w:t>五、相关服务机构</w:t>
      </w:r>
      <w:bookmarkEnd w:id="8"/>
    </w:p>
    <w:p w14:paraId="3697ECD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14:paraId="7D6535E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14:paraId="2ED234F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本基金直销机构为本公司直销柜台以及本公司的网上直销交易平台（网站及APP，下同）。</w:t>
      </w:r>
    </w:p>
    <w:p w14:paraId="5147A5C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14:paraId="44B085C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4309417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55215D1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7BFCA2D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2600763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7AC2E5F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21FDA02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19F5ED9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0AA838C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7298223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个人投资者可以通过本公司网上直销交易平台办理开户、本基金的申购、赎回、定期定额投资、转换等业务，具体交易细则请参阅本公司网站。</w:t>
      </w:r>
    </w:p>
    <w:p w14:paraId="5165304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 fund001.com。</w:t>
      </w:r>
    </w:p>
    <w:p w14:paraId="31F9281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2、除基金管理人之外的其他销售机构</w:t>
      </w:r>
    </w:p>
    <w:p w14:paraId="0D3CD933" w14:textId="77777777" w:rsidR="00933A26" w:rsidRDefault="00933A26" w:rsidP="00933A26">
      <w:pPr>
        <w:autoSpaceDE w:val="0"/>
        <w:autoSpaceDN w:val="0"/>
        <w:adjustRightInd w:val="0"/>
        <w:snapToGrid w:val="0"/>
        <w:spacing w:line="360" w:lineRule="auto"/>
        <w:ind w:firstLineChars="200" w:firstLine="480"/>
        <w:jc w:val="left"/>
        <w:rPr>
          <w:rFonts w:ascii="宋体" w:hAnsi="宋体"/>
          <w:sz w:val="24"/>
        </w:rPr>
      </w:pPr>
      <w:r w:rsidRPr="002D387B">
        <w:rPr>
          <w:rFonts w:ascii="宋体" w:hAnsi="宋体" w:hint="eastAsia"/>
          <w:sz w:val="24"/>
        </w:rPr>
        <w:t>本基金A类基金份额和C类基金份额除直销机构外的其他销售机构：</w:t>
      </w:r>
    </w:p>
    <w:p w14:paraId="3E85066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（1）名称：交通银行股份有限公司</w:t>
      </w:r>
    </w:p>
    <w:p w14:paraId="1054634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住所：上海市浦东新区银城中路188号</w:t>
      </w:r>
    </w:p>
    <w:p w14:paraId="1071994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办公地址：上海市浦东新区银城中路188号</w:t>
      </w:r>
    </w:p>
    <w:p w14:paraId="7111DD4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法定代表人：任德奇</w:t>
      </w:r>
    </w:p>
    <w:p w14:paraId="5562FE9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电话：（021）58781234</w:t>
      </w:r>
    </w:p>
    <w:p w14:paraId="51CE461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传真：（021）58408483</w:t>
      </w:r>
    </w:p>
    <w:p w14:paraId="7162D82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联系人：范瑞波</w:t>
      </w:r>
    </w:p>
    <w:p w14:paraId="780A880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客户服务电话：95559</w:t>
      </w:r>
    </w:p>
    <w:p w14:paraId="4710B81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网址：www.bankcomm.com</w:t>
      </w:r>
    </w:p>
    <w:p w14:paraId="67729AC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（2）名称：招商银行股份有限公司</w:t>
      </w:r>
    </w:p>
    <w:p w14:paraId="32A8910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住所：深圳市福田区深南大道7088号</w:t>
      </w:r>
    </w:p>
    <w:p w14:paraId="07D046A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办公地址：深圳市福田区深南大道7088号</w:t>
      </w:r>
    </w:p>
    <w:p w14:paraId="5C336CB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14:paraId="3BDE0EC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电话：（0755）83198888</w:t>
      </w:r>
    </w:p>
    <w:p w14:paraId="50E9DCE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传真：（0755）83195109</w:t>
      </w:r>
    </w:p>
    <w:p w14:paraId="36CB95D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联系人：季平伟</w:t>
      </w:r>
    </w:p>
    <w:p w14:paraId="3B40BE8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客户服务电话：95555</w:t>
      </w:r>
    </w:p>
    <w:p w14:paraId="3DDA6EA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网址：www.cmbchina.com</w:t>
      </w:r>
    </w:p>
    <w:p w14:paraId="7FD3D12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（3）名称：平安银行股份有限公司</w:t>
      </w:r>
    </w:p>
    <w:p w14:paraId="7C0CF41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注册地址：深圳市罗湖区深南东路5047号</w:t>
      </w:r>
    </w:p>
    <w:p w14:paraId="17FC94C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办公地址：深圳市深南东路5047号</w:t>
      </w:r>
    </w:p>
    <w:p w14:paraId="4FE49DB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法人代表：谢永林</w:t>
      </w:r>
    </w:p>
    <w:p w14:paraId="10824B6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电话：0755-22166574</w:t>
      </w:r>
    </w:p>
    <w:p w14:paraId="71932F1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传真：0755-82080406</w:t>
      </w:r>
    </w:p>
    <w:p w14:paraId="3682778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联系人：赵杨</w:t>
      </w:r>
    </w:p>
    <w:p w14:paraId="463108C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客服电话：95511-3或95501</w:t>
      </w:r>
    </w:p>
    <w:p w14:paraId="622BA39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网址：bank.pingan.com</w:t>
      </w:r>
    </w:p>
    <w:p w14:paraId="3F2FF97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（4）名称：宁波银行股份有限公司</w:t>
      </w:r>
    </w:p>
    <w:p w14:paraId="2E828F7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住所：宁波市江东区中山东路294号</w:t>
      </w:r>
    </w:p>
    <w:p w14:paraId="61C5BEE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法定代表人：陆华裕</w:t>
      </w:r>
    </w:p>
    <w:p w14:paraId="7A38E65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电话：（021）63586210</w:t>
      </w:r>
    </w:p>
    <w:p w14:paraId="73E8F28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传真：（021）63586215</w:t>
      </w:r>
    </w:p>
    <w:p w14:paraId="4AAC8F3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联系人：胡技勋</w:t>
      </w:r>
    </w:p>
    <w:p w14:paraId="58FFF68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客户服务电话：96528（上海地区962528）</w:t>
      </w:r>
    </w:p>
    <w:p w14:paraId="6EA2151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网址：www.nbcb.com.cn</w:t>
      </w:r>
    </w:p>
    <w:p w14:paraId="5B1061C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（5）名称：兴业银行股份有限公司</w:t>
      </w:r>
    </w:p>
    <w:p w14:paraId="1E841FA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注册地址：福建省福州市湖东路154号中山大厦</w:t>
      </w:r>
    </w:p>
    <w:p w14:paraId="4DC030E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办公地址：上海市浦东新区银城路 167 号兴业银行大厦</w:t>
      </w:r>
    </w:p>
    <w:p w14:paraId="611FD2F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法定代表人：吕家进</w:t>
      </w:r>
    </w:p>
    <w:p w14:paraId="1CED6CE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联系人：蔡宣铭</w:t>
      </w:r>
    </w:p>
    <w:p w14:paraId="5B76C61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联系电话：021-52629999</w:t>
      </w:r>
    </w:p>
    <w:p w14:paraId="769A055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客服热线：95561</w:t>
      </w:r>
    </w:p>
    <w:p w14:paraId="0DCCDD0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网址：www.cib.com.cn</w:t>
      </w:r>
    </w:p>
    <w:p w14:paraId="07478B4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（6）名称：德邦证券有限责任公司</w:t>
      </w:r>
    </w:p>
    <w:p w14:paraId="5EB76F7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住所：上海市普陀区曹杨路510号南半幢9楼</w:t>
      </w:r>
    </w:p>
    <w:p w14:paraId="3E3D3E4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办公地址：上海市福山路500号城建大厦26楼</w:t>
      </w:r>
    </w:p>
    <w:p w14:paraId="4E8A9C7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法定代表人：姚文平</w:t>
      </w:r>
    </w:p>
    <w:p w14:paraId="36A1019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电话：（021）68761616</w:t>
      </w:r>
    </w:p>
    <w:p w14:paraId="59C76DA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传真：（021）68767981</w:t>
      </w:r>
    </w:p>
    <w:p w14:paraId="52C5768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客户服务电话：4008-888-128</w:t>
      </w:r>
    </w:p>
    <w:p w14:paraId="7C6200D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网址：www.tebon.com.cn</w:t>
      </w:r>
    </w:p>
    <w:p w14:paraId="56C767D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（7）名称：中信证券（山东）有限责任公司</w:t>
      </w:r>
    </w:p>
    <w:p w14:paraId="3AE66E7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住所：青岛市崂山区深圳路222号1号楼2001</w:t>
      </w:r>
    </w:p>
    <w:p w14:paraId="3528347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办公地址：青岛市市南区东海西路28号龙翔广场东座5层</w:t>
      </w:r>
    </w:p>
    <w:p w14:paraId="6271179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法定代表人：姜晓林</w:t>
      </w:r>
    </w:p>
    <w:p w14:paraId="27A2C05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电话：0531-89606166</w:t>
      </w:r>
    </w:p>
    <w:p w14:paraId="29B9A43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传真：0532-85022605</w:t>
      </w:r>
    </w:p>
    <w:p w14:paraId="51DCDCC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联系人：焦刚</w:t>
      </w:r>
    </w:p>
    <w:p w14:paraId="210F2E4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客户服务电话：95548</w:t>
      </w:r>
    </w:p>
    <w:p w14:paraId="5E6F9ED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网址：sd.citics.com</w:t>
      </w:r>
    </w:p>
    <w:p w14:paraId="7B2E067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（8）名称：中信证券股份有限公司</w:t>
      </w:r>
    </w:p>
    <w:p w14:paraId="2FBA9A9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住所：广东省深圳市福田区中心三路8号卓越时代广场（二期）北座</w:t>
      </w:r>
    </w:p>
    <w:p w14:paraId="24CA1FE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办公地址：北京市朝阳区亮马桥路48号中信证券大厦</w:t>
      </w:r>
    </w:p>
    <w:p w14:paraId="793784F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法定代表人：张佑君</w:t>
      </w:r>
    </w:p>
    <w:p w14:paraId="61F5B91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电话：010-60838888</w:t>
      </w:r>
    </w:p>
    <w:p w14:paraId="2ACAD02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客服电话：95548</w:t>
      </w:r>
    </w:p>
    <w:p w14:paraId="41A0E48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网址：www.cs.ecitic.com</w:t>
      </w:r>
    </w:p>
    <w:p w14:paraId="546BDFE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（9）名称：中信证券华南股份有限公司</w:t>
      </w:r>
    </w:p>
    <w:p w14:paraId="4979074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住所：广州市天河区珠江西路5号广州国际金融中心主塔19层、20层</w:t>
      </w:r>
    </w:p>
    <w:p w14:paraId="43199D7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办公地址：广州市天河区珠江西路5号广州国际金融中心主塔19层、20层</w:t>
      </w:r>
    </w:p>
    <w:p w14:paraId="48B9BFA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法定代表人：胡伏云</w:t>
      </w:r>
    </w:p>
    <w:p w14:paraId="18FB68E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电话：020-88836999</w:t>
      </w:r>
    </w:p>
    <w:p w14:paraId="7FF5297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传真：020-88836984</w:t>
      </w:r>
    </w:p>
    <w:p w14:paraId="7B4453C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联系人：陈靖</w:t>
      </w:r>
    </w:p>
    <w:p w14:paraId="074EF74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客服电话：（020）95396</w:t>
      </w:r>
    </w:p>
    <w:p w14:paraId="7B7012C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网址：www.gzs.com.cn</w:t>
      </w:r>
    </w:p>
    <w:p w14:paraId="158CABB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（10）名称：西部证券股份有限公司</w:t>
      </w:r>
    </w:p>
    <w:p w14:paraId="50A556E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住所：陕西省西安市新城区东新街 319 号 8 幢 10000 室</w:t>
      </w:r>
    </w:p>
    <w:p w14:paraId="72032B8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办公地址：陕西省西安市新城区东新街 319 号 8 幢 10000 室</w:t>
      </w:r>
    </w:p>
    <w:p w14:paraId="7EA933C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法定代表人：徐朝晖</w:t>
      </w:r>
    </w:p>
    <w:p w14:paraId="3C3353F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电话：029-87211668</w:t>
      </w:r>
    </w:p>
    <w:p w14:paraId="182A323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p>
    <w:p w14:paraId="25D5DE0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联系人：张吉安</w:t>
      </w:r>
    </w:p>
    <w:p w14:paraId="18B4395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客户服务电话：95582</w:t>
      </w:r>
    </w:p>
    <w:p w14:paraId="5507B2C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网址：www.west95582.com</w:t>
      </w:r>
    </w:p>
    <w:p w14:paraId="2362CB7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（11）名称：广发证券股份有限公司</w:t>
      </w:r>
    </w:p>
    <w:p w14:paraId="20249D8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住所：广州市黄埔区中新广州知识城腾飞一街2号618室</w:t>
      </w:r>
    </w:p>
    <w:p w14:paraId="37BB085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办公地址：广州市天河区马场路26号广发证券大厦</w:t>
      </w:r>
    </w:p>
    <w:p w14:paraId="1D3C17C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法定代表人：孙树明</w:t>
      </w:r>
    </w:p>
    <w:p w14:paraId="2569C24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电话：（020）66338888</w:t>
      </w:r>
    </w:p>
    <w:p w14:paraId="654FF1F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传真：（020）87553600</w:t>
      </w:r>
    </w:p>
    <w:p w14:paraId="4702837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联系人：马梦洁</w:t>
      </w:r>
    </w:p>
    <w:p w14:paraId="467989C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客户服务电话：95575</w:t>
      </w:r>
    </w:p>
    <w:p w14:paraId="3FA7573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网址：www.gf.com.cn</w:t>
      </w:r>
    </w:p>
    <w:p w14:paraId="11C963C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（12）名称：天风证券股份有限公司</w:t>
      </w:r>
    </w:p>
    <w:p w14:paraId="76055C6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注册地址：湖北省武汉市东湖新技术开发区关东园路2号高科大厦4楼</w:t>
      </w:r>
    </w:p>
    <w:p w14:paraId="46B69B1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办公地址：武汉市武昌区中南路99号保利广场A座37楼</w:t>
      </w:r>
    </w:p>
    <w:p w14:paraId="666943E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法定代表人：余磊</w:t>
      </w:r>
    </w:p>
    <w:p w14:paraId="6F5FFB9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联系电话：027-87107535</w:t>
      </w:r>
    </w:p>
    <w:p w14:paraId="5043D2E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传真：027-87618863</w:t>
      </w:r>
    </w:p>
    <w:p w14:paraId="54FEDC4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联系人：王雅薇</w:t>
      </w:r>
    </w:p>
    <w:p w14:paraId="5055935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客户服务电话：95391 / 400-800-5000</w:t>
      </w:r>
    </w:p>
    <w:p w14:paraId="7E03557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网址：www.tfzq.com</w:t>
      </w:r>
    </w:p>
    <w:p w14:paraId="60F37C2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（13）名称：长城国瑞证券有限公司</w:t>
      </w:r>
    </w:p>
    <w:p w14:paraId="77EF5CD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住所：厦门市莲前西路2号莲富大厦17楼</w:t>
      </w:r>
    </w:p>
    <w:p w14:paraId="34CA123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办公地址：厦门市莲前西路2号莲富大厦17楼</w:t>
      </w:r>
    </w:p>
    <w:p w14:paraId="472A1EC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法定代表人：王勇</w:t>
      </w:r>
    </w:p>
    <w:p w14:paraId="35EC6F3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电话：（0592）5161642</w:t>
      </w:r>
    </w:p>
    <w:p w14:paraId="4A74966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传真：（0592）5161640</w:t>
      </w:r>
    </w:p>
    <w:p w14:paraId="75BA06E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联系人：赵钦</w:t>
      </w:r>
    </w:p>
    <w:p w14:paraId="7CA82CA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客户服务电话：（0592）5163588</w:t>
      </w:r>
    </w:p>
    <w:p w14:paraId="5AC4EC6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网址：www.xmzq.cn</w:t>
      </w:r>
    </w:p>
    <w:p w14:paraId="4FAF575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（14）名称：平安证券股份有限公司</w:t>
      </w:r>
    </w:p>
    <w:p w14:paraId="14B63F2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住所：深圳市福田区金田路大中华国际交易广场裙楼8楼</w:t>
      </w:r>
    </w:p>
    <w:p w14:paraId="2EA0BA5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办公地址：深圳市福田区金田路大中华国际交易广场裙楼8楼(518048)</w:t>
      </w:r>
    </w:p>
    <w:p w14:paraId="671A78C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法定代表人：杨宇翔</w:t>
      </w:r>
    </w:p>
    <w:p w14:paraId="7D98087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电话：（0755）22627802</w:t>
      </w:r>
    </w:p>
    <w:p w14:paraId="4C8A84F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传真：（0755）82400862</w:t>
      </w:r>
    </w:p>
    <w:p w14:paraId="791BE4B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联系人：郑舒丽</w:t>
      </w:r>
    </w:p>
    <w:p w14:paraId="3E237E9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客户服务电话：95511-8</w:t>
      </w:r>
    </w:p>
    <w:p w14:paraId="72BCC6A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网址：www.pingan.com</w:t>
      </w:r>
    </w:p>
    <w:p w14:paraId="4F1E571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（15）名称：中邮证券有限责任公司</w:t>
      </w:r>
    </w:p>
    <w:p w14:paraId="5A00574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注册地址：陕西省西安市唐延路5号（陕西邮政信息大厦9-11层）</w:t>
      </w:r>
    </w:p>
    <w:p w14:paraId="5A21795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办公地址：北京市东城区珠市口东大街17号</w:t>
      </w:r>
    </w:p>
    <w:p w14:paraId="5139C99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法定代表人：郭成林</w:t>
      </w:r>
    </w:p>
    <w:p w14:paraId="30F67EE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电话：010-67017788-8914</w:t>
      </w:r>
    </w:p>
    <w:p w14:paraId="7B6FBC8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传真：010-67017788</w:t>
      </w:r>
    </w:p>
    <w:p w14:paraId="08A0B25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联系人：史蕾</w:t>
      </w:r>
    </w:p>
    <w:p w14:paraId="17E6235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客户服务电话：4008-888-005</w:t>
      </w:r>
    </w:p>
    <w:p w14:paraId="72E6D73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网址：www.cnpsec.com</w:t>
      </w:r>
    </w:p>
    <w:p w14:paraId="1CDB103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（16）名称：华宝证券股份有限公司</w:t>
      </w:r>
    </w:p>
    <w:p w14:paraId="1B096FC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住所：中国上海市陆家嘴环路166号未来资产大厦27楼</w:t>
      </w:r>
    </w:p>
    <w:p w14:paraId="5412442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办公地址：中国上海市浦东新区世纪大道100号上海环球金融中心57楼</w:t>
      </w:r>
    </w:p>
    <w:p w14:paraId="5BCCF5E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陈林</w:t>
      </w:r>
    </w:p>
    <w:p w14:paraId="6102EDD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电话：（021）68777222</w:t>
      </w:r>
    </w:p>
    <w:p w14:paraId="486C520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传真：（021）68777822</w:t>
      </w:r>
    </w:p>
    <w:p w14:paraId="7E931A4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联系人：赵洁</w:t>
      </w:r>
    </w:p>
    <w:p w14:paraId="6C64D45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客户服务电话：400-820-9898</w:t>
      </w:r>
    </w:p>
    <w:p w14:paraId="7331E0E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网址：www.cnhbstock.com</w:t>
      </w:r>
    </w:p>
    <w:p w14:paraId="5B8D975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（17）名称：中信建投证券股份有限公司</w:t>
      </w:r>
    </w:p>
    <w:p w14:paraId="61F2EE7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住所：北京市朝阳区安立路66号4号楼</w:t>
      </w:r>
    </w:p>
    <w:p w14:paraId="3FB2541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办公地址：北京市朝阳门内大街188号</w:t>
      </w:r>
    </w:p>
    <w:p w14:paraId="3750FDE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法定代表人：王常青</w:t>
      </w:r>
    </w:p>
    <w:p w14:paraId="392950F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电话：（010）85130588</w:t>
      </w:r>
    </w:p>
    <w:p w14:paraId="01133F7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传真：（010）65182261</w:t>
      </w:r>
    </w:p>
    <w:p w14:paraId="5A75784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联系人：魏明</w:t>
      </w:r>
    </w:p>
    <w:p w14:paraId="6793949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客户服务电话：95587</w:t>
      </w:r>
    </w:p>
    <w:p w14:paraId="23B8E3B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网址：www.csc108.com</w:t>
      </w:r>
    </w:p>
    <w:p w14:paraId="0703A79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（18）名称：开源证券股份有限公司</w:t>
      </w:r>
    </w:p>
    <w:p w14:paraId="324003E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注册地址：陕西省西安市高新区锦业路一号都市之门B座5层</w:t>
      </w:r>
    </w:p>
    <w:p w14:paraId="5CE1639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办公地址：陕西省西安市高新区锦业路一号都市之门B座5层</w:t>
      </w:r>
    </w:p>
    <w:p w14:paraId="4DB59E8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法定代表人：李刚</w:t>
      </w:r>
    </w:p>
    <w:p w14:paraId="4B9037C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电话：13709210036</w:t>
      </w:r>
    </w:p>
    <w:p w14:paraId="76B89BB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联系人：赵东会</w:t>
      </w:r>
    </w:p>
    <w:p w14:paraId="233BA8A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网址：www.kysec.cn</w:t>
      </w:r>
    </w:p>
    <w:p w14:paraId="42C3015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客户服务电话：95321</w:t>
      </w:r>
    </w:p>
    <w:p w14:paraId="4E17302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（19）名称：招商证券股份有限公司</w:t>
      </w:r>
    </w:p>
    <w:p w14:paraId="6AA0632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住所：深圳市福田区福田街道福华一路111号</w:t>
      </w:r>
    </w:p>
    <w:p w14:paraId="26088E1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办公地址：深圳市福田区益田路江苏大厦A座38-45层</w:t>
      </w:r>
    </w:p>
    <w:p w14:paraId="314091D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法定代表人：霍达</w:t>
      </w:r>
    </w:p>
    <w:p w14:paraId="15273AB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电话：（0755）82943666</w:t>
      </w:r>
    </w:p>
    <w:p w14:paraId="1D039FD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传真：（0755）82943636</w:t>
      </w:r>
    </w:p>
    <w:p w14:paraId="2F1811D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联系人：黄婵君</w:t>
      </w:r>
    </w:p>
    <w:p w14:paraId="4972107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客户服务电话：400-8888-111，95565</w:t>
      </w:r>
    </w:p>
    <w:p w14:paraId="37EDB1F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网址：www.newone.com.cn</w:t>
      </w:r>
    </w:p>
    <w:p w14:paraId="34D2292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（20）名称：国信证券股份有限公司</w:t>
      </w:r>
    </w:p>
    <w:p w14:paraId="7D827D4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住所：深圳市罗湖区红岭中路1012号国信证券大厦16-26楼</w:t>
      </w:r>
    </w:p>
    <w:p w14:paraId="120C4BF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办公地址：深圳市罗湖区红岭中路1012号国信证券大厦16-26楼</w:t>
      </w:r>
    </w:p>
    <w:p w14:paraId="7CCBB18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法定代表人：何如</w:t>
      </w:r>
    </w:p>
    <w:p w14:paraId="2D665D9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电话：（0755）82130833</w:t>
      </w:r>
    </w:p>
    <w:p w14:paraId="4B22144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传真：（0755）82133952</w:t>
      </w:r>
    </w:p>
    <w:p w14:paraId="75716D4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联系人：周杨</w:t>
      </w:r>
    </w:p>
    <w:p w14:paraId="1B7AAD3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客户服务电话：95536</w:t>
      </w:r>
    </w:p>
    <w:p w14:paraId="4C54D2A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网址：www.guosen.com.cn</w:t>
      </w:r>
    </w:p>
    <w:p w14:paraId="6D22342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（21）名称：国泰君安证券股份有限公司</w:t>
      </w:r>
    </w:p>
    <w:p w14:paraId="54385E3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注册地址：中国（上海）自由贸易试验区商城路618号</w:t>
      </w:r>
    </w:p>
    <w:p w14:paraId="118342E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办公地址：上海市静安区南京西路768号国泰君安大厦</w:t>
      </w:r>
    </w:p>
    <w:p w14:paraId="73AAEA2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法定代表人：贺青</w:t>
      </w:r>
    </w:p>
    <w:p w14:paraId="7EE6415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联系电话：021-38676666</w:t>
      </w:r>
    </w:p>
    <w:p w14:paraId="6264CE9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传真：021-38670666</w:t>
      </w:r>
    </w:p>
    <w:p w14:paraId="50555A2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联系人：朱雅崴</w:t>
      </w:r>
    </w:p>
    <w:p w14:paraId="757177D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服务热线 : 95521 / 4008888666</w:t>
      </w:r>
    </w:p>
    <w:p w14:paraId="1D0E765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网址：www.gtja.com</w:t>
      </w:r>
    </w:p>
    <w:p w14:paraId="4EDF240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（22）名称：国金证券股份有限公司</w:t>
      </w:r>
    </w:p>
    <w:p w14:paraId="6176D9E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住所：四川省成都市东城根上街95号</w:t>
      </w:r>
    </w:p>
    <w:p w14:paraId="2791F17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办公地址：成都市东城根上街95号</w:t>
      </w:r>
    </w:p>
    <w:p w14:paraId="24EA5DA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法定代表人：冉云</w:t>
      </w:r>
    </w:p>
    <w:p w14:paraId="4E183C5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电话：（028）86690057，（028）86690058</w:t>
      </w:r>
    </w:p>
    <w:p w14:paraId="12D0B46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传真：（028）86690126</w:t>
      </w:r>
    </w:p>
    <w:p w14:paraId="6BA657A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联系人：刘婧漪 贾鹏</w:t>
      </w:r>
    </w:p>
    <w:p w14:paraId="677D288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客户服务电话：95310</w:t>
      </w:r>
    </w:p>
    <w:p w14:paraId="4789EB1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网址：www.gjzq.com.cn</w:t>
      </w:r>
    </w:p>
    <w:p w14:paraId="110B9AF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（23）名称：方正证券股份有限公司</w:t>
      </w:r>
    </w:p>
    <w:p w14:paraId="054564A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住所：湖南长沙芙蓉中路二段华侨国际大厦22-24层</w:t>
      </w:r>
    </w:p>
    <w:p w14:paraId="5234245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办公地址：湖南长沙芙蓉中路二段华侨国际大厦22-24层</w:t>
      </w:r>
    </w:p>
    <w:p w14:paraId="356372E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法定代表人：雷杰</w:t>
      </w:r>
    </w:p>
    <w:p w14:paraId="433CCCF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电话：（010）68546765</w:t>
      </w:r>
    </w:p>
    <w:p w14:paraId="0E8FAB3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传真：（010）68546792</w:t>
      </w:r>
    </w:p>
    <w:p w14:paraId="38A76EF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联系人：徐锦福</w:t>
      </w:r>
    </w:p>
    <w:p w14:paraId="0A59A0E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客户服务电话：95571</w:t>
      </w:r>
    </w:p>
    <w:p w14:paraId="2B7D775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网址：www.foundersc.com</w:t>
      </w:r>
    </w:p>
    <w:p w14:paraId="0758D0E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（24）名称：海通证券股份有限公司</w:t>
      </w:r>
    </w:p>
    <w:p w14:paraId="7553D90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住所：上海市淮海中路98号</w:t>
      </w:r>
    </w:p>
    <w:p w14:paraId="2CB9E5F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办公地址：上海市广东路689号</w:t>
      </w:r>
    </w:p>
    <w:p w14:paraId="72B726E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法定代表人：王开国</w:t>
      </w:r>
    </w:p>
    <w:p w14:paraId="775BD89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电话：（021）23219000</w:t>
      </w:r>
    </w:p>
    <w:p w14:paraId="1990D1B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传真：（021）23219100</w:t>
      </w:r>
    </w:p>
    <w:p w14:paraId="63CAA15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联系人：李笑鸣</w:t>
      </w:r>
    </w:p>
    <w:p w14:paraId="6F9B649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客户服务电话：95553或拨打各城市营业网点咨询电话</w:t>
      </w:r>
    </w:p>
    <w:p w14:paraId="376F99C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网址：www.htsec.com"</w:t>
      </w:r>
    </w:p>
    <w:p w14:paraId="4F6A35F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（25）名称：华龙证券股份有限公司</w:t>
      </w:r>
    </w:p>
    <w:p w14:paraId="38A4143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住所：兰州市城关区东岗西路638号财富中心</w:t>
      </w:r>
    </w:p>
    <w:p w14:paraId="09A7C47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办公地址：兰州市城关区东岗西路638号财富中心</w:t>
      </w:r>
    </w:p>
    <w:p w14:paraId="0428DE3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法定代表人：李晓安</w:t>
      </w:r>
    </w:p>
    <w:p w14:paraId="2EE1239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电话：（0931）4890208</w:t>
      </w:r>
    </w:p>
    <w:p w14:paraId="0E203D1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传真：（0931）4890628</w:t>
      </w:r>
    </w:p>
    <w:p w14:paraId="05D55DC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联系人：李昕田</w:t>
      </w:r>
    </w:p>
    <w:p w14:paraId="657B3F6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客户服务电话：4006898888、（0931）4890208</w:t>
      </w:r>
    </w:p>
    <w:p w14:paraId="443C67C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网址：www.hlzqgs.com</w:t>
      </w:r>
    </w:p>
    <w:p w14:paraId="5C650AF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（26）名称：东方证券股份有限公司</w:t>
      </w:r>
    </w:p>
    <w:p w14:paraId="2B6273E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住所：上海市中山南路318号2号楼22层-29层</w:t>
      </w:r>
    </w:p>
    <w:p w14:paraId="7B0469E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法定代表人：王益民</w:t>
      </w:r>
    </w:p>
    <w:p w14:paraId="735EF98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电话：（021）63325888</w:t>
      </w:r>
    </w:p>
    <w:p w14:paraId="1D98E9E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传真：（021）63326173</w:t>
      </w:r>
    </w:p>
    <w:p w14:paraId="0E51D54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联系人：吴宇</w:t>
      </w:r>
    </w:p>
    <w:p w14:paraId="746FCB8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客户服务电话：95503</w:t>
      </w:r>
    </w:p>
    <w:p w14:paraId="7FDFBF7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网址：www.dfzq.com.cn</w:t>
      </w:r>
    </w:p>
    <w:p w14:paraId="45C27A0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（27）名称：北京钱景财富投资管理有限公司</w:t>
      </w:r>
    </w:p>
    <w:p w14:paraId="50D0210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住所：北京市海淀区丹棱街6幢1号9层1008-1012</w:t>
      </w:r>
    </w:p>
    <w:p w14:paraId="5B8F019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办公地址：北京市海淀区丹棱街6幢1号9层1008-1012</w:t>
      </w:r>
    </w:p>
    <w:p w14:paraId="183E1DE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法定代表人：赵荣春</w:t>
      </w:r>
    </w:p>
    <w:p w14:paraId="220F264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电话：（010）57418829</w:t>
      </w:r>
    </w:p>
    <w:p w14:paraId="3A3B499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传真：（010）57569671</w:t>
      </w:r>
    </w:p>
    <w:p w14:paraId="0F8294E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魏争</w:t>
      </w:r>
    </w:p>
    <w:p w14:paraId="1F97F9A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400-678-5095</w:t>
      </w:r>
    </w:p>
    <w:p w14:paraId="24504B7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网址：www.niuji.net</w:t>
      </w:r>
    </w:p>
    <w:p w14:paraId="376AD92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（28）名称：北京唐鼎耀华投资咨询有限公司</w:t>
      </w:r>
    </w:p>
    <w:p w14:paraId="1918D83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住所：北京市延庆县延庆经济开发区百泉街10号2栋236室</w:t>
      </w:r>
    </w:p>
    <w:p w14:paraId="692AF71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办公地址：北京市朝阳区东三环北路38号院1号泰康金融中心38层</w:t>
      </w:r>
    </w:p>
    <w:p w14:paraId="3057048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法定代表人：张冠宇</w:t>
      </w:r>
    </w:p>
    <w:p w14:paraId="1555859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电话：（010）85870662</w:t>
      </w:r>
    </w:p>
    <w:p w14:paraId="0CF29D7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传真：（010）59200800</w:t>
      </w:r>
    </w:p>
    <w:p w14:paraId="528FAD2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刘美薇</w:t>
      </w:r>
    </w:p>
    <w:p w14:paraId="6CF1AF1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客户服务电话：400-819-9868</w:t>
      </w:r>
    </w:p>
    <w:p w14:paraId="0ED6F8F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网址：www.tdyhfund.com</w:t>
      </w:r>
    </w:p>
    <w:p w14:paraId="681A266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（29）名称：珠海盈米财富管理有限公司</w:t>
      </w:r>
    </w:p>
    <w:p w14:paraId="4E40DF6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住所：珠海市横琴新区宝华路6号105室-3491</w:t>
      </w:r>
    </w:p>
    <w:p w14:paraId="29C6D73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办公地址：广州市海珠区琶洲大道东1号保利国际广场南塔12楼B1201-1203</w:t>
      </w:r>
    </w:p>
    <w:p w14:paraId="4C3B5BA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法定代表人：肖雯</w:t>
      </w:r>
    </w:p>
    <w:p w14:paraId="1C380D7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电话：（020）89629099</w:t>
      </w:r>
    </w:p>
    <w:p w14:paraId="2D69EC2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传真：（020）89629011</w:t>
      </w:r>
    </w:p>
    <w:p w14:paraId="5396083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联系人：黄敏嫦</w:t>
      </w:r>
    </w:p>
    <w:p w14:paraId="3DC5CA3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客户服务电话：（020）89629066</w:t>
      </w:r>
    </w:p>
    <w:p w14:paraId="67ECA96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网址：www.yingmi.cn</w:t>
      </w:r>
    </w:p>
    <w:p w14:paraId="7D2CB2E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（30）名称：嘉实财富管理有限公司</w:t>
      </w:r>
    </w:p>
    <w:p w14:paraId="36D949B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住所：上海市浦东新区世纪大道8号上海国金中心办公楼二期53层5312-15单元</w:t>
      </w:r>
    </w:p>
    <w:p w14:paraId="48EE226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办公地址：北京市朝阳区建国路91号金地中心A座6层</w:t>
      </w:r>
    </w:p>
    <w:p w14:paraId="72AA042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赵学军</w:t>
      </w:r>
    </w:p>
    <w:p w14:paraId="7F6F5F3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电话：（021）38789658</w:t>
      </w:r>
    </w:p>
    <w:p w14:paraId="6EA44FE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传真：（021）68880023</w:t>
      </w:r>
    </w:p>
    <w:p w14:paraId="3099BD5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王宫</w:t>
      </w:r>
    </w:p>
    <w:p w14:paraId="1502630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客户服务电话：400-021-8850</w:t>
      </w:r>
    </w:p>
    <w:p w14:paraId="179E50B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www.harvestwm.cn</w:t>
      </w:r>
    </w:p>
    <w:p w14:paraId="2F8AA33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（31）名称：北京汇成基金销售有限公司</w:t>
      </w:r>
    </w:p>
    <w:p w14:paraId="74A54E8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住所：北京市西城区宣武门外大街甲1号4层401-2</w:t>
      </w:r>
    </w:p>
    <w:p w14:paraId="04C3469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办公地址：北京市西城区宣武门外大街甲1号环球财讯中心D座4层401-2</w:t>
      </w:r>
    </w:p>
    <w:p w14:paraId="527736A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法定代表人：王伟刚</w:t>
      </w:r>
    </w:p>
    <w:p w14:paraId="4278F99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电话：（010）56282140</w:t>
      </w:r>
    </w:p>
    <w:p w14:paraId="360CDE6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传真：（010）62680827</w:t>
      </w:r>
    </w:p>
    <w:p w14:paraId="26BD754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14:paraId="4D4A014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客户服务电话：400-619-9059</w:t>
      </w:r>
    </w:p>
    <w:p w14:paraId="2B20201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网址：www.hcfunds.com</w:t>
      </w:r>
    </w:p>
    <w:p w14:paraId="0A7BF2A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（32）名称：上海利得基金销售有限公司</w:t>
      </w:r>
    </w:p>
    <w:p w14:paraId="501840B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上海浦东新区峨山路91弄61号陆家嘴软件园10号楼12楼</w:t>
      </w:r>
    </w:p>
    <w:p w14:paraId="4D777CB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办公地址：上海浦东新区峨山路91弄61号陆家嘴软件园10号楼12楼</w:t>
      </w:r>
    </w:p>
    <w:p w14:paraId="7BF8DA0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法定代表人：沈继伟</w:t>
      </w:r>
    </w:p>
    <w:p w14:paraId="14D09B4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电话：021-50583533</w:t>
      </w:r>
    </w:p>
    <w:p w14:paraId="21E0D15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传真：021-50583633</w:t>
      </w:r>
    </w:p>
    <w:p w14:paraId="48CB264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徐鹏</w:t>
      </w:r>
    </w:p>
    <w:p w14:paraId="34887CC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客服电话：400-005-6355</w:t>
      </w:r>
    </w:p>
    <w:p w14:paraId="732802A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网址：a.leadfund.com.cn</w:t>
      </w:r>
    </w:p>
    <w:p w14:paraId="60FBE15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（33）名称：上海凯石财富基金销售有限公司</w:t>
      </w:r>
    </w:p>
    <w:p w14:paraId="3A00CAD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住所：上海市黄浦区西藏南路765号602-115室</w:t>
      </w:r>
    </w:p>
    <w:p w14:paraId="4B72FDE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办公地址：上海市黄浦区延安东路1号凯石大厦4楼</w:t>
      </w:r>
    </w:p>
    <w:p w14:paraId="1582CE8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法定代表人：陈继武</w:t>
      </w:r>
    </w:p>
    <w:p w14:paraId="5638C09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电话：021-63333319</w:t>
      </w:r>
    </w:p>
    <w:p w14:paraId="5A41549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传真：021-63332523</w:t>
      </w:r>
    </w:p>
    <w:p w14:paraId="1758239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联系人：李晓明</w:t>
      </w:r>
    </w:p>
    <w:p w14:paraId="2B5A2AC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 178 000</w:t>
      </w:r>
    </w:p>
    <w:p w14:paraId="3D28D73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网址：www.lingxianfund.com</w:t>
      </w:r>
    </w:p>
    <w:p w14:paraId="62D5EDB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（34）名称：北京虹点基金销售有限公司</w:t>
      </w:r>
    </w:p>
    <w:p w14:paraId="440C716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住所：北京市朝阳区工人体育场北路甲2号裙房2层222单元</w:t>
      </w:r>
    </w:p>
    <w:p w14:paraId="2C68191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办公地址：北京市朝阳区工人体育场北路甲2号裙房2层222单元</w:t>
      </w:r>
    </w:p>
    <w:p w14:paraId="3096A36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法定代表人：胡伟</w:t>
      </w:r>
    </w:p>
    <w:p w14:paraId="1E07746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电话：（010）65951887</w:t>
      </w:r>
    </w:p>
    <w:p w14:paraId="1F0A0A1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传真：（010）65951887</w:t>
      </w:r>
    </w:p>
    <w:p w14:paraId="5F319FF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联系人：姜颖</w:t>
      </w:r>
    </w:p>
    <w:p w14:paraId="0DD2CCD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客户服务电话：400-618-0707</w:t>
      </w:r>
    </w:p>
    <w:p w14:paraId="6B09A64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网址：www.hongdianfund.com/</w:t>
      </w:r>
    </w:p>
    <w:p w14:paraId="6C3CDEE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（35）名称：上海陆金所资产管理有限公司</w:t>
      </w:r>
    </w:p>
    <w:p w14:paraId="763F964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住所：上海市浦东新区陆家嘴环路1333号14楼09单元</w:t>
      </w:r>
    </w:p>
    <w:p w14:paraId="0075570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办公地址：上海市浦东新区陆家嘴环路1333号14楼</w:t>
      </w:r>
    </w:p>
    <w:p w14:paraId="309929D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法定代表人：郭坚</w:t>
      </w:r>
    </w:p>
    <w:p w14:paraId="7EE63B8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电话：（021）20665952</w:t>
      </w:r>
    </w:p>
    <w:p w14:paraId="6187628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传真：（021）22066653</w:t>
      </w:r>
    </w:p>
    <w:p w14:paraId="21DBD69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联系人：宁博宇</w:t>
      </w:r>
    </w:p>
    <w:p w14:paraId="09C4613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客户服务电话：4008219031</w:t>
      </w:r>
    </w:p>
    <w:p w14:paraId="4DD2F05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网址：www.lufunds.com</w:t>
      </w:r>
    </w:p>
    <w:p w14:paraId="305C417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（36）名称：上海挖财金融信息服务有限公司</w:t>
      </w:r>
    </w:p>
    <w:p w14:paraId="5E48E4C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住所：中国（上海）自由贸易试验区杨高南路799号5层01、02、03室</w:t>
      </w:r>
    </w:p>
    <w:p w14:paraId="2D7D58A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办公地址：中国（上海）自由贸易试验区杨高南路799号5层01、02、03室</w:t>
      </w:r>
    </w:p>
    <w:p w14:paraId="3CBE8E2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胡燕亮</w:t>
      </w:r>
    </w:p>
    <w:p w14:paraId="7561453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电话：（021）50810687</w:t>
      </w:r>
    </w:p>
    <w:p w14:paraId="2FA8316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传真：（021）58300279</w:t>
      </w:r>
    </w:p>
    <w:p w14:paraId="627C3D1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李娟</w:t>
      </w:r>
    </w:p>
    <w:p w14:paraId="533FB0A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客户服务电话：（021）50810673</w:t>
      </w:r>
    </w:p>
    <w:p w14:paraId="4D69040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网址：www.wacaijijin.com</w:t>
      </w:r>
    </w:p>
    <w:p w14:paraId="50CD83E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（37）名称：天津万家财富资产管理有限公司</w:t>
      </w:r>
    </w:p>
    <w:p w14:paraId="774AD1B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住所：天津自贸区（中心商务区）迎宾大道1988号滨海浙商大厦公寓2-2413室</w:t>
      </w:r>
    </w:p>
    <w:p w14:paraId="0C5C69A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办公地址：北京市西城区丰盛胡同28号太平洋保险大厦5层</w:t>
      </w:r>
    </w:p>
    <w:p w14:paraId="504DA4B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法定代表人：李修辞</w:t>
      </w:r>
    </w:p>
    <w:p w14:paraId="4DB444F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电话：（010）59013828</w:t>
      </w:r>
    </w:p>
    <w:p w14:paraId="17C76F3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传真：（010）59013707</w:t>
      </w:r>
    </w:p>
    <w:p w14:paraId="5902212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联系人：王芳芳</w:t>
      </w:r>
    </w:p>
    <w:p w14:paraId="41BF2B1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客户服务电话：010-59013842</w:t>
      </w:r>
    </w:p>
    <w:p w14:paraId="5DE4DB3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网址：http://www.wanjiawealth.com/</w:t>
      </w:r>
    </w:p>
    <w:p w14:paraId="2FBB6A6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（38）名称：上海万得基金销售有限公司</w:t>
      </w:r>
    </w:p>
    <w:p w14:paraId="43ED066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住所：中国（上海）自由贸易试验区福山路33号11楼B座</w:t>
      </w:r>
    </w:p>
    <w:p w14:paraId="771C286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办公地址：上海市浦东新区福山路33号9楼</w:t>
      </w:r>
    </w:p>
    <w:p w14:paraId="0E463EE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王廷富</w:t>
      </w:r>
    </w:p>
    <w:p w14:paraId="37E8BF5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电话：021-50712782</w:t>
      </w:r>
    </w:p>
    <w:p w14:paraId="77027EF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传真：021-50710161</w:t>
      </w:r>
    </w:p>
    <w:p w14:paraId="35CDD9A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徐亚丹</w:t>
      </w:r>
    </w:p>
    <w:p w14:paraId="35244C6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客户服务电话：400-821-0203</w:t>
      </w:r>
    </w:p>
    <w:p w14:paraId="4C94497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www.520fund.com.cn</w:t>
      </w:r>
    </w:p>
    <w:p w14:paraId="6FD219B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（39）名称：格上富信投资顾问有限公司</w:t>
      </w:r>
    </w:p>
    <w:p w14:paraId="6A324F8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住所：北京市朝阳区东三环北路19号楼701内09室</w:t>
      </w:r>
    </w:p>
    <w:p w14:paraId="2721252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办公地址：北京市朝阳区东三环北路19号楼701内09室</w:t>
      </w:r>
    </w:p>
    <w:p w14:paraId="3D9A93A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法定代表人：李悦章</w:t>
      </w:r>
    </w:p>
    <w:p w14:paraId="6E1FECC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电话：（010）85594745</w:t>
      </w:r>
    </w:p>
    <w:p w14:paraId="59CC3A9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传真：（010）65983333</w:t>
      </w:r>
    </w:p>
    <w:p w14:paraId="0AF126C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14:paraId="6068507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客户服务电话：400-066-8586</w:t>
      </w:r>
    </w:p>
    <w:p w14:paraId="1CE2DDD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网址：www.igesafe.com</w:t>
      </w:r>
    </w:p>
    <w:p w14:paraId="46652BF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（40）名称：深圳市金斧子基金销售有限公司</w:t>
      </w:r>
    </w:p>
    <w:p w14:paraId="325478A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住所：深圳市南山区粤海街道科苑路16号东方科技大厦18楼</w:t>
      </w:r>
    </w:p>
    <w:p w14:paraId="6DA6456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办公地址：深圳市南山区粤海街道科苑路科兴科学园B3单元7楼</w:t>
      </w:r>
    </w:p>
    <w:p w14:paraId="1EC2A33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法定代表人：赖任军</w:t>
      </w:r>
    </w:p>
    <w:p w14:paraId="2BFB6FF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电话：（0755）66892301</w:t>
      </w:r>
    </w:p>
    <w:p w14:paraId="6803E09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传真：（0755）66892399</w:t>
      </w:r>
    </w:p>
    <w:p w14:paraId="77CB52E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联系人：张烨</w:t>
      </w:r>
    </w:p>
    <w:p w14:paraId="4E391AA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客户服务电话：400-9500-888</w:t>
      </w:r>
    </w:p>
    <w:p w14:paraId="7FC12AE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网址：www.jfzinv.com</w:t>
      </w:r>
    </w:p>
    <w:p w14:paraId="3097A16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（41）名称：凤凰金信（银川）投资管理有限公司</w:t>
      </w:r>
    </w:p>
    <w:p w14:paraId="4417E35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住所：宁夏回族自治区银川市金凤区阅海湾中央商务区万寿路142号14层1402(750000)</w:t>
      </w:r>
    </w:p>
    <w:p w14:paraId="6378F17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办公地址：北京市朝阳区紫月路18号院朝来高科技产业园18号楼 (100000)</w:t>
      </w:r>
    </w:p>
    <w:p w14:paraId="31D46E4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法定代表人：程刚</w:t>
      </w:r>
    </w:p>
    <w:p w14:paraId="3D97399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电话：（010）58160168</w:t>
      </w:r>
    </w:p>
    <w:p w14:paraId="6D8823C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传真：（010）58160173</w:t>
      </w:r>
    </w:p>
    <w:p w14:paraId="1AD05FC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联系人：张旭</w:t>
      </w:r>
    </w:p>
    <w:p w14:paraId="46F840C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客户服务电话：400-810-5919</w:t>
      </w:r>
    </w:p>
    <w:p w14:paraId="3CD9A4B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网址：www.fengfd.com</w:t>
      </w:r>
    </w:p>
    <w:p w14:paraId="0491414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（42）名称：北京雪球基金销售有限公司</w:t>
      </w:r>
    </w:p>
    <w:p w14:paraId="5381DBC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住所：北京市朝阳区阜通东大街1号院6号楼2单元21层222507</w:t>
      </w:r>
    </w:p>
    <w:p w14:paraId="37D8D70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办公地址：北京市朝阳区创远路 34 号院融新科技中心 C 座 17 层</w:t>
      </w:r>
    </w:p>
    <w:p w14:paraId="14BE05C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法定代表人：钟斐斐</w:t>
      </w:r>
    </w:p>
    <w:p w14:paraId="58F176A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电话：（010）61840688</w:t>
      </w:r>
    </w:p>
    <w:p w14:paraId="4261645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传真：（010）84997571</w:t>
      </w:r>
    </w:p>
    <w:p w14:paraId="2D544E7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联系人：侯芳芳</w:t>
      </w:r>
    </w:p>
    <w:p w14:paraId="1653807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客户服务电话：400-1599-288</w:t>
      </w:r>
    </w:p>
    <w:p w14:paraId="1C74A03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网址：https://danjuanapp.com</w:t>
      </w:r>
    </w:p>
    <w:p w14:paraId="413313E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（43）名称：北京新浪仓石基金销售有限公司</w:t>
      </w:r>
    </w:p>
    <w:p w14:paraId="5F9062E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住所：北京市海淀区东北旺西路中关村软件园二期(西扩)N-1、N-2地块新浪总部科研楼5层518室</w:t>
      </w:r>
    </w:p>
    <w:p w14:paraId="412F492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办公地址：北京市海淀区东北旺西路中关村软件园二期(西扩)N-1、N-2地块新浪总部科研楼5层518室</w:t>
      </w:r>
    </w:p>
    <w:p w14:paraId="4E15519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法定代表人：李昭琛</w:t>
      </w:r>
    </w:p>
    <w:p w14:paraId="22E7656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电话：（010）60619607</w:t>
      </w:r>
    </w:p>
    <w:p w14:paraId="2229AA3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传真：8610-62676582</w:t>
      </w:r>
    </w:p>
    <w:p w14:paraId="337491C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联系人：付文红</w:t>
      </w:r>
    </w:p>
    <w:p w14:paraId="1A09017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客户服务电话：（010）62675369</w:t>
      </w:r>
    </w:p>
    <w:p w14:paraId="668A165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网址：www.xincai.com</w:t>
      </w:r>
    </w:p>
    <w:p w14:paraId="5A87AE7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（44）名称：中证金牛（北京）投资咨询有限公司</w:t>
      </w:r>
    </w:p>
    <w:p w14:paraId="223DFC0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北京市丰台区东管头1号2号楼2-45室</w:t>
      </w:r>
    </w:p>
    <w:p w14:paraId="3EFA73B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北京市西城区宣武门外大街甲一号环球财讯中心A座5层</w:t>
      </w:r>
    </w:p>
    <w:p w14:paraId="2936A8F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钱昊旻</w:t>
      </w:r>
    </w:p>
    <w:p w14:paraId="30FC27D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电话：（010）59336533</w:t>
      </w:r>
    </w:p>
    <w:p w14:paraId="5491AB2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传真：（010）59336500</w:t>
      </w:r>
    </w:p>
    <w:p w14:paraId="7360435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孟汉霄</w:t>
      </w:r>
    </w:p>
    <w:p w14:paraId="4F04860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客户服务电话：4008-909-998</w:t>
      </w:r>
    </w:p>
    <w:p w14:paraId="7B97569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www.jnlc.com</w:t>
      </w:r>
    </w:p>
    <w:p w14:paraId="77E1F60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（45）名称：上海云湾投资管理有限公司</w:t>
      </w:r>
    </w:p>
    <w:p w14:paraId="32A98C9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住所：中国（上海）自由贸易试验区新金桥路27号13号楼2层，200127</w:t>
      </w:r>
    </w:p>
    <w:p w14:paraId="2D827EE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办公地址：上海市锦康路308号6号楼6层</w:t>
      </w:r>
    </w:p>
    <w:p w14:paraId="024B30C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法定代表人：戴新装</w:t>
      </w:r>
    </w:p>
    <w:p w14:paraId="199BC38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电话：（021）20538888</w:t>
      </w:r>
    </w:p>
    <w:p w14:paraId="07A8B51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传真：（021）20538999</w:t>
      </w:r>
    </w:p>
    <w:p w14:paraId="6E38E45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联系人：江辉</w:t>
      </w:r>
    </w:p>
    <w:p w14:paraId="179BB58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客户服务电话：400-820-1515</w:t>
      </w:r>
    </w:p>
    <w:p w14:paraId="4B905F4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网址：www.zhengtongfunds.com</w:t>
      </w:r>
    </w:p>
    <w:p w14:paraId="7CA4E39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（46）名称：北京创金启富基金销售有限公司</w:t>
      </w:r>
    </w:p>
    <w:p w14:paraId="5CBBF0C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北京市西城区民丰胡同31号中水大厦215A</w:t>
      </w:r>
    </w:p>
    <w:p w14:paraId="31118CF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办公地址：北京市西城区白纸坊东街2号经济日报社A综合楼712室</w:t>
      </w:r>
    </w:p>
    <w:p w14:paraId="0959A4D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法定代表人：梁蓉</w:t>
      </w:r>
    </w:p>
    <w:p w14:paraId="4F14AB8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电话：（010）66154828</w:t>
      </w:r>
    </w:p>
    <w:p w14:paraId="670576C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传真：（010）63583991</w:t>
      </w:r>
    </w:p>
    <w:p w14:paraId="57AB234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联系人：李婷婷</w:t>
      </w:r>
    </w:p>
    <w:p w14:paraId="5B7583A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客户服务电话：400-6262-818</w:t>
      </w:r>
    </w:p>
    <w:p w14:paraId="4649941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www.5irich.com</w:t>
      </w:r>
    </w:p>
    <w:p w14:paraId="0FC2DCB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（47）名称：奕丰基金销售有限公司</w:t>
      </w:r>
    </w:p>
    <w:p w14:paraId="419A58A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14:paraId="5949033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办公地址：深圳市南山区海德三路海岸大厦A座17楼1704室</w:t>
      </w:r>
    </w:p>
    <w:p w14:paraId="610E614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法定代表人：TEO WEE HOWE</w:t>
      </w:r>
    </w:p>
    <w:p w14:paraId="7FB6AF0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电话：（0755）89460500</w:t>
      </w:r>
    </w:p>
    <w:p w14:paraId="1E651E9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传真：（0755）21674453</w:t>
      </w:r>
    </w:p>
    <w:p w14:paraId="2852931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联系人：叶健</w:t>
      </w:r>
    </w:p>
    <w:p w14:paraId="02E1C13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客户服务电话：400-684-0500</w:t>
      </w:r>
    </w:p>
    <w:p w14:paraId="29BDDEA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网址：www.ifastps.com.cn</w:t>
      </w:r>
    </w:p>
    <w:p w14:paraId="741382A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（48）名称：北京中植基金销售有限公司</w:t>
      </w:r>
    </w:p>
    <w:p w14:paraId="2B89788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住所：北京市经济技术开发区宏达北路10号五层5122室</w:t>
      </w:r>
    </w:p>
    <w:p w14:paraId="53E082F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办公地址：北京市朝阳区东三环北路甲19号SOHO嘉盛中心30层3001室</w:t>
      </w:r>
    </w:p>
    <w:p w14:paraId="670D2DF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w:t>
      </w:r>
    </w:p>
    <w:p w14:paraId="7FA9870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电话：（010）56642600</w:t>
      </w:r>
    </w:p>
    <w:p w14:paraId="25AE85D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传真：（010）56642623</w:t>
      </w:r>
    </w:p>
    <w:p w14:paraId="33506E1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联系人：张晔</w:t>
      </w:r>
    </w:p>
    <w:p w14:paraId="2F9BD63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客户服务电话：4007868868</w:t>
      </w:r>
    </w:p>
    <w:p w14:paraId="0876243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网址：www.zzfund.com</w:t>
      </w:r>
    </w:p>
    <w:p w14:paraId="375763B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（49）名称：上海天天基金销售有限公司</w:t>
      </w:r>
    </w:p>
    <w:p w14:paraId="2E98226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住所：上海市徐汇区龙田路190号2号楼2层</w:t>
      </w:r>
    </w:p>
    <w:p w14:paraId="1D6C2CC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办公地址：上海市徐汇区龙田路195号3C座10楼</w:t>
      </w:r>
    </w:p>
    <w:p w14:paraId="59FF591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法定代表人：其实</w:t>
      </w:r>
    </w:p>
    <w:p w14:paraId="340A808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电话：（021）54509998</w:t>
      </w:r>
    </w:p>
    <w:p w14:paraId="11F2AB5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传真：（021）64385308</w:t>
      </w:r>
    </w:p>
    <w:p w14:paraId="25A3133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联系人：潘世友</w:t>
      </w:r>
    </w:p>
    <w:p w14:paraId="7C245E0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客户服务电话：400-1818-188</w:t>
      </w:r>
    </w:p>
    <w:p w14:paraId="1A37E57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网址：www.1234567.com.cn</w:t>
      </w:r>
    </w:p>
    <w:p w14:paraId="6D6C006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（50）名称：和讯信息科技有限公司</w:t>
      </w:r>
    </w:p>
    <w:p w14:paraId="6357F29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住所：北京市朝阳区朝外大街22号泛利大厦10层</w:t>
      </w:r>
    </w:p>
    <w:p w14:paraId="4001706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办公地址：北京市朝阳区朝外大街22号泛利大厦10层</w:t>
      </w:r>
    </w:p>
    <w:p w14:paraId="1242F7F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法定代表人：王莉</w:t>
      </w:r>
    </w:p>
    <w:p w14:paraId="2E2E931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电话：（021）20835789</w:t>
      </w:r>
    </w:p>
    <w:p w14:paraId="4BCCEE0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传真：（021）20835879</w:t>
      </w:r>
    </w:p>
    <w:p w14:paraId="0FD58B1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联系人：周轶</w:t>
      </w:r>
    </w:p>
    <w:p w14:paraId="0E45E2C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客户服务电话：4009200022</w:t>
      </w:r>
    </w:p>
    <w:p w14:paraId="2A1A861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网址：http://licaike.hexun.com/</w:t>
      </w:r>
    </w:p>
    <w:p w14:paraId="56974CB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（51）名称：诺亚正行(上海)基金销售投资顾问有限公司</w:t>
      </w:r>
    </w:p>
    <w:p w14:paraId="0565F37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住所：上海市虹口区飞虹路360弄9号3724室</w:t>
      </w:r>
    </w:p>
    <w:p w14:paraId="333951C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办公地址：上海杨浦区秦皇岛路32号C栋 2楼</w:t>
      </w:r>
    </w:p>
    <w:p w14:paraId="39021DD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法定代表人：汪静波</w:t>
      </w:r>
    </w:p>
    <w:p w14:paraId="213EF0C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电话：（021）38600735</w:t>
      </w:r>
    </w:p>
    <w:p w14:paraId="06A80D4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传真：（021）38509777</w:t>
      </w:r>
    </w:p>
    <w:p w14:paraId="7812812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联系人：方成</w:t>
      </w:r>
    </w:p>
    <w:p w14:paraId="78F2D5D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客户服务电话：400-821-5399</w:t>
      </w:r>
    </w:p>
    <w:p w14:paraId="17029D5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网址：www.noah-fund.com</w:t>
      </w:r>
    </w:p>
    <w:p w14:paraId="5A5B767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（52）名称：上海好买基金销售有限公司</w:t>
      </w:r>
    </w:p>
    <w:p w14:paraId="01DC74D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住所：上海市虹口区场中路685弄37号4号楼449室</w:t>
      </w:r>
    </w:p>
    <w:p w14:paraId="017C46F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办公地址：上海市浦东新区浦东南路1118号鄂尔多斯国际大厦903-906室</w:t>
      </w:r>
    </w:p>
    <w:p w14:paraId="17BBFF5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法定代表人：杨文斌</w:t>
      </w:r>
    </w:p>
    <w:p w14:paraId="223EF27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传真：（021）68596916</w:t>
      </w:r>
    </w:p>
    <w:p w14:paraId="63E83B0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联系人：薛年</w:t>
      </w:r>
    </w:p>
    <w:p w14:paraId="5F2CE39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客户服务电话：400-700-9665</w:t>
      </w:r>
    </w:p>
    <w:p w14:paraId="582306B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网址：www.ehowbuy.com</w:t>
      </w:r>
    </w:p>
    <w:p w14:paraId="52C5A0E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（53）名称：上海长量基金销售投资顾问有限公司</w:t>
      </w:r>
    </w:p>
    <w:p w14:paraId="02BA928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住所：上海市浦东新区高翔路526号2幢220室</w:t>
      </w:r>
    </w:p>
    <w:p w14:paraId="4A93883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办公地址：上海市浦东新区浦东大道555号裕景国际B座16层</w:t>
      </w:r>
    </w:p>
    <w:p w14:paraId="18DCF9D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法定代表人：张跃伟</w:t>
      </w:r>
    </w:p>
    <w:p w14:paraId="7069EB3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电话：（021）20691832</w:t>
      </w:r>
    </w:p>
    <w:p w14:paraId="2A70D68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传真：（021）20691861</w:t>
      </w:r>
    </w:p>
    <w:p w14:paraId="45E39C9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联系人：单丙烨</w:t>
      </w:r>
    </w:p>
    <w:p w14:paraId="47FB1DA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客户服务电话：400-820-2899</w:t>
      </w:r>
    </w:p>
    <w:p w14:paraId="07AC7BF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网址：www.erichfund.com</w:t>
      </w:r>
    </w:p>
    <w:p w14:paraId="7F1D4BD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（54）名称：深圳众禄基金销售有限公司</w:t>
      </w:r>
    </w:p>
    <w:p w14:paraId="21F4248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住所：深圳市罗湖区梨园路物资控股置地大厦8楼</w:t>
      </w:r>
    </w:p>
    <w:p w14:paraId="2E2AB87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办公地址：深圳市罗湖区梨园路物资控股置地大厦8楼</w:t>
      </w:r>
    </w:p>
    <w:p w14:paraId="37F2BFF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14:paraId="76BC06D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电话：（0755）33227953</w:t>
      </w:r>
    </w:p>
    <w:p w14:paraId="265EDC8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传真：（0755）33227951</w:t>
      </w:r>
    </w:p>
    <w:p w14:paraId="203E843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联系人：汤素娅</w:t>
      </w:r>
    </w:p>
    <w:p w14:paraId="196286F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客户服务电话：4006-788-887</w:t>
      </w:r>
    </w:p>
    <w:p w14:paraId="73E0CE4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网址：www.zlfund.cn，www.jjmmw.com</w:t>
      </w:r>
    </w:p>
    <w:p w14:paraId="12557E9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（55）名称：蚂蚁（杭州）基金销售有限公司</w:t>
      </w:r>
    </w:p>
    <w:p w14:paraId="74E70F3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住所：浙江省杭州市余杭区五常街道文一西路969号3幢5层599室</w:t>
      </w:r>
    </w:p>
    <w:p w14:paraId="5F3ED9E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办公地址：浙江省杭州市西湖区西溪路556号</w:t>
      </w:r>
    </w:p>
    <w:p w14:paraId="093ABD7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法定代表人：王珺</w:t>
      </w:r>
    </w:p>
    <w:p w14:paraId="2D82BDA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联系人：韩爱彬</w:t>
      </w:r>
    </w:p>
    <w:p w14:paraId="0BB226C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客户服务电话：95188-8</w:t>
      </w:r>
    </w:p>
    <w:p w14:paraId="4C857C5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网址：www.fund123.cn</w:t>
      </w:r>
    </w:p>
    <w:p w14:paraId="3800520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（56）名称：上海基煜基金销售有限公司</w:t>
      </w:r>
    </w:p>
    <w:p w14:paraId="7F588FE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上海市崇明县长兴镇路潘园公路1800号2号楼6153室（上海泰和经济发展区）</w:t>
      </w:r>
    </w:p>
    <w:p w14:paraId="03950F8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办公地址：上海市昆明路518号北美广场A1002-A1003室</w:t>
      </w:r>
    </w:p>
    <w:p w14:paraId="088043B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法定代表人：王翔</w:t>
      </w:r>
    </w:p>
    <w:p w14:paraId="3BB3AA3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电话：（021）35385521</w:t>
      </w:r>
    </w:p>
    <w:p w14:paraId="7696B44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传真：（021）55085991</w:t>
      </w:r>
    </w:p>
    <w:p w14:paraId="0E9025D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联系人：蓝杰</w:t>
      </w:r>
    </w:p>
    <w:p w14:paraId="4B08C61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客户服务电话：400-820-5369</w:t>
      </w:r>
    </w:p>
    <w:p w14:paraId="2AA3DBB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网址：www.jiyufund.com.cn</w:t>
      </w:r>
    </w:p>
    <w:p w14:paraId="6B30A4E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（57）名称：浙江同花顺基金销售有限公司</w:t>
      </w:r>
    </w:p>
    <w:p w14:paraId="4433900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住所：浙江省杭州市文二西路1号元茂大厦903</w:t>
      </w:r>
    </w:p>
    <w:p w14:paraId="09285EE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办公地址：浙江省杭州市西湖区翠柏路7号电子商务产业园2号楼 2楼</w:t>
      </w:r>
    </w:p>
    <w:p w14:paraId="6CCD133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法定代表人：凌顺平</w:t>
      </w:r>
    </w:p>
    <w:p w14:paraId="1266FC4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电话：（0571）88911818</w:t>
      </w:r>
    </w:p>
    <w:p w14:paraId="13E8D47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传真：（0571）86800423</w:t>
      </w:r>
    </w:p>
    <w:p w14:paraId="662A795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联系人：吴强</w:t>
      </w:r>
    </w:p>
    <w:p w14:paraId="067E08B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客户服务电话：400-877-3772</w:t>
      </w:r>
    </w:p>
    <w:p w14:paraId="2C208BC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网址：www.5ifund.com</w:t>
      </w:r>
    </w:p>
    <w:p w14:paraId="77A009F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（58）名称：宜信普泽投资顾问（北京）有限公司</w:t>
      </w:r>
    </w:p>
    <w:p w14:paraId="51AB486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住所：北京市朝阳区建国路88号9号楼15层1809</w:t>
      </w:r>
    </w:p>
    <w:p w14:paraId="3305AB6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办公地址：北京市朝阳区建国路88号SOHO现代城C座1809</w:t>
      </w:r>
    </w:p>
    <w:p w14:paraId="7B8D5E4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法定代表人：沈伟桦</w:t>
      </w:r>
    </w:p>
    <w:p w14:paraId="79672ED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电话：010-52855713</w:t>
      </w:r>
    </w:p>
    <w:p w14:paraId="067D1F5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传真：010-85894285</w:t>
      </w:r>
    </w:p>
    <w:p w14:paraId="092709D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联系人：程刚</w:t>
      </w:r>
    </w:p>
    <w:p w14:paraId="39B2604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客户服务电话：400-6099-200</w:t>
      </w:r>
    </w:p>
    <w:p w14:paraId="0B23E9A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网址：www.yixinfund.com</w:t>
      </w:r>
    </w:p>
    <w:p w14:paraId="7BC729B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（59）名称：上海联泰基金销售有限公司</w:t>
      </w:r>
    </w:p>
    <w:p w14:paraId="22985C5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住所：中国（上海）自由贸易试验区富特北路277号3层310室</w:t>
      </w:r>
    </w:p>
    <w:p w14:paraId="4A1AA5F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办公地址：上海市长宁区福泉北路518号8座3楼</w:t>
      </w:r>
    </w:p>
    <w:p w14:paraId="7B5D7E9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法定代表人：燕斌</w:t>
      </w:r>
    </w:p>
    <w:p w14:paraId="4CCF72B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电话：021-52822063</w:t>
      </w:r>
    </w:p>
    <w:p w14:paraId="4D702E3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传真：021-52975270</w:t>
      </w:r>
    </w:p>
    <w:p w14:paraId="63AAEBF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联系人：凌秋艳</w:t>
      </w:r>
    </w:p>
    <w:p w14:paraId="2F2B751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客户服务电话：4000-466-788</w:t>
      </w:r>
    </w:p>
    <w:p w14:paraId="3136DD3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网址：www.66zichan.com</w:t>
      </w:r>
    </w:p>
    <w:p w14:paraId="20D0C71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（60）名称：深圳市新兰德证券投资咨询有限公司</w:t>
      </w:r>
    </w:p>
    <w:p w14:paraId="0471B35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住所：深圳市福田区华强北路赛格科技园4栋10层1006#</w:t>
      </w:r>
    </w:p>
    <w:p w14:paraId="18F9D41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办公地址：北京市西城区金融大街35号国际企业大厦C座9层</w:t>
      </w:r>
    </w:p>
    <w:p w14:paraId="434B4FA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法定代表人：陈操</w:t>
      </w:r>
    </w:p>
    <w:p w14:paraId="3B3A86F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电话：（010）58325395</w:t>
      </w:r>
    </w:p>
    <w:p w14:paraId="4F58836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传真：（010）58325282</w:t>
      </w:r>
    </w:p>
    <w:p w14:paraId="11B5DFD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联系人：刘宝文</w:t>
      </w:r>
    </w:p>
    <w:p w14:paraId="0957D66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客户服务电话：400-850-7771</w:t>
      </w:r>
    </w:p>
    <w:p w14:paraId="09C9DF5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网址：http://8.jrj.com.cn/</w:t>
      </w:r>
    </w:p>
    <w:p w14:paraId="208A4BA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（61）名称：北京展恒基金销售股份有限公司</w:t>
      </w:r>
    </w:p>
    <w:p w14:paraId="7485E65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住所：北京市顺义区后沙峪镇安富街6号</w:t>
      </w:r>
    </w:p>
    <w:p w14:paraId="4FE378A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办公地址：北京市朝阳区安苑路15-1号邮电新闻大厦2层</w:t>
      </w:r>
    </w:p>
    <w:p w14:paraId="64990DC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法定代表人：闫振杰</w:t>
      </w:r>
    </w:p>
    <w:p w14:paraId="5EB1E34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电话：（010）59601366-7024</w:t>
      </w:r>
    </w:p>
    <w:p w14:paraId="69691B2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传真：（010）62020355</w:t>
      </w:r>
    </w:p>
    <w:p w14:paraId="00433A0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马林</w:t>
      </w:r>
    </w:p>
    <w:p w14:paraId="2E16D5D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客户服务电话：400-888-6661</w:t>
      </w:r>
    </w:p>
    <w:p w14:paraId="3D179AF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网址：www.myfund.com</w:t>
      </w:r>
    </w:p>
    <w:p w14:paraId="4DA1AF0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（62）名称：一路财富（北京）信息科技有限公司</w:t>
      </w:r>
    </w:p>
    <w:p w14:paraId="4EC3A41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住所：北京市西城区车公庄大街9号五栋大楼C座702</w:t>
      </w:r>
    </w:p>
    <w:p w14:paraId="4279C67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办公地址：北京西城区阜成门大街2号万通新世界广场A座22层2208</w:t>
      </w:r>
    </w:p>
    <w:p w14:paraId="54BF961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吴雪秀</w:t>
      </w:r>
    </w:p>
    <w:p w14:paraId="54EE393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电话：010-88312877</w:t>
      </w:r>
    </w:p>
    <w:p w14:paraId="5216B22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传真：010-88312099</w:t>
      </w:r>
    </w:p>
    <w:p w14:paraId="4BBE3A1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苏昊</w:t>
      </w:r>
    </w:p>
    <w:p w14:paraId="5BC78B1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客户服务电话：400-001-1566</w:t>
      </w:r>
    </w:p>
    <w:p w14:paraId="112F485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网址：http://www.yilucaifu.com/</w:t>
      </w:r>
    </w:p>
    <w:p w14:paraId="5DF830A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（63）名称：北京肯特瑞基金销售有限公司</w:t>
      </w:r>
    </w:p>
    <w:p w14:paraId="156ECC0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北京市海淀区西三旗建材城中路12号17号平房157</w:t>
      </w:r>
    </w:p>
    <w:p w14:paraId="5696418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办公地址：北京市通州区亦庄经济技术开发区科创十一街18号院京东集团总部A座15层</w:t>
      </w:r>
    </w:p>
    <w:p w14:paraId="5D5D6E4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法定代表人：王苏宁</w:t>
      </w:r>
    </w:p>
    <w:p w14:paraId="645B77A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电话：95118</w:t>
      </w:r>
    </w:p>
    <w:p w14:paraId="2409F27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传真：010-89189566</w:t>
      </w:r>
    </w:p>
    <w:p w14:paraId="2CA6E2C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联系人：李丹</w:t>
      </w:r>
    </w:p>
    <w:p w14:paraId="195673D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客服热线：95118</w:t>
      </w:r>
    </w:p>
    <w:p w14:paraId="24A7A60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网址：kenterui.jd.com</w:t>
      </w:r>
    </w:p>
    <w:p w14:paraId="4E990B9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（64）名称：上海华夏财富投资管理有限公司</w:t>
      </w:r>
    </w:p>
    <w:p w14:paraId="605FABA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住所：上海市虹口区东大名路687号1幢2楼268室</w:t>
      </w:r>
    </w:p>
    <w:p w14:paraId="5148034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北京市西城区金融大街33号通泰大厦B座8层</w:t>
      </w:r>
    </w:p>
    <w:p w14:paraId="52B3633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毛淮平</w:t>
      </w:r>
    </w:p>
    <w:p w14:paraId="46F1D7F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电话：010-88066632</w:t>
      </w:r>
    </w:p>
    <w:p w14:paraId="46F73EA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传真：010-63136184</w:t>
      </w:r>
    </w:p>
    <w:p w14:paraId="162A71C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张静怡</w:t>
      </w:r>
    </w:p>
    <w:p w14:paraId="755C414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客户服务电话：400-817-5666</w:t>
      </w:r>
    </w:p>
    <w:p w14:paraId="6F41140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www.amcfortune.com</w:t>
      </w:r>
    </w:p>
    <w:p w14:paraId="2EAA95F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（65）名称：上海大智慧基金销售有限公司</w:t>
      </w:r>
    </w:p>
    <w:p w14:paraId="614889A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住所：上海市浦东新区杨高南路428号1号楼10-11层</w:t>
      </w:r>
    </w:p>
    <w:p w14:paraId="36D508A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办公地址：上海市浦东新区杨高南路428号1号楼10-11层</w:t>
      </w:r>
    </w:p>
    <w:p w14:paraId="25BAEC9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法定代表人：申健</w:t>
      </w:r>
    </w:p>
    <w:p w14:paraId="0F12BCC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电话：021-0219988-35374</w:t>
      </w:r>
    </w:p>
    <w:p w14:paraId="5CE14EB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传真：021-20219923</w:t>
      </w:r>
    </w:p>
    <w:p w14:paraId="4A96EC8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联系人：张蜓</w:t>
      </w:r>
    </w:p>
    <w:p w14:paraId="1AFCA32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客户服务电话：021-20292031</w:t>
      </w:r>
    </w:p>
    <w:p w14:paraId="690CCEA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网址：https://www.wg.com.cn</w:t>
      </w:r>
    </w:p>
    <w:p w14:paraId="2B61170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（66）名称：中信期货有限公司</w:t>
      </w:r>
    </w:p>
    <w:p w14:paraId="46BCC45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住所：深圳市福田区中心三路8号卓越时代广场（二期）北座13层1301-1305室、14层</w:t>
      </w:r>
    </w:p>
    <w:p w14:paraId="52C4961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办公地址：深圳市福田区中心三路8号卓越时代广场（二期）北座13层1301-1305室、14层</w:t>
      </w:r>
    </w:p>
    <w:p w14:paraId="5ABFE14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法定代表人：张皓</w:t>
      </w:r>
    </w:p>
    <w:p w14:paraId="0E33301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电话：010-60833754</w:t>
      </w:r>
    </w:p>
    <w:p w14:paraId="5CC902D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传真：021-60819988</w:t>
      </w:r>
    </w:p>
    <w:p w14:paraId="267F41E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联系人：刘宏莹</w:t>
      </w:r>
    </w:p>
    <w:p w14:paraId="7B0F490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客服电话：400-990-8826</w:t>
      </w:r>
    </w:p>
    <w:p w14:paraId="147167C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网站：www.citicsf.com</w:t>
      </w:r>
    </w:p>
    <w:p w14:paraId="5DA7668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（67）名称：腾安基金销售（深圳）有限公司</w:t>
      </w:r>
    </w:p>
    <w:p w14:paraId="7A163BE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14:paraId="420644A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办公地址：深圳市南山区海天二路33号腾讯滨海大厦</w:t>
      </w:r>
    </w:p>
    <w:p w14:paraId="0585564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法定代表人：刘明军</w:t>
      </w:r>
    </w:p>
    <w:p w14:paraId="674B827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电话：95017（拨通后转1转8）</w:t>
      </w:r>
    </w:p>
    <w:p w14:paraId="56D8CA3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联系人：谭广峰</w:t>
      </w:r>
    </w:p>
    <w:p w14:paraId="55D1DE7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客户服务电话：95017（拨通后转1转8）</w:t>
      </w:r>
    </w:p>
    <w:p w14:paraId="6F516B0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网址：http://www.tenganxinxi.com/</w:t>
      </w:r>
    </w:p>
    <w:p w14:paraId="2184C56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（68）名称：北京度小满基金销售有限公司</w:t>
      </w:r>
    </w:p>
    <w:p w14:paraId="7D96385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住所：北京市海淀区上地十街10号1幢1层101</w:t>
      </w:r>
    </w:p>
    <w:p w14:paraId="06FD453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北京市海淀区信息路甲9号奎科大厦</w:t>
      </w:r>
    </w:p>
    <w:p w14:paraId="3D552B8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张旭阳</w:t>
      </w:r>
    </w:p>
    <w:p w14:paraId="07734D4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电话：010-61952703</w:t>
      </w:r>
    </w:p>
    <w:p w14:paraId="6D6987D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传真：010-61951007</w:t>
      </w:r>
    </w:p>
    <w:p w14:paraId="048C5F0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联系人：盛超</w:t>
      </w:r>
    </w:p>
    <w:p w14:paraId="1825696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客户服务电话：95599-9</w:t>
      </w:r>
    </w:p>
    <w:p w14:paraId="6E4A600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 www.duxiaomanfund.com</w:t>
      </w:r>
    </w:p>
    <w:p w14:paraId="3653AA5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（69）名称：南京苏宁基金销售有限公司</w:t>
      </w:r>
    </w:p>
    <w:p w14:paraId="42B9A5F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住所：南京市玄武区苏宁大道1-5号</w:t>
      </w:r>
    </w:p>
    <w:p w14:paraId="671FD11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办公地址：南京市玄武区苏宁大道1-5号</w:t>
      </w:r>
    </w:p>
    <w:p w14:paraId="4AA51E3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法定代表人：王锋</w:t>
      </w:r>
    </w:p>
    <w:p w14:paraId="3B85336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电话：025-66996699</w:t>
      </w:r>
    </w:p>
    <w:p w14:paraId="0011767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传真：025-66996699</w:t>
      </w:r>
    </w:p>
    <w:p w14:paraId="38FBA09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冯鹏鹏</w:t>
      </w:r>
    </w:p>
    <w:p w14:paraId="284C41A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客户服务电话：95177</w:t>
      </w:r>
    </w:p>
    <w:p w14:paraId="1080979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www.snjijin.com</w:t>
      </w:r>
    </w:p>
    <w:p w14:paraId="30452EF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（70）名称：北京植信基金销售有限公司</w:t>
      </w:r>
    </w:p>
    <w:p w14:paraId="6928684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住所：北京市密云区兴盛南路8号院2号楼106室-67</w:t>
      </w:r>
    </w:p>
    <w:p w14:paraId="4E35CA8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办公地址：北京市朝阳区惠河南路盛世龙源10号</w:t>
      </w:r>
    </w:p>
    <w:p w14:paraId="00A8841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法定代表人：王军辉</w:t>
      </w:r>
    </w:p>
    <w:p w14:paraId="5BE09D1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电话：010-56075718</w:t>
      </w:r>
    </w:p>
    <w:p w14:paraId="52F7EF7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传真：010-67767615</w:t>
      </w:r>
    </w:p>
    <w:p w14:paraId="0CAAD20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联系人：张喆</w:t>
      </w:r>
    </w:p>
    <w:p w14:paraId="1047D43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客户服务电话：4006-802-123</w:t>
      </w:r>
    </w:p>
    <w:p w14:paraId="2EA5505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网址：www.zhixin-inv.com</w:t>
      </w:r>
    </w:p>
    <w:p w14:paraId="17081E4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（71）名称：和耕传承基金销售有限公司</w:t>
      </w:r>
    </w:p>
    <w:p w14:paraId="2D7F641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住所：河南自贸试验区郑州片区（郑东）东风南路东康宁街北6号楼5楼503</w:t>
      </w:r>
    </w:p>
    <w:p w14:paraId="0B3074D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办公地址：河南自贸试验区郑州片区（郑东）东风南路东康宁街北6号楼5楼503</w:t>
      </w:r>
    </w:p>
    <w:p w14:paraId="5CFF40C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法定代表人：温丽燕</w:t>
      </w:r>
    </w:p>
    <w:p w14:paraId="476623D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电话：0371-85518395</w:t>
      </w:r>
    </w:p>
    <w:p w14:paraId="34798C0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传真：0371-85518397</w:t>
      </w:r>
    </w:p>
    <w:p w14:paraId="35FDC6B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联系人：胡静华</w:t>
      </w:r>
    </w:p>
    <w:p w14:paraId="63BDB3C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客户服务电话：4000555671</w:t>
      </w:r>
    </w:p>
    <w:p w14:paraId="7FA6837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网址：www.hgccpb.com</w:t>
      </w:r>
    </w:p>
    <w:p w14:paraId="320EC34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（72）名称：上海钜派钰茂基金销售有限公司</w:t>
      </w:r>
    </w:p>
    <w:p w14:paraId="7B663A4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住所：上海市浦东新区泥城镇新城路2号24幢N3187室</w:t>
      </w:r>
    </w:p>
    <w:p w14:paraId="1BD5CA0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办公地址：上海市闵行区闵虹路166弄中庚环球创意中心T2栋9层</w:t>
      </w:r>
    </w:p>
    <w:p w14:paraId="73B500B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法定代表人：洪思夷</w:t>
      </w:r>
    </w:p>
    <w:p w14:paraId="01E8EB2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电话：021-52265962</w:t>
      </w:r>
    </w:p>
    <w:p w14:paraId="5F91470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联系人：王世之</w:t>
      </w:r>
    </w:p>
    <w:p w14:paraId="635DA81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客户服务电话：400-021-2428</w:t>
      </w:r>
    </w:p>
    <w:p w14:paraId="1B054F3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网址：www.jp-fund.com</w:t>
      </w:r>
    </w:p>
    <w:p w14:paraId="35BCF64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（73）名称：中国人寿保险股份有限公司</w:t>
      </w:r>
    </w:p>
    <w:p w14:paraId="2D40E0F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住所：中国北京市西城区金融大街16号</w:t>
      </w:r>
    </w:p>
    <w:p w14:paraId="2D02BE5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办公地址：北京市西城区金融大街16号中国人寿广场A座</w:t>
      </w:r>
    </w:p>
    <w:p w14:paraId="5D4CF74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法定代表人：王滨</w:t>
      </w:r>
    </w:p>
    <w:p w14:paraId="6CB8542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客户服务电话：95519</w:t>
      </w:r>
    </w:p>
    <w:p w14:paraId="7681872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www.e-chinalife.com</w:t>
      </w:r>
    </w:p>
    <w:p w14:paraId="622AD07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（74）名称：济安财富（北京）基金销售有限公司</w:t>
      </w:r>
    </w:p>
    <w:p w14:paraId="1F8D25D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住所：北京市朝阳区太阳宫中路16号院1号楼10层1005</w:t>
      </w:r>
    </w:p>
    <w:p w14:paraId="04F1D8E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办公地址：北京市朝阳区太阳宫中路16号院1号楼11层1105</w:t>
      </w:r>
    </w:p>
    <w:p w14:paraId="4D1A5B4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法定代表人：杨健</w:t>
      </w:r>
    </w:p>
    <w:p w14:paraId="072B777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电话：010-65309516</w:t>
      </w:r>
    </w:p>
    <w:p w14:paraId="299332E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传真：010-65330699</w:t>
      </w:r>
    </w:p>
    <w:p w14:paraId="0F14888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联系人：宋静</w:t>
      </w:r>
    </w:p>
    <w:p w14:paraId="21C5ACB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客户服务电话：400-673-7010</w:t>
      </w:r>
    </w:p>
    <w:p w14:paraId="3780630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网址：www.jianfortune.com</w:t>
      </w:r>
    </w:p>
    <w:p w14:paraId="5364600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（75）名称：大连网金基金销售有限公司</w:t>
      </w:r>
    </w:p>
    <w:p w14:paraId="4CC5E8B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辽宁省大连市沙河口区体坛路22号诺德大厦2层202室</w:t>
      </w:r>
    </w:p>
    <w:p w14:paraId="5F7E1A2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辽宁省大连市沙河口区体坛路22号诺德大厦2层202室</w:t>
      </w:r>
    </w:p>
    <w:p w14:paraId="03BD802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樊怀东</w:t>
      </w:r>
    </w:p>
    <w:p w14:paraId="17E9AD3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电话：（0411-39027810）</w:t>
      </w:r>
    </w:p>
    <w:p w14:paraId="7AA7AD9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传真：（0411-39027835）</w:t>
      </w:r>
    </w:p>
    <w:p w14:paraId="0DBA543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于秀</w:t>
      </w:r>
    </w:p>
    <w:p w14:paraId="403C9E6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4000-899-100</w:t>
      </w:r>
    </w:p>
    <w:p w14:paraId="70960E5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网址：http://www.yibaijin.com</w:t>
      </w:r>
    </w:p>
    <w:p w14:paraId="5DB7BA96" w14:textId="77777777" w:rsidR="00933A26" w:rsidRDefault="00933A26" w:rsidP="00933A26">
      <w:pPr>
        <w:autoSpaceDE w:val="0"/>
        <w:autoSpaceDN w:val="0"/>
        <w:adjustRightInd w:val="0"/>
        <w:snapToGrid w:val="0"/>
        <w:spacing w:line="360" w:lineRule="auto"/>
        <w:ind w:firstLineChars="200" w:firstLine="480"/>
        <w:jc w:val="left"/>
        <w:rPr>
          <w:rFonts w:ascii="宋体" w:hAnsi="宋体"/>
          <w:sz w:val="24"/>
        </w:rPr>
      </w:pPr>
      <w:r w:rsidRPr="001B36AC">
        <w:rPr>
          <w:rFonts w:ascii="宋体" w:hAnsi="宋体" w:hint="eastAsia"/>
          <w:sz w:val="24"/>
        </w:rPr>
        <w:t>本基金D</w:t>
      </w:r>
      <w:r>
        <w:rPr>
          <w:rFonts w:ascii="宋体" w:hAnsi="宋体" w:hint="eastAsia"/>
          <w:sz w:val="24"/>
        </w:rPr>
        <w:t>类基金份额暂仅</w:t>
      </w:r>
      <w:r w:rsidRPr="001B36AC">
        <w:rPr>
          <w:rFonts w:ascii="宋体" w:hAnsi="宋体" w:hint="eastAsia"/>
          <w:sz w:val="24"/>
        </w:rPr>
        <w:t>通过直销机构销售。</w:t>
      </w:r>
    </w:p>
    <w:p w14:paraId="47B1048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基金管理人可根据有关法律法规的要求，选择其它符合要求的机构销售本基金，并在管理人网站公示。</w:t>
      </w:r>
    </w:p>
    <w:p w14:paraId="6D07C90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（二）登记机构</w:t>
      </w:r>
    </w:p>
    <w:p w14:paraId="5EB7A91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名称：中国证券登记结算有限责任公司</w:t>
      </w:r>
    </w:p>
    <w:p w14:paraId="46DDF2E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住所：北京市西城区太平桥大街17号</w:t>
      </w:r>
    </w:p>
    <w:p w14:paraId="4BBB655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办公地址：北京市西城区太平桥大街17号</w:t>
      </w:r>
    </w:p>
    <w:p w14:paraId="6F2AF4D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法定代表人：于文强</w:t>
      </w:r>
    </w:p>
    <w:p w14:paraId="5DFFFE8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电话：（010）50938782</w:t>
      </w:r>
    </w:p>
    <w:p w14:paraId="40D5394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传真：（010）50938907</w:t>
      </w:r>
    </w:p>
    <w:p w14:paraId="4F02E1E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联系人：赵亦清</w:t>
      </w:r>
    </w:p>
    <w:p w14:paraId="3CA26DC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（三）出具法律意见书的律师事务所</w:t>
      </w:r>
    </w:p>
    <w:p w14:paraId="3E5B6BD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14:paraId="54445E6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14:paraId="5DE5C28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办公地址：上海市银城中路68号时代金融中心19楼</w:t>
      </w:r>
    </w:p>
    <w:p w14:paraId="526552B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14:paraId="142433B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14:paraId="4BE0D48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14:paraId="0B45880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联系人：丁媛</w:t>
      </w:r>
    </w:p>
    <w:p w14:paraId="058101C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经办律师：黎明、丁媛</w:t>
      </w:r>
    </w:p>
    <w:p w14:paraId="412D61A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14:paraId="0508B01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名称：普华永道中天会计师事务所（特殊普通合伙）</w:t>
      </w:r>
    </w:p>
    <w:p w14:paraId="395758F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注册地址：中国(上海)自由贸易试验区陆家嘴环路1318号星展银行大厦507单元01室</w:t>
      </w:r>
    </w:p>
    <w:p w14:paraId="66FBC41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办公地址：中国上海市浦东新区东育路588号前滩中心42楼</w:t>
      </w:r>
    </w:p>
    <w:p w14:paraId="639E2BC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执行事务合伙人：李丹</w:t>
      </w:r>
    </w:p>
    <w:p w14:paraId="4601419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电话：（021）23238888</w:t>
      </w:r>
    </w:p>
    <w:p w14:paraId="393DF35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传真：（021）23238800</w:t>
      </w:r>
    </w:p>
    <w:p w14:paraId="18ADB81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联系人：金诗涛</w:t>
      </w:r>
    </w:p>
    <w:p w14:paraId="5B7AF4A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经办注册会计师：沈兆杰、金诗涛</w:t>
      </w:r>
    </w:p>
    <w:p w14:paraId="1708CFBD" w14:textId="77777777" w:rsidR="00C61788" w:rsidRDefault="00BC098F" w:rsidP="00C6178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8163F0E" w14:textId="77777777" w:rsidR="00234D74" w:rsidRDefault="00BC098F">
      <w:pPr>
        <w:pStyle w:val="1"/>
        <w:snapToGrid w:val="0"/>
        <w:spacing w:beforeLines="0" w:before="240" w:after="240"/>
        <w:rPr>
          <w:rFonts w:ascii="宋体" w:hAnsi="宋体"/>
          <w:szCs w:val="30"/>
        </w:rPr>
      </w:pPr>
      <w:bookmarkStart w:id="9" w:name="_Toc135728682"/>
      <w:r>
        <w:rPr>
          <w:rFonts w:ascii="Times New Roman" w:hAnsi="Times New Roman"/>
          <w:sz w:val="30"/>
        </w:rPr>
        <w:lastRenderedPageBreak/>
        <w:t>六、基金的募集</w:t>
      </w:r>
      <w:bookmarkEnd w:id="9"/>
    </w:p>
    <w:p w14:paraId="187DDB2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本基金由基金管理人依照《基金法》、《运作办法》、《销售办法》、基金合同及其他有关规定，并经中国证监会2017年12月26日证监许可[2017] 2396号文准予募集注册。</w:t>
      </w:r>
    </w:p>
    <w:p w14:paraId="2F4DEDB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契约型债券型证券投资基金。本基金在基金合同生效之日起两年（含两年）的期间内封闭式运作，封闭期结束后转为开放式运作。基金存续期间为不定期。本基金募集期间基金份额净值为人民币1.00元，按初始面值发售。</w:t>
      </w:r>
    </w:p>
    <w:p w14:paraId="5BA5714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本基金自2018年5月2日至2018年5月18日进行发售。本基金设立募集期共募集331,589,908.23份基金份额，有效认购户数为3,438户。</w:t>
      </w:r>
    </w:p>
    <w:p w14:paraId="74F87F6B" w14:textId="77777777" w:rsidR="00C61788" w:rsidRDefault="00BC098F" w:rsidP="00C6178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C3D3403" w14:textId="77777777" w:rsidR="00234D74" w:rsidRDefault="00BC098F">
      <w:pPr>
        <w:pStyle w:val="1"/>
        <w:snapToGrid w:val="0"/>
        <w:spacing w:beforeLines="0" w:before="240" w:after="240"/>
        <w:rPr>
          <w:rFonts w:ascii="宋体" w:hAnsi="宋体"/>
          <w:szCs w:val="30"/>
        </w:rPr>
      </w:pPr>
      <w:bookmarkStart w:id="10" w:name="_Toc135728683"/>
      <w:r>
        <w:rPr>
          <w:rFonts w:ascii="Times New Roman" w:hAnsi="Times New Roman"/>
          <w:sz w:val="30"/>
        </w:rPr>
        <w:lastRenderedPageBreak/>
        <w:t>七、基金合同的生效</w:t>
      </w:r>
      <w:bookmarkEnd w:id="10"/>
    </w:p>
    <w:p w14:paraId="530158F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根据有关规定，本基金满足基金合同生效条件，基金合同已于2018年5月23日正式生效。自基金合同生效之日起，本基金管理人正式开始管理本基金。</w:t>
      </w:r>
    </w:p>
    <w:p w14:paraId="75BDE72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连续二十个工作日基金份额持有人数量不满200人或者基金资产净值低于5000万元的，基金管理人应当在定期报告中予以披露。连续六十个工作日出现基金份额持有人数量不满200人或者基金资产净值低于5000万元情形的，基金管理人应向中国证监会报告，并可提前终止基金合同，不需召开基金份额持有人大会。</w:t>
      </w:r>
    </w:p>
    <w:p w14:paraId="11596F3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法律法规另有规定时，从其规定。</w:t>
      </w:r>
    </w:p>
    <w:p w14:paraId="2F0CD66B" w14:textId="77777777" w:rsidR="00C61788" w:rsidRDefault="00BC098F" w:rsidP="00C6178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A8A9240" w14:textId="77777777" w:rsidR="00234D74" w:rsidRDefault="00BC098F">
      <w:pPr>
        <w:pStyle w:val="1"/>
        <w:snapToGrid w:val="0"/>
        <w:spacing w:beforeLines="0" w:before="240" w:after="240"/>
        <w:rPr>
          <w:rFonts w:ascii="宋体" w:hAnsi="宋体"/>
          <w:szCs w:val="30"/>
        </w:rPr>
      </w:pPr>
      <w:bookmarkStart w:id="11" w:name="_Toc135728684"/>
      <w:r>
        <w:rPr>
          <w:rFonts w:ascii="Times New Roman" w:hAnsi="Times New Roman"/>
          <w:sz w:val="30"/>
        </w:rPr>
        <w:lastRenderedPageBreak/>
        <w:t>八、基金份额的申购与赎回</w:t>
      </w:r>
      <w:bookmarkEnd w:id="11"/>
    </w:p>
    <w:p w14:paraId="511970C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（一）申购和赎回的期间</w:t>
      </w:r>
    </w:p>
    <w:p w14:paraId="580744E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基金合同生效之日起两年（含两年）的期间内，采取封闭式运作。封闭期内，基金投资者不能申购、赎回本基金基金份额。基金封闭期结束，本基金转为开放式运作，基金投资者方可申购、赎回本基金基金份额。</w:t>
      </w:r>
    </w:p>
    <w:p w14:paraId="29EA180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（二）申购和赎回的场所</w:t>
      </w:r>
    </w:p>
    <w:p w14:paraId="14A85F1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投资人可通过下述场所按照规定的方式进行申购或赎回：</w:t>
      </w:r>
    </w:p>
    <w:p w14:paraId="1A53F48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1、本基金管理人的直销机构</w:t>
      </w:r>
    </w:p>
    <w:p w14:paraId="21D9BC3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本基金直销机构为基金管理人直销柜台以及基金管理人的网上直销交易平台。</w:t>
      </w:r>
    </w:p>
    <w:p w14:paraId="3916282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221027E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60D7B5C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4E65DD4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34E7A16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35288CE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6FB1ECC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17D67CD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1A80346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个人投资者可以通过基金管理人网上直销交易平台办理开户、申购、赎回、转换及定期定额投资等业务，具体交易细则请参阅基金管理人网站。网上直销交易平台网址：www.fund001.com</w:t>
      </w:r>
    </w:p>
    <w:p w14:paraId="4367F7C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2、除基金管理人之外的其他销售机构</w:t>
      </w:r>
    </w:p>
    <w:p w14:paraId="0699D11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本基金除基金管理人之外的其他销售机构参见本招募说明书“五、相关服务机构”章节或拨打本公司客户服务电话进行咨询。</w:t>
      </w:r>
    </w:p>
    <w:p w14:paraId="55F6DE2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投资人应当通过上述销售机构办理基金申购、赎回业务的营业场所或按上述销售机构提供的其他方式进行申购或赎回。本基金管理人可根据情况变更或增减基金销售机构，并在管理人网站公示。</w:t>
      </w:r>
    </w:p>
    <w:p w14:paraId="7AB581F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若基金管理人或其指定的销售机构开通电话、传真或网上等交易方式，投资人可以通过上述方式进行申购与赎回。</w:t>
      </w:r>
    </w:p>
    <w:p w14:paraId="2047CDF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（三）申购和赎回的开放日及时间</w:t>
      </w:r>
    </w:p>
    <w:p w14:paraId="7DB5C35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1、开放日及开放时间</w:t>
      </w:r>
    </w:p>
    <w:p w14:paraId="4114B4E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526DE8E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5D8CA29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2、申购、赎回开始日及业务办理时间</w:t>
      </w:r>
    </w:p>
    <w:p w14:paraId="7747197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本基金在基金合同生效之日起两年 (含两年)的期间内采取封闭式运作。封闭期内，基金投资者不能申购、赎回本基金基金份额。</w:t>
      </w:r>
    </w:p>
    <w:p w14:paraId="7DA86EB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基金封闭期结束，本基金转为开放式运作后，基金投资者方可申购、赎回本基金基金份额。</w:t>
      </w:r>
    </w:p>
    <w:p w14:paraId="10E55516" w14:textId="77777777" w:rsidR="00933A26" w:rsidRDefault="00BC098F" w:rsidP="00933A26">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本基金</w:t>
      </w:r>
      <w:r w:rsidR="00933A26" w:rsidRPr="00944F9C">
        <w:rPr>
          <w:rFonts w:ascii="宋体" w:hAnsi="宋体" w:hint="eastAsia"/>
          <w:sz w:val="24"/>
        </w:rPr>
        <w:t>A类基金份额</w:t>
      </w:r>
      <w:r w:rsidR="00933A26">
        <w:rPr>
          <w:rFonts w:ascii="宋体" w:hAnsi="宋体" w:hint="eastAsia"/>
          <w:sz w:val="24"/>
        </w:rPr>
        <w:t>和</w:t>
      </w:r>
      <w:r w:rsidR="00933A26">
        <w:rPr>
          <w:rFonts w:ascii="宋体" w:hAnsi="宋体"/>
          <w:sz w:val="24"/>
        </w:rPr>
        <w:t>C</w:t>
      </w:r>
      <w:r w:rsidR="00933A26" w:rsidRPr="00A65A0C">
        <w:rPr>
          <w:rFonts w:ascii="宋体" w:hAnsi="宋体" w:hint="eastAsia"/>
          <w:sz w:val="24"/>
        </w:rPr>
        <w:t>类基金份额</w:t>
      </w:r>
      <w:r>
        <w:rPr>
          <w:rFonts w:ascii="宋体" w:hAnsi="宋体"/>
          <w:sz w:val="24"/>
        </w:rPr>
        <w:t>已于2020年5月26日起开放申购、赎回业务。</w:t>
      </w:r>
    </w:p>
    <w:p w14:paraId="41ACAB83" w14:textId="104AAC54" w:rsidR="00234D74" w:rsidRDefault="00933A26" w:rsidP="00933A26">
      <w:pPr>
        <w:autoSpaceDE w:val="0"/>
        <w:autoSpaceDN w:val="0"/>
        <w:adjustRightInd w:val="0"/>
        <w:snapToGrid w:val="0"/>
        <w:spacing w:line="360" w:lineRule="auto"/>
        <w:ind w:firstLineChars="200" w:firstLine="480"/>
        <w:jc w:val="left"/>
        <w:rPr>
          <w:rFonts w:ascii="宋体" w:hAnsi="宋体"/>
          <w:szCs w:val="24"/>
        </w:rPr>
      </w:pPr>
      <w:r w:rsidRPr="00A9408D">
        <w:rPr>
          <w:rFonts w:ascii="宋体" w:hAnsi="宋体" w:hint="eastAsia"/>
          <w:sz w:val="24"/>
        </w:rPr>
        <w:t>本基金</w:t>
      </w:r>
      <w:r>
        <w:rPr>
          <w:rFonts w:ascii="宋体" w:hAnsi="宋体"/>
          <w:sz w:val="24"/>
        </w:rPr>
        <w:t>D</w:t>
      </w:r>
      <w:r w:rsidRPr="00A9408D">
        <w:rPr>
          <w:rFonts w:ascii="宋体" w:hAnsi="宋体" w:hint="eastAsia"/>
          <w:sz w:val="24"/>
        </w:rPr>
        <w:t>类基金份额于</w:t>
      </w:r>
      <w:r>
        <w:rPr>
          <w:rFonts w:ascii="宋体" w:hAnsi="宋体"/>
          <w:sz w:val="24"/>
        </w:rPr>
        <w:t>202</w:t>
      </w:r>
      <w:r w:rsidR="00083162">
        <w:rPr>
          <w:rFonts w:ascii="宋体" w:hAnsi="宋体"/>
          <w:sz w:val="24"/>
        </w:rPr>
        <w:t>3</w:t>
      </w:r>
      <w:r w:rsidRPr="00A9408D">
        <w:rPr>
          <w:rFonts w:ascii="宋体" w:hAnsi="宋体"/>
          <w:sz w:val="24"/>
        </w:rPr>
        <w:t>年</w:t>
      </w:r>
      <w:r w:rsidR="00083162">
        <w:rPr>
          <w:rFonts w:ascii="宋体" w:hAnsi="宋体"/>
          <w:sz w:val="24"/>
        </w:rPr>
        <w:t>12</w:t>
      </w:r>
      <w:r w:rsidRPr="00A9408D">
        <w:rPr>
          <w:rFonts w:ascii="宋体" w:hAnsi="宋体" w:hint="eastAsia"/>
          <w:sz w:val="24"/>
        </w:rPr>
        <w:t>月</w:t>
      </w:r>
      <w:r w:rsidR="00083162">
        <w:rPr>
          <w:rFonts w:ascii="宋体" w:hAnsi="宋体"/>
          <w:sz w:val="24"/>
        </w:rPr>
        <w:t>19</w:t>
      </w:r>
      <w:r w:rsidRPr="00A9408D">
        <w:rPr>
          <w:rFonts w:ascii="宋体" w:hAnsi="宋体" w:hint="eastAsia"/>
          <w:sz w:val="24"/>
        </w:rPr>
        <w:t>日起开放申购、赎回业务。</w:t>
      </w:r>
    </w:p>
    <w:p w14:paraId="183CA79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p>
    <w:p w14:paraId="69F728D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（四）申购与赎回的原则</w:t>
      </w:r>
    </w:p>
    <w:p w14:paraId="49E7CFF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1、“未知价”原则，即申购、赎回价格以申请当日收市后计算的基金份额净值为基准进行计算；</w:t>
      </w:r>
    </w:p>
    <w:p w14:paraId="5D23536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14:paraId="2F44B57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3、当日的申购与赎回申请可以在基金管理人规定的时间以内撤销，但申请经登记机构受理的不得撤销；</w:t>
      </w:r>
    </w:p>
    <w:p w14:paraId="79F1B45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48A1982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基金管理人可在法律法规允许的情况下，对上述原则进行调整。基金管理人必</w:t>
      </w:r>
      <w:r>
        <w:rPr>
          <w:rFonts w:ascii="宋体" w:hAnsi="宋体"/>
          <w:sz w:val="24"/>
        </w:rPr>
        <w:lastRenderedPageBreak/>
        <w:t>须在新规则开始实施前依照《信息披露办法》的有关规定在指定媒介上公告。</w:t>
      </w:r>
    </w:p>
    <w:p w14:paraId="7A57ACF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（五）申购和赎回的数额限定</w:t>
      </w:r>
    </w:p>
    <w:p w14:paraId="10938FE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14:paraId="080409F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直销机构首次申购的最低金额为单笔100万元，追加申购的最低金额为单笔10万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1元。本基金直销机构单笔申购最低金额可由基金管理人酌情调整。其他销售机构接受申购申请的最低金额为单笔1元，如果销售机构业务规则规定的最低单笔申购金额高于1元，以该销售机构的规定为准。</w:t>
      </w:r>
    </w:p>
    <w:p w14:paraId="1DFE8D3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14:paraId="497D2E7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赎回的最低份额为1份基金份额，如果销售机构业务规则规定的最低单笔赎回份额高于1份，以该销售机构的规定为准。</w:t>
      </w:r>
    </w:p>
    <w:p w14:paraId="626C1B6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3、最低保留余额的限制</w:t>
      </w:r>
    </w:p>
    <w:p w14:paraId="6864945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投资人在单个交易账户保留的本基金份额余额少于1份时，若当日该账户同时有基金份额减少类业务（如赎回、转换出等）被确认，则基金管理人有权将投资人在该账户保留的本基金份额一次性全部赎回。</w:t>
      </w:r>
    </w:p>
    <w:p w14:paraId="759B977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6D0F4DA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根据市场情况，在法律法规允许的情况下，调整申购的金额和赎回的份额以及最低基金份额保留余额的数量限制，基金管理人必须在调整实施前依照《信息披露办法》的有关规定在指定媒介上刊登公告并报中国证监会备案。</w:t>
      </w:r>
    </w:p>
    <w:p w14:paraId="7F2214B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（六）申购和赎回的程序</w:t>
      </w:r>
    </w:p>
    <w:p w14:paraId="5982B59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1、申购和赎回的申请方式</w:t>
      </w:r>
    </w:p>
    <w:p w14:paraId="067CF90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w:t>
      </w:r>
      <w:r>
        <w:rPr>
          <w:rFonts w:ascii="宋体" w:hAnsi="宋体"/>
          <w:sz w:val="24"/>
        </w:rPr>
        <w:lastRenderedPageBreak/>
        <w:t>回申请不成立。</w:t>
      </w:r>
    </w:p>
    <w:p w14:paraId="0369A07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2、申购和赎回的款项支付</w:t>
      </w:r>
    </w:p>
    <w:p w14:paraId="063CB2F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投资人申购基金份额时，必须全额交付申购款项，若申购资金在规定时间内未全额到账则申购不成立。投资人全额交付申购款项，申购成立；登记机构确认基金份额时，申购生效。</w:t>
      </w:r>
    </w:p>
    <w:p w14:paraId="61A9A19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递交赎回申请，赎回成立；登记机构确认赎回时，赎回生效。投资人赎回申请成功后，基金管理人将在T＋7日（包括该日）内支付赎回款项。在发生巨额赎回或基金合同载明的其他暂停赎回或延缓支付赎回款项的情形时，款项的支付办法参照基金合同有关条款处理。</w:t>
      </w:r>
    </w:p>
    <w:p w14:paraId="43A9EA9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3、申购和赎回申请的确认</w:t>
      </w:r>
    </w:p>
    <w:p w14:paraId="689A560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或基金管理人委托的登记机构应以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本金退还给投资人。</w:t>
      </w:r>
    </w:p>
    <w:p w14:paraId="03E4732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基金管理人可在法律法规允许的范围内，依法对上述申购和赎回申请的确认时间进行调整，并必须在调整实施日前按照《信息披露办法》的有关规定在指定媒介上公告并报中国证监会备案。</w:t>
      </w:r>
    </w:p>
    <w:p w14:paraId="6E22D37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4916974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4、申购和赎回的登记</w:t>
      </w:r>
    </w:p>
    <w:p w14:paraId="02B74B8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（1）投资人T日申购基金成功后，正常情况下，登记机构在T＋1日为投资人增加权益并办理登记手续，投资人自T＋2日起（包括该日）有权赎回该部分基金份额。投资人应及时查询有关申请的确认情况。</w:t>
      </w:r>
    </w:p>
    <w:p w14:paraId="4CDA2D4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（2）投资人T日赎回基金成功后，正常情况下，登记机构在T＋1日为投资人扣除权益并办理相应的登记手续。</w:t>
      </w:r>
    </w:p>
    <w:p w14:paraId="6906BF9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（3）基金管理人可在法律法规允许的范围内，对上述登记办理时间进行调整，并于开始实施前按照《信息披露办法》的有关规定在指定媒介上公告并报中国证监会备案。</w:t>
      </w:r>
    </w:p>
    <w:p w14:paraId="42F14F2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（七）基金的申购费和赎回费</w:t>
      </w:r>
    </w:p>
    <w:p w14:paraId="3E75C38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1、申购费用</w:t>
      </w:r>
    </w:p>
    <w:p w14:paraId="46DB4618" w14:textId="51F38B0E"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本基金基金份额分为A类基金份额</w:t>
      </w:r>
      <w:r w:rsidR="00933A26">
        <w:rPr>
          <w:rFonts w:ascii="宋体" w:hAnsi="宋体" w:hint="eastAsia"/>
          <w:sz w:val="24"/>
        </w:rPr>
        <w:t>、</w:t>
      </w:r>
      <w:r>
        <w:rPr>
          <w:rFonts w:ascii="宋体" w:hAnsi="宋体"/>
          <w:sz w:val="24"/>
        </w:rPr>
        <w:t>C类基金份额</w:t>
      </w:r>
      <w:r w:rsidR="00933A26" w:rsidRPr="00770924">
        <w:rPr>
          <w:rFonts w:ascii="宋体" w:hAnsi="宋体" w:hint="eastAsia"/>
          <w:sz w:val="24"/>
        </w:rPr>
        <w:t>和D类基金份额</w:t>
      </w:r>
      <w:r>
        <w:rPr>
          <w:rFonts w:ascii="宋体" w:hAnsi="宋体"/>
          <w:sz w:val="24"/>
        </w:rPr>
        <w:t>，投资人申购A类基金份额</w:t>
      </w:r>
      <w:r w:rsidR="00933A26">
        <w:rPr>
          <w:rFonts w:ascii="宋体" w:hAnsi="宋体" w:hint="eastAsia"/>
          <w:sz w:val="24"/>
        </w:rPr>
        <w:t>或</w:t>
      </w:r>
      <w:r w:rsidR="00933A26" w:rsidRPr="00770924">
        <w:rPr>
          <w:rFonts w:ascii="宋体" w:hAnsi="宋体" w:hint="eastAsia"/>
          <w:sz w:val="24"/>
        </w:rPr>
        <w:t>D类基金份额</w:t>
      </w:r>
      <w:r>
        <w:rPr>
          <w:rFonts w:ascii="宋体" w:hAnsi="宋体"/>
          <w:sz w:val="24"/>
        </w:rPr>
        <w:t>在申购时支付申购费用，申购C类基金份额不支付申购费用，而是从该类别基金资产中计提销售服务费。</w:t>
      </w:r>
    </w:p>
    <w:p w14:paraId="651CF310" w14:textId="072A76E0"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w:t>
      </w:r>
      <w:r w:rsidR="00933A26" w:rsidRPr="00770924">
        <w:rPr>
          <w:rFonts w:ascii="宋体" w:hAnsi="宋体" w:hint="eastAsia"/>
          <w:sz w:val="24"/>
        </w:rPr>
        <w:t>和D类基金份额</w:t>
      </w:r>
      <w:r>
        <w:rPr>
          <w:rFonts w:ascii="宋体" w:hAnsi="宋体"/>
          <w:sz w:val="24"/>
        </w:rPr>
        <w:t>的申购费用由</w:t>
      </w:r>
      <w:r w:rsidR="00933A26">
        <w:rPr>
          <w:rFonts w:ascii="宋体" w:hAnsi="宋体" w:hint="eastAsia"/>
          <w:sz w:val="24"/>
        </w:rPr>
        <w:t>该</w:t>
      </w:r>
      <w:r>
        <w:rPr>
          <w:rFonts w:ascii="宋体" w:hAnsi="宋体"/>
          <w:sz w:val="24"/>
        </w:rPr>
        <w:t>类基金份额申购人承担，不列入基金财产，主要用于本基金的市场推广、销售、登记结算等各项费用。</w:t>
      </w:r>
    </w:p>
    <w:p w14:paraId="22A59FAE" w14:textId="38D6659E"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投资人可以多次申购本基金，</w:t>
      </w:r>
      <w:r w:rsidR="00F86814" w:rsidRPr="00AD594D">
        <w:rPr>
          <w:rFonts w:ascii="宋体" w:hAnsi="宋体" w:hint="eastAsia"/>
          <w:sz w:val="24"/>
        </w:rPr>
        <w:t>A类基金份额和D类基金份额</w:t>
      </w:r>
      <w:r>
        <w:rPr>
          <w:rFonts w:ascii="宋体" w:hAnsi="宋体"/>
          <w:sz w:val="24"/>
        </w:rPr>
        <w:t>申购费用按每笔</w:t>
      </w:r>
      <w:r w:rsidR="00F86814">
        <w:rPr>
          <w:rFonts w:ascii="宋体" w:hAnsi="宋体" w:hint="eastAsia"/>
          <w:sz w:val="24"/>
        </w:rPr>
        <w:t>该类基金份额</w:t>
      </w:r>
      <w:r>
        <w:rPr>
          <w:rFonts w:ascii="宋体" w:hAnsi="宋体"/>
          <w:sz w:val="24"/>
        </w:rPr>
        <w:t>申购申请单独计算。</w:t>
      </w:r>
    </w:p>
    <w:p w14:paraId="46EB9B2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本基金A类基金份额（非养老金客户）的申购费率如下：</w:t>
      </w:r>
    </w:p>
    <w:tbl>
      <w:tblPr>
        <w:tblW w:w="5000" w:type="pct"/>
        <w:tblCellMar>
          <w:left w:w="0" w:type="dxa"/>
          <w:right w:w="0" w:type="dxa"/>
        </w:tblCellMar>
        <w:tblLook w:val="0000" w:firstRow="0" w:lastRow="0" w:firstColumn="0" w:lastColumn="0" w:noHBand="0" w:noVBand="0"/>
      </w:tblPr>
      <w:tblGrid>
        <w:gridCol w:w="4325"/>
        <w:gridCol w:w="4325"/>
      </w:tblGrid>
      <w:tr w:rsidR="00234D74" w14:paraId="78DD6B47" w14:textId="77777777" w:rsidTr="00C304D0">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57ABB87A"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2500" w:type="pct"/>
            <w:tcBorders>
              <w:top w:val="single" w:sz="4" w:space="0" w:color="auto"/>
              <w:left w:val="single" w:sz="4" w:space="0" w:color="auto"/>
              <w:bottom w:val="single" w:sz="4" w:space="0" w:color="auto"/>
              <w:right w:val="single" w:sz="4" w:space="0" w:color="auto"/>
            </w:tcBorders>
            <w:vAlign w:val="center"/>
          </w:tcPr>
          <w:p w14:paraId="71D0F895"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类基金份额申购费率</w:t>
            </w:r>
          </w:p>
        </w:tc>
      </w:tr>
      <w:tr w:rsidR="00234D74" w14:paraId="354EA82F" w14:textId="77777777" w:rsidTr="00C304D0">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61698C6F"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2500" w:type="pct"/>
            <w:tcBorders>
              <w:top w:val="single" w:sz="4" w:space="0" w:color="auto"/>
              <w:left w:val="single" w:sz="4" w:space="0" w:color="auto"/>
              <w:bottom w:val="single" w:sz="4" w:space="0" w:color="auto"/>
              <w:right w:val="single" w:sz="4" w:space="0" w:color="auto"/>
            </w:tcBorders>
            <w:vAlign w:val="center"/>
          </w:tcPr>
          <w:p w14:paraId="293D7217"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0.8%</w:t>
            </w:r>
          </w:p>
        </w:tc>
      </w:tr>
      <w:tr w:rsidR="00234D74" w14:paraId="798544A8" w14:textId="77777777" w:rsidTr="00C304D0">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2596E606"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29032A94"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234D74" w14:paraId="6C5D163E" w14:textId="77777777" w:rsidTr="00C304D0">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08A7D985"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2A5079CA"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234D74" w14:paraId="5BD57E0F" w14:textId="77777777" w:rsidTr="00C304D0">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4A2B3CE3"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77CBADBF"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0.3%</w:t>
            </w:r>
          </w:p>
        </w:tc>
      </w:tr>
      <w:tr w:rsidR="00234D74" w14:paraId="50C66D5A" w14:textId="77777777" w:rsidTr="00C304D0">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2851E117"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w:t>
            </w:r>
          </w:p>
        </w:tc>
        <w:tc>
          <w:tcPr>
            <w:tcW w:w="2500" w:type="pct"/>
            <w:tcBorders>
              <w:top w:val="single" w:sz="4" w:space="0" w:color="auto"/>
              <w:left w:val="single" w:sz="4" w:space="0" w:color="auto"/>
              <w:bottom w:val="single" w:sz="4" w:space="0" w:color="auto"/>
              <w:right w:val="single" w:sz="4" w:space="0" w:color="auto"/>
            </w:tcBorders>
            <w:vAlign w:val="center"/>
          </w:tcPr>
          <w:p w14:paraId="6834E873"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7E64E28B" w14:textId="77777777" w:rsidR="00C304D0" w:rsidRDefault="00C304D0" w:rsidP="00C304D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本基金D类基金份额（非养老金客户）的申购费率如下：</w:t>
      </w:r>
    </w:p>
    <w:tbl>
      <w:tblPr>
        <w:tblW w:w="5000" w:type="pct"/>
        <w:tblCellMar>
          <w:left w:w="0" w:type="dxa"/>
          <w:right w:w="0" w:type="dxa"/>
        </w:tblCellMar>
        <w:tblLook w:val="0000" w:firstRow="0" w:lastRow="0" w:firstColumn="0" w:lastColumn="0" w:noHBand="0" w:noVBand="0"/>
      </w:tblPr>
      <w:tblGrid>
        <w:gridCol w:w="4325"/>
        <w:gridCol w:w="4325"/>
      </w:tblGrid>
      <w:tr w:rsidR="00C304D0" w14:paraId="62959574" w14:textId="77777777" w:rsidTr="00F95BAB">
        <w:trPr>
          <w:cantSplit/>
          <w:trHeight w:val="362"/>
        </w:trPr>
        <w:tc>
          <w:tcPr>
            <w:tcW w:w="2500" w:type="pct"/>
            <w:tcBorders>
              <w:top w:val="single" w:sz="4" w:space="0" w:color="auto"/>
              <w:left w:val="single" w:sz="4" w:space="0" w:color="auto"/>
              <w:bottom w:val="single" w:sz="4" w:space="0" w:color="auto"/>
              <w:right w:val="single" w:sz="4" w:space="0" w:color="auto"/>
            </w:tcBorders>
            <w:vAlign w:val="center"/>
          </w:tcPr>
          <w:p w14:paraId="52C81176" w14:textId="77777777" w:rsidR="00C304D0" w:rsidRDefault="00C304D0" w:rsidP="00C61788">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2500" w:type="pct"/>
            <w:tcBorders>
              <w:top w:val="single" w:sz="4" w:space="0" w:color="auto"/>
              <w:left w:val="single" w:sz="4" w:space="0" w:color="auto"/>
              <w:bottom w:val="single" w:sz="4" w:space="0" w:color="auto"/>
              <w:right w:val="single" w:sz="4" w:space="0" w:color="auto"/>
            </w:tcBorders>
            <w:vAlign w:val="center"/>
          </w:tcPr>
          <w:p w14:paraId="6052C67D" w14:textId="77777777" w:rsidR="00C304D0" w:rsidRDefault="00C304D0" w:rsidP="00C61788">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r>
              <w:rPr>
                <w:rFonts w:ascii="Times New Roman" w:hAnsi="Times New Roman"/>
                <w:color w:val="000000"/>
                <w:kern w:val="0"/>
                <w:sz w:val="25"/>
                <w:szCs w:val="24"/>
              </w:rPr>
              <w:t>类基金份额申购费率</w:t>
            </w:r>
          </w:p>
        </w:tc>
      </w:tr>
      <w:tr w:rsidR="00C304D0" w14:paraId="16DFA4B1" w14:textId="77777777" w:rsidTr="00F95BAB">
        <w:trPr>
          <w:cantSplit/>
          <w:trHeight w:val="362"/>
        </w:trPr>
        <w:tc>
          <w:tcPr>
            <w:tcW w:w="2500" w:type="pct"/>
            <w:tcBorders>
              <w:top w:val="single" w:sz="4" w:space="0" w:color="auto"/>
              <w:left w:val="single" w:sz="4" w:space="0" w:color="auto"/>
              <w:bottom w:val="single" w:sz="4" w:space="0" w:color="auto"/>
              <w:right w:val="single" w:sz="4" w:space="0" w:color="auto"/>
            </w:tcBorders>
            <w:vAlign w:val="center"/>
          </w:tcPr>
          <w:p w14:paraId="78B55D8D" w14:textId="77777777" w:rsidR="00C304D0" w:rsidRDefault="00C304D0" w:rsidP="00C61788">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2500" w:type="pct"/>
            <w:tcBorders>
              <w:top w:val="single" w:sz="4" w:space="0" w:color="auto"/>
              <w:left w:val="single" w:sz="4" w:space="0" w:color="auto"/>
              <w:bottom w:val="single" w:sz="4" w:space="0" w:color="auto"/>
              <w:right w:val="single" w:sz="4" w:space="0" w:color="auto"/>
            </w:tcBorders>
            <w:vAlign w:val="center"/>
          </w:tcPr>
          <w:p w14:paraId="60D2ED1F" w14:textId="77777777" w:rsidR="00C304D0" w:rsidRDefault="00C304D0" w:rsidP="00C61788">
            <w:pPr>
              <w:widowControl/>
              <w:snapToGrid w:val="0"/>
              <w:jc w:val="center"/>
              <w:rPr>
                <w:rFonts w:ascii="宋体" w:hAnsi="宋体"/>
                <w:color w:val="000000"/>
                <w:kern w:val="0"/>
                <w:sz w:val="25"/>
                <w:szCs w:val="24"/>
              </w:rPr>
            </w:pPr>
            <w:r>
              <w:rPr>
                <w:rFonts w:ascii="Times New Roman" w:hAnsi="Times New Roman"/>
                <w:color w:val="000000"/>
                <w:kern w:val="0"/>
                <w:sz w:val="25"/>
                <w:szCs w:val="24"/>
              </w:rPr>
              <w:t>0.9%</w:t>
            </w:r>
          </w:p>
        </w:tc>
      </w:tr>
      <w:tr w:rsidR="00C304D0" w14:paraId="1CDF47EB" w14:textId="77777777" w:rsidTr="00F95BAB">
        <w:trPr>
          <w:cantSplit/>
          <w:trHeight w:val="362"/>
        </w:trPr>
        <w:tc>
          <w:tcPr>
            <w:tcW w:w="2500" w:type="pct"/>
            <w:tcBorders>
              <w:top w:val="single" w:sz="4" w:space="0" w:color="auto"/>
              <w:left w:val="single" w:sz="4" w:space="0" w:color="auto"/>
              <w:bottom w:val="single" w:sz="4" w:space="0" w:color="auto"/>
              <w:right w:val="single" w:sz="4" w:space="0" w:color="auto"/>
            </w:tcBorders>
            <w:vAlign w:val="center"/>
          </w:tcPr>
          <w:p w14:paraId="3A49A8EC" w14:textId="77777777" w:rsidR="00C304D0" w:rsidRDefault="00C304D0" w:rsidP="00C61788">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36E2262C" w14:textId="77777777" w:rsidR="00C304D0" w:rsidRDefault="00C304D0" w:rsidP="00C61788">
            <w:pPr>
              <w:widowControl/>
              <w:snapToGrid w:val="0"/>
              <w:jc w:val="center"/>
              <w:rPr>
                <w:rFonts w:ascii="宋体" w:hAnsi="宋体"/>
                <w:color w:val="000000"/>
                <w:kern w:val="0"/>
                <w:sz w:val="25"/>
                <w:szCs w:val="24"/>
              </w:rPr>
            </w:pPr>
            <w:r>
              <w:rPr>
                <w:rFonts w:ascii="Times New Roman" w:hAnsi="Times New Roman"/>
                <w:color w:val="000000"/>
                <w:kern w:val="0"/>
                <w:sz w:val="25"/>
                <w:szCs w:val="24"/>
              </w:rPr>
              <w:t>0.7%</w:t>
            </w:r>
          </w:p>
        </w:tc>
      </w:tr>
      <w:tr w:rsidR="00C304D0" w14:paraId="7D002ACF" w14:textId="77777777" w:rsidTr="00F95BAB">
        <w:trPr>
          <w:cantSplit/>
          <w:trHeight w:val="362"/>
        </w:trPr>
        <w:tc>
          <w:tcPr>
            <w:tcW w:w="2500" w:type="pct"/>
            <w:tcBorders>
              <w:top w:val="single" w:sz="4" w:space="0" w:color="auto"/>
              <w:left w:val="single" w:sz="4" w:space="0" w:color="auto"/>
              <w:bottom w:val="single" w:sz="4" w:space="0" w:color="auto"/>
              <w:right w:val="single" w:sz="4" w:space="0" w:color="auto"/>
            </w:tcBorders>
            <w:vAlign w:val="center"/>
          </w:tcPr>
          <w:p w14:paraId="165E1CBC" w14:textId="77777777" w:rsidR="00C304D0" w:rsidRDefault="00C304D0" w:rsidP="00C61788">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3381289F" w14:textId="77777777" w:rsidR="00C304D0" w:rsidRDefault="00C304D0" w:rsidP="00C61788">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C304D0" w14:paraId="5564B612" w14:textId="77777777" w:rsidTr="00F95BAB">
        <w:trPr>
          <w:cantSplit/>
          <w:trHeight w:val="362"/>
        </w:trPr>
        <w:tc>
          <w:tcPr>
            <w:tcW w:w="2500" w:type="pct"/>
            <w:tcBorders>
              <w:top w:val="single" w:sz="4" w:space="0" w:color="auto"/>
              <w:left w:val="single" w:sz="4" w:space="0" w:color="auto"/>
              <w:bottom w:val="single" w:sz="4" w:space="0" w:color="auto"/>
              <w:right w:val="single" w:sz="4" w:space="0" w:color="auto"/>
            </w:tcBorders>
            <w:vAlign w:val="center"/>
          </w:tcPr>
          <w:p w14:paraId="1ADBC4AF" w14:textId="77777777" w:rsidR="00C304D0" w:rsidRDefault="00C304D0" w:rsidP="00C61788">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7C153A26" w14:textId="77777777" w:rsidR="00C304D0" w:rsidRDefault="00C304D0" w:rsidP="00C61788">
            <w:pPr>
              <w:widowControl/>
              <w:snapToGrid w:val="0"/>
              <w:jc w:val="center"/>
              <w:rPr>
                <w:rFonts w:ascii="宋体" w:hAnsi="宋体"/>
                <w:color w:val="000000"/>
                <w:kern w:val="0"/>
                <w:sz w:val="25"/>
                <w:szCs w:val="24"/>
              </w:rPr>
            </w:pPr>
            <w:r>
              <w:rPr>
                <w:rFonts w:ascii="Times New Roman" w:hAnsi="Times New Roman"/>
                <w:color w:val="000000"/>
                <w:kern w:val="0"/>
                <w:sz w:val="25"/>
                <w:szCs w:val="24"/>
              </w:rPr>
              <w:t>0.4%</w:t>
            </w:r>
          </w:p>
        </w:tc>
      </w:tr>
      <w:tr w:rsidR="00C304D0" w14:paraId="4624F7FA" w14:textId="77777777" w:rsidTr="00F95BAB">
        <w:trPr>
          <w:cantSplit/>
          <w:trHeight w:val="362"/>
        </w:trPr>
        <w:tc>
          <w:tcPr>
            <w:tcW w:w="2500" w:type="pct"/>
            <w:tcBorders>
              <w:top w:val="single" w:sz="4" w:space="0" w:color="auto"/>
              <w:left w:val="single" w:sz="4" w:space="0" w:color="auto"/>
              <w:bottom w:val="single" w:sz="4" w:space="0" w:color="auto"/>
              <w:right w:val="single" w:sz="4" w:space="0" w:color="auto"/>
            </w:tcBorders>
            <w:vAlign w:val="center"/>
          </w:tcPr>
          <w:p w14:paraId="6EFFDCA6" w14:textId="77777777" w:rsidR="00C304D0" w:rsidRDefault="00C304D0" w:rsidP="00C61788">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68C0C3D0" w14:textId="77777777" w:rsidR="00C304D0" w:rsidRDefault="00C304D0" w:rsidP="00C61788">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1200</w:t>
            </w:r>
            <w:r>
              <w:rPr>
                <w:rFonts w:ascii="Times New Roman" w:hAnsi="Times New Roman"/>
                <w:color w:val="000000"/>
                <w:kern w:val="0"/>
                <w:sz w:val="25"/>
                <w:szCs w:val="24"/>
              </w:rPr>
              <w:t>元</w:t>
            </w:r>
          </w:p>
        </w:tc>
      </w:tr>
    </w:tbl>
    <w:p w14:paraId="675DECE9" w14:textId="18394915"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持有A类基金份额</w:t>
      </w:r>
      <w:r w:rsidR="00C304D0">
        <w:rPr>
          <w:rFonts w:ascii="宋体" w:hAnsi="宋体" w:hint="eastAsia"/>
          <w:sz w:val="24"/>
        </w:rPr>
        <w:t>或D类基金份额</w:t>
      </w:r>
      <w:r>
        <w:rPr>
          <w:rFonts w:ascii="宋体" w:hAnsi="宋体"/>
          <w:sz w:val="24"/>
        </w:rPr>
        <w:t>的投资人因红利自动再投资而产生的A类基金份额</w:t>
      </w:r>
      <w:r w:rsidR="00C304D0">
        <w:rPr>
          <w:rFonts w:ascii="宋体" w:hAnsi="宋体" w:hint="eastAsia"/>
          <w:sz w:val="24"/>
        </w:rPr>
        <w:t>或D类基金份额</w:t>
      </w:r>
      <w:r>
        <w:rPr>
          <w:rFonts w:ascii="宋体" w:hAnsi="宋体"/>
          <w:sz w:val="24"/>
        </w:rPr>
        <w:t>，不收取相应的申购费用。</w:t>
      </w:r>
    </w:p>
    <w:p w14:paraId="195690F8" w14:textId="5CCE284B"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本基金对通过基金管理人直销柜台申购A类基金份额</w:t>
      </w:r>
      <w:r w:rsidR="00C304D0">
        <w:rPr>
          <w:rFonts w:ascii="宋体" w:hAnsi="宋体" w:hint="eastAsia"/>
          <w:sz w:val="24"/>
        </w:rPr>
        <w:t>或D类基金份额</w:t>
      </w:r>
      <w:r>
        <w:rPr>
          <w:rFonts w:ascii="宋体" w:hAnsi="宋体"/>
          <w:sz w:val="24"/>
        </w:rPr>
        <w:t>的养老金客户实施特定申购费率。</w:t>
      </w:r>
    </w:p>
    <w:p w14:paraId="29044A4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w:t>
      </w:r>
    </w:p>
    <w:p w14:paraId="24A1FA2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1）全国社会保障基金；</w:t>
      </w:r>
    </w:p>
    <w:p w14:paraId="75078AA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2）可以投资基金的地方社会保障基金；</w:t>
      </w:r>
    </w:p>
    <w:p w14:paraId="3D5E2D1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3）企业年金单一计划以及集合计划；</w:t>
      </w:r>
    </w:p>
    <w:p w14:paraId="60F5774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4）企业年金理事会委托的特定客户资产管理计划；</w:t>
      </w:r>
    </w:p>
    <w:p w14:paraId="43EE563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5）企业年金养老金产品。</w:t>
      </w:r>
    </w:p>
    <w:p w14:paraId="296E008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如将来出现经养老基金监管部门认可的新的养老基金类型，基金管理人可在招募说明书更新或发布临时公告将其纳入养老金客户范围，并按规定向中国证监会备案。</w:t>
      </w:r>
    </w:p>
    <w:p w14:paraId="7C17FE2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通过基金管理人直销柜台申购本基金A类基金份额的养老金客户特定申购费率如下表：</w:t>
      </w:r>
    </w:p>
    <w:tbl>
      <w:tblPr>
        <w:tblW w:w="5000" w:type="pct"/>
        <w:tblCellMar>
          <w:left w:w="0" w:type="dxa"/>
          <w:right w:w="0" w:type="dxa"/>
        </w:tblCellMar>
        <w:tblLook w:val="0000" w:firstRow="0" w:lastRow="0" w:firstColumn="0" w:lastColumn="0" w:noHBand="0" w:noVBand="0"/>
      </w:tblPr>
      <w:tblGrid>
        <w:gridCol w:w="4325"/>
        <w:gridCol w:w="4325"/>
      </w:tblGrid>
      <w:tr w:rsidR="00234D74" w14:paraId="34355B19" w14:textId="77777777" w:rsidTr="00C304D0">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3F7D412F"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2500" w:type="pct"/>
            <w:tcBorders>
              <w:top w:val="single" w:sz="4" w:space="0" w:color="auto"/>
              <w:left w:val="single" w:sz="4" w:space="0" w:color="auto"/>
              <w:bottom w:val="single" w:sz="4" w:space="0" w:color="auto"/>
              <w:right w:val="single" w:sz="4" w:space="0" w:color="auto"/>
            </w:tcBorders>
            <w:vAlign w:val="center"/>
          </w:tcPr>
          <w:p w14:paraId="433A7207"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类基金份额特定申购费率</w:t>
            </w:r>
          </w:p>
        </w:tc>
      </w:tr>
      <w:tr w:rsidR="00234D74" w14:paraId="326B2A83" w14:textId="77777777" w:rsidTr="00C304D0">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7DF49EC7"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2500" w:type="pct"/>
            <w:tcBorders>
              <w:top w:val="single" w:sz="4" w:space="0" w:color="auto"/>
              <w:left w:val="single" w:sz="4" w:space="0" w:color="auto"/>
              <w:bottom w:val="single" w:sz="4" w:space="0" w:color="auto"/>
              <w:right w:val="single" w:sz="4" w:space="0" w:color="auto"/>
            </w:tcBorders>
            <w:vAlign w:val="center"/>
          </w:tcPr>
          <w:p w14:paraId="2C7C2A2F"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0.32%</w:t>
            </w:r>
          </w:p>
        </w:tc>
      </w:tr>
      <w:tr w:rsidR="00234D74" w14:paraId="31D8D7E8" w14:textId="77777777" w:rsidTr="00C304D0">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544AAA79"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4F7AB75A"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0.18%</w:t>
            </w:r>
          </w:p>
        </w:tc>
      </w:tr>
      <w:tr w:rsidR="00234D74" w14:paraId="6B5DFC82" w14:textId="77777777" w:rsidTr="00C304D0">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66DF9B72"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2B5B5F26"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0.10%</w:t>
            </w:r>
          </w:p>
        </w:tc>
      </w:tr>
      <w:tr w:rsidR="00234D74" w14:paraId="1A4F9BC2" w14:textId="77777777" w:rsidTr="00C304D0">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0FAD00EA"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7B08C3E1"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0.06%</w:t>
            </w:r>
          </w:p>
        </w:tc>
      </w:tr>
      <w:tr w:rsidR="00234D74" w14:paraId="2E90B4EA" w14:textId="77777777" w:rsidTr="00C304D0">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7B170F41"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w:t>
            </w:r>
          </w:p>
        </w:tc>
        <w:tc>
          <w:tcPr>
            <w:tcW w:w="2500" w:type="pct"/>
            <w:tcBorders>
              <w:top w:val="single" w:sz="4" w:space="0" w:color="auto"/>
              <w:left w:val="single" w:sz="4" w:space="0" w:color="auto"/>
              <w:bottom w:val="single" w:sz="4" w:space="0" w:color="auto"/>
              <w:right w:val="single" w:sz="4" w:space="0" w:color="auto"/>
            </w:tcBorders>
            <w:vAlign w:val="center"/>
          </w:tcPr>
          <w:p w14:paraId="3EB13024"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43978448" w14:textId="77777777" w:rsidR="00C304D0" w:rsidRDefault="00C304D0" w:rsidP="00C304D0">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通过基金管理人直销柜台申购本基金D类基金份额的养老金客户特定申购费率如下表：</w:t>
      </w:r>
    </w:p>
    <w:tbl>
      <w:tblPr>
        <w:tblW w:w="5000" w:type="pct"/>
        <w:tblCellMar>
          <w:left w:w="0" w:type="dxa"/>
          <w:right w:w="0" w:type="dxa"/>
        </w:tblCellMar>
        <w:tblLook w:val="0000" w:firstRow="0" w:lastRow="0" w:firstColumn="0" w:lastColumn="0" w:noHBand="0" w:noVBand="0"/>
      </w:tblPr>
      <w:tblGrid>
        <w:gridCol w:w="4325"/>
        <w:gridCol w:w="4325"/>
      </w:tblGrid>
      <w:tr w:rsidR="00C304D0" w14:paraId="26C473BB" w14:textId="77777777" w:rsidTr="00F95BAB">
        <w:trPr>
          <w:cantSplit/>
          <w:trHeight w:val="372"/>
        </w:trPr>
        <w:tc>
          <w:tcPr>
            <w:tcW w:w="2500" w:type="pct"/>
            <w:tcBorders>
              <w:top w:val="single" w:sz="4" w:space="0" w:color="auto"/>
              <w:left w:val="single" w:sz="4" w:space="0" w:color="auto"/>
              <w:bottom w:val="single" w:sz="4" w:space="0" w:color="auto"/>
              <w:right w:val="single" w:sz="4" w:space="0" w:color="auto"/>
            </w:tcBorders>
            <w:vAlign w:val="center"/>
          </w:tcPr>
          <w:p w14:paraId="619F09B3" w14:textId="77777777" w:rsidR="00C304D0" w:rsidRDefault="00C304D0" w:rsidP="00C61788">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2500" w:type="pct"/>
            <w:tcBorders>
              <w:top w:val="single" w:sz="4" w:space="0" w:color="auto"/>
              <w:left w:val="single" w:sz="4" w:space="0" w:color="auto"/>
              <w:bottom w:val="single" w:sz="4" w:space="0" w:color="auto"/>
              <w:right w:val="single" w:sz="4" w:space="0" w:color="auto"/>
            </w:tcBorders>
            <w:vAlign w:val="center"/>
          </w:tcPr>
          <w:p w14:paraId="2D440D71" w14:textId="77777777" w:rsidR="00C304D0" w:rsidRDefault="00C304D0" w:rsidP="00C61788">
            <w:pPr>
              <w:widowControl/>
              <w:snapToGrid w:val="0"/>
              <w:jc w:val="center"/>
              <w:rPr>
                <w:rFonts w:ascii="宋体" w:hAnsi="宋体"/>
                <w:color w:val="000000"/>
                <w:kern w:val="0"/>
                <w:sz w:val="25"/>
                <w:szCs w:val="24"/>
              </w:rPr>
            </w:pPr>
            <w:r>
              <w:rPr>
                <w:rFonts w:ascii="Times New Roman" w:hAnsi="Times New Roman" w:hint="eastAsia"/>
                <w:color w:val="000000"/>
                <w:kern w:val="0"/>
                <w:sz w:val="25"/>
                <w:szCs w:val="24"/>
              </w:rPr>
              <w:t>D</w:t>
            </w:r>
            <w:r>
              <w:rPr>
                <w:rFonts w:ascii="Times New Roman" w:hAnsi="Times New Roman"/>
                <w:color w:val="000000"/>
                <w:kern w:val="0"/>
                <w:sz w:val="25"/>
                <w:szCs w:val="24"/>
              </w:rPr>
              <w:t>类基金份额特定申购费率</w:t>
            </w:r>
          </w:p>
        </w:tc>
      </w:tr>
      <w:tr w:rsidR="00C304D0" w14:paraId="00C6151A" w14:textId="77777777" w:rsidTr="00F95BAB">
        <w:trPr>
          <w:cantSplit/>
          <w:trHeight w:val="372"/>
        </w:trPr>
        <w:tc>
          <w:tcPr>
            <w:tcW w:w="2500" w:type="pct"/>
            <w:tcBorders>
              <w:top w:val="single" w:sz="4" w:space="0" w:color="auto"/>
              <w:left w:val="single" w:sz="4" w:space="0" w:color="auto"/>
              <w:bottom w:val="single" w:sz="4" w:space="0" w:color="auto"/>
              <w:right w:val="single" w:sz="4" w:space="0" w:color="auto"/>
            </w:tcBorders>
            <w:vAlign w:val="center"/>
          </w:tcPr>
          <w:p w14:paraId="4D23AF8E" w14:textId="77777777" w:rsidR="00C304D0" w:rsidRDefault="00C304D0" w:rsidP="00C61788">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2500" w:type="pct"/>
            <w:tcBorders>
              <w:top w:val="single" w:sz="4" w:space="0" w:color="auto"/>
              <w:left w:val="single" w:sz="4" w:space="0" w:color="auto"/>
              <w:bottom w:val="single" w:sz="4" w:space="0" w:color="auto"/>
              <w:right w:val="single" w:sz="4" w:space="0" w:color="auto"/>
            </w:tcBorders>
            <w:vAlign w:val="center"/>
          </w:tcPr>
          <w:p w14:paraId="6D12AEBA" w14:textId="77777777" w:rsidR="00C304D0" w:rsidRDefault="00C304D0" w:rsidP="00C61788">
            <w:pPr>
              <w:widowControl/>
              <w:snapToGrid w:val="0"/>
              <w:jc w:val="center"/>
              <w:rPr>
                <w:rFonts w:ascii="宋体" w:hAnsi="宋体"/>
                <w:color w:val="000000"/>
                <w:kern w:val="0"/>
                <w:sz w:val="25"/>
                <w:szCs w:val="24"/>
              </w:rPr>
            </w:pPr>
            <w:r>
              <w:rPr>
                <w:rFonts w:ascii="Times New Roman" w:hAnsi="Times New Roman"/>
                <w:color w:val="000000"/>
                <w:kern w:val="0"/>
                <w:sz w:val="25"/>
                <w:szCs w:val="24"/>
              </w:rPr>
              <w:t>0.36%</w:t>
            </w:r>
          </w:p>
        </w:tc>
      </w:tr>
      <w:tr w:rsidR="00C304D0" w14:paraId="6D3799CB" w14:textId="77777777" w:rsidTr="00F95BAB">
        <w:trPr>
          <w:cantSplit/>
          <w:trHeight w:val="372"/>
        </w:trPr>
        <w:tc>
          <w:tcPr>
            <w:tcW w:w="2500" w:type="pct"/>
            <w:tcBorders>
              <w:top w:val="single" w:sz="4" w:space="0" w:color="auto"/>
              <w:left w:val="single" w:sz="4" w:space="0" w:color="auto"/>
              <w:bottom w:val="single" w:sz="4" w:space="0" w:color="auto"/>
              <w:right w:val="single" w:sz="4" w:space="0" w:color="auto"/>
            </w:tcBorders>
            <w:vAlign w:val="center"/>
          </w:tcPr>
          <w:p w14:paraId="6BB4DA0F" w14:textId="77777777" w:rsidR="00C304D0" w:rsidRDefault="00C304D0" w:rsidP="00C61788">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141E65E4" w14:textId="77777777" w:rsidR="00C304D0" w:rsidRDefault="00C304D0" w:rsidP="00C61788">
            <w:pPr>
              <w:widowControl/>
              <w:snapToGrid w:val="0"/>
              <w:jc w:val="center"/>
              <w:rPr>
                <w:rFonts w:ascii="宋体" w:hAnsi="宋体"/>
                <w:color w:val="000000"/>
                <w:kern w:val="0"/>
                <w:sz w:val="25"/>
                <w:szCs w:val="24"/>
              </w:rPr>
            </w:pPr>
            <w:r>
              <w:rPr>
                <w:rFonts w:ascii="Times New Roman" w:hAnsi="Times New Roman"/>
                <w:color w:val="000000"/>
                <w:kern w:val="0"/>
                <w:sz w:val="25"/>
                <w:szCs w:val="24"/>
              </w:rPr>
              <w:t>0.21%</w:t>
            </w:r>
          </w:p>
        </w:tc>
      </w:tr>
      <w:tr w:rsidR="00C304D0" w14:paraId="029B4AD3" w14:textId="77777777" w:rsidTr="00F95BAB">
        <w:trPr>
          <w:cantSplit/>
          <w:trHeight w:val="372"/>
        </w:trPr>
        <w:tc>
          <w:tcPr>
            <w:tcW w:w="2500" w:type="pct"/>
            <w:tcBorders>
              <w:top w:val="single" w:sz="4" w:space="0" w:color="auto"/>
              <w:left w:val="single" w:sz="4" w:space="0" w:color="auto"/>
              <w:bottom w:val="single" w:sz="4" w:space="0" w:color="auto"/>
              <w:right w:val="single" w:sz="4" w:space="0" w:color="auto"/>
            </w:tcBorders>
            <w:vAlign w:val="center"/>
          </w:tcPr>
          <w:p w14:paraId="5AF48FF5" w14:textId="77777777" w:rsidR="00C304D0" w:rsidRDefault="00C304D0" w:rsidP="00C61788">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73439440" w14:textId="77777777" w:rsidR="00C304D0" w:rsidRDefault="00C304D0" w:rsidP="00C61788">
            <w:pPr>
              <w:widowControl/>
              <w:snapToGrid w:val="0"/>
              <w:jc w:val="center"/>
              <w:rPr>
                <w:rFonts w:ascii="宋体" w:hAnsi="宋体"/>
                <w:color w:val="000000"/>
                <w:kern w:val="0"/>
                <w:sz w:val="25"/>
                <w:szCs w:val="24"/>
              </w:rPr>
            </w:pPr>
            <w:r>
              <w:rPr>
                <w:rFonts w:ascii="Times New Roman" w:hAnsi="Times New Roman"/>
                <w:color w:val="000000"/>
                <w:kern w:val="0"/>
                <w:sz w:val="25"/>
                <w:szCs w:val="24"/>
              </w:rPr>
              <w:t>0.12%</w:t>
            </w:r>
          </w:p>
        </w:tc>
      </w:tr>
      <w:tr w:rsidR="00C304D0" w14:paraId="12B9A923" w14:textId="77777777" w:rsidTr="00F95BAB">
        <w:trPr>
          <w:cantSplit/>
          <w:trHeight w:val="372"/>
        </w:trPr>
        <w:tc>
          <w:tcPr>
            <w:tcW w:w="2500" w:type="pct"/>
            <w:tcBorders>
              <w:top w:val="single" w:sz="4" w:space="0" w:color="auto"/>
              <w:left w:val="single" w:sz="4" w:space="0" w:color="auto"/>
              <w:bottom w:val="single" w:sz="4" w:space="0" w:color="auto"/>
              <w:right w:val="single" w:sz="4" w:space="0" w:color="auto"/>
            </w:tcBorders>
            <w:vAlign w:val="center"/>
          </w:tcPr>
          <w:p w14:paraId="72D30B18" w14:textId="77777777" w:rsidR="00C304D0" w:rsidRDefault="00C304D0" w:rsidP="00C61788">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255D98BF" w14:textId="77777777" w:rsidR="00C304D0" w:rsidRDefault="00C304D0" w:rsidP="00C61788">
            <w:pPr>
              <w:widowControl/>
              <w:snapToGrid w:val="0"/>
              <w:jc w:val="center"/>
              <w:rPr>
                <w:rFonts w:ascii="宋体" w:hAnsi="宋体"/>
                <w:color w:val="000000"/>
                <w:kern w:val="0"/>
                <w:sz w:val="25"/>
                <w:szCs w:val="24"/>
              </w:rPr>
            </w:pPr>
            <w:r>
              <w:rPr>
                <w:rFonts w:ascii="Times New Roman" w:hAnsi="Times New Roman"/>
                <w:color w:val="000000"/>
                <w:kern w:val="0"/>
                <w:sz w:val="25"/>
                <w:szCs w:val="24"/>
              </w:rPr>
              <w:t>0.08%</w:t>
            </w:r>
          </w:p>
        </w:tc>
      </w:tr>
      <w:tr w:rsidR="00C304D0" w14:paraId="08A45926" w14:textId="77777777" w:rsidTr="00F95BAB">
        <w:trPr>
          <w:cantSplit/>
          <w:trHeight w:val="372"/>
        </w:trPr>
        <w:tc>
          <w:tcPr>
            <w:tcW w:w="2500" w:type="pct"/>
            <w:tcBorders>
              <w:top w:val="single" w:sz="4" w:space="0" w:color="auto"/>
              <w:left w:val="single" w:sz="4" w:space="0" w:color="auto"/>
              <w:bottom w:val="single" w:sz="4" w:space="0" w:color="auto"/>
              <w:right w:val="single" w:sz="4" w:space="0" w:color="auto"/>
            </w:tcBorders>
            <w:vAlign w:val="center"/>
          </w:tcPr>
          <w:p w14:paraId="7809D938" w14:textId="77777777" w:rsidR="00C304D0" w:rsidRDefault="00C304D0" w:rsidP="00C61788">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2CDF2BE9" w14:textId="77777777" w:rsidR="00C304D0" w:rsidRDefault="00C304D0" w:rsidP="00C61788">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1200</w:t>
            </w:r>
            <w:r>
              <w:rPr>
                <w:rFonts w:ascii="Times New Roman" w:hAnsi="Times New Roman"/>
                <w:color w:val="000000"/>
                <w:kern w:val="0"/>
                <w:sz w:val="25"/>
                <w:szCs w:val="24"/>
              </w:rPr>
              <w:t>元</w:t>
            </w:r>
          </w:p>
        </w:tc>
      </w:tr>
    </w:tbl>
    <w:p w14:paraId="172E2D4E" w14:textId="77777777" w:rsidR="00494DEE" w:rsidRDefault="00494DEE" w:rsidP="00494DEE">
      <w:pPr>
        <w:autoSpaceDE w:val="0"/>
        <w:autoSpaceDN w:val="0"/>
        <w:snapToGrid w:val="0"/>
        <w:spacing w:line="360" w:lineRule="auto"/>
        <w:ind w:firstLine="480"/>
        <w:jc w:val="left"/>
        <w:rPr>
          <w:rFonts w:ascii="宋体" w:hAnsi="宋体"/>
          <w:kern w:val="0"/>
          <w:szCs w:val="21"/>
        </w:rPr>
      </w:pPr>
      <w:r>
        <w:rPr>
          <w:rFonts w:hint="eastAsia"/>
          <w:sz w:val="24"/>
          <w:szCs w:val="24"/>
        </w:rPr>
        <w:t>投资者通过直销机构交易享有的交易费率优惠情况请见本基金管理人的有关公告或本基金管理人网站。本基金管理人基金网上直销业务已开通的银行卡及各银行卡交易金额限额请参阅本基金管理人网站。</w:t>
      </w:r>
    </w:p>
    <w:p w14:paraId="48BB62D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2、赎回费用</w:t>
      </w:r>
    </w:p>
    <w:p w14:paraId="57CB048E" w14:textId="4543A42E"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投资者赎回A类基金份额</w:t>
      </w:r>
      <w:r w:rsidR="00D34CA6">
        <w:rPr>
          <w:rFonts w:ascii="宋体" w:hAnsi="宋体" w:hint="eastAsia"/>
          <w:sz w:val="24"/>
        </w:rPr>
        <w:t>、</w:t>
      </w:r>
      <w:r>
        <w:rPr>
          <w:rFonts w:ascii="宋体" w:hAnsi="宋体"/>
          <w:sz w:val="24"/>
        </w:rPr>
        <w:t>C类基金份额</w:t>
      </w:r>
      <w:r w:rsidR="00D34CA6">
        <w:rPr>
          <w:rFonts w:ascii="宋体" w:hAnsi="宋体" w:hint="eastAsia"/>
          <w:sz w:val="24"/>
        </w:rPr>
        <w:t>或D类基金份额</w:t>
      </w:r>
      <w:r>
        <w:rPr>
          <w:rFonts w:ascii="宋体" w:hAnsi="宋体"/>
          <w:sz w:val="24"/>
        </w:rPr>
        <w:t>收取赎回费用，该费用随基金份额的持有时间递减。本基金A类基金份额</w:t>
      </w:r>
      <w:r w:rsidR="00D34CA6">
        <w:rPr>
          <w:rFonts w:ascii="宋体" w:hAnsi="宋体" w:hint="eastAsia"/>
          <w:sz w:val="24"/>
        </w:rPr>
        <w:t>、</w:t>
      </w:r>
      <w:r>
        <w:rPr>
          <w:rFonts w:ascii="宋体" w:hAnsi="宋体"/>
          <w:sz w:val="24"/>
        </w:rPr>
        <w:t>C类基金份额</w:t>
      </w:r>
      <w:r w:rsidR="00D34CA6">
        <w:rPr>
          <w:rFonts w:ascii="宋体" w:hAnsi="宋体" w:hint="eastAsia"/>
          <w:sz w:val="24"/>
        </w:rPr>
        <w:t>和D类基金份额</w:t>
      </w:r>
      <w:r>
        <w:rPr>
          <w:rFonts w:ascii="宋体" w:hAnsi="宋体"/>
          <w:sz w:val="24"/>
        </w:rPr>
        <w:t>的赎回费用由该类基金份额赎回人承担，对于持续持有期间少于7天的投资人收取的赎回费全额计入基金财产，对于持续持有期间大于等于7天的投资人收取的赎回费总额的25%应归基金财产，其余用于支付登记费和其他必要的手续费。</w:t>
      </w:r>
    </w:p>
    <w:p w14:paraId="227A958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234D74" w14:paraId="3B47FF21"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53C62824"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类基金份额的赎回费率</w:t>
            </w:r>
          </w:p>
        </w:tc>
        <w:tc>
          <w:tcPr>
            <w:tcW w:w="750" w:type="pct"/>
            <w:tcBorders>
              <w:top w:val="single" w:sz="4" w:space="0" w:color="auto"/>
              <w:left w:val="single" w:sz="4" w:space="0" w:color="auto"/>
              <w:bottom w:val="single" w:sz="4" w:space="0" w:color="auto"/>
              <w:right w:val="single" w:sz="4" w:space="0" w:color="auto"/>
            </w:tcBorders>
            <w:vAlign w:val="center"/>
          </w:tcPr>
          <w:p w14:paraId="73FEC258"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14:paraId="0F729EEF"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234D74" w14:paraId="50197324"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541379B1" w14:textId="77777777" w:rsidR="00234D74" w:rsidRDefault="00234D74">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A3059F0"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天以内</w:t>
            </w:r>
          </w:p>
        </w:tc>
        <w:tc>
          <w:tcPr>
            <w:tcW w:w="750" w:type="pct"/>
            <w:tcBorders>
              <w:top w:val="single" w:sz="4" w:space="0" w:color="auto"/>
              <w:left w:val="single" w:sz="4" w:space="0" w:color="auto"/>
              <w:bottom w:val="single" w:sz="4" w:space="0" w:color="auto"/>
              <w:right w:val="single" w:sz="4" w:space="0" w:color="auto"/>
            </w:tcBorders>
            <w:vAlign w:val="center"/>
          </w:tcPr>
          <w:p w14:paraId="7BF70F78"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234D74" w14:paraId="23E8F2DA"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B63125A" w14:textId="77777777" w:rsidR="00234D74" w:rsidRDefault="00234D74">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2C40494"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天（含）</w:t>
            </w:r>
            <w:r>
              <w:rPr>
                <w:rFonts w:ascii="Times New Roman" w:hAnsi="Times New Roman"/>
                <w:color w:val="000000"/>
                <w:kern w:val="0"/>
                <w:sz w:val="25"/>
                <w:szCs w:val="24"/>
              </w:rPr>
              <w:t>—1</w:t>
            </w:r>
            <w:r>
              <w:rPr>
                <w:rFonts w:ascii="Times New Roman" w:hAnsi="Times New Roman"/>
                <w:color w:val="000000"/>
                <w:kern w:val="0"/>
                <w:sz w:val="25"/>
                <w:szCs w:val="24"/>
              </w:rPr>
              <w:t>年</w:t>
            </w:r>
          </w:p>
        </w:tc>
        <w:tc>
          <w:tcPr>
            <w:tcW w:w="750" w:type="pct"/>
            <w:tcBorders>
              <w:top w:val="single" w:sz="4" w:space="0" w:color="auto"/>
              <w:left w:val="single" w:sz="4" w:space="0" w:color="auto"/>
              <w:bottom w:val="single" w:sz="4" w:space="0" w:color="auto"/>
              <w:right w:val="single" w:sz="4" w:space="0" w:color="auto"/>
            </w:tcBorders>
            <w:vAlign w:val="center"/>
          </w:tcPr>
          <w:p w14:paraId="54F05B3C"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0.1%</w:t>
            </w:r>
          </w:p>
        </w:tc>
      </w:tr>
      <w:tr w:rsidR="00234D74" w14:paraId="4C8D4FFE"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3AB957CF" w14:textId="77777777" w:rsidR="00234D74" w:rsidRDefault="00234D74">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36A6608"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年（含）</w:t>
            </w:r>
            <w:r>
              <w:rPr>
                <w:rFonts w:ascii="Times New Roman" w:hAnsi="Times New Roman"/>
                <w:color w:val="000000"/>
                <w:kern w:val="0"/>
                <w:sz w:val="25"/>
                <w:szCs w:val="24"/>
              </w:rPr>
              <w:t>—2</w:t>
            </w:r>
            <w:r>
              <w:rPr>
                <w:rFonts w:ascii="Times New Roman" w:hAnsi="Times New Roman"/>
                <w:color w:val="000000"/>
                <w:kern w:val="0"/>
                <w:sz w:val="25"/>
                <w:szCs w:val="24"/>
              </w:rPr>
              <w:t>年</w:t>
            </w:r>
          </w:p>
        </w:tc>
        <w:tc>
          <w:tcPr>
            <w:tcW w:w="750" w:type="pct"/>
            <w:tcBorders>
              <w:top w:val="single" w:sz="4" w:space="0" w:color="auto"/>
              <w:left w:val="single" w:sz="4" w:space="0" w:color="auto"/>
              <w:bottom w:val="single" w:sz="4" w:space="0" w:color="auto"/>
              <w:right w:val="single" w:sz="4" w:space="0" w:color="auto"/>
            </w:tcBorders>
            <w:vAlign w:val="center"/>
          </w:tcPr>
          <w:p w14:paraId="53D925D5"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0.05%</w:t>
            </w:r>
          </w:p>
        </w:tc>
      </w:tr>
      <w:tr w:rsidR="00234D74" w14:paraId="7B8F8159"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6442A787" w14:textId="77777777" w:rsidR="00234D74" w:rsidRDefault="00234D74">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6C21C13A"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r>
              <w:rPr>
                <w:rFonts w:ascii="Times New Roman" w:hAnsi="Times New Roman"/>
                <w:color w:val="000000"/>
                <w:kern w:val="0"/>
                <w:sz w:val="25"/>
                <w:szCs w:val="24"/>
              </w:rPr>
              <w:t>年以上（含）</w:t>
            </w:r>
          </w:p>
        </w:tc>
        <w:tc>
          <w:tcPr>
            <w:tcW w:w="750" w:type="pct"/>
            <w:tcBorders>
              <w:top w:val="single" w:sz="4" w:space="0" w:color="auto"/>
              <w:left w:val="single" w:sz="4" w:space="0" w:color="auto"/>
              <w:bottom w:val="single" w:sz="4" w:space="0" w:color="auto"/>
              <w:right w:val="single" w:sz="4" w:space="0" w:color="auto"/>
            </w:tcBorders>
            <w:vAlign w:val="center"/>
          </w:tcPr>
          <w:p w14:paraId="65FED072"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4B622EA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上表中的“年”指的是365个自然日。</w:t>
      </w:r>
    </w:p>
    <w:p w14:paraId="10A5090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本基金C类基金份额的赎回费率如下：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234D74" w14:paraId="4086F8A8" w14:textId="77777777" w:rsidTr="00D34CA6">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2657054A"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r>
              <w:rPr>
                <w:rFonts w:ascii="Times New Roman" w:hAnsi="Times New Roman"/>
                <w:color w:val="000000"/>
                <w:kern w:val="0"/>
                <w:sz w:val="25"/>
                <w:szCs w:val="24"/>
              </w:rPr>
              <w:t>类基金份额的赎回费率</w:t>
            </w:r>
          </w:p>
        </w:tc>
        <w:tc>
          <w:tcPr>
            <w:tcW w:w="2143" w:type="pct"/>
            <w:tcBorders>
              <w:top w:val="single" w:sz="4" w:space="0" w:color="auto"/>
              <w:left w:val="single" w:sz="4" w:space="0" w:color="auto"/>
              <w:bottom w:val="single" w:sz="4" w:space="0" w:color="auto"/>
              <w:right w:val="single" w:sz="4" w:space="0" w:color="auto"/>
            </w:tcBorders>
            <w:vAlign w:val="center"/>
          </w:tcPr>
          <w:p w14:paraId="7372BBE0"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2143" w:type="pct"/>
            <w:tcBorders>
              <w:top w:val="single" w:sz="4" w:space="0" w:color="auto"/>
              <w:left w:val="single" w:sz="4" w:space="0" w:color="auto"/>
              <w:bottom w:val="single" w:sz="4" w:space="0" w:color="auto"/>
              <w:right w:val="single" w:sz="4" w:space="0" w:color="auto"/>
            </w:tcBorders>
            <w:vAlign w:val="center"/>
          </w:tcPr>
          <w:p w14:paraId="139E71F8"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234D74" w14:paraId="4038B744" w14:textId="77777777" w:rsidTr="00D34CA6">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14FE1C67" w14:textId="77777777" w:rsidR="00234D74" w:rsidRDefault="00234D74">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739446F3"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天以内</w:t>
            </w:r>
          </w:p>
        </w:tc>
        <w:tc>
          <w:tcPr>
            <w:tcW w:w="2143" w:type="pct"/>
            <w:tcBorders>
              <w:top w:val="single" w:sz="4" w:space="0" w:color="auto"/>
              <w:left w:val="single" w:sz="4" w:space="0" w:color="auto"/>
              <w:bottom w:val="single" w:sz="4" w:space="0" w:color="auto"/>
              <w:right w:val="single" w:sz="4" w:space="0" w:color="auto"/>
            </w:tcBorders>
            <w:vAlign w:val="center"/>
          </w:tcPr>
          <w:p w14:paraId="1A72C693"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234D74" w14:paraId="77CA3C3C" w14:textId="77777777" w:rsidTr="00D34CA6">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5ADB7894" w14:textId="77777777" w:rsidR="00234D74" w:rsidRDefault="00234D74">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30ADAD8B"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天（含）</w:t>
            </w:r>
            <w:r>
              <w:rPr>
                <w:rFonts w:ascii="Times New Roman" w:hAnsi="Times New Roman"/>
                <w:color w:val="000000"/>
                <w:kern w:val="0"/>
                <w:sz w:val="25"/>
                <w:szCs w:val="24"/>
              </w:rPr>
              <w:t>—30</w:t>
            </w:r>
            <w:r>
              <w:rPr>
                <w:rFonts w:ascii="Times New Roman" w:hAnsi="Times New Roman"/>
                <w:color w:val="000000"/>
                <w:kern w:val="0"/>
                <w:sz w:val="25"/>
                <w:szCs w:val="24"/>
              </w:rPr>
              <w:t>天</w:t>
            </w:r>
          </w:p>
        </w:tc>
        <w:tc>
          <w:tcPr>
            <w:tcW w:w="2143" w:type="pct"/>
            <w:tcBorders>
              <w:top w:val="single" w:sz="4" w:space="0" w:color="auto"/>
              <w:left w:val="single" w:sz="4" w:space="0" w:color="auto"/>
              <w:bottom w:val="single" w:sz="4" w:space="0" w:color="auto"/>
              <w:right w:val="single" w:sz="4" w:space="0" w:color="auto"/>
            </w:tcBorders>
            <w:vAlign w:val="center"/>
          </w:tcPr>
          <w:p w14:paraId="11E776EE"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234D74" w14:paraId="379CFEE5" w14:textId="77777777" w:rsidTr="00D34CA6">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2475B758" w14:textId="77777777" w:rsidR="00234D74" w:rsidRDefault="00234D74">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53077406"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天（含）以上</w:t>
            </w:r>
          </w:p>
        </w:tc>
        <w:tc>
          <w:tcPr>
            <w:tcW w:w="2143" w:type="pct"/>
            <w:tcBorders>
              <w:top w:val="single" w:sz="4" w:space="0" w:color="auto"/>
              <w:left w:val="single" w:sz="4" w:space="0" w:color="auto"/>
              <w:bottom w:val="single" w:sz="4" w:space="0" w:color="auto"/>
              <w:right w:val="single" w:sz="4" w:space="0" w:color="auto"/>
            </w:tcBorders>
            <w:vAlign w:val="center"/>
          </w:tcPr>
          <w:p w14:paraId="5FFAE7D7"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3ED0D4D3" w14:textId="75DC2FAB" w:rsidR="00D34CA6" w:rsidRDefault="00D34CA6" w:rsidP="00D34CA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本基金D类基金份额的赎回费率如下：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D34CA6" w14:paraId="1339F084" w14:textId="77777777" w:rsidTr="00C61788">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6C8184E2" w14:textId="7F315E7D" w:rsidR="00D34CA6" w:rsidRDefault="00D34CA6" w:rsidP="00C61788">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r>
              <w:rPr>
                <w:rFonts w:ascii="Times New Roman" w:hAnsi="Times New Roman"/>
                <w:color w:val="000000"/>
                <w:kern w:val="0"/>
                <w:sz w:val="25"/>
                <w:szCs w:val="24"/>
              </w:rPr>
              <w:t>类基金份额的赎回费率</w:t>
            </w:r>
          </w:p>
        </w:tc>
        <w:tc>
          <w:tcPr>
            <w:tcW w:w="750" w:type="pct"/>
            <w:tcBorders>
              <w:top w:val="single" w:sz="4" w:space="0" w:color="auto"/>
              <w:left w:val="single" w:sz="4" w:space="0" w:color="auto"/>
              <w:bottom w:val="single" w:sz="4" w:space="0" w:color="auto"/>
              <w:right w:val="single" w:sz="4" w:space="0" w:color="auto"/>
            </w:tcBorders>
            <w:vAlign w:val="center"/>
          </w:tcPr>
          <w:p w14:paraId="3FD3B0F6" w14:textId="77777777" w:rsidR="00D34CA6" w:rsidRDefault="00D34CA6" w:rsidP="00C61788">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14:paraId="3738A5B5" w14:textId="77777777" w:rsidR="00D34CA6" w:rsidRDefault="00D34CA6" w:rsidP="00C61788">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D34CA6" w14:paraId="0AA272F2" w14:textId="77777777" w:rsidTr="00C61788">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30CCB0AD" w14:textId="77777777" w:rsidR="00D34CA6" w:rsidRDefault="00D34CA6" w:rsidP="00C61788">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37A2A395" w14:textId="77777777" w:rsidR="00D34CA6" w:rsidRDefault="00D34CA6" w:rsidP="00C61788">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天以内</w:t>
            </w:r>
          </w:p>
        </w:tc>
        <w:tc>
          <w:tcPr>
            <w:tcW w:w="750" w:type="pct"/>
            <w:tcBorders>
              <w:top w:val="single" w:sz="4" w:space="0" w:color="auto"/>
              <w:left w:val="single" w:sz="4" w:space="0" w:color="auto"/>
              <w:bottom w:val="single" w:sz="4" w:space="0" w:color="auto"/>
              <w:right w:val="single" w:sz="4" w:space="0" w:color="auto"/>
            </w:tcBorders>
            <w:vAlign w:val="center"/>
          </w:tcPr>
          <w:p w14:paraId="756A5096" w14:textId="77777777" w:rsidR="00D34CA6" w:rsidRDefault="00D34CA6" w:rsidP="00C61788">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D34CA6" w14:paraId="65831873" w14:textId="77777777" w:rsidTr="00C61788">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1520697C" w14:textId="77777777" w:rsidR="00D34CA6" w:rsidRDefault="00D34CA6" w:rsidP="00C61788">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77B7D09" w14:textId="59B786C6" w:rsidR="00D34CA6" w:rsidRDefault="00D34CA6" w:rsidP="00C61788">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天（含）</w:t>
            </w:r>
            <w:r>
              <w:rPr>
                <w:rFonts w:ascii="Times New Roman" w:hAnsi="Times New Roman"/>
                <w:color w:val="000000"/>
                <w:kern w:val="0"/>
                <w:sz w:val="25"/>
                <w:szCs w:val="24"/>
              </w:rPr>
              <w:t>—30</w:t>
            </w:r>
            <w:r>
              <w:rPr>
                <w:rFonts w:ascii="Times New Roman" w:hAnsi="Times New Roman" w:hint="eastAsia"/>
                <w:color w:val="000000"/>
                <w:kern w:val="0"/>
                <w:sz w:val="25"/>
                <w:szCs w:val="24"/>
              </w:rPr>
              <w:t>天</w:t>
            </w:r>
          </w:p>
        </w:tc>
        <w:tc>
          <w:tcPr>
            <w:tcW w:w="750" w:type="pct"/>
            <w:tcBorders>
              <w:top w:val="single" w:sz="4" w:space="0" w:color="auto"/>
              <w:left w:val="single" w:sz="4" w:space="0" w:color="auto"/>
              <w:bottom w:val="single" w:sz="4" w:space="0" w:color="auto"/>
              <w:right w:val="single" w:sz="4" w:space="0" w:color="auto"/>
            </w:tcBorders>
            <w:vAlign w:val="center"/>
          </w:tcPr>
          <w:p w14:paraId="77788494" w14:textId="5E3DF679" w:rsidR="00D34CA6" w:rsidRDefault="00D34CA6" w:rsidP="00C61788">
            <w:pPr>
              <w:widowControl/>
              <w:snapToGrid w:val="0"/>
              <w:jc w:val="center"/>
              <w:rPr>
                <w:rFonts w:ascii="宋体" w:hAnsi="宋体"/>
                <w:color w:val="000000"/>
                <w:kern w:val="0"/>
                <w:sz w:val="25"/>
                <w:szCs w:val="24"/>
              </w:rPr>
            </w:pPr>
            <w:r>
              <w:rPr>
                <w:rFonts w:ascii="Times New Roman" w:hAnsi="Times New Roman"/>
                <w:color w:val="000000"/>
                <w:kern w:val="0"/>
                <w:sz w:val="25"/>
                <w:szCs w:val="24"/>
              </w:rPr>
              <w:t>0.3%</w:t>
            </w:r>
          </w:p>
        </w:tc>
      </w:tr>
      <w:tr w:rsidR="00D34CA6" w14:paraId="7448BA0B" w14:textId="77777777" w:rsidTr="00C61788">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14DE930" w14:textId="77777777" w:rsidR="00D34CA6" w:rsidRDefault="00D34CA6" w:rsidP="00C61788">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54F7C87A" w14:textId="53C254DA" w:rsidR="00D34CA6" w:rsidRDefault="00D34CA6" w:rsidP="00C61788">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hint="eastAsia"/>
                <w:color w:val="000000"/>
                <w:kern w:val="0"/>
                <w:sz w:val="25"/>
                <w:szCs w:val="24"/>
              </w:rPr>
              <w:t>天</w:t>
            </w:r>
            <w:r>
              <w:rPr>
                <w:rFonts w:ascii="Times New Roman" w:hAnsi="Times New Roman"/>
                <w:color w:val="000000"/>
                <w:kern w:val="0"/>
                <w:sz w:val="25"/>
                <w:szCs w:val="24"/>
              </w:rPr>
              <w:t>（含）</w:t>
            </w:r>
            <w:r>
              <w:rPr>
                <w:rFonts w:ascii="Times New Roman" w:hAnsi="Times New Roman"/>
                <w:color w:val="000000"/>
                <w:kern w:val="0"/>
                <w:sz w:val="25"/>
                <w:szCs w:val="24"/>
              </w:rPr>
              <w:t>—90</w:t>
            </w:r>
            <w:r>
              <w:rPr>
                <w:rFonts w:ascii="Times New Roman" w:hAnsi="Times New Roman" w:hint="eastAsia"/>
                <w:color w:val="000000"/>
                <w:kern w:val="0"/>
                <w:sz w:val="25"/>
                <w:szCs w:val="24"/>
              </w:rPr>
              <w:t>天</w:t>
            </w:r>
          </w:p>
        </w:tc>
        <w:tc>
          <w:tcPr>
            <w:tcW w:w="750" w:type="pct"/>
            <w:tcBorders>
              <w:top w:val="single" w:sz="4" w:space="0" w:color="auto"/>
              <w:left w:val="single" w:sz="4" w:space="0" w:color="auto"/>
              <w:bottom w:val="single" w:sz="4" w:space="0" w:color="auto"/>
              <w:right w:val="single" w:sz="4" w:space="0" w:color="auto"/>
            </w:tcBorders>
            <w:vAlign w:val="center"/>
          </w:tcPr>
          <w:p w14:paraId="40D2DBD8" w14:textId="24640E53" w:rsidR="00D34CA6" w:rsidRDefault="00D34CA6" w:rsidP="00C61788">
            <w:pPr>
              <w:widowControl/>
              <w:snapToGrid w:val="0"/>
              <w:jc w:val="center"/>
              <w:rPr>
                <w:rFonts w:ascii="宋体" w:hAnsi="宋体"/>
                <w:color w:val="000000"/>
                <w:kern w:val="0"/>
                <w:sz w:val="25"/>
                <w:szCs w:val="24"/>
              </w:rPr>
            </w:pPr>
            <w:r>
              <w:rPr>
                <w:rFonts w:ascii="Times New Roman" w:hAnsi="Times New Roman"/>
                <w:color w:val="000000"/>
                <w:kern w:val="0"/>
                <w:sz w:val="25"/>
                <w:szCs w:val="24"/>
              </w:rPr>
              <w:t>0.1%</w:t>
            </w:r>
          </w:p>
        </w:tc>
      </w:tr>
      <w:tr w:rsidR="00D34CA6" w14:paraId="2A6150C6" w14:textId="77777777" w:rsidTr="00C61788">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25162A44" w14:textId="77777777" w:rsidR="00D34CA6" w:rsidRDefault="00D34CA6" w:rsidP="00C61788">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5E602654" w14:textId="2718C7DD" w:rsidR="00D34CA6" w:rsidRDefault="00D34CA6" w:rsidP="00C61788">
            <w:pPr>
              <w:widowControl/>
              <w:snapToGrid w:val="0"/>
              <w:jc w:val="left"/>
              <w:rPr>
                <w:rFonts w:ascii="宋体" w:hAnsi="宋体"/>
                <w:color w:val="000000"/>
                <w:kern w:val="0"/>
                <w:sz w:val="25"/>
                <w:szCs w:val="24"/>
              </w:rPr>
            </w:pPr>
            <w:r>
              <w:rPr>
                <w:rFonts w:ascii="Times New Roman" w:hAnsi="Times New Roman"/>
                <w:color w:val="000000"/>
                <w:kern w:val="0"/>
                <w:sz w:val="25"/>
                <w:szCs w:val="24"/>
              </w:rPr>
              <w:t>90</w:t>
            </w:r>
            <w:r>
              <w:rPr>
                <w:rFonts w:ascii="Times New Roman" w:hAnsi="Times New Roman" w:hint="eastAsia"/>
                <w:color w:val="000000"/>
                <w:kern w:val="0"/>
                <w:sz w:val="25"/>
                <w:szCs w:val="24"/>
              </w:rPr>
              <w:t>天</w:t>
            </w:r>
            <w:r>
              <w:rPr>
                <w:rFonts w:ascii="Times New Roman" w:hAnsi="Times New Roman"/>
                <w:color w:val="000000"/>
                <w:kern w:val="0"/>
                <w:sz w:val="25"/>
                <w:szCs w:val="24"/>
              </w:rPr>
              <w:t>以上（含）</w:t>
            </w:r>
          </w:p>
        </w:tc>
        <w:tc>
          <w:tcPr>
            <w:tcW w:w="750" w:type="pct"/>
            <w:tcBorders>
              <w:top w:val="single" w:sz="4" w:space="0" w:color="auto"/>
              <w:left w:val="single" w:sz="4" w:space="0" w:color="auto"/>
              <w:bottom w:val="single" w:sz="4" w:space="0" w:color="auto"/>
              <w:right w:val="single" w:sz="4" w:space="0" w:color="auto"/>
            </w:tcBorders>
            <w:vAlign w:val="center"/>
          </w:tcPr>
          <w:p w14:paraId="29AB4420" w14:textId="77777777" w:rsidR="00D34CA6" w:rsidRDefault="00D34CA6" w:rsidP="00C61788">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1CEB5E3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3、基金管理人可以在基金合同约定的范围内调整费率或收费方式，并最迟应于新的费率或收费方式实施日前依照《信息披露办法》的有关规定在指定媒介上公告。</w:t>
      </w:r>
    </w:p>
    <w:p w14:paraId="0C8A920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3B11619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5、当发生大额申购或赎回情形时，基金管理人可以采用摆动定价机制以确保基金估值的公平性。具体处理原则与操作规范遵循相关法律法规以及监管部门、自律规则的规定。</w:t>
      </w:r>
    </w:p>
    <w:p w14:paraId="24DA0DD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（八）申购和赎回的数额和价格</w:t>
      </w:r>
    </w:p>
    <w:p w14:paraId="5C52A49C" w14:textId="656214B1"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1、申购和赎回数额、余额的处理方式</w:t>
      </w:r>
    </w:p>
    <w:p w14:paraId="6981DFE4" w14:textId="4EFE4E6E"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（1）申购A类基金份额</w:t>
      </w:r>
      <w:r w:rsidR="00CE24FD">
        <w:rPr>
          <w:rFonts w:ascii="宋体" w:hAnsi="宋体" w:hint="eastAsia"/>
          <w:sz w:val="24"/>
        </w:rPr>
        <w:t>、</w:t>
      </w:r>
      <w:r>
        <w:rPr>
          <w:rFonts w:ascii="宋体" w:hAnsi="宋体"/>
          <w:sz w:val="24"/>
        </w:rPr>
        <w:t>C类基金份额</w:t>
      </w:r>
      <w:r w:rsidR="00CE24FD">
        <w:rPr>
          <w:rFonts w:ascii="宋体" w:hAnsi="宋体" w:hint="eastAsia"/>
          <w:sz w:val="24"/>
        </w:rPr>
        <w:t>或D类基金份额</w:t>
      </w:r>
      <w:r>
        <w:rPr>
          <w:rFonts w:ascii="宋体" w:hAnsi="宋体"/>
          <w:sz w:val="24"/>
        </w:rPr>
        <w:t>的有效份额为净申购金额除以当日该类基金份额的基金份额净值，有效份额单位为份，申购份额计算结果按四舍五入方法，保留到小数点后2位，由此产生的收益或损失由基金财产承担。</w:t>
      </w:r>
    </w:p>
    <w:p w14:paraId="36772B42" w14:textId="0D13A403"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（2）A类基金份额</w:t>
      </w:r>
      <w:r w:rsidR="00E30BEA">
        <w:rPr>
          <w:rFonts w:ascii="宋体" w:hAnsi="宋体" w:hint="eastAsia"/>
          <w:sz w:val="24"/>
        </w:rPr>
        <w:t>、</w:t>
      </w:r>
      <w:r>
        <w:rPr>
          <w:rFonts w:ascii="宋体" w:hAnsi="宋体"/>
          <w:sz w:val="24"/>
        </w:rPr>
        <w:t>C类基金份额</w:t>
      </w:r>
      <w:r w:rsidR="00E30BEA">
        <w:rPr>
          <w:rFonts w:ascii="宋体" w:hAnsi="宋体" w:hint="eastAsia"/>
          <w:sz w:val="24"/>
        </w:rPr>
        <w:t>或D类基金份额</w:t>
      </w:r>
      <w:r>
        <w:rPr>
          <w:rFonts w:ascii="宋体" w:hAnsi="宋体"/>
          <w:sz w:val="24"/>
        </w:rPr>
        <w:t>的赎回金额为按实际确认的有</w:t>
      </w:r>
      <w:r>
        <w:rPr>
          <w:rFonts w:ascii="宋体" w:hAnsi="宋体"/>
          <w:sz w:val="24"/>
        </w:rPr>
        <w:lastRenderedPageBreak/>
        <w:t>效赎回份额乘以当日该类基金份额的基金份额净值并扣除相应的费用（如有），赎回金额单位为元。赎回金额计算结果按四舍五入方法，保留到小数点后2位，由此产生的收益或损失由基金财产承担。</w:t>
      </w:r>
    </w:p>
    <w:p w14:paraId="14C35F5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2、申购份额的计算</w:t>
      </w:r>
    </w:p>
    <w:p w14:paraId="262E4B3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（1）A类基金份额的申购</w:t>
      </w:r>
    </w:p>
    <w:p w14:paraId="5907CA4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1AE6FA9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14:paraId="2A27C6E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（注：对于适用固定金额申购费用的申购，净申购金额＝申购总金额－固定申购费用金额）</w:t>
      </w:r>
    </w:p>
    <w:p w14:paraId="5305415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14:paraId="0BA76DE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（注：对于适用固定金额申购费用的申购，申购费用＝固定申购费用金额）</w:t>
      </w:r>
    </w:p>
    <w:p w14:paraId="313040F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w:t>
      </w:r>
      <w:bookmarkStart w:id="12" w:name="_Hlk152865095"/>
      <w:r>
        <w:rPr>
          <w:rFonts w:ascii="宋体" w:hAnsi="宋体"/>
          <w:sz w:val="24"/>
        </w:rPr>
        <w:t>=（申购总金额-申购费用）</w:t>
      </w:r>
      <w:bookmarkEnd w:id="12"/>
      <w:r>
        <w:rPr>
          <w:rFonts w:ascii="宋体" w:hAnsi="宋体"/>
          <w:sz w:val="24"/>
        </w:rPr>
        <w:t>/ T日A类基金份额净值</w:t>
      </w:r>
    </w:p>
    <w:p w14:paraId="233800FE" w14:textId="4587B698"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sidR="00744F5B">
        <w:rPr>
          <w:rFonts w:ascii="宋体" w:hAnsi="宋体" w:hint="eastAsia"/>
          <w:sz w:val="24"/>
        </w:rPr>
        <w:t>一</w:t>
      </w:r>
      <w:r>
        <w:rPr>
          <w:rFonts w:ascii="宋体" w:hAnsi="宋体"/>
          <w:sz w:val="24"/>
        </w:rPr>
        <w:t>：某投资者（非养老金客户）投资100,000元申购本基金的A类基金份额，假设申购当日A类基金份额净值为1.0400元，申购费率为0.8%，则其可得到的申购份额为：</w:t>
      </w:r>
    </w:p>
    <w:p w14:paraId="368AE6E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14:paraId="09C891C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净申购金额=100,000/（1+0.8%）=99,206.35元</w:t>
      </w:r>
    </w:p>
    <w:p w14:paraId="6E8CFD5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申购费用=100,000-99,206.35=793.65元</w:t>
      </w:r>
    </w:p>
    <w:p w14:paraId="31DFFD7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申购份额=（100,000-793.65）/1.0400=95,390.72份</w:t>
      </w:r>
    </w:p>
    <w:p w14:paraId="790AEE9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即：某投资者（非养老金客户）投资100,000元申购本基金，假设申购当日A类基金份额净值为1.0400元，如果其选择申购A类基金份额，则其可得到95,390.72份A类基金份额。</w:t>
      </w:r>
    </w:p>
    <w:p w14:paraId="336FA0BF" w14:textId="54BE2984"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sidR="001C38E4">
        <w:rPr>
          <w:rFonts w:ascii="宋体" w:hAnsi="宋体" w:hint="eastAsia"/>
          <w:sz w:val="24"/>
        </w:rPr>
        <w:t>二</w:t>
      </w:r>
      <w:r>
        <w:rPr>
          <w:rFonts w:ascii="宋体" w:hAnsi="宋体"/>
          <w:sz w:val="24"/>
        </w:rPr>
        <w:t>：某养老金客户投资1</w:t>
      </w:r>
      <w:r w:rsidR="001C38E4">
        <w:rPr>
          <w:rFonts w:ascii="宋体" w:hAnsi="宋体"/>
          <w:sz w:val="24"/>
        </w:rPr>
        <w:t>,0</w:t>
      </w:r>
      <w:r>
        <w:rPr>
          <w:rFonts w:ascii="宋体" w:hAnsi="宋体"/>
          <w:sz w:val="24"/>
        </w:rPr>
        <w:t>00,000元通过基金管理人的直销柜台申购本基金的A类基金份额，假设申购当日A类基金份额净值为1.0400元，申购费率为0.</w:t>
      </w:r>
      <w:r w:rsidR="001C38E4">
        <w:rPr>
          <w:rFonts w:ascii="宋体" w:hAnsi="宋体"/>
          <w:sz w:val="24"/>
        </w:rPr>
        <w:t>10</w:t>
      </w:r>
      <w:r>
        <w:rPr>
          <w:rFonts w:ascii="宋体" w:hAnsi="宋体"/>
          <w:sz w:val="24"/>
        </w:rPr>
        <w:t>%，则其可得到的申购份额为：</w:t>
      </w:r>
    </w:p>
    <w:p w14:paraId="76AFF6E0" w14:textId="77777777" w:rsidR="00FE766B" w:rsidRDefault="00FE766B" w:rsidP="00FE766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w:t>
      </w:r>
      <w:r>
        <w:rPr>
          <w:rFonts w:ascii="宋体" w:hAnsi="宋体" w:hint="eastAsia"/>
          <w:sz w:val="24"/>
        </w:rPr>
        <w:t>,</w:t>
      </w:r>
      <w:r>
        <w:rPr>
          <w:rFonts w:ascii="宋体" w:hAnsi="宋体"/>
          <w:sz w:val="24"/>
        </w:rPr>
        <w:t>000,000元</w:t>
      </w:r>
    </w:p>
    <w:p w14:paraId="579EF39F" w14:textId="77777777" w:rsidR="00FE766B" w:rsidRDefault="00FE766B" w:rsidP="00FE766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净申购金额=1,000,000/（1+0.10%）=</w:t>
      </w:r>
      <w:r w:rsidRPr="0019451E">
        <w:rPr>
          <w:rFonts w:ascii="宋体" w:hAnsi="宋体"/>
          <w:sz w:val="24"/>
        </w:rPr>
        <w:t xml:space="preserve">999,001.00 </w:t>
      </w:r>
      <w:r>
        <w:rPr>
          <w:rFonts w:ascii="宋体" w:hAnsi="宋体"/>
          <w:sz w:val="24"/>
        </w:rPr>
        <w:t>元</w:t>
      </w:r>
    </w:p>
    <w:p w14:paraId="07F50B88" w14:textId="77777777" w:rsidR="00FE766B" w:rsidRDefault="00FE766B" w:rsidP="00FE766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申购费用=1,000,000-</w:t>
      </w:r>
      <w:r w:rsidRPr="0019451E">
        <w:rPr>
          <w:rFonts w:ascii="宋体" w:hAnsi="宋体"/>
          <w:sz w:val="24"/>
        </w:rPr>
        <w:t>999,001.00</w:t>
      </w:r>
      <w:r>
        <w:rPr>
          <w:rFonts w:ascii="宋体" w:hAnsi="宋体"/>
          <w:sz w:val="24"/>
        </w:rPr>
        <w:t>=999.00元</w:t>
      </w:r>
    </w:p>
    <w:p w14:paraId="5EC8220B" w14:textId="77777777" w:rsidR="00FE766B" w:rsidRDefault="00FE766B" w:rsidP="00FE766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申购份额=（1,000,000-999.00）/1.0400=960,577.88份</w:t>
      </w:r>
    </w:p>
    <w:p w14:paraId="3983A49F" w14:textId="5ABBAEB4"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即：该养老金客户投资1</w:t>
      </w:r>
      <w:r w:rsidR="00FE766B">
        <w:rPr>
          <w:rFonts w:ascii="宋体" w:hAnsi="宋体"/>
          <w:sz w:val="24"/>
        </w:rPr>
        <w:t>,0</w:t>
      </w:r>
      <w:r>
        <w:rPr>
          <w:rFonts w:ascii="宋体" w:hAnsi="宋体"/>
          <w:sz w:val="24"/>
        </w:rPr>
        <w:t>00,000元通过基金管理人的直销柜台申购本基金的A</w:t>
      </w:r>
      <w:r>
        <w:rPr>
          <w:rFonts w:ascii="宋体" w:hAnsi="宋体"/>
          <w:sz w:val="24"/>
        </w:rPr>
        <w:lastRenderedPageBreak/>
        <w:t>类基金份额，假设申购当日A类基金份额净值为1.0400元，则其可得到</w:t>
      </w:r>
      <w:r w:rsidR="00FE766B">
        <w:rPr>
          <w:rFonts w:ascii="宋体" w:hAnsi="宋体"/>
          <w:sz w:val="24"/>
        </w:rPr>
        <w:t>960,577.88</w:t>
      </w:r>
      <w:r>
        <w:rPr>
          <w:rFonts w:ascii="宋体" w:hAnsi="宋体"/>
          <w:sz w:val="24"/>
        </w:rPr>
        <w:t>份A类基金份额。</w:t>
      </w:r>
    </w:p>
    <w:p w14:paraId="0A4F44D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（2）C类基金份额的申购</w:t>
      </w:r>
    </w:p>
    <w:p w14:paraId="1E101D0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如果投资者选择申购C类基金份额，则申购份额的计算方法如下：</w:t>
      </w:r>
    </w:p>
    <w:p w14:paraId="6B378A1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4CB94C5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申购份额=申购总金额/T日C类基金份额净值</w:t>
      </w:r>
    </w:p>
    <w:p w14:paraId="7BB2005D" w14:textId="6D2A09C0"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sidR="0072169D">
        <w:rPr>
          <w:rFonts w:ascii="宋体" w:hAnsi="宋体" w:hint="eastAsia"/>
          <w:sz w:val="24"/>
        </w:rPr>
        <w:t>三</w:t>
      </w:r>
      <w:r>
        <w:rPr>
          <w:rFonts w:ascii="宋体" w:hAnsi="宋体"/>
          <w:sz w:val="24"/>
        </w:rPr>
        <w:t>：某投资者投资100,000元申购本基金的C类基金份额，假设申购当日C类基金份额净值为1.0400元，则其可得到的申购份额为：</w:t>
      </w:r>
    </w:p>
    <w:p w14:paraId="76C4E56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申购份额＝100,000/1.0400＝96,153.85份</w:t>
      </w:r>
    </w:p>
    <w:p w14:paraId="7AA240F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即：投资者投资100,000元申购本基金的C类基金份额，假设申购当日C类基金份额净值为1.0400元，则其可得到96,153.85份C类基金份额。</w:t>
      </w:r>
    </w:p>
    <w:p w14:paraId="083CA7C8" w14:textId="77777777" w:rsidR="0072169D" w:rsidRDefault="0072169D" w:rsidP="0072169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（3）D类基金份额的申购</w:t>
      </w:r>
    </w:p>
    <w:p w14:paraId="19FD5915" w14:textId="77777777" w:rsidR="0072169D" w:rsidRDefault="0072169D" w:rsidP="0072169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如果投资者选择申购</w:t>
      </w:r>
      <w:r>
        <w:rPr>
          <w:rFonts w:ascii="宋体" w:hAnsi="宋体" w:hint="eastAsia"/>
          <w:sz w:val="24"/>
        </w:rPr>
        <w:t>D</w:t>
      </w:r>
      <w:r>
        <w:rPr>
          <w:rFonts w:ascii="宋体" w:hAnsi="宋体"/>
          <w:sz w:val="24"/>
        </w:rPr>
        <w:t>类基金份额，则申购份额的计算方法如下：</w:t>
      </w:r>
    </w:p>
    <w:p w14:paraId="274F41AA" w14:textId="77777777" w:rsidR="0072169D" w:rsidRDefault="0072169D" w:rsidP="0072169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2696D1BA" w14:textId="77777777" w:rsidR="0072169D" w:rsidRDefault="0072169D" w:rsidP="0072169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14:paraId="02F8A48A" w14:textId="77777777" w:rsidR="0072169D" w:rsidRDefault="0072169D" w:rsidP="0072169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（注：对于适用固定金额申购费用的申购，净申购金额＝申购总金额－固定申购费用金额）</w:t>
      </w:r>
    </w:p>
    <w:p w14:paraId="17CCFF0D" w14:textId="77777777" w:rsidR="0072169D" w:rsidRDefault="0072169D" w:rsidP="0072169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14:paraId="2E61630D" w14:textId="77777777" w:rsidR="0072169D" w:rsidRDefault="0072169D" w:rsidP="0072169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（注：对于适用固定金额申购费用的申购，申购费用＝固定申购费用金额）</w:t>
      </w:r>
    </w:p>
    <w:p w14:paraId="6921C595" w14:textId="77777777" w:rsidR="0072169D" w:rsidRDefault="0072169D" w:rsidP="0072169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w:t>
      </w:r>
      <w:r w:rsidRPr="001F3C2F">
        <w:rPr>
          <w:rFonts w:ascii="宋体" w:hAnsi="宋体" w:hint="eastAsia"/>
          <w:sz w:val="24"/>
        </w:rPr>
        <w:t>净申购金额</w:t>
      </w:r>
      <w:r>
        <w:rPr>
          <w:rFonts w:ascii="宋体" w:hAnsi="宋体"/>
          <w:sz w:val="24"/>
        </w:rPr>
        <w:t>/T日</w:t>
      </w:r>
      <w:r>
        <w:rPr>
          <w:rFonts w:ascii="宋体" w:hAnsi="宋体" w:hint="eastAsia"/>
          <w:sz w:val="24"/>
        </w:rPr>
        <w:t>D</w:t>
      </w:r>
      <w:r>
        <w:rPr>
          <w:rFonts w:ascii="宋体" w:hAnsi="宋体"/>
          <w:sz w:val="24"/>
        </w:rPr>
        <w:t>类基金份额净值</w:t>
      </w:r>
    </w:p>
    <w:p w14:paraId="4FA5D97E" w14:textId="77777777" w:rsidR="0072169D" w:rsidRDefault="0072169D" w:rsidP="0072169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Pr>
          <w:rFonts w:ascii="宋体" w:hAnsi="宋体" w:hint="eastAsia"/>
          <w:sz w:val="24"/>
        </w:rPr>
        <w:t>四</w:t>
      </w:r>
      <w:r>
        <w:rPr>
          <w:rFonts w:ascii="宋体" w:hAnsi="宋体"/>
          <w:sz w:val="24"/>
        </w:rPr>
        <w:t>：某投资者（非养老金客户）投资100,000元申购本基金的D类基金份额，假设申购当日D类基金份额净值为1.0400元，申购费率为0.9%，则其可得到的申购份额为：</w:t>
      </w:r>
    </w:p>
    <w:p w14:paraId="289593FC" w14:textId="77777777" w:rsidR="0072169D" w:rsidRDefault="0072169D" w:rsidP="0072169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14:paraId="0D5B02E4" w14:textId="77777777" w:rsidR="0072169D" w:rsidRDefault="0072169D" w:rsidP="0072169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净申购金额=100,000/（1+0.9%）=</w:t>
      </w:r>
      <w:r w:rsidRPr="00BE06B2">
        <w:rPr>
          <w:rFonts w:ascii="宋体" w:hAnsi="宋体"/>
          <w:sz w:val="24"/>
        </w:rPr>
        <w:t>99,108.03</w:t>
      </w:r>
      <w:r>
        <w:rPr>
          <w:rFonts w:ascii="宋体" w:hAnsi="宋体"/>
          <w:sz w:val="24"/>
        </w:rPr>
        <w:t>元</w:t>
      </w:r>
    </w:p>
    <w:p w14:paraId="778A9E38" w14:textId="77777777" w:rsidR="0072169D" w:rsidRDefault="0072169D" w:rsidP="0072169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w:t>
      </w:r>
      <w:r w:rsidRPr="00BE06B2">
        <w:rPr>
          <w:rFonts w:ascii="宋体" w:hAnsi="宋体"/>
          <w:sz w:val="24"/>
        </w:rPr>
        <w:t>99,108.03</w:t>
      </w:r>
      <w:r>
        <w:rPr>
          <w:rFonts w:ascii="宋体" w:hAnsi="宋体"/>
          <w:sz w:val="24"/>
        </w:rPr>
        <w:t>=</w:t>
      </w:r>
      <w:r w:rsidRPr="00BE06B2">
        <w:rPr>
          <w:rFonts w:ascii="宋体" w:hAnsi="宋体"/>
          <w:sz w:val="24"/>
        </w:rPr>
        <w:t>891.97</w:t>
      </w:r>
      <w:r>
        <w:rPr>
          <w:rFonts w:ascii="宋体" w:hAnsi="宋体"/>
          <w:sz w:val="24"/>
        </w:rPr>
        <w:t>元</w:t>
      </w:r>
    </w:p>
    <w:p w14:paraId="1BE4CFCB" w14:textId="77777777" w:rsidR="0072169D" w:rsidRDefault="0072169D" w:rsidP="0072169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w:t>
      </w:r>
      <w:r w:rsidRPr="001F3C2F">
        <w:rPr>
          <w:rFonts w:ascii="宋体" w:hAnsi="宋体"/>
          <w:sz w:val="24"/>
        </w:rPr>
        <w:t>99,108.03</w:t>
      </w:r>
      <w:r>
        <w:rPr>
          <w:rFonts w:ascii="宋体" w:hAnsi="宋体"/>
          <w:sz w:val="24"/>
        </w:rPr>
        <w:t>/1.0400=</w:t>
      </w:r>
      <w:r w:rsidRPr="00BE06B2">
        <w:rPr>
          <w:rFonts w:ascii="宋体" w:hAnsi="宋体"/>
          <w:sz w:val="24"/>
        </w:rPr>
        <w:t>95,296.18</w:t>
      </w:r>
      <w:r>
        <w:rPr>
          <w:rFonts w:ascii="宋体" w:hAnsi="宋体"/>
          <w:sz w:val="24"/>
        </w:rPr>
        <w:t>份</w:t>
      </w:r>
    </w:p>
    <w:p w14:paraId="3404658E" w14:textId="77777777" w:rsidR="0072169D" w:rsidRDefault="0072169D" w:rsidP="0072169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即：某投资者（非养老金客户）投资100,000元申购本基金</w:t>
      </w:r>
      <w:r>
        <w:rPr>
          <w:rFonts w:ascii="宋体" w:hAnsi="宋体" w:hint="eastAsia"/>
          <w:sz w:val="24"/>
        </w:rPr>
        <w:t>D类基金份额</w:t>
      </w:r>
      <w:r>
        <w:rPr>
          <w:rFonts w:ascii="宋体" w:hAnsi="宋体"/>
          <w:sz w:val="24"/>
        </w:rPr>
        <w:t>，假设申购当日</w:t>
      </w:r>
      <w:r>
        <w:rPr>
          <w:rFonts w:ascii="宋体" w:hAnsi="宋体" w:hint="eastAsia"/>
          <w:sz w:val="24"/>
        </w:rPr>
        <w:t>D</w:t>
      </w:r>
      <w:r>
        <w:rPr>
          <w:rFonts w:ascii="宋体" w:hAnsi="宋体"/>
          <w:sz w:val="24"/>
        </w:rPr>
        <w:t>类基金份额净值为1.0400元，则其可得到</w:t>
      </w:r>
      <w:r w:rsidRPr="00BE06B2">
        <w:rPr>
          <w:rFonts w:ascii="宋体" w:hAnsi="宋体"/>
          <w:sz w:val="24"/>
        </w:rPr>
        <w:t>95,296.18</w:t>
      </w:r>
      <w:r>
        <w:rPr>
          <w:rFonts w:ascii="宋体" w:hAnsi="宋体"/>
          <w:sz w:val="24"/>
        </w:rPr>
        <w:t>份D类基金份额。</w:t>
      </w:r>
    </w:p>
    <w:p w14:paraId="27B8C504" w14:textId="77777777" w:rsidR="0072169D" w:rsidRDefault="0072169D" w:rsidP="0072169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Pr>
          <w:rFonts w:ascii="宋体" w:hAnsi="宋体" w:hint="eastAsia"/>
          <w:sz w:val="24"/>
        </w:rPr>
        <w:t>五</w:t>
      </w:r>
      <w:r>
        <w:rPr>
          <w:rFonts w:ascii="宋体" w:hAnsi="宋体"/>
          <w:sz w:val="24"/>
        </w:rPr>
        <w:t>：某养老金客户投资1,000,000元通过基金管理人的直销柜台申购本基金</w:t>
      </w:r>
      <w:r>
        <w:rPr>
          <w:rFonts w:ascii="宋体" w:hAnsi="宋体"/>
          <w:sz w:val="24"/>
        </w:rPr>
        <w:lastRenderedPageBreak/>
        <w:t>的D类基金份额，假设申购当日D类基金份额净值为1.0400元，申购费率为0.12%，则其可得到的申购份额为：</w:t>
      </w:r>
    </w:p>
    <w:p w14:paraId="766AE86A" w14:textId="77777777" w:rsidR="0072169D" w:rsidRDefault="0072169D" w:rsidP="0072169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申购总金额＝1,000,000元</w:t>
      </w:r>
    </w:p>
    <w:p w14:paraId="7E633306" w14:textId="77777777" w:rsidR="0072169D" w:rsidRDefault="0072169D" w:rsidP="0072169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净申购金额=1,000,000/（1+0.12%）=</w:t>
      </w:r>
      <w:r w:rsidRPr="00002090">
        <w:rPr>
          <w:rFonts w:ascii="宋体" w:hAnsi="宋体"/>
          <w:sz w:val="24"/>
        </w:rPr>
        <w:t>998,801.44</w:t>
      </w:r>
      <w:r>
        <w:rPr>
          <w:rFonts w:ascii="宋体" w:hAnsi="宋体"/>
          <w:sz w:val="24"/>
        </w:rPr>
        <w:t>元</w:t>
      </w:r>
    </w:p>
    <w:p w14:paraId="3EA96B96" w14:textId="77777777" w:rsidR="0072169D" w:rsidRDefault="0072169D" w:rsidP="0072169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申购费用=1,000,000-</w:t>
      </w:r>
      <w:r w:rsidRPr="00002090">
        <w:rPr>
          <w:rFonts w:ascii="宋体" w:hAnsi="宋体"/>
          <w:sz w:val="24"/>
        </w:rPr>
        <w:t>998,801.44</w:t>
      </w:r>
      <w:r>
        <w:rPr>
          <w:rFonts w:ascii="宋体" w:hAnsi="宋体"/>
          <w:sz w:val="24"/>
        </w:rPr>
        <w:t>=</w:t>
      </w:r>
      <w:r w:rsidRPr="00002090">
        <w:rPr>
          <w:rFonts w:ascii="宋体" w:hAnsi="宋体"/>
          <w:sz w:val="24"/>
        </w:rPr>
        <w:t>1,198.56</w:t>
      </w:r>
      <w:r>
        <w:rPr>
          <w:rFonts w:ascii="宋体" w:hAnsi="宋体"/>
          <w:sz w:val="24"/>
        </w:rPr>
        <w:t>元</w:t>
      </w:r>
    </w:p>
    <w:p w14:paraId="04911D75" w14:textId="12E8EDD8" w:rsidR="0072169D" w:rsidRDefault="0072169D" w:rsidP="0072169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w:t>
      </w:r>
      <w:r w:rsidR="00177ABF" w:rsidRPr="00002090">
        <w:rPr>
          <w:rFonts w:ascii="宋体" w:hAnsi="宋体"/>
          <w:sz w:val="24"/>
        </w:rPr>
        <w:t>998,801.44</w:t>
      </w:r>
      <w:r>
        <w:rPr>
          <w:rFonts w:ascii="宋体" w:hAnsi="宋体"/>
          <w:sz w:val="24"/>
        </w:rPr>
        <w:t>/1.0400=</w:t>
      </w:r>
      <w:r w:rsidRPr="00002090">
        <w:rPr>
          <w:rFonts w:ascii="宋体" w:hAnsi="宋体"/>
          <w:sz w:val="24"/>
        </w:rPr>
        <w:t>960,386.00</w:t>
      </w:r>
      <w:r>
        <w:rPr>
          <w:rFonts w:ascii="宋体" w:hAnsi="宋体"/>
          <w:sz w:val="24"/>
        </w:rPr>
        <w:t>份</w:t>
      </w:r>
    </w:p>
    <w:p w14:paraId="4E23BB50" w14:textId="77777777" w:rsidR="0072169D" w:rsidRPr="00C5414D" w:rsidRDefault="0072169D" w:rsidP="0072169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即：该养老金客户投资1,000,000元通过基金管理人的直销柜台申购本基金的</w:t>
      </w:r>
      <w:r>
        <w:rPr>
          <w:rFonts w:ascii="宋体" w:hAnsi="宋体" w:hint="eastAsia"/>
          <w:sz w:val="24"/>
        </w:rPr>
        <w:t>D</w:t>
      </w:r>
      <w:r>
        <w:rPr>
          <w:rFonts w:ascii="宋体" w:hAnsi="宋体"/>
          <w:sz w:val="24"/>
        </w:rPr>
        <w:t>类基金份额，假设申购当日D类基金份额净值为1.0400元，则其可得到</w:t>
      </w:r>
      <w:r w:rsidRPr="00002090">
        <w:rPr>
          <w:rFonts w:ascii="宋体" w:hAnsi="宋体"/>
          <w:sz w:val="24"/>
        </w:rPr>
        <w:t>960,386.00</w:t>
      </w:r>
      <w:r>
        <w:rPr>
          <w:rFonts w:ascii="宋体" w:hAnsi="宋体"/>
          <w:sz w:val="24"/>
        </w:rPr>
        <w:t>份D类基金份额。</w:t>
      </w:r>
    </w:p>
    <w:p w14:paraId="3DA330C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3、赎回金额的计算</w:t>
      </w:r>
    </w:p>
    <w:p w14:paraId="38921AAE" w14:textId="0CF9355D"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w:t>
      </w:r>
      <w:r w:rsidR="00C61788">
        <w:rPr>
          <w:rFonts w:ascii="宋体" w:hAnsi="宋体" w:hint="eastAsia"/>
          <w:sz w:val="24"/>
        </w:rPr>
        <w:t>、</w:t>
      </w:r>
      <w:r>
        <w:rPr>
          <w:rFonts w:ascii="宋体" w:hAnsi="宋体"/>
          <w:sz w:val="24"/>
        </w:rPr>
        <w:t>C类基金份额</w:t>
      </w:r>
      <w:r w:rsidR="00C61788">
        <w:rPr>
          <w:rFonts w:ascii="宋体" w:hAnsi="宋体" w:hint="eastAsia"/>
          <w:sz w:val="24"/>
        </w:rPr>
        <w:t>或D类基金份额</w:t>
      </w:r>
      <w:r>
        <w:rPr>
          <w:rFonts w:ascii="宋体" w:hAnsi="宋体"/>
          <w:sz w:val="24"/>
        </w:rPr>
        <w:t>的赎回金额为按实际确认的有效赎回份额乘以当日该类基金份额的基金份额净值并扣除相应的费用（如有），赎回金额单位为元，计算结果保留到小数点后两位，第三位四舍五入，由此产生的收益或损失由基金财产承担。</w:t>
      </w:r>
    </w:p>
    <w:p w14:paraId="5816526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（1）A类基金份额的赎回</w:t>
      </w:r>
    </w:p>
    <w:p w14:paraId="6B637D4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如果投资者赎回A类基金份额，则赎回金额的计算方法如下：</w:t>
      </w:r>
    </w:p>
    <w:p w14:paraId="62C8DF8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赎回费用=赎回份额×T日A类基金份额净值×赎回费率</w:t>
      </w:r>
    </w:p>
    <w:p w14:paraId="4F354C9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赎回金额=赎回份额×T日A类基金份额净值-赎回费用</w:t>
      </w:r>
    </w:p>
    <w:p w14:paraId="4AC7F5F3" w14:textId="4F80E59C"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sidR="002114C8">
        <w:rPr>
          <w:rFonts w:ascii="宋体" w:hAnsi="宋体" w:hint="eastAsia"/>
          <w:sz w:val="24"/>
        </w:rPr>
        <w:t>六</w:t>
      </w:r>
      <w:r>
        <w:rPr>
          <w:rFonts w:ascii="宋体" w:hAnsi="宋体"/>
          <w:sz w:val="24"/>
        </w:rPr>
        <w:t>：某投资者在持有期限为360天时赎回100,000份A类基金份额，对应的赎回费率为0.1%，假设赎回当日A类基金份额净值是1.0160元，则其可得到的赎回金额为：</w:t>
      </w:r>
    </w:p>
    <w:p w14:paraId="743354D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赎回费用=100,000×1.0160×0.1%＝101.60元</w:t>
      </w:r>
    </w:p>
    <w:p w14:paraId="704B066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赎回金额=100,000×1.0160-101.60＝101,498.40元</w:t>
      </w:r>
    </w:p>
    <w:p w14:paraId="0941D47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即：投资者赎回100,000份A类基金份额，对应的赎回费率为0.1%，假设赎回当日A类基金份额净值是1.0160元，则其可得到的赎回金额为101,498.40元。</w:t>
      </w:r>
    </w:p>
    <w:p w14:paraId="3D80CFD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（2）C类基金份额的赎回</w:t>
      </w:r>
    </w:p>
    <w:p w14:paraId="11B2598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投资者赎回C类基金份额，赎回金额的计算方法如下：</w:t>
      </w:r>
    </w:p>
    <w:p w14:paraId="0222460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赎回费用=赎回份额×T日C类基金份额净值×赎回费率</w:t>
      </w:r>
    </w:p>
    <w:p w14:paraId="77E518D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赎回金额=赎回份额×T日C类基金份额净值-赎回费用</w:t>
      </w:r>
    </w:p>
    <w:p w14:paraId="2AF5CC17" w14:textId="1EF56DB0"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sidR="002114C8">
        <w:rPr>
          <w:rFonts w:ascii="宋体" w:hAnsi="宋体" w:hint="eastAsia"/>
          <w:sz w:val="24"/>
        </w:rPr>
        <w:t>七</w:t>
      </w:r>
      <w:r>
        <w:rPr>
          <w:rFonts w:ascii="宋体" w:hAnsi="宋体"/>
          <w:sz w:val="24"/>
        </w:rPr>
        <w:t>：某投资者在持有期限为20天时赎回100,000份C类基金份额，对应的赎回</w:t>
      </w:r>
      <w:r>
        <w:rPr>
          <w:rFonts w:ascii="宋体" w:hAnsi="宋体"/>
          <w:sz w:val="24"/>
        </w:rPr>
        <w:lastRenderedPageBreak/>
        <w:t>费率为0.5%，假设赎回当日C类基金份额净值是1.0160元，则其可得到的赎回金额为：</w:t>
      </w:r>
    </w:p>
    <w:p w14:paraId="32A367B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赎回费用=100,000×1.0160×0.5%＝508.00元</w:t>
      </w:r>
    </w:p>
    <w:p w14:paraId="41CFD89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赎回金额=100,000×1.0160-508.00＝101,092.00元</w:t>
      </w:r>
    </w:p>
    <w:p w14:paraId="5DB5CAC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即：投资者赎回100,000份C类基金份额，对应的赎回费率为0.5%，假设赎回当日C类基金份额净值是1.0160元，则其可得到的赎回金额为101,092.00元。</w:t>
      </w:r>
    </w:p>
    <w:p w14:paraId="4A70CCE9" w14:textId="77777777" w:rsidR="002114C8" w:rsidRDefault="002114C8" w:rsidP="002114C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（3）D类基金份额的赎回</w:t>
      </w:r>
    </w:p>
    <w:p w14:paraId="6471D22C" w14:textId="77777777" w:rsidR="002114C8" w:rsidRDefault="002114C8" w:rsidP="002114C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投资者赎回D类基金份额，赎回金额的计算方法如下：</w:t>
      </w:r>
    </w:p>
    <w:p w14:paraId="7D98BF6B" w14:textId="77777777" w:rsidR="002114C8" w:rsidRDefault="002114C8" w:rsidP="002114C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赎回费用=赎回份额×T日D类基金份额净值×赎回费率</w:t>
      </w:r>
    </w:p>
    <w:p w14:paraId="67F4591D" w14:textId="77777777" w:rsidR="002114C8" w:rsidRDefault="002114C8" w:rsidP="002114C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赎回金额=赎回份额×T日D类基金份额净值-赎回费用</w:t>
      </w:r>
    </w:p>
    <w:p w14:paraId="240BA772" w14:textId="5F0B2F59" w:rsidR="002114C8" w:rsidRDefault="002114C8" w:rsidP="002114C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Pr>
          <w:rFonts w:ascii="宋体" w:hAnsi="宋体" w:hint="eastAsia"/>
          <w:sz w:val="24"/>
        </w:rPr>
        <w:t>八</w:t>
      </w:r>
      <w:r>
        <w:rPr>
          <w:rFonts w:ascii="宋体" w:hAnsi="宋体"/>
          <w:sz w:val="24"/>
        </w:rPr>
        <w:t>：某投资者赎回100,000份D类基金份额，</w:t>
      </w:r>
      <w:r w:rsidR="00B01AD7">
        <w:rPr>
          <w:rFonts w:ascii="宋体" w:hAnsi="宋体"/>
          <w:sz w:val="24"/>
        </w:rPr>
        <w:t>持有期限为10天</w:t>
      </w:r>
      <w:r w:rsidR="00B01AD7">
        <w:rPr>
          <w:rFonts w:ascii="宋体" w:hAnsi="宋体" w:hint="eastAsia"/>
          <w:sz w:val="24"/>
        </w:rPr>
        <w:t>，</w:t>
      </w:r>
      <w:r>
        <w:rPr>
          <w:rFonts w:ascii="宋体" w:hAnsi="宋体"/>
          <w:sz w:val="24"/>
        </w:rPr>
        <w:t>对应的赎回费率为0.3%，假设赎回当日D类基金份额净值是1.0160元，则其可得到的赎回金额为：</w:t>
      </w:r>
    </w:p>
    <w:p w14:paraId="7209C36C" w14:textId="1EF44592" w:rsidR="002114C8" w:rsidRDefault="002114C8" w:rsidP="002114C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赎回费用=100,000×1.0160×0.3%＝</w:t>
      </w:r>
      <w:r w:rsidRPr="002114C8">
        <w:rPr>
          <w:rFonts w:ascii="宋体" w:hAnsi="宋体"/>
          <w:sz w:val="24"/>
        </w:rPr>
        <w:t>304.80</w:t>
      </w:r>
      <w:r>
        <w:rPr>
          <w:rFonts w:ascii="宋体" w:hAnsi="宋体"/>
          <w:sz w:val="24"/>
        </w:rPr>
        <w:t>元</w:t>
      </w:r>
    </w:p>
    <w:p w14:paraId="7B9B0C21" w14:textId="5F833E05" w:rsidR="002114C8" w:rsidRDefault="002114C8" w:rsidP="002114C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赎回金额=100,000×1.0160-</w:t>
      </w:r>
      <w:r w:rsidRPr="002114C8">
        <w:rPr>
          <w:rFonts w:ascii="宋体" w:hAnsi="宋体"/>
          <w:sz w:val="24"/>
        </w:rPr>
        <w:t>304.80</w:t>
      </w:r>
      <w:r>
        <w:rPr>
          <w:rFonts w:ascii="宋体" w:hAnsi="宋体"/>
          <w:sz w:val="24"/>
        </w:rPr>
        <w:t>＝</w:t>
      </w:r>
      <w:r w:rsidRPr="002114C8">
        <w:rPr>
          <w:rFonts w:ascii="宋体" w:hAnsi="宋体"/>
          <w:sz w:val="24"/>
        </w:rPr>
        <w:t>101,295.20</w:t>
      </w:r>
      <w:r>
        <w:rPr>
          <w:rFonts w:ascii="宋体" w:hAnsi="宋体"/>
          <w:sz w:val="24"/>
        </w:rPr>
        <w:t>元</w:t>
      </w:r>
    </w:p>
    <w:p w14:paraId="23DFF756" w14:textId="647E3645" w:rsidR="002114C8" w:rsidRDefault="002114C8" w:rsidP="002114C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即：投资者赎回100,000份D类基金份额，</w:t>
      </w:r>
      <w:r w:rsidR="00B01AD7" w:rsidRPr="00B01AD7">
        <w:rPr>
          <w:rFonts w:ascii="宋体" w:hAnsi="宋体" w:hint="eastAsia"/>
          <w:sz w:val="24"/>
        </w:rPr>
        <w:t>持有期限为10天</w:t>
      </w:r>
      <w:r w:rsidR="00B01AD7">
        <w:rPr>
          <w:rFonts w:ascii="宋体" w:hAnsi="宋体" w:hint="eastAsia"/>
          <w:sz w:val="24"/>
        </w:rPr>
        <w:t>，</w:t>
      </w:r>
      <w:r>
        <w:rPr>
          <w:rFonts w:ascii="宋体" w:hAnsi="宋体"/>
          <w:sz w:val="24"/>
        </w:rPr>
        <w:t>对应的赎回费率为0.3%，假设赎回当日D类基金份额净值是1.0160元，则其可得到的赎回金额为</w:t>
      </w:r>
      <w:r w:rsidRPr="002114C8">
        <w:rPr>
          <w:rFonts w:ascii="宋体" w:hAnsi="宋体"/>
          <w:sz w:val="24"/>
        </w:rPr>
        <w:t>101,295.20</w:t>
      </w:r>
      <w:r>
        <w:rPr>
          <w:rFonts w:ascii="宋体" w:hAnsi="宋体"/>
          <w:sz w:val="24"/>
        </w:rPr>
        <w:t>元。</w:t>
      </w:r>
    </w:p>
    <w:p w14:paraId="2231735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4、基金份额净值的计算公式</w:t>
      </w:r>
    </w:p>
    <w:p w14:paraId="5E23714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A类基金份额净值＝A类基金份额的基金资产净值总额/发行在外的A类基金份额总数</w:t>
      </w:r>
    </w:p>
    <w:p w14:paraId="10BE91D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C类基金份额净值＝C类基金份额的基金资产净值总额/发行在外的C类基金份额总数</w:t>
      </w:r>
    </w:p>
    <w:p w14:paraId="24F375B1" w14:textId="77777777" w:rsidR="00210321" w:rsidRPr="005331D9" w:rsidRDefault="00210321" w:rsidP="0021032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D类基金份额净值＝D类基金份额的基金资产净值总额/发行在外的D类基金份额总数</w:t>
      </w:r>
    </w:p>
    <w:p w14:paraId="79EE5433" w14:textId="4B244592"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本基金T日的基金份额净值在当天收市后计算，并按基金合同的约定公告。遇特殊情况，经中国证监会同意，可以适当延迟计算或公告。本基金A类基金份额</w:t>
      </w:r>
      <w:r w:rsidR="00210321">
        <w:rPr>
          <w:rFonts w:ascii="宋体" w:hAnsi="宋体" w:hint="eastAsia"/>
          <w:sz w:val="24"/>
        </w:rPr>
        <w:t>、</w:t>
      </w:r>
      <w:r>
        <w:rPr>
          <w:rFonts w:ascii="宋体" w:hAnsi="宋体"/>
          <w:sz w:val="24"/>
        </w:rPr>
        <w:t>C类基金份额</w:t>
      </w:r>
      <w:r w:rsidR="00210321">
        <w:rPr>
          <w:rFonts w:ascii="宋体" w:hAnsi="宋体" w:hint="eastAsia"/>
          <w:sz w:val="24"/>
        </w:rPr>
        <w:t>和D类基金份额</w:t>
      </w:r>
      <w:r>
        <w:rPr>
          <w:rFonts w:ascii="宋体" w:hAnsi="宋体"/>
          <w:sz w:val="24"/>
        </w:rPr>
        <w:t>的基金份额净值的计算，</w:t>
      </w:r>
      <w:r w:rsidR="009B6426">
        <w:rPr>
          <w:rFonts w:ascii="宋体" w:hAnsi="宋体" w:hint="eastAsia"/>
          <w:sz w:val="24"/>
        </w:rPr>
        <w:t>均</w:t>
      </w:r>
      <w:r>
        <w:rPr>
          <w:rFonts w:ascii="宋体" w:hAnsi="宋体"/>
          <w:sz w:val="24"/>
        </w:rPr>
        <w:t>保留到小数点后4位，小数点后第5位四舍五入，由此误差产生的收益或损失由基金财产承担。</w:t>
      </w:r>
    </w:p>
    <w:p w14:paraId="472119F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（九）拒绝或暂停申购的情形</w:t>
      </w:r>
    </w:p>
    <w:p w14:paraId="5BEE193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发生下列情况时，基金管理人可拒绝或暂停接受投资人的申购申请：</w:t>
      </w:r>
    </w:p>
    <w:p w14:paraId="584AD9F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14:paraId="4A993B1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2、发生基金合同规定的暂停基金资产估值情况时，基金管理人可暂停接受投资人的申购申请。</w:t>
      </w:r>
    </w:p>
    <w:p w14:paraId="737CB11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3、证券交易所交易时间非正常停市，导致基金管理人无法计算当日基金资产净值。</w:t>
      </w:r>
    </w:p>
    <w:p w14:paraId="11A2304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4、接受某笔或某些申购申请可能会影响或损害现有基金份额持有人利益时。</w:t>
      </w:r>
    </w:p>
    <w:p w14:paraId="162399F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5、基金资产规模过大，使基金管理人无法找到合适的投资品种，或其他可能对基金业绩产生负面影响，或发生其他损害现有基金份额持有人利益的情形。</w:t>
      </w:r>
    </w:p>
    <w:p w14:paraId="6ED6881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6、基金管理人、基金托管人、基金销售机构、基金销售支付结算机构或登记机构的异常情况导致基金销售系统、基金销售支付结算系统、基金注册登记系统或基金会计系统无法正常运行。</w:t>
      </w:r>
    </w:p>
    <w:p w14:paraId="372F179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7、基金管理人接受某笔或者某些申购申请有可能导致单一投资者持有基金份额的比例超过50%，或者变相规避50%集中度的。出现上述情形时，基金管理人有权将上述申购申请全部或部分确认失败。</w:t>
      </w:r>
    </w:p>
    <w:p w14:paraId="24A9023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8、当前一估值日基金资产净值50%以上的资产出现无可参考的活跃市场价格且采用估值技术仍导致公允价值存在重大不确定性时，经与基金托管人协商确认后，基金管理人应当暂停接受申购申请。</w:t>
      </w:r>
    </w:p>
    <w:p w14:paraId="02C6528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9、基金合同约定、法律法规规定或中国证监会认定的其他情形。</w:t>
      </w:r>
    </w:p>
    <w:p w14:paraId="0D5872B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第1、2、3、5、6、8、9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1534908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（十）暂停赎回或延缓支付赎回款项的情形</w:t>
      </w:r>
    </w:p>
    <w:p w14:paraId="1C99333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发生下列情形时，基金管理人可暂停接受投资人的赎回申请或延缓支付赎回款项：</w:t>
      </w:r>
    </w:p>
    <w:p w14:paraId="3C4E398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1、因不可抗力导致基金管理人不能支付赎回款项。</w:t>
      </w:r>
    </w:p>
    <w:p w14:paraId="20015ED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2、发生基金合同规定的暂停基金资产估值情况时，基金管理人可暂停接受投资人的赎回申请或延缓支付赎回款项。</w:t>
      </w:r>
    </w:p>
    <w:p w14:paraId="6F9F0D9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3、证券交易所交易时间非正常停市，导致基金管理人无法计算当日基金资产</w:t>
      </w:r>
      <w:r>
        <w:rPr>
          <w:rFonts w:ascii="宋体" w:hAnsi="宋体"/>
          <w:sz w:val="24"/>
        </w:rPr>
        <w:lastRenderedPageBreak/>
        <w:t>净值。</w:t>
      </w:r>
    </w:p>
    <w:p w14:paraId="43D8D39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4、继续接受赎回申请将损害现有基金份额持有人利益的情形时，可暂停接受投资人的赎回申请。</w:t>
      </w:r>
    </w:p>
    <w:p w14:paraId="70390B4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14:paraId="5771DBE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6、基金合同约定、法律法规规定或中国证监会认定的其他情形。</w:t>
      </w:r>
    </w:p>
    <w:p w14:paraId="460E5A1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2FA2825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（十一）巨额赎回的情形及处理方式</w:t>
      </w:r>
    </w:p>
    <w:p w14:paraId="086F0B9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1、巨额赎回的认定</w:t>
      </w:r>
    </w:p>
    <w:p w14:paraId="271D4ED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2A67636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14:paraId="5B5D4E9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14:paraId="259BFCF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6C43BBCF" w14:textId="18443D8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w:t>
      </w:r>
      <w:r>
        <w:rPr>
          <w:rFonts w:ascii="宋体" w:hAnsi="宋体"/>
          <w:sz w:val="24"/>
        </w:rPr>
        <w:lastRenderedPageBreak/>
        <w:t>一个开放日继续赎回，直到全部赎回为止；选择取消赎回的，当日未获受理的部分赎回申请将被撤销。延期的赎回申请与下一开放日赎回申请一并处理，无优先权并以下一开放日的</w:t>
      </w:r>
      <w:r w:rsidR="003C5CBB">
        <w:rPr>
          <w:rFonts w:ascii="宋体" w:hAnsi="宋体" w:hint="eastAsia"/>
          <w:sz w:val="24"/>
        </w:rPr>
        <w:t>该类</w:t>
      </w:r>
      <w:r>
        <w:rPr>
          <w:rFonts w:ascii="宋体" w:hAnsi="宋体"/>
          <w:sz w:val="24"/>
        </w:rPr>
        <w:t>基金份额净值为基础计算赎回金额，以此类推，直到全部赎回为止。如投资人在提交赎回申请时未作明确选择，投资人未能赎回部分作自动延期赎回处理。</w:t>
      </w:r>
    </w:p>
    <w:p w14:paraId="7D88E39D" w14:textId="792AF1F2"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应当采取如下措施：对于基金份额持有人当日超过20%的赎回申请，可以对其赎回申请延期办理；对于基金份额持有人未超过上述比例的部分，基金管理人可以根据前段“（1）全额赎回”或“（2）部分延期赎回”的约定方式与其他基金份额持有人的赎回申请一并办理。如基金份额持有人在当日选择取消赎回，则其当日未获受理的部分赎回申请将被撤销。</w:t>
      </w:r>
    </w:p>
    <w:p w14:paraId="0791022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14:paraId="610BB52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3、巨额赎回的公告</w:t>
      </w:r>
    </w:p>
    <w:p w14:paraId="193295F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当发生上述巨额赎回并延期办理时，基金管理人应当通过邮寄、传真、刊登公告或者通知销售机构代为告知等方式在3个交易日内通知基金份额持有人，说明有关处理方法，并在2日内在指定媒介上刊登公告。</w:t>
      </w:r>
    </w:p>
    <w:p w14:paraId="44AF8F3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（十二）暂停申购或赎回的公告和重新开放申购或赎回的公告</w:t>
      </w:r>
    </w:p>
    <w:p w14:paraId="1E1678E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1、发生上述暂停申购或赎回情况的，基金管理人应在规定期限内在指定媒介上刊登暂停公告。</w:t>
      </w:r>
    </w:p>
    <w:p w14:paraId="5F288DFB" w14:textId="25674F1B"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2、暂停结束，基金重新开放申购或赎回时，基金管理人应依照《信息披露办法》的有关规定，不迟于重新开放日，在指定媒介上刊登基金重新开放申购或赎回公告，并公布最近一个开放日</w:t>
      </w:r>
      <w:r w:rsidR="00371452">
        <w:rPr>
          <w:rFonts w:ascii="宋体" w:hAnsi="宋体" w:hint="eastAsia"/>
          <w:sz w:val="24"/>
        </w:rPr>
        <w:t>各类基金份额</w:t>
      </w:r>
      <w:r>
        <w:rPr>
          <w:rFonts w:ascii="宋体" w:hAnsi="宋体"/>
          <w:sz w:val="24"/>
        </w:rPr>
        <w:t>的基金份额净值。</w:t>
      </w:r>
    </w:p>
    <w:p w14:paraId="31DBB72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（十三）基金的非交易过户</w:t>
      </w:r>
    </w:p>
    <w:p w14:paraId="550DBB9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0AE17B3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继承是指基金份额持有人死亡，其持有的基金份额由其合法的继承人继承；捐赠指基金份额持有人将其合法持有的基金份额捐赠给福利性质的基金会或社会团</w:t>
      </w:r>
      <w:r>
        <w:rPr>
          <w:rFonts w:ascii="宋体" w:hAnsi="宋体"/>
          <w:sz w:val="24"/>
        </w:rPr>
        <w:lastRenderedPageBreak/>
        <w:t>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7401EF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（十四）基金的转托管</w:t>
      </w:r>
    </w:p>
    <w:p w14:paraId="41F159A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基金份额持有人可办理已持有基金份额在不同销售机构之间的转托管，基金销售机构可以按照规定的标准收取转托管费。</w:t>
      </w:r>
    </w:p>
    <w:p w14:paraId="630926A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（十五）定期定额投资计划</w:t>
      </w:r>
    </w:p>
    <w:p w14:paraId="711D678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018A399" w14:textId="6EF9FD19"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本基金2020年5月20日刊登公告自2020年5月26日起开通</w:t>
      </w:r>
      <w:r w:rsidR="00371452" w:rsidRPr="00865528">
        <w:rPr>
          <w:rFonts w:ascii="宋体" w:hAnsi="宋体" w:hint="eastAsia"/>
          <w:sz w:val="24"/>
        </w:rPr>
        <w:t>A类基金份额</w:t>
      </w:r>
      <w:r w:rsidR="00371452">
        <w:rPr>
          <w:rFonts w:ascii="宋体" w:hAnsi="宋体" w:hint="eastAsia"/>
          <w:sz w:val="24"/>
        </w:rPr>
        <w:t>和C类基金份额的</w:t>
      </w:r>
      <w:r>
        <w:rPr>
          <w:rFonts w:ascii="宋体" w:hAnsi="宋体"/>
          <w:sz w:val="24"/>
        </w:rPr>
        <w:t>定期定额投资计划业务</w:t>
      </w:r>
      <w:r w:rsidR="00371452" w:rsidRPr="00371452">
        <w:rPr>
          <w:rFonts w:ascii="宋体" w:hAnsi="宋体" w:hint="eastAsia"/>
          <w:sz w:val="24"/>
        </w:rPr>
        <w:t>，本基金2023年</w:t>
      </w:r>
      <w:r w:rsidR="00390AAC">
        <w:rPr>
          <w:rFonts w:ascii="宋体" w:hAnsi="宋体"/>
          <w:sz w:val="24"/>
        </w:rPr>
        <w:t>12</w:t>
      </w:r>
      <w:r w:rsidR="00371452" w:rsidRPr="00371452">
        <w:rPr>
          <w:rFonts w:ascii="宋体" w:hAnsi="宋体" w:hint="eastAsia"/>
          <w:sz w:val="24"/>
        </w:rPr>
        <w:t>月</w:t>
      </w:r>
      <w:r w:rsidR="00390AAC">
        <w:rPr>
          <w:rFonts w:ascii="宋体" w:hAnsi="宋体"/>
          <w:sz w:val="24"/>
        </w:rPr>
        <w:t>18</w:t>
      </w:r>
      <w:r w:rsidR="00371452" w:rsidRPr="00371452">
        <w:rPr>
          <w:rFonts w:ascii="宋体" w:hAnsi="宋体" w:hint="eastAsia"/>
          <w:sz w:val="24"/>
        </w:rPr>
        <w:t>日刊登公告自2023年</w:t>
      </w:r>
      <w:r w:rsidR="00390AAC">
        <w:rPr>
          <w:rFonts w:ascii="宋体" w:hAnsi="宋体"/>
          <w:sz w:val="24"/>
        </w:rPr>
        <w:t>12</w:t>
      </w:r>
      <w:r w:rsidR="00371452" w:rsidRPr="00371452">
        <w:rPr>
          <w:rFonts w:ascii="宋体" w:hAnsi="宋体" w:hint="eastAsia"/>
          <w:sz w:val="24"/>
        </w:rPr>
        <w:t>月</w:t>
      </w:r>
      <w:r w:rsidR="00390AAC">
        <w:rPr>
          <w:rFonts w:ascii="宋体" w:hAnsi="宋体"/>
          <w:sz w:val="24"/>
        </w:rPr>
        <w:t>19</w:t>
      </w:r>
      <w:r w:rsidR="00371452" w:rsidRPr="00371452">
        <w:rPr>
          <w:rFonts w:ascii="宋体" w:hAnsi="宋体" w:hint="eastAsia"/>
          <w:sz w:val="24"/>
        </w:rPr>
        <w:t>日起增设D类基金份额并开通D类基金份额的定期定额投资计划业务</w:t>
      </w:r>
      <w:r>
        <w:rPr>
          <w:rFonts w:ascii="宋体" w:hAnsi="宋体"/>
          <w:sz w:val="24"/>
        </w:rPr>
        <w:t>，具体开通销售机构名单和业务规则参见相关公告。</w:t>
      </w:r>
    </w:p>
    <w:p w14:paraId="1C48CF1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（十六）基金份额的冻结和解冻</w:t>
      </w:r>
    </w:p>
    <w:p w14:paraId="303C98A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登记机构只受理国家有权机关依法要求的基金份额的冻结与解冻，以及登记机构认可、符合法律法规的其他情况下的冻结与解冻。基金份额被冻结的，被冻结部分产生的权益一并冻结，被冻结部分份额仍然参与收益分配。法律法规或监管机构另有规定的除外。</w:t>
      </w:r>
    </w:p>
    <w:p w14:paraId="1FB8A0C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（十七）基金份额的转让</w:t>
      </w:r>
    </w:p>
    <w:p w14:paraId="08FC939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CB5C7A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（十八）实施侧袋机制期间本基金的申购与赎回</w:t>
      </w:r>
    </w:p>
    <w:p w14:paraId="44B9A21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本基金实施侧袋机制的，本基金的申购和赎回安排详见本招募说明书“侧袋机制”部分的规定或相关公告。</w:t>
      </w:r>
    </w:p>
    <w:p w14:paraId="208D3F2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（十九）其他业务</w:t>
      </w:r>
    </w:p>
    <w:p w14:paraId="65BD78D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30D2961F" w14:textId="77777777" w:rsidR="00C61788" w:rsidRDefault="00BC098F" w:rsidP="00C6178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9D5E2F4" w14:textId="77777777" w:rsidR="00234D74" w:rsidRDefault="00BC098F">
      <w:pPr>
        <w:pStyle w:val="1"/>
        <w:snapToGrid w:val="0"/>
        <w:spacing w:beforeLines="0" w:before="240" w:after="240"/>
        <w:rPr>
          <w:rFonts w:ascii="宋体" w:hAnsi="宋体"/>
          <w:szCs w:val="30"/>
        </w:rPr>
      </w:pPr>
      <w:bookmarkStart w:id="13" w:name="_Toc135728685"/>
      <w:r>
        <w:rPr>
          <w:rFonts w:ascii="Times New Roman" w:hAnsi="Times New Roman"/>
          <w:sz w:val="30"/>
        </w:rPr>
        <w:lastRenderedPageBreak/>
        <w:t>九、基金的转换</w:t>
      </w:r>
      <w:bookmarkEnd w:id="13"/>
    </w:p>
    <w:p w14:paraId="3D706D4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（一）基金转换</w:t>
      </w:r>
    </w:p>
    <w:p w14:paraId="1D1C1C7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14:paraId="5A7C265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（二）转换业务办理时间</w:t>
      </w:r>
    </w:p>
    <w:p w14:paraId="58E96C27" w14:textId="1FBE1F19" w:rsidR="007C57BB" w:rsidRDefault="00BC098F">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本基金2020年6月10日刊登公告自2020年6月12日起开放</w:t>
      </w:r>
      <w:r w:rsidR="007C57BB" w:rsidRPr="00F60062">
        <w:rPr>
          <w:rFonts w:ascii="宋体" w:hAnsi="宋体" w:hint="eastAsia"/>
          <w:sz w:val="24"/>
        </w:rPr>
        <w:t>A类基金份额</w:t>
      </w:r>
      <w:r w:rsidR="007C57BB">
        <w:rPr>
          <w:rFonts w:ascii="宋体" w:hAnsi="宋体" w:hint="eastAsia"/>
          <w:sz w:val="24"/>
        </w:rPr>
        <w:t>和</w:t>
      </w:r>
      <w:r w:rsidR="007C57BB">
        <w:rPr>
          <w:rFonts w:ascii="宋体" w:hAnsi="宋体"/>
          <w:sz w:val="24"/>
        </w:rPr>
        <w:t>C</w:t>
      </w:r>
      <w:r w:rsidR="007C57BB" w:rsidRPr="00FF0EDE">
        <w:rPr>
          <w:rFonts w:ascii="宋体" w:hAnsi="宋体" w:hint="eastAsia"/>
          <w:sz w:val="24"/>
        </w:rPr>
        <w:t>类基金份额</w:t>
      </w:r>
      <w:r w:rsidR="007C57BB">
        <w:rPr>
          <w:rFonts w:ascii="宋体" w:hAnsi="宋体" w:hint="eastAsia"/>
          <w:sz w:val="24"/>
        </w:rPr>
        <w:t>的</w:t>
      </w:r>
      <w:r>
        <w:rPr>
          <w:rFonts w:ascii="宋体" w:hAnsi="宋体"/>
          <w:sz w:val="24"/>
        </w:rPr>
        <w:t>日常转换业务</w:t>
      </w:r>
      <w:r w:rsidR="007C57BB" w:rsidRPr="00CA5D95">
        <w:rPr>
          <w:rFonts w:ascii="宋体" w:hAnsi="宋体" w:hint="eastAsia"/>
          <w:sz w:val="24"/>
        </w:rPr>
        <w:t>，本基金</w:t>
      </w:r>
      <w:r w:rsidR="007C57BB">
        <w:rPr>
          <w:rFonts w:ascii="宋体" w:hAnsi="宋体" w:hint="eastAsia"/>
          <w:sz w:val="24"/>
        </w:rPr>
        <w:t>202</w:t>
      </w:r>
      <w:r w:rsidR="00E1728F">
        <w:rPr>
          <w:rFonts w:ascii="宋体" w:hAnsi="宋体"/>
          <w:sz w:val="24"/>
        </w:rPr>
        <w:t>3</w:t>
      </w:r>
      <w:r w:rsidR="007C57BB" w:rsidRPr="00CA5D95">
        <w:rPr>
          <w:rFonts w:ascii="宋体" w:hAnsi="宋体" w:hint="eastAsia"/>
          <w:sz w:val="24"/>
        </w:rPr>
        <w:t>年</w:t>
      </w:r>
      <w:r w:rsidR="00E1728F">
        <w:rPr>
          <w:rFonts w:ascii="宋体" w:hAnsi="宋体"/>
          <w:sz w:val="24"/>
        </w:rPr>
        <w:t>12</w:t>
      </w:r>
      <w:r w:rsidR="007C57BB" w:rsidRPr="00CA5D95">
        <w:rPr>
          <w:rFonts w:ascii="宋体" w:hAnsi="宋体" w:hint="eastAsia"/>
          <w:sz w:val="24"/>
        </w:rPr>
        <w:t>月</w:t>
      </w:r>
      <w:r w:rsidR="00E1728F">
        <w:rPr>
          <w:rFonts w:ascii="宋体" w:hAnsi="宋体"/>
          <w:sz w:val="24"/>
        </w:rPr>
        <w:t>18</w:t>
      </w:r>
      <w:r w:rsidR="007C57BB" w:rsidRPr="00CA5D95">
        <w:rPr>
          <w:rFonts w:ascii="宋体" w:hAnsi="宋体" w:hint="eastAsia"/>
          <w:sz w:val="24"/>
        </w:rPr>
        <w:t>日刊登公告自</w:t>
      </w:r>
      <w:r w:rsidR="007C57BB">
        <w:rPr>
          <w:rFonts w:ascii="宋体" w:hAnsi="宋体" w:hint="eastAsia"/>
          <w:sz w:val="24"/>
        </w:rPr>
        <w:t>202</w:t>
      </w:r>
      <w:r w:rsidR="00E1728F">
        <w:rPr>
          <w:rFonts w:ascii="宋体" w:hAnsi="宋体"/>
          <w:sz w:val="24"/>
        </w:rPr>
        <w:t>3</w:t>
      </w:r>
      <w:r w:rsidR="007C57BB" w:rsidRPr="00CA5D95">
        <w:rPr>
          <w:rFonts w:ascii="宋体" w:hAnsi="宋体" w:hint="eastAsia"/>
          <w:sz w:val="24"/>
        </w:rPr>
        <w:t>年</w:t>
      </w:r>
      <w:r w:rsidR="00E1728F">
        <w:rPr>
          <w:rFonts w:ascii="宋体" w:hAnsi="宋体"/>
          <w:sz w:val="24"/>
        </w:rPr>
        <w:t>12</w:t>
      </w:r>
      <w:r w:rsidR="007C57BB" w:rsidRPr="00CA5D95">
        <w:rPr>
          <w:rFonts w:ascii="宋体" w:hAnsi="宋体" w:hint="eastAsia"/>
          <w:sz w:val="24"/>
        </w:rPr>
        <w:t>月</w:t>
      </w:r>
      <w:r w:rsidR="00E1728F">
        <w:rPr>
          <w:rFonts w:ascii="宋体" w:hAnsi="宋体"/>
          <w:sz w:val="24"/>
        </w:rPr>
        <w:t>19</w:t>
      </w:r>
      <w:r w:rsidR="007C57BB" w:rsidRPr="00CA5D95">
        <w:rPr>
          <w:rFonts w:ascii="宋体" w:hAnsi="宋体" w:hint="eastAsia"/>
          <w:sz w:val="24"/>
        </w:rPr>
        <w:t>日起增设D类基金份额并开通D类基金份额的日常转换业务</w:t>
      </w:r>
      <w:r>
        <w:rPr>
          <w:rFonts w:ascii="宋体" w:hAnsi="宋体"/>
          <w:sz w:val="24"/>
        </w:rPr>
        <w:t>。</w:t>
      </w:r>
    </w:p>
    <w:p w14:paraId="67D7CB25" w14:textId="601D238B"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办理基金间转换的时间为上海证券交易所、深圳证券交易所交易日。若出现新的证券交易市场或交易所交易时间更改或其它原因，基金管理人将视情况进行相应的调整并公告。</w:t>
      </w:r>
    </w:p>
    <w:p w14:paraId="5C9927B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7A95E9E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本基金转换业务具体开通销售机构名单参见相关公告。</w:t>
      </w:r>
    </w:p>
    <w:p w14:paraId="643A386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（三）基金转换的程序</w:t>
      </w:r>
    </w:p>
    <w:p w14:paraId="28919A6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1、申请方式：书面申请或销售机构公布的其他方式。</w:t>
      </w:r>
    </w:p>
    <w:p w14:paraId="74DD785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2、基金转换申请的确认</w:t>
      </w:r>
    </w:p>
    <w:p w14:paraId="6F5DDB3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正常情况下，T日规定时间受理的申请，注册登记机构在T＋1日内为投资人对该交易的有效性进行确认，在T＋2日后(包括该日)投资人可向销售机构查询转换的确认情况。</w:t>
      </w:r>
    </w:p>
    <w:p w14:paraId="7EB0EAA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3、基金转换的注册登记</w:t>
      </w:r>
    </w:p>
    <w:p w14:paraId="6427291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14:paraId="4D602D2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（四）基金转换的数额限制</w:t>
      </w:r>
    </w:p>
    <w:p w14:paraId="7DB0E3D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基金转换以份额为单位进行申请，申请转换份额精确到小数点后两位，小数点后两位以后的部分四舍五入，误差部分归基金财产。</w:t>
      </w:r>
    </w:p>
    <w:p w14:paraId="0620C10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本基金遵循“份额转换”的原则，单笔转换份额不得低于1份。基金持有人可将其全部或部分基金份额转换成其它基金，单笔转换申请不受转入基金最低申购限额限制。</w:t>
      </w:r>
    </w:p>
    <w:p w14:paraId="319A56B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p>
    <w:p w14:paraId="08FD087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（五）基金转换费用</w:t>
      </w:r>
    </w:p>
    <w:p w14:paraId="6E3A853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1、每笔基金转换视为一笔赎回和一笔申购，基金转换费用相应由转出基金的赎回费用及转出、转入基金的申购补差费用构成。</w:t>
      </w:r>
    </w:p>
    <w:p w14:paraId="56163DF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2、转出基金的赎回费用</w:t>
      </w:r>
    </w:p>
    <w:p w14:paraId="2E55020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0E3BAEB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3、前端收费模式下转出与转入基金的申购补差费用</w:t>
      </w:r>
    </w:p>
    <w:p w14:paraId="22A9A89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的转入基金前端申购费率减去转出基金前端申购费率差额进行计算补差，若遇固定费用，则按实际产生补差费用收取。</w:t>
      </w:r>
    </w:p>
    <w:p w14:paraId="61B4D4E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4、后端收费模式下转出与转入基金的申购补差费用</w:t>
      </w:r>
    </w:p>
    <w:p w14:paraId="7159C43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从不收取申购费用的基金或后端申购费用低的基金向后端申购费用高的基金转</w:t>
      </w:r>
      <w:r>
        <w:rPr>
          <w:rFonts w:ascii="宋体" w:hAnsi="宋体"/>
          <w:sz w:val="24"/>
        </w:rPr>
        <w:lastRenderedPageBreak/>
        <w:t>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1BCA5C3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5、网上直销的申购补差费率优惠</w:t>
      </w:r>
    </w:p>
    <w:p w14:paraId="3D3F530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41606F0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6、本基金管理人可以根据法律法规及基金合同的规定对上述转换费用收费方式和费率进行调整，并应于调整后的收费方式和费率实施前依照《信息披露办法》的有关规定在中国证监会规定媒介上公告。</w:t>
      </w:r>
    </w:p>
    <w:p w14:paraId="2B916B8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（六）基金转换份额的计算公式</w:t>
      </w:r>
    </w:p>
    <w:p w14:paraId="04D765D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1、前端收费模式下基金转换份额的计算公式及举例</w:t>
      </w:r>
    </w:p>
    <w:p w14:paraId="566B121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14:paraId="64A1070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14:paraId="1097136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14:paraId="0ED0F07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转出与转入基金的申购补差费=转入确认金额×对应的转出与转入基金的申购补差费率/（1+对应的转出与转入基金的申购补差费率）</w:t>
      </w:r>
    </w:p>
    <w:p w14:paraId="00A539E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（注：若转出基金申购费率不低于转入基金申购费率，转出与转入基金的申购补差费为零）</w:t>
      </w:r>
    </w:p>
    <w:p w14:paraId="5DAC243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对于涉及固定费用的，转出与转入基金的申购补差费＝MAX（0，转出基金和转入基金申购费用之差）</w:t>
      </w:r>
    </w:p>
    <w:p w14:paraId="2FF754F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14:paraId="3E84338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14:paraId="70B9455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14:paraId="0EA5F42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转入基金确认份额的计算精确到小数点后两位，小数点后两位以后的部分四舍五入，误差部分归基金财产。</w:t>
      </w:r>
    </w:p>
    <w:p w14:paraId="0F940BA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某投资者持有交银趋势前端收费模式的A类基金份额100,000份，持有期半年，转换申请当日交银趋势的A类基金份额净值为1.0100元，交银成长的基金份额净值为2.2700元。若该投资者将100,000份交银趋势前端A类基金份额转换为交银成长前端基金份额，则转入交银成长确认的基金份额为：</w:t>
      </w:r>
    </w:p>
    <w:p w14:paraId="3D90DCB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转出确认金额=100,000×1.0100=101,000元</w:t>
      </w:r>
    </w:p>
    <w:p w14:paraId="796F3AE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转出基金的赎回费=101,000×0.5%=505元</w:t>
      </w:r>
    </w:p>
    <w:p w14:paraId="3B33B07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转入确认金额=101,000-505=100,495元</w:t>
      </w:r>
    </w:p>
    <w:p w14:paraId="4906C64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转出与转入基金的申购补差费=100,495×0/（1+0）=0元</w:t>
      </w:r>
    </w:p>
    <w:p w14:paraId="23F1C9A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转入基金确认份额=（100,495-0）/2.2700=44,270.93份</w:t>
      </w:r>
    </w:p>
    <w:p w14:paraId="0DD2753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投资者持有交银增利A类基金份额1,000,000份，持有期一年半，转换申请当日交银增利A类基金份额的基金份额净值为1.0200元，交银趋势的A类基金份额净值为1.0100元。若该投资者将1,000,000份交银增利A类基金份额转换为交银趋势前端A类基金份额，则转入交银趋势确认的A类基金份额为：</w:t>
      </w:r>
    </w:p>
    <w:p w14:paraId="5DE7C5D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转出确认金额=1,000,000×1.0200=1,020,000元</w:t>
      </w:r>
    </w:p>
    <w:p w14:paraId="1F9E143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转出基金的赎回费=1,020,000×0.05%=510元</w:t>
      </w:r>
    </w:p>
    <w:p w14:paraId="0E7B2C0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转入确认金额=1,020,000-510=1,019,490元</w:t>
      </w:r>
    </w:p>
    <w:p w14:paraId="2655919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转出与转入基金的申购补差费=1,019,490×0.5%/（1+0.5%）=5,072.09元</w:t>
      </w:r>
    </w:p>
    <w:p w14:paraId="3BBE2CE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转入基金确认份额=（1,019,490-5,072.09）/1.0100=1,004,374.17份</w:t>
      </w:r>
    </w:p>
    <w:p w14:paraId="09CDBA3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持有交银增利C类基金份额100,000份，持有期一年半，转换申请当日交银增利C类基金份额净值为1.2500元，交银精选的基金份额净值为2.2700元。若该投资者将100,000份交银增利C类基金份额转换为交银精选前端基金份额，则转入交银精选确认的基金份额为：</w:t>
      </w:r>
    </w:p>
    <w:p w14:paraId="346CB19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14:paraId="48E57B6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26BC8CF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转入确认金额=125,000-0=125,000元</w:t>
      </w:r>
    </w:p>
    <w:p w14:paraId="2A79ACF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转出与转入基金的申购补差费=125,000×1.5%/（1+1.5%）=1,847.29元</w:t>
      </w:r>
    </w:p>
    <w:p w14:paraId="18EC43A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转入基金确认份额=（125,000-1,847.29）/2.2700=54,252.30份</w:t>
      </w:r>
    </w:p>
    <w:p w14:paraId="3AEC876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例四：某投资者持有交银货币A级基金份额100,000份，该100,000份基金份额</w:t>
      </w:r>
      <w:r>
        <w:rPr>
          <w:rFonts w:ascii="宋体" w:hAnsi="宋体"/>
          <w:sz w:val="24"/>
        </w:rPr>
        <w:lastRenderedPageBreak/>
        <w:t>未结转的待支付收益为61.52元，转换申请当日交银增利A类基金份额净值为1.2700元，交银货币的基金份额净值为1.00元。若该投资者将100,000份交银货币A级基金份额转换为交银增利A类基金份额，则转入确认的交银增利A类基金份额为：</w:t>
      </w:r>
    </w:p>
    <w:p w14:paraId="1F127E0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14:paraId="237A0B6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1C13D94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14:paraId="4083BD2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转出与转入基金的申购补差费=100,000×0.8%/（1+0.8%）=793.65元</w:t>
      </w:r>
    </w:p>
    <w:p w14:paraId="18FD6AA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转入基金确认份额=（100,000-793.65+61.52）/1.2700=78,163.68份</w:t>
      </w:r>
    </w:p>
    <w:p w14:paraId="4CF0389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2、后端收费模式下基金转换份额的计算公式及举例</w:t>
      </w:r>
    </w:p>
    <w:p w14:paraId="36B7E91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14:paraId="487641A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14:paraId="7BC211F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14:paraId="5F3715B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w:t>
      </w:r>
    </w:p>
    <w:p w14:paraId="5F487B6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14:paraId="7AB3C0B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14:paraId="5CF413B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14:paraId="1AA4AC4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14:paraId="3A72932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投资者持有交银主题后端收费模式的A类基金份额100,000份，持有期一年半，转换申请当日交银主题的A类基金份额净值为1.2500元，交银稳健的基金份额净值为2.2700元。若该投资者将100,000份交银主题后端A类基金份额转换为交银稳健后端基金份额，则转入交银稳健确认的基金份额为：</w:t>
      </w:r>
    </w:p>
    <w:p w14:paraId="5884648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14:paraId="6A11B10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14:paraId="43C19B3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14:paraId="756D150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转出与转入基金的申购补差费=124,750×0=0元</w:t>
      </w:r>
    </w:p>
    <w:p w14:paraId="74CC8B4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转入基金确认份额=（124,750-0）/2.2700=54,955.95份</w:t>
      </w:r>
    </w:p>
    <w:p w14:paraId="6608059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例六：某投资者持有交银先锋后端收费模式的A类基金份额100,000份，持有期一年半，转换申请当日交银先锋的A类基金份额净值为1.2500元，交银货币的基金份额净值为1.00元。若该投资者将100,000份交银先锋后端A类基金份额转换为交银货币，则转入交银货币的基金份额为：</w:t>
      </w:r>
    </w:p>
    <w:p w14:paraId="5CCC951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14:paraId="2F8004D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14:paraId="5D45BCF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14:paraId="5770017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转出与转入基金的申购补差费=124,750×1.2%=1497元</w:t>
      </w:r>
    </w:p>
    <w:p w14:paraId="7EF4031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转入基金确认份额=（124,750-1497）/1.00=123,253.00份</w:t>
      </w:r>
    </w:p>
    <w:p w14:paraId="7228A98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1CFBB3C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转出确认金额=100,000×0.8500=85,000元</w:t>
      </w:r>
    </w:p>
    <w:p w14:paraId="7F2C7AC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转出基金的赎回费=85,000×0=0元</w:t>
      </w:r>
    </w:p>
    <w:p w14:paraId="686F524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转入确认金额=85,000-0=85,000元</w:t>
      </w:r>
    </w:p>
    <w:p w14:paraId="11B43EF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转出与转入基金的申购补差费=85,000×0.2%=170元</w:t>
      </w:r>
    </w:p>
    <w:p w14:paraId="4ADF728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转入基金确认份额=（85,000-170）/1.0500=80,790.48份</w:t>
      </w:r>
    </w:p>
    <w:p w14:paraId="793969C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14:paraId="2A9ADA3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14:paraId="11B3612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29A2ECD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14:paraId="6A64952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转出与转入基金的申购补差费=100,000×0=0元</w:t>
      </w:r>
    </w:p>
    <w:p w14:paraId="2FBAB09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转入基金确认份额=（100,000-0+61.52）/1.2700=78,788.60份</w:t>
      </w:r>
    </w:p>
    <w:p w14:paraId="281660C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（七）业务规则</w:t>
      </w:r>
    </w:p>
    <w:p w14:paraId="7D8AD7A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1、基金转换只能在同一销售机构进行。转换的两只基金必须都是该销售机构销售的同一基金管理人管理的、在同一注册登记机构处注册登记的基金。投资人办</w:t>
      </w:r>
      <w:r>
        <w:rPr>
          <w:rFonts w:ascii="宋体" w:hAnsi="宋体"/>
          <w:sz w:val="24"/>
        </w:rPr>
        <w:lastRenderedPageBreak/>
        <w:t>理基金转换业务时，转出方的基金必须处于可赎回状态，转入方的基金必须处于可申购状态。</w:t>
      </w:r>
    </w:p>
    <w:p w14:paraId="527F1D9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只能在相同收费模式下进行基金转换。前端收费模式的开放式基金只能转换到前端收费模式的其他基金，后端收费模式的基金只能转换到后端收费模式的其他基金。交银货币、债券基金C类基金份额与其他基金之间的转换不受上述收费模式的限制。</w:t>
      </w:r>
    </w:p>
    <w:p w14:paraId="719E3B0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3、基金转换采取未知价法，即基金的转换价格以申请受理当日各转出、转入基金的基金份额净值为基础进行计算。（货币市场基金的基金份额净值为固定价1.00元）。</w:t>
      </w:r>
    </w:p>
    <w:p w14:paraId="5E4BAFA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4、投资人申请转出其账户内货币市场基金的基金份额时，注册登记机构将自动结转该转出份额对应的待支付收益，该收益将一并计入转出金额并折算为转入基金的基金份额，但收益部分不收取转换费用。</w:t>
      </w:r>
    </w:p>
    <w:p w14:paraId="189F267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5、转换后，转入基金份额的持有时间将重新计算，即转入基金份额的持有期将自转入基金份额被确认日起重新开始计算。</w:t>
      </w:r>
    </w:p>
    <w:p w14:paraId="2C925F1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（八）暂停基金转换</w:t>
      </w:r>
    </w:p>
    <w:p w14:paraId="0655FAD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视同为转出基金的赎回和转入基金的申购，因此有关转出基金和转入基金关于暂停或拒绝申购、暂停赎回的有关规定也一般适用于暂停基金转换。具体暂停或恢复基金转换的相关业务请详见届时本基金管理人发布的相关公告。</w:t>
      </w:r>
    </w:p>
    <w:p w14:paraId="2B85315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单个开放日，基金净赎回申请份额（该基金赎回申请总份额加上基金转换中转出申请总份额扣除申购申请总份额及基金转换中转入申请总份额后的余额）超过上一日基金总份额的10%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14:paraId="2FC2E6FE" w14:textId="77777777" w:rsidR="00C61788" w:rsidRDefault="00BC098F" w:rsidP="00C6178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32478EF" w14:textId="77777777" w:rsidR="00234D74" w:rsidRDefault="00BC098F">
      <w:pPr>
        <w:pStyle w:val="1"/>
        <w:snapToGrid w:val="0"/>
        <w:spacing w:beforeLines="0" w:before="240" w:after="240"/>
        <w:rPr>
          <w:rFonts w:ascii="宋体" w:hAnsi="宋体"/>
          <w:szCs w:val="30"/>
        </w:rPr>
      </w:pPr>
      <w:bookmarkStart w:id="14" w:name="_Toc135728686"/>
      <w:r>
        <w:rPr>
          <w:rFonts w:ascii="Times New Roman" w:hAnsi="Times New Roman"/>
          <w:sz w:val="30"/>
        </w:rPr>
        <w:lastRenderedPageBreak/>
        <w:t>十、基金的投资</w:t>
      </w:r>
      <w:bookmarkEnd w:id="14"/>
    </w:p>
    <w:p w14:paraId="094060CA" w14:textId="77777777" w:rsidR="00234D74" w:rsidRDefault="00BC098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（一）投资目标</w:t>
      </w:r>
    </w:p>
    <w:p w14:paraId="05CDD17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在严格控制风险的前提下,力求获得高于业绩基准的投资收益。</w:t>
      </w:r>
    </w:p>
    <w:p w14:paraId="43E8AE66" w14:textId="77777777" w:rsidR="00234D74" w:rsidRDefault="00BC098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（二）投资范围</w:t>
      </w:r>
    </w:p>
    <w:p w14:paraId="50774A6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交易的国债、金融债、央行票据、地方政府债、企业债、公司债、可分离交易可转债的纯债部分、公开发行的次级债、资产支持证券、短期融资券、超级短期融资券、中小企业私募债、中期票据、债券回购、银行存款、同业存单、货币市场工具等资产和法律法规允许投资的其他金融工具。本基金不投资于股票、权证等资产，也不投资于可转换债券（可分离交易可转债的纯债部分除外）、可交换债券。如法律法规或监管机构以后允许基金投资其他品种，基金管理人在履行适当程序后，可以将其纳入投资范围。</w:t>
      </w:r>
    </w:p>
    <w:p w14:paraId="0B6F53D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基金的投资组合比例为投资于债券资产的比例不低于基金资产的80%，但在封闭期结束前三个月和转开放后三个月内，基金投资不受上述债券资产投资比例限制。</w:t>
      </w:r>
    </w:p>
    <w:p w14:paraId="48EF94C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本基金转为开放式运作后，现金或到期日在一年以内的政府债券的比例合计不低于基金资产净值的5%，其中现金不包括结算备付金、存出保证金、应收申购款等。</w:t>
      </w:r>
    </w:p>
    <w:p w14:paraId="2A2B68F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14:paraId="5E65A670" w14:textId="77777777" w:rsidR="00234D74" w:rsidRDefault="00BC098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（三）投资策略</w:t>
      </w:r>
    </w:p>
    <w:p w14:paraId="7CAEFC1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1、封闭期内的投资策略</w:t>
      </w:r>
    </w:p>
    <w:p w14:paraId="6008E8C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本基金采用的主要策略包括：</w:t>
      </w:r>
    </w:p>
    <w:p w14:paraId="50D7C50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（1）债券的类属配置策略</w:t>
      </w:r>
    </w:p>
    <w:p w14:paraId="00AEA57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470E8CB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（2）买入持有策略</w:t>
      </w:r>
    </w:p>
    <w:p w14:paraId="143A059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在精选个券基础上，本基金主要通过买入与封闭期适度匹配的债券，并持有到期，或者是持有回售期与封闭期适度匹配的债券，获得本金和票息收入。</w:t>
      </w:r>
    </w:p>
    <w:p w14:paraId="10F4D8A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（3）杠杆套息策略</w:t>
      </w:r>
    </w:p>
    <w:p w14:paraId="1C2963D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控制组合整体风险的基础上，综合考虑债券持有期内的票息收入和融资成本之间的息差，通过实施正回购融入资金并投资于中高等级信用债券等可投资标的，实现杠杆放大获取债券持有期内债券票息和融资成本之间的息差收益。</w:t>
      </w:r>
    </w:p>
    <w:p w14:paraId="7AE8777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（4）信用债券投资策略</w:t>
      </w:r>
    </w:p>
    <w:p w14:paraId="433BDED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严控信用风险，通过宏观经济运行、发行主体的发展前景和偿债能力、国家信用支撑等多重因素的综合考量对信用债券进行信用评级，并在信用评级的基础上，建立信用债券池；然后基于既定的投资期限、信用利差精选个券进行投资。具体而言，本基金信用债券的投资遵循以下流程：</w:t>
      </w:r>
    </w:p>
    <w:p w14:paraId="6AE059A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①信用债券研究</w:t>
      </w:r>
    </w:p>
    <w:p w14:paraId="3BDD734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399C496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②信用债券筛选</w:t>
      </w:r>
    </w:p>
    <w:p w14:paraId="3BB9C43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本基金从信用债券池中精选债券构建信用债券投资组合，债券筛选主要考虑以下因素：</w:t>
      </w:r>
    </w:p>
    <w:p w14:paraId="60AA831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a、信用债券信用评级的变化。</w:t>
      </w:r>
    </w:p>
    <w:p w14:paraId="08732FB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b、不同信用等级的信用债券，以及同一信用等级不同标的债券之间的信用利差变化。本基金密切关注供求关系、税收、利率、投资人结构与行为以及市场的深度、广度和制度建设等因素对信用利差的影响。</w:t>
      </w:r>
    </w:p>
    <w:p w14:paraId="45FB5C9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（5）中小企业私募债券投资策略</w:t>
      </w:r>
    </w:p>
    <w:p w14:paraId="571B30F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本基金投资中小企业私募债将重点关注其信用风险和流动性风险，综合考虑信</w:t>
      </w:r>
      <w:r>
        <w:rPr>
          <w:rFonts w:ascii="宋体" w:hAnsi="宋体"/>
          <w:sz w:val="24"/>
        </w:rPr>
        <w:lastRenderedPageBreak/>
        <w:t>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14:paraId="493365F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（6）资产支持证券投资策略</w:t>
      </w:r>
    </w:p>
    <w:p w14:paraId="53DB07C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14C6115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2、转为开放式运作后的投资策略</w:t>
      </w:r>
    </w:p>
    <w:p w14:paraId="0D95263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w:t>
      </w:r>
    </w:p>
    <w:p w14:paraId="2DE777A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（1）久期调整策略</w:t>
      </w:r>
    </w:p>
    <w:p w14:paraId="23E6F91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根据中长期宏观经济走势和经济周期波动趋势，判断债券市场未来的走势，并形成对未来市场利率变动方向的预期，动态调整组合久期。当预期收益率曲线下移时，适当提高组合久期，以分享债券市场上涨的收益；当预期收益率曲线上移时，适当降低组合久期，以规避债券市场下跌风险。</w:t>
      </w:r>
    </w:p>
    <w:p w14:paraId="6EEDFD7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（2）债券的类属配置策略</w:t>
      </w:r>
    </w:p>
    <w:p w14:paraId="3B223EA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本基金定性和定量地分析不同类属债券类资产的信用风险、流动性风险、市场风险等因素及其经风险调整后的收益率水平或盈利能力，通过比较并合理预期不同</w:t>
      </w:r>
      <w:r>
        <w:rPr>
          <w:rFonts w:ascii="宋体" w:hAnsi="宋体"/>
          <w:sz w:val="24"/>
        </w:rPr>
        <w:lastRenderedPageBreak/>
        <w:t>类属债券类资产的风险与收益率变化，确定不同类属债券类资产间的配置。</w:t>
      </w:r>
    </w:p>
    <w:p w14:paraId="2BC9BCD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（3）期限结构配置策略</w:t>
      </w:r>
    </w:p>
    <w:p w14:paraId="755F7FB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6BB28A7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（4）杠杆放大策略</w:t>
      </w:r>
    </w:p>
    <w:p w14:paraId="3B77812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当回购利率低于债券收益率时，本基金将实施正回购融入资金并投资于信用债券等可投资标的，从而获取收益率超出回购资金成本（即回购利率）的套利价值。</w:t>
      </w:r>
    </w:p>
    <w:p w14:paraId="72A2815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（5）信用债券投资策略</w:t>
      </w:r>
    </w:p>
    <w:p w14:paraId="5F49E8E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通过宏观经济运行、发行主体的发展前景和偿债能力、国家信用支撑等多重因素的综合考量对信用债券进行信用评级，并在信用评级的基础上，建立信用债券池；然后基于既定的目标久期、信用利差精选个券进行投资。具体而言，本基金信用债券的投资遵循以下流程：</w:t>
      </w:r>
    </w:p>
    <w:p w14:paraId="317A075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①信用债券研究</w:t>
      </w:r>
    </w:p>
    <w:p w14:paraId="317891B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797BC02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②信用债券筛选</w:t>
      </w:r>
    </w:p>
    <w:p w14:paraId="1B8840E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本基金从信用债券池中精选债券构建信用债券投资组合，债券筛选主要考虑以下因素：</w:t>
      </w:r>
    </w:p>
    <w:p w14:paraId="552E035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a、信用债券信用评级的变化。</w:t>
      </w:r>
    </w:p>
    <w:p w14:paraId="6142969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b、不同信用等级的信用债券，以及同一信用等级不同标的债券之间的信用利差变化。本基金密切关注供求关系、税收、利率、投资人结构与行为以及市场的深度、广度和制度建设等因素对信用利差的影响，对个券进行有效的信用利差交易。</w:t>
      </w:r>
    </w:p>
    <w:p w14:paraId="5297057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（6）资产支持证券投资策略</w:t>
      </w:r>
    </w:p>
    <w:p w14:paraId="06B9FA2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本基金将通过宏观经济、提前偿还率、资产池结构及资产池资产所在行业景气变化等因素的研究，预测资产池未来现金流变化；研究标的证券发行条款，预测提</w:t>
      </w:r>
      <w:r>
        <w:rPr>
          <w:rFonts w:ascii="宋体" w:hAnsi="宋体"/>
          <w:sz w:val="24"/>
        </w:rPr>
        <w:lastRenderedPageBreak/>
        <w:t>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27BD918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（7）中小企业私募债券投资策略</w:t>
      </w:r>
    </w:p>
    <w:p w14:paraId="2E8534E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14:paraId="474B2642" w14:textId="77777777" w:rsidR="00234D74" w:rsidRDefault="00BC098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（四）业绩比较基准</w:t>
      </w:r>
    </w:p>
    <w:p w14:paraId="29078F7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中债综合全价指数收益率</w:t>
      </w:r>
    </w:p>
    <w:p w14:paraId="22187C4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2063E59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336C989E" w14:textId="77777777" w:rsidR="00234D74" w:rsidRDefault="00BC098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（五）投资限制</w:t>
      </w:r>
    </w:p>
    <w:p w14:paraId="6827C46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1、组合限制</w:t>
      </w:r>
    </w:p>
    <w:p w14:paraId="58A6AFE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基金的投资组合应遵循以下限制：</w:t>
      </w:r>
    </w:p>
    <w:p w14:paraId="0DB7473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（1）本基金投资于债券资产的比例不低于基金资产的80%，但在封闭期结束前三个月和转开放后三个月内基金投资不受上述债券资产投资比例限制；</w:t>
      </w:r>
    </w:p>
    <w:p w14:paraId="4B343DC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（2）本基金转为开放式运作后，保持不低于基金资产净值5%的现金或者到期日在一年以内的政府债券，其中现金不包括结算备付金、存出保证金、应收申购款等；</w:t>
      </w:r>
    </w:p>
    <w:p w14:paraId="2E3306F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（3）本基金持有一家公司发行的证券，其市值不得超过基金资产净值的10%；</w:t>
      </w:r>
    </w:p>
    <w:p w14:paraId="769ED50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（4）本基金管理人管理的全部基金持有一家公司发行的证券，不超过该证券的10%；</w:t>
      </w:r>
    </w:p>
    <w:p w14:paraId="465F0FD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（5）本基金在封闭期内，基金总资产不超过基金净资产的200%；本基金转为开放式运作后，基金总资产不超过基金净资产的140%；</w:t>
      </w:r>
    </w:p>
    <w:p w14:paraId="47F04C4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（6）本基金转为开放式运作后，主动投资于流动性受限资产的市值合计不得超过基金资产净值的 15%；因证券市场波动、基金规模变动等基金管理人之外的因素致使基金不符合该比例限制的，基金管理人不得主动新增流动性受限资产的投资；</w:t>
      </w:r>
    </w:p>
    <w:p w14:paraId="68AA319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（7）本基金与私募类证券资管产品及中国证监会认定的其他主体为交易对手开展逆回购交易的，可接受质押品的资质要求应当与基金合同约定的投资范围保持一致；</w:t>
      </w:r>
    </w:p>
    <w:p w14:paraId="643CDE0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（8）本基金投资于同一原始权益人的各类资产支持证券的比例，不得超过基金资产净值的10%；</w:t>
      </w:r>
    </w:p>
    <w:p w14:paraId="0E1F3FB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（9）本基金持有的全部资产支持证券，其市值不得超过基金资产净值的20%；</w:t>
      </w:r>
    </w:p>
    <w:p w14:paraId="5FDB07C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（10）本基金持有的同一(指同一信用级别)资产支持证券的比例，不得超过该资产支持证券规模的10%；</w:t>
      </w:r>
    </w:p>
    <w:p w14:paraId="70C6F42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（11）本基金管理人管理的全部基金投资于同一原始权益人的各类资产支持证券，不得超过其各类资产支持证券合计规模的10%；</w:t>
      </w:r>
    </w:p>
    <w:p w14:paraId="1B923EB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（12）本基金应投资于信用级别评级为BBB以上(含BBB)的资产支持证券。基金持有资产支持证券期间，如果其信用等级下降、不再符合投资标准，应在评级报告发布之日起3个月内予以全部卖出；</w:t>
      </w:r>
    </w:p>
    <w:p w14:paraId="547D8AC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（13）本基金进入全国银行间同业市场进行债券回购的资金余额不得超过基金资产净值的40%；本基金在全国银行间同业市场中的债券回购最长期限为1年，债券回购到期后不得展期；</w:t>
      </w:r>
    </w:p>
    <w:p w14:paraId="6F422EB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（14）本基金持有单只中小企业私募债券，其市值不得超过基金资产净值的10%；</w:t>
      </w:r>
    </w:p>
    <w:p w14:paraId="5906F95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（15）法律法规及中国证监会规定的和《基金合同》约定的其他投资限制。</w:t>
      </w:r>
    </w:p>
    <w:p w14:paraId="7B97ACB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2）、（6）、（7）、（12）项外，因证券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04C9878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基金合同另有约定的除外。在上述期间内，本基金的投资范围、投资策略应当符合基金合同的约定。基金托管人对基金的投资的监督与检查自基金合同生效之日起开始。</w:t>
      </w:r>
    </w:p>
    <w:p w14:paraId="42601B2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法律法规对上述投资组合比例限制进行变更的，以变更后的规定为准。法律法规或监管部门取消上述限制，如适用于本基金，基金管理人在履行适当程序后，则本基金投资不再受相关限制。</w:t>
      </w:r>
    </w:p>
    <w:p w14:paraId="7BFDB4D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2、禁止行为</w:t>
      </w:r>
    </w:p>
    <w:p w14:paraId="4F0EFBD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为维护基金份额持有人的合法权益，基金财产不得用于下列投资或者活动：</w:t>
      </w:r>
    </w:p>
    <w:p w14:paraId="0CDF297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14:paraId="684677F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（2）违反规定向他人贷款或者提供担保；</w:t>
      </w:r>
    </w:p>
    <w:p w14:paraId="727558B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14:paraId="1AD8FC0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（4）买卖其他基金份额，但是中国证监会另有规定的除外；</w:t>
      </w:r>
    </w:p>
    <w:p w14:paraId="1148B41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14:paraId="2D30B3C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（6）从事内幕交易、操纵证券交易价格及其他不正当的证券交易活动；</w:t>
      </w:r>
    </w:p>
    <w:p w14:paraId="406D138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（7）法律、行政法规和中国证监会规定禁止的其他活动。</w:t>
      </w:r>
    </w:p>
    <w:p w14:paraId="3393447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如法律、行政法规或监管部门取消上述禁止性规定，如适用于本基金，基金管理人在履行适当程序后，本基金可不受上述规定的限制。</w:t>
      </w:r>
    </w:p>
    <w:p w14:paraId="33B7417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856FB60" w14:textId="77777777" w:rsidR="00234D74" w:rsidRDefault="00BC098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（六）风险收益特征</w:t>
      </w:r>
    </w:p>
    <w:p w14:paraId="5BF64B7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本基金是一只债券型基金，其预期风险与预期收益高于货币市场基金，低于混合型基金和股票型基金。</w:t>
      </w:r>
    </w:p>
    <w:p w14:paraId="12BB14C4" w14:textId="77777777" w:rsidR="00234D74" w:rsidRDefault="00BC098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（七）基金管理人代表基金行使债权人权利的处理原则及方法</w:t>
      </w:r>
    </w:p>
    <w:p w14:paraId="2E185D9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1、基金管理人按照国家有关规定代表基金独立行使债权人权利，保护基金份额持有人的利益；</w:t>
      </w:r>
    </w:p>
    <w:p w14:paraId="77CA96F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2、有利于基金财产的安全与增值；</w:t>
      </w:r>
    </w:p>
    <w:p w14:paraId="320F1F6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3、不通过关联交易为自身、雇员、授权代理人或任何存在利害关系的第三人牟取任何不当利益。</w:t>
      </w:r>
    </w:p>
    <w:p w14:paraId="0935AFBB" w14:textId="77777777" w:rsidR="00234D74" w:rsidRDefault="00BC098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（八）侧袋机制的实施和投资运作安排</w:t>
      </w:r>
    </w:p>
    <w:p w14:paraId="6BA35A9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74D6715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侧袋机制实施期间，本部分约定的投资组合比例、投资策略、组合限制、业绩比较基准、风险收益特征等约定仅适用于主袋账户。</w:t>
      </w:r>
    </w:p>
    <w:p w14:paraId="61C83DB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侧袋账户的实施条件、实施程序、运作安排、投资安排、特定资产的处置变现和支付等对投资者权益有重大影响的事项详见本招募说明书“侧袋机制”部分的规定。</w:t>
      </w:r>
    </w:p>
    <w:p w14:paraId="59F4D7EB" w14:textId="77777777" w:rsidR="00234D74" w:rsidRDefault="00BC098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（九）投资决策依据和投资流程</w:t>
      </w:r>
    </w:p>
    <w:p w14:paraId="210C39E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1、投资决策依据</w:t>
      </w:r>
    </w:p>
    <w:p w14:paraId="6D16ED9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（1）国家有关法律法规和基金合同的有关规定；</w:t>
      </w:r>
    </w:p>
    <w:p w14:paraId="23A6D34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（2）公司投资及风险控制政策；</w:t>
      </w:r>
    </w:p>
    <w:p w14:paraId="52039DC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（3）宏观经济发展态势、证券市场运行环境和走势，以及上市公司的基本面；</w:t>
      </w:r>
    </w:p>
    <w:p w14:paraId="6FC8154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（4）投资对象的预期收益和预期风险的匹配关系，本基金将在承担适度风险的范围内，选择收益风险配比最佳的品种进行投资。</w:t>
      </w:r>
    </w:p>
    <w:p w14:paraId="69E65EE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2、投资决策机制</w:t>
      </w:r>
    </w:p>
    <w:p w14:paraId="45D295D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3ACBF4A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基金经理的主要职责是在投资决策委员会确定的资产配置范围内构建和调整投资组合，并向中央交易室下达投资指令。</w:t>
      </w:r>
    </w:p>
    <w:p w14:paraId="3D74D14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中央交易室负责交易执行和一线监控。通过严格的交易制度和实时的一线监控功能，保证基金经理的投资指令在合法、合规的前提下得到高效的执行。</w:t>
      </w:r>
    </w:p>
    <w:p w14:paraId="458D763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3、投资管理流程</w:t>
      </w:r>
    </w:p>
    <w:p w14:paraId="5EFE267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14:paraId="5716FD1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（1）研究部宏观分析师、策略分析师、行业分析师、信用分析师、数量分析师各自独立完成相应的研究报告，为投资决策提供依据；</w:t>
      </w:r>
    </w:p>
    <w:p w14:paraId="27F9703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（2）投资决策委员会每月召开投资决策会议，对资产配置比例提出指导性意见，并讨论股票、债券的投资重点等；</w:t>
      </w:r>
    </w:p>
    <w:p w14:paraId="2751F12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14:paraId="0D9D277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（4）基金经理根据基金投资组合方案，向中央交易室下达交易指令；</w:t>
      </w:r>
    </w:p>
    <w:p w14:paraId="61006A0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（5）交易指令通过风控系统的自动合规核查后，由中央交易室执行，中央交易室对交易情况及时反馈；</w:t>
      </w:r>
    </w:p>
    <w:p w14:paraId="67EF9DC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（6）基金经理对每日交易执行情况进行回顾，并审视基金投资组合的变动情况；</w:t>
      </w:r>
    </w:p>
    <w:p w14:paraId="6E84A6F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（7）风险管理部定期完成有关投资风险监控报告，量化投资部定期完成基金业绩评估报告。</w:t>
      </w:r>
    </w:p>
    <w:p w14:paraId="7206637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投资决策委员会有权根据市场变化和实际情况的需要，对上述投资管理程序作出调整。</w:t>
      </w:r>
    </w:p>
    <w:p w14:paraId="7A22B14E" w14:textId="77777777" w:rsidR="00234D74" w:rsidRDefault="00BC098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（十）基金投资组合报告</w:t>
      </w:r>
    </w:p>
    <w:p w14:paraId="1FF8FEE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基金管理人的董事会及董事保证本报告所载资料不存在虚假记载、误导性陈述或重大遗漏，并对其内容的真实性、准确性和完整性承担个别及连带责任。</w:t>
      </w:r>
    </w:p>
    <w:p w14:paraId="2E57268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基金托管人招商银行股份有限公司根据本基金合同规定，于2023年04月20日复</w:t>
      </w:r>
      <w:r>
        <w:rPr>
          <w:rFonts w:ascii="宋体" w:hAnsi="宋体"/>
          <w:sz w:val="24"/>
        </w:rPr>
        <w:lastRenderedPageBreak/>
        <w:t>核了本报告中的财务指标、净值表现和投资组合报告等内容，保证复核内容不存在虚假记载、误导性陈述或者重大遗漏。</w:t>
      </w:r>
    </w:p>
    <w:p w14:paraId="606ED22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本报告期为2023年01月01日至03月31日。本报告财务资料未经审计师审计。</w:t>
      </w:r>
    </w:p>
    <w:p w14:paraId="16800CD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1、报告期末基金资产组合情况</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234D74" w14:paraId="7C207D7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49794735"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4CAD9172"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39B1B069"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70C9787E"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234D74" w14:paraId="5E40C0F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57B5791"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67DB14D7"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14:paraId="5ABB5AAA"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0920E70"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234D74" w14:paraId="2B3C4A3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538B619"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1BAED784"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14:paraId="1D8EB54D"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6CE165B"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234D74" w14:paraId="6948C2B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2F72F4A"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1FDDFC88"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14:paraId="222DAE4C"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D8458A0"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234D74" w14:paraId="5B4A072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7640450"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43062C42"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14:paraId="5EDCA67C"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6,273,435,932.33</w:t>
            </w:r>
          </w:p>
        </w:tc>
        <w:tc>
          <w:tcPr>
            <w:tcW w:w="400" w:type="pct"/>
            <w:tcBorders>
              <w:top w:val="single" w:sz="4" w:space="0" w:color="auto"/>
              <w:left w:val="single" w:sz="4" w:space="0" w:color="auto"/>
              <w:bottom w:val="single" w:sz="4" w:space="0" w:color="auto"/>
              <w:right w:val="single" w:sz="4" w:space="0" w:color="auto"/>
            </w:tcBorders>
            <w:vAlign w:val="center"/>
          </w:tcPr>
          <w:p w14:paraId="51EBB9F7"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99.55</w:t>
            </w:r>
          </w:p>
        </w:tc>
      </w:tr>
      <w:tr w:rsidR="00234D74" w14:paraId="7B16A46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202505E"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6DD20C20"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14:paraId="2E2809A2"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6,273,435,932.33</w:t>
            </w:r>
          </w:p>
        </w:tc>
        <w:tc>
          <w:tcPr>
            <w:tcW w:w="400" w:type="pct"/>
            <w:tcBorders>
              <w:top w:val="single" w:sz="4" w:space="0" w:color="auto"/>
              <w:left w:val="single" w:sz="4" w:space="0" w:color="auto"/>
              <w:bottom w:val="single" w:sz="4" w:space="0" w:color="auto"/>
              <w:right w:val="single" w:sz="4" w:space="0" w:color="auto"/>
            </w:tcBorders>
            <w:vAlign w:val="center"/>
          </w:tcPr>
          <w:p w14:paraId="510655CE"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99.55</w:t>
            </w:r>
          </w:p>
        </w:tc>
      </w:tr>
      <w:tr w:rsidR="00234D74" w14:paraId="3F24F5F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EAD6107"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4C701525"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14:paraId="02E810D9"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BDB1798"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234D74" w14:paraId="276D6DC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7FDDE9A"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31517ECE"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14:paraId="1E7A7BE8"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BF0294E"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234D74" w14:paraId="594FF67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C18457A"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3A2E3449"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sz="4" w:space="0" w:color="auto"/>
              <w:left w:val="single" w:sz="4" w:space="0" w:color="auto"/>
              <w:bottom w:val="single" w:sz="4" w:space="0" w:color="auto"/>
              <w:right w:val="single" w:sz="4" w:space="0" w:color="auto"/>
            </w:tcBorders>
            <w:vAlign w:val="center"/>
          </w:tcPr>
          <w:p w14:paraId="19989BA1"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E97316E"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234D74" w14:paraId="1C3C6A1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BAE30B4"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148F5990"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5A6B99A4"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CF2087C"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234D74" w14:paraId="6F34D89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4BDF31A"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16241FFD"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02EBE3D6"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E9041B0"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234D74" w14:paraId="6107CB7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96575DD"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24677FDF"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14:paraId="31A146A9"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4,610,890.25</w:t>
            </w:r>
          </w:p>
        </w:tc>
        <w:tc>
          <w:tcPr>
            <w:tcW w:w="400" w:type="pct"/>
            <w:tcBorders>
              <w:top w:val="single" w:sz="4" w:space="0" w:color="auto"/>
              <w:left w:val="single" w:sz="4" w:space="0" w:color="auto"/>
              <w:bottom w:val="single" w:sz="4" w:space="0" w:color="auto"/>
              <w:right w:val="single" w:sz="4" w:space="0" w:color="auto"/>
            </w:tcBorders>
            <w:vAlign w:val="center"/>
          </w:tcPr>
          <w:p w14:paraId="13208129"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0.07</w:t>
            </w:r>
          </w:p>
        </w:tc>
      </w:tr>
      <w:tr w:rsidR="00234D74" w14:paraId="318C33B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315C909"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75CE1D35"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sz="4" w:space="0" w:color="auto"/>
              <w:left w:val="single" w:sz="4" w:space="0" w:color="auto"/>
              <w:bottom w:val="single" w:sz="4" w:space="0" w:color="auto"/>
              <w:right w:val="single" w:sz="4" w:space="0" w:color="auto"/>
            </w:tcBorders>
            <w:vAlign w:val="center"/>
          </w:tcPr>
          <w:p w14:paraId="7F436A45"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23,761,813.03</w:t>
            </w:r>
          </w:p>
        </w:tc>
        <w:tc>
          <w:tcPr>
            <w:tcW w:w="400" w:type="pct"/>
            <w:tcBorders>
              <w:top w:val="single" w:sz="4" w:space="0" w:color="auto"/>
              <w:left w:val="single" w:sz="4" w:space="0" w:color="auto"/>
              <w:bottom w:val="single" w:sz="4" w:space="0" w:color="auto"/>
              <w:right w:val="single" w:sz="4" w:space="0" w:color="auto"/>
            </w:tcBorders>
            <w:vAlign w:val="center"/>
          </w:tcPr>
          <w:p w14:paraId="5850DF1D"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0.38</w:t>
            </w:r>
          </w:p>
        </w:tc>
      </w:tr>
      <w:tr w:rsidR="00234D74" w14:paraId="21D7DEA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AA93864"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78E53BA7"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0D2E6205"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6,301,808,635.61</w:t>
            </w:r>
          </w:p>
        </w:tc>
        <w:tc>
          <w:tcPr>
            <w:tcW w:w="400" w:type="pct"/>
            <w:tcBorders>
              <w:top w:val="single" w:sz="4" w:space="0" w:color="auto"/>
              <w:left w:val="single" w:sz="4" w:space="0" w:color="auto"/>
              <w:bottom w:val="single" w:sz="4" w:space="0" w:color="auto"/>
              <w:right w:val="single" w:sz="4" w:space="0" w:color="auto"/>
            </w:tcBorders>
            <w:vAlign w:val="center"/>
          </w:tcPr>
          <w:p w14:paraId="4773001B"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14:paraId="71868F0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2、报告期末按行业分类的股票投资组合</w:t>
      </w:r>
    </w:p>
    <w:p w14:paraId="5228F26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 报告期末按行业分类的境内股票投资组合</w:t>
      </w:r>
    </w:p>
    <w:p w14:paraId="07E744F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4E4E57E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 报告期末按行业分类的港股通投资股票投资组合</w:t>
      </w:r>
    </w:p>
    <w:p w14:paraId="2E8F296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4533871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3、期末按公允价值占基金资产净值比例大小排序的股票投资明细</w:t>
      </w:r>
    </w:p>
    <w:p w14:paraId="64D26C2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 报告期末按公允价值占基金资产净值比例大小排序的前十名股票投资明细</w:t>
      </w:r>
    </w:p>
    <w:p w14:paraId="778CC69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6EACBE8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4、报告期末按债券品种分类的债券投资组合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234D74" w14:paraId="347284D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7415B86C"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0510BC9"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债券品种</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403DDDEF"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2077F158"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234D74" w14:paraId="4204DD1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85E73E9"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4A9182A4"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国家债券</w:t>
            </w:r>
          </w:p>
        </w:tc>
        <w:tc>
          <w:tcPr>
            <w:tcW w:w="750" w:type="pct"/>
            <w:tcBorders>
              <w:top w:val="single" w:sz="4" w:space="0" w:color="auto"/>
              <w:left w:val="single" w:sz="4" w:space="0" w:color="auto"/>
              <w:bottom w:val="single" w:sz="4" w:space="0" w:color="auto"/>
              <w:right w:val="single" w:sz="4" w:space="0" w:color="auto"/>
            </w:tcBorders>
            <w:vAlign w:val="center"/>
          </w:tcPr>
          <w:p w14:paraId="4B4DB4FB"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101,815,150.68</w:t>
            </w:r>
          </w:p>
        </w:tc>
        <w:tc>
          <w:tcPr>
            <w:tcW w:w="400" w:type="pct"/>
            <w:tcBorders>
              <w:top w:val="single" w:sz="4" w:space="0" w:color="auto"/>
              <w:left w:val="single" w:sz="4" w:space="0" w:color="auto"/>
              <w:bottom w:val="single" w:sz="4" w:space="0" w:color="auto"/>
              <w:right w:val="single" w:sz="4" w:space="0" w:color="auto"/>
            </w:tcBorders>
            <w:vAlign w:val="center"/>
          </w:tcPr>
          <w:p w14:paraId="7F24CE22"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1.90</w:t>
            </w:r>
          </w:p>
        </w:tc>
      </w:tr>
      <w:tr w:rsidR="00234D74" w14:paraId="75CFE00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FA2CD8A"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33B40F95"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央行票据</w:t>
            </w:r>
          </w:p>
        </w:tc>
        <w:tc>
          <w:tcPr>
            <w:tcW w:w="750" w:type="pct"/>
            <w:tcBorders>
              <w:top w:val="single" w:sz="4" w:space="0" w:color="auto"/>
              <w:left w:val="single" w:sz="4" w:space="0" w:color="auto"/>
              <w:bottom w:val="single" w:sz="4" w:space="0" w:color="auto"/>
              <w:right w:val="single" w:sz="4" w:space="0" w:color="auto"/>
            </w:tcBorders>
            <w:vAlign w:val="center"/>
          </w:tcPr>
          <w:p w14:paraId="1DC6A8EA"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94ACE0E"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234D74" w14:paraId="6603E3B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2D155F0"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73DAAE6D"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金融债券</w:t>
            </w:r>
          </w:p>
        </w:tc>
        <w:tc>
          <w:tcPr>
            <w:tcW w:w="750" w:type="pct"/>
            <w:tcBorders>
              <w:top w:val="single" w:sz="4" w:space="0" w:color="auto"/>
              <w:left w:val="single" w:sz="4" w:space="0" w:color="auto"/>
              <w:bottom w:val="single" w:sz="4" w:space="0" w:color="auto"/>
              <w:right w:val="single" w:sz="4" w:space="0" w:color="auto"/>
            </w:tcBorders>
            <w:vAlign w:val="center"/>
          </w:tcPr>
          <w:p w14:paraId="27628E6D"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302,086,438.36</w:t>
            </w:r>
          </w:p>
        </w:tc>
        <w:tc>
          <w:tcPr>
            <w:tcW w:w="400" w:type="pct"/>
            <w:tcBorders>
              <w:top w:val="single" w:sz="4" w:space="0" w:color="auto"/>
              <w:left w:val="single" w:sz="4" w:space="0" w:color="auto"/>
              <w:bottom w:val="single" w:sz="4" w:space="0" w:color="auto"/>
              <w:right w:val="single" w:sz="4" w:space="0" w:color="auto"/>
            </w:tcBorders>
            <w:vAlign w:val="center"/>
          </w:tcPr>
          <w:p w14:paraId="0AFEA4C6"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5.63</w:t>
            </w:r>
          </w:p>
        </w:tc>
      </w:tr>
      <w:tr w:rsidR="00234D74" w14:paraId="72FAECB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E44E97C"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74BDFE61"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其中：政策性金融债</w:t>
            </w:r>
          </w:p>
        </w:tc>
        <w:tc>
          <w:tcPr>
            <w:tcW w:w="750" w:type="pct"/>
            <w:tcBorders>
              <w:top w:val="single" w:sz="4" w:space="0" w:color="auto"/>
              <w:left w:val="single" w:sz="4" w:space="0" w:color="auto"/>
              <w:bottom w:val="single" w:sz="4" w:space="0" w:color="auto"/>
              <w:right w:val="single" w:sz="4" w:space="0" w:color="auto"/>
            </w:tcBorders>
            <w:vAlign w:val="center"/>
          </w:tcPr>
          <w:p w14:paraId="37D4C241"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201,916,438.36</w:t>
            </w:r>
          </w:p>
        </w:tc>
        <w:tc>
          <w:tcPr>
            <w:tcW w:w="400" w:type="pct"/>
            <w:tcBorders>
              <w:top w:val="single" w:sz="4" w:space="0" w:color="auto"/>
              <w:left w:val="single" w:sz="4" w:space="0" w:color="auto"/>
              <w:bottom w:val="single" w:sz="4" w:space="0" w:color="auto"/>
              <w:right w:val="single" w:sz="4" w:space="0" w:color="auto"/>
            </w:tcBorders>
            <w:vAlign w:val="center"/>
          </w:tcPr>
          <w:p w14:paraId="782D0A8E"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3.76</w:t>
            </w:r>
          </w:p>
        </w:tc>
      </w:tr>
      <w:tr w:rsidR="00234D74" w14:paraId="5CC4ED4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F57D72A"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07E62008"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企业债券</w:t>
            </w:r>
          </w:p>
        </w:tc>
        <w:tc>
          <w:tcPr>
            <w:tcW w:w="750" w:type="pct"/>
            <w:tcBorders>
              <w:top w:val="single" w:sz="4" w:space="0" w:color="auto"/>
              <w:left w:val="single" w:sz="4" w:space="0" w:color="auto"/>
              <w:bottom w:val="single" w:sz="4" w:space="0" w:color="auto"/>
              <w:right w:val="single" w:sz="4" w:space="0" w:color="auto"/>
            </w:tcBorders>
            <w:vAlign w:val="center"/>
          </w:tcPr>
          <w:p w14:paraId="2267881C"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1,115,468,985.17</w:t>
            </w:r>
          </w:p>
        </w:tc>
        <w:tc>
          <w:tcPr>
            <w:tcW w:w="400" w:type="pct"/>
            <w:tcBorders>
              <w:top w:val="single" w:sz="4" w:space="0" w:color="auto"/>
              <w:left w:val="single" w:sz="4" w:space="0" w:color="auto"/>
              <w:bottom w:val="single" w:sz="4" w:space="0" w:color="auto"/>
              <w:right w:val="single" w:sz="4" w:space="0" w:color="auto"/>
            </w:tcBorders>
            <w:vAlign w:val="center"/>
          </w:tcPr>
          <w:p w14:paraId="78DD4C4C"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20.80</w:t>
            </w:r>
          </w:p>
        </w:tc>
      </w:tr>
      <w:tr w:rsidR="00234D74" w14:paraId="404EFAA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9D0A02E"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239DCC32"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企业短期融资券</w:t>
            </w:r>
          </w:p>
        </w:tc>
        <w:tc>
          <w:tcPr>
            <w:tcW w:w="750" w:type="pct"/>
            <w:tcBorders>
              <w:top w:val="single" w:sz="4" w:space="0" w:color="auto"/>
              <w:left w:val="single" w:sz="4" w:space="0" w:color="auto"/>
              <w:bottom w:val="single" w:sz="4" w:space="0" w:color="auto"/>
              <w:right w:val="single" w:sz="4" w:space="0" w:color="auto"/>
            </w:tcBorders>
            <w:vAlign w:val="center"/>
          </w:tcPr>
          <w:p w14:paraId="77AF5894"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90,744,767.96</w:t>
            </w:r>
          </w:p>
        </w:tc>
        <w:tc>
          <w:tcPr>
            <w:tcW w:w="400" w:type="pct"/>
            <w:tcBorders>
              <w:top w:val="single" w:sz="4" w:space="0" w:color="auto"/>
              <w:left w:val="single" w:sz="4" w:space="0" w:color="auto"/>
              <w:bottom w:val="single" w:sz="4" w:space="0" w:color="auto"/>
              <w:right w:val="single" w:sz="4" w:space="0" w:color="auto"/>
            </w:tcBorders>
            <w:vAlign w:val="center"/>
          </w:tcPr>
          <w:p w14:paraId="1CE60B5F"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1.69</w:t>
            </w:r>
          </w:p>
        </w:tc>
      </w:tr>
      <w:tr w:rsidR="00234D74" w14:paraId="2937C6A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0F39D69"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0CEA8177"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中期票据</w:t>
            </w:r>
          </w:p>
        </w:tc>
        <w:tc>
          <w:tcPr>
            <w:tcW w:w="750" w:type="pct"/>
            <w:tcBorders>
              <w:top w:val="single" w:sz="4" w:space="0" w:color="auto"/>
              <w:left w:val="single" w:sz="4" w:space="0" w:color="auto"/>
              <w:bottom w:val="single" w:sz="4" w:space="0" w:color="auto"/>
              <w:right w:val="single" w:sz="4" w:space="0" w:color="auto"/>
            </w:tcBorders>
            <w:vAlign w:val="center"/>
          </w:tcPr>
          <w:p w14:paraId="1B756E2D"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4,663,320,590.16</w:t>
            </w:r>
          </w:p>
        </w:tc>
        <w:tc>
          <w:tcPr>
            <w:tcW w:w="400" w:type="pct"/>
            <w:tcBorders>
              <w:top w:val="single" w:sz="4" w:space="0" w:color="auto"/>
              <w:left w:val="single" w:sz="4" w:space="0" w:color="auto"/>
              <w:bottom w:val="single" w:sz="4" w:space="0" w:color="auto"/>
              <w:right w:val="single" w:sz="4" w:space="0" w:color="auto"/>
            </w:tcBorders>
            <w:vAlign w:val="center"/>
          </w:tcPr>
          <w:p w14:paraId="031073D1"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86.94</w:t>
            </w:r>
          </w:p>
        </w:tc>
      </w:tr>
      <w:tr w:rsidR="00234D74" w14:paraId="42E3E2D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BCC070D"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3D37522B"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可转债（可交换债）</w:t>
            </w:r>
          </w:p>
        </w:tc>
        <w:tc>
          <w:tcPr>
            <w:tcW w:w="750" w:type="pct"/>
            <w:tcBorders>
              <w:top w:val="single" w:sz="4" w:space="0" w:color="auto"/>
              <w:left w:val="single" w:sz="4" w:space="0" w:color="auto"/>
              <w:bottom w:val="single" w:sz="4" w:space="0" w:color="auto"/>
              <w:right w:val="single" w:sz="4" w:space="0" w:color="auto"/>
            </w:tcBorders>
            <w:vAlign w:val="center"/>
          </w:tcPr>
          <w:p w14:paraId="0E580A4D"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28FD4CF"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234D74" w14:paraId="26A9B48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B8128B1"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6502F40D"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同业存单</w:t>
            </w:r>
          </w:p>
        </w:tc>
        <w:tc>
          <w:tcPr>
            <w:tcW w:w="750" w:type="pct"/>
            <w:tcBorders>
              <w:top w:val="single" w:sz="4" w:space="0" w:color="auto"/>
              <w:left w:val="single" w:sz="4" w:space="0" w:color="auto"/>
              <w:bottom w:val="single" w:sz="4" w:space="0" w:color="auto"/>
              <w:right w:val="single" w:sz="4" w:space="0" w:color="auto"/>
            </w:tcBorders>
            <w:vAlign w:val="center"/>
          </w:tcPr>
          <w:p w14:paraId="3D598A30"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F1729C2"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234D74" w14:paraId="1AF3DCE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78013C2"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6782DC74"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750" w:type="pct"/>
            <w:tcBorders>
              <w:top w:val="single" w:sz="4" w:space="0" w:color="auto"/>
              <w:left w:val="single" w:sz="4" w:space="0" w:color="auto"/>
              <w:bottom w:val="single" w:sz="4" w:space="0" w:color="auto"/>
              <w:right w:val="single" w:sz="4" w:space="0" w:color="auto"/>
            </w:tcBorders>
            <w:vAlign w:val="center"/>
          </w:tcPr>
          <w:p w14:paraId="22504C52"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D8CBB21"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234D74" w14:paraId="5951146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86F0DFF"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7778B551"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6CD0E1C7"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6,273,435,932.33</w:t>
            </w:r>
          </w:p>
        </w:tc>
        <w:tc>
          <w:tcPr>
            <w:tcW w:w="400" w:type="pct"/>
            <w:tcBorders>
              <w:top w:val="single" w:sz="4" w:space="0" w:color="auto"/>
              <w:left w:val="single" w:sz="4" w:space="0" w:color="auto"/>
              <w:bottom w:val="single" w:sz="4" w:space="0" w:color="auto"/>
              <w:right w:val="single" w:sz="4" w:space="0" w:color="auto"/>
            </w:tcBorders>
            <w:vAlign w:val="center"/>
          </w:tcPr>
          <w:p w14:paraId="24728B27"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116.96</w:t>
            </w:r>
          </w:p>
        </w:tc>
      </w:tr>
    </w:tbl>
    <w:p w14:paraId="1687DCC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5、报告期末按公允价值占基金资产净值比例大小排序的前五名债券投资明细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234D74" w14:paraId="15CBEE8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752E7F35"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3D3132F"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393C087"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64DB556"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数量（张）</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E328A39"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3ED686E"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234D74" w14:paraId="58BDA7B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B8A44C0"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127C4AD3"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019638</w:t>
            </w:r>
          </w:p>
        </w:tc>
        <w:tc>
          <w:tcPr>
            <w:tcW w:w="750" w:type="pct"/>
            <w:tcBorders>
              <w:top w:val="single" w:sz="4" w:space="0" w:color="auto"/>
              <w:left w:val="single" w:sz="4" w:space="0" w:color="auto"/>
              <w:bottom w:val="single" w:sz="4" w:space="0" w:color="auto"/>
              <w:right w:val="single" w:sz="4" w:space="0" w:color="auto"/>
            </w:tcBorders>
            <w:vAlign w:val="center"/>
          </w:tcPr>
          <w:p w14:paraId="454F48A9"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w:t>
            </w:r>
            <w:r>
              <w:rPr>
                <w:rFonts w:ascii="Times New Roman" w:hAnsi="Times New Roman"/>
                <w:color w:val="000000"/>
                <w:kern w:val="0"/>
                <w:sz w:val="25"/>
                <w:szCs w:val="24"/>
              </w:rPr>
              <w:t>国债</w:t>
            </w:r>
            <w:r>
              <w:rPr>
                <w:rFonts w:ascii="Times New Roman" w:hAnsi="Times New Roman"/>
                <w:color w:val="000000"/>
                <w:kern w:val="0"/>
                <w:sz w:val="25"/>
                <w:szCs w:val="24"/>
              </w:rPr>
              <w:t>09</w:t>
            </w:r>
          </w:p>
        </w:tc>
        <w:tc>
          <w:tcPr>
            <w:tcW w:w="750" w:type="pct"/>
            <w:tcBorders>
              <w:top w:val="single" w:sz="4" w:space="0" w:color="auto"/>
              <w:left w:val="single" w:sz="4" w:space="0" w:color="auto"/>
              <w:bottom w:val="single" w:sz="4" w:space="0" w:color="auto"/>
              <w:right w:val="single" w:sz="4" w:space="0" w:color="auto"/>
            </w:tcBorders>
            <w:vAlign w:val="center"/>
          </w:tcPr>
          <w:p w14:paraId="0DA3443A"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1,000,000</w:t>
            </w:r>
          </w:p>
        </w:tc>
        <w:tc>
          <w:tcPr>
            <w:tcW w:w="750" w:type="pct"/>
            <w:tcBorders>
              <w:top w:val="single" w:sz="4" w:space="0" w:color="auto"/>
              <w:left w:val="single" w:sz="4" w:space="0" w:color="auto"/>
              <w:bottom w:val="single" w:sz="4" w:space="0" w:color="auto"/>
              <w:right w:val="single" w:sz="4" w:space="0" w:color="auto"/>
            </w:tcBorders>
            <w:vAlign w:val="center"/>
          </w:tcPr>
          <w:p w14:paraId="4B7D2DD3"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101,815,150.68</w:t>
            </w:r>
          </w:p>
        </w:tc>
        <w:tc>
          <w:tcPr>
            <w:tcW w:w="750" w:type="pct"/>
            <w:tcBorders>
              <w:top w:val="single" w:sz="4" w:space="0" w:color="auto"/>
              <w:left w:val="single" w:sz="4" w:space="0" w:color="auto"/>
              <w:bottom w:val="single" w:sz="4" w:space="0" w:color="auto"/>
              <w:right w:val="single" w:sz="4" w:space="0" w:color="auto"/>
            </w:tcBorders>
            <w:vAlign w:val="center"/>
          </w:tcPr>
          <w:p w14:paraId="1C53DFCE"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1.90</w:t>
            </w:r>
          </w:p>
        </w:tc>
      </w:tr>
      <w:tr w:rsidR="00234D74" w14:paraId="42421F6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ED90FEB"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684499CA"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190203</w:t>
            </w:r>
          </w:p>
        </w:tc>
        <w:tc>
          <w:tcPr>
            <w:tcW w:w="750" w:type="pct"/>
            <w:tcBorders>
              <w:top w:val="single" w:sz="4" w:space="0" w:color="auto"/>
              <w:left w:val="single" w:sz="4" w:space="0" w:color="auto"/>
              <w:bottom w:val="single" w:sz="4" w:space="0" w:color="auto"/>
              <w:right w:val="single" w:sz="4" w:space="0" w:color="auto"/>
            </w:tcBorders>
            <w:vAlign w:val="center"/>
          </w:tcPr>
          <w:p w14:paraId="2ACCB81F"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19</w:t>
            </w:r>
            <w:r>
              <w:rPr>
                <w:rFonts w:ascii="Times New Roman" w:hAnsi="Times New Roman"/>
                <w:color w:val="000000"/>
                <w:kern w:val="0"/>
                <w:sz w:val="25"/>
                <w:szCs w:val="24"/>
              </w:rPr>
              <w:t>国开</w:t>
            </w:r>
            <w:r>
              <w:rPr>
                <w:rFonts w:ascii="Times New Roman" w:hAnsi="Times New Roman"/>
                <w:color w:val="000000"/>
                <w:kern w:val="0"/>
                <w:sz w:val="25"/>
                <w:szCs w:val="24"/>
              </w:rPr>
              <w:t>03</w:t>
            </w:r>
          </w:p>
        </w:tc>
        <w:tc>
          <w:tcPr>
            <w:tcW w:w="750" w:type="pct"/>
            <w:tcBorders>
              <w:top w:val="single" w:sz="4" w:space="0" w:color="auto"/>
              <w:left w:val="single" w:sz="4" w:space="0" w:color="auto"/>
              <w:bottom w:val="single" w:sz="4" w:space="0" w:color="auto"/>
              <w:right w:val="single" w:sz="4" w:space="0" w:color="auto"/>
            </w:tcBorders>
            <w:vAlign w:val="center"/>
          </w:tcPr>
          <w:p w14:paraId="0AC039A8"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1,000,000</w:t>
            </w:r>
          </w:p>
        </w:tc>
        <w:tc>
          <w:tcPr>
            <w:tcW w:w="750" w:type="pct"/>
            <w:tcBorders>
              <w:top w:val="single" w:sz="4" w:space="0" w:color="auto"/>
              <w:left w:val="single" w:sz="4" w:space="0" w:color="auto"/>
              <w:bottom w:val="single" w:sz="4" w:space="0" w:color="auto"/>
              <w:right w:val="single" w:sz="4" w:space="0" w:color="auto"/>
            </w:tcBorders>
            <w:vAlign w:val="center"/>
          </w:tcPr>
          <w:p w14:paraId="0B70A4F2"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101,293,424.66</w:t>
            </w:r>
          </w:p>
        </w:tc>
        <w:tc>
          <w:tcPr>
            <w:tcW w:w="750" w:type="pct"/>
            <w:tcBorders>
              <w:top w:val="single" w:sz="4" w:space="0" w:color="auto"/>
              <w:left w:val="single" w:sz="4" w:space="0" w:color="auto"/>
              <w:bottom w:val="single" w:sz="4" w:space="0" w:color="auto"/>
              <w:right w:val="single" w:sz="4" w:space="0" w:color="auto"/>
            </w:tcBorders>
            <w:vAlign w:val="center"/>
          </w:tcPr>
          <w:p w14:paraId="7B749341"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1.89</w:t>
            </w:r>
          </w:p>
        </w:tc>
      </w:tr>
      <w:tr w:rsidR="00234D74" w14:paraId="5CB451C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DBC40FB"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3A15D9B7"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102281718</w:t>
            </w:r>
          </w:p>
        </w:tc>
        <w:tc>
          <w:tcPr>
            <w:tcW w:w="750" w:type="pct"/>
            <w:tcBorders>
              <w:top w:val="single" w:sz="4" w:space="0" w:color="auto"/>
              <w:left w:val="single" w:sz="4" w:space="0" w:color="auto"/>
              <w:bottom w:val="single" w:sz="4" w:space="0" w:color="auto"/>
              <w:right w:val="single" w:sz="4" w:space="0" w:color="auto"/>
            </w:tcBorders>
            <w:vAlign w:val="center"/>
          </w:tcPr>
          <w:p w14:paraId="734E171F"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杨浦科创</w:t>
            </w:r>
            <w:r>
              <w:rPr>
                <w:rFonts w:ascii="Times New Roman" w:hAnsi="Times New Roman"/>
                <w:color w:val="000000"/>
                <w:kern w:val="0"/>
                <w:sz w:val="25"/>
                <w:szCs w:val="24"/>
              </w:rPr>
              <w:t>MTN001</w:t>
            </w:r>
          </w:p>
        </w:tc>
        <w:tc>
          <w:tcPr>
            <w:tcW w:w="750" w:type="pct"/>
            <w:tcBorders>
              <w:top w:val="single" w:sz="4" w:space="0" w:color="auto"/>
              <w:left w:val="single" w:sz="4" w:space="0" w:color="auto"/>
              <w:bottom w:val="single" w:sz="4" w:space="0" w:color="auto"/>
              <w:right w:val="single" w:sz="4" w:space="0" w:color="auto"/>
            </w:tcBorders>
            <w:vAlign w:val="center"/>
          </w:tcPr>
          <w:p w14:paraId="15D9F1B5"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1,000,000</w:t>
            </w:r>
          </w:p>
        </w:tc>
        <w:tc>
          <w:tcPr>
            <w:tcW w:w="750" w:type="pct"/>
            <w:tcBorders>
              <w:top w:val="single" w:sz="4" w:space="0" w:color="auto"/>
              <w:left w:val="single" w:sz="4" w:space="0" w:color="auto"/>
              <w:bottom w:val="single" w:sz="4" w:space="0" w:color="auto"/>
              <w:right w:val="single" w:sz="4" w:space="0" w:color="auto"/>
            </w:tcBorders>
            <w:vAlign w:val="center"/>
          </w:tcPr>
          <w:p w14:paraId="651A6087"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100,625,917.81</w:t>
            </w:r>
          </w:p>
        </w:tc>
        <w:tc>
          <w:tcPr>
            <w:tcW w:w="750" w:type="pct"/>
            <w:tcBorders>
              <w:top w:val="single" w:sz="4" w:space="0" w:color="auto"/>
              <w:left w:val="single" w:sz="4" w:space="0" w:color="auto"/>
              <w:bottom w:val="single" w:sz="4" w:space="0" w:color="auto"/>
              <w:right w:val="single" w:sz="4" w:space="0" w:color="auto"/>
            </w:tcBorders>
            <w:vAlign w:val="center"/>
          </w:tcPr>
          <w:p w14:paraId="3FF60897"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1.88</w:t>
            </w:r>
          </w:p>
        </w:tc>
      </w:tr>
      <w:tr w:rsidR="00234D74" w14:paraId="365A8B6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CB17591"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0EF7F958"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092202001</w:t>
            </w:r>
          </w:p>
        </w:tc>
        <w:tc>
          <w:tcPr>
            <w:tcW w:w="750" w:type="pct"/>
            <w:tcBorders>
              <w:top w:val="single" w:sz="4" w:space="0" w:color="auto"/>
              <w:left w:val="single" w:sz="4" w:space="0" w:color="auto"/>
              <w:bottom w:val="single" w:sz="4" w:space="0" w:color="auto"/>
              <w:right w:val="single" w:sz="4" w:space="0" w:color="auto"/>
            </w:tcBorders>
            <w:vAlign w:val="center"/>
          </w:tcPr>
          <w:p w14:paraId="5A256B40"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国开清发</w:t>
            </w:r>
            <w:r>
              <w:rPr>
                <w:rFonts w:ascii="Times New Roman" w:hAnsi="Times New Roman"/>
                <w:color w:val="000000"/>
                <w:kern w:val="0"/>
                <w:sz w:val="25"/>
                <w:szCs w:val="24"/>
              </w:rPr>
              <w:t>01</w:t>
            </w:r>
          </w:p>
        </w:tc>
        <w:tc>
          <w:tcPr>
            <w:tcW w:w="750" w:type="pct"/>
            <w:tcBorders>
              <w:top w:val="single" w:sz="4" w:space="0" w:color="auto"/>
              <w:left w:val="single" w:sz="4" w:space="0" w:color="auto"/>
              <w:bottom w:val="single" w:sz="4" w:space="0" w:color="auto"/>
              <w:right w:val="single" w:sz="4" w:space="0" w:color="auto"/>
            </w:tcBorders>
            <w:vAlign w:val="center"/>
          </w:tcPr>
          <w:p w14:paraId="68905E9F"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1,000,000</w:t>
            </w:r>
          </w:p>
        </w:tc>
        <w:tc>
          <w:tcPr>
            <w:tcW w:w="750" w:type="pct"/>
            <w:tcBorders>
              <w:top w:val="single" w:sz="4" w:space="0" w:color="auto"/>
              <w:left w:val="single" w:sz="4" w:space="0" w:color="auto"/>
              <w:bottom w:val="single" w:sz="4" w:space="0" w:color="auto"/>
              <w:right w:val="single" w:sz="4" w:space="0" w:color="auto"/>
            </w:tcBorders>
            <w:vAlign w:val="center"/>
          </w:tcPr>
          <w:p w14:paraId="058AFAF1"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100,623,013.70</w:t>
            </w:r>
          </w:p>
        </w:tc>
        <w:tc>
          <w:tcPr>
            <w:tcW w:w="750" w:type="pct"/>
            <w:tcBorders>
              <w:top w:val="single" w:sz="4" w:space="0" w:color="auto"/>
              <w:left w:val="single" w:sz="4" w:space="0" w:color="auto"/>
              <w:bottom w:val="single" w:sz="4" w:space="0" w:color="auto"/>
              <w:right w:val="single" w:sz="4" w:space="0" w:color="auto"/>
            </w:tcBorders>
            <w:vAlign w:val="center"/>
          </w:tcPr>
          <w:p w14:paraId="3FC9A8B9"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1.88</w:t>
            </w:r>
          </w:p>
        </w:tc>
      </w:tr>
      <w:tr w:rsidR="00234D74" w14:paraId="6F6B6C7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AA2280F"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49E7B226"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2320005</w:t>
            </w:r>
          </w:p>
        </w:tc>
        <w:tc>
          <w:tcPr>
            <w:tcW w:w="750" w:type="pct"/>
            <w:tcBorders>
              <w:top w:val="single" w:sz="4" w:space="0" w:color="auto"/>
              <w:left w:val="single" w:sz="4" w:space="0" w:color="auto"/>
              <w:bottom w:val="single" w:sz="4" w:space="0" w:color="auto"/>
              <w:right w:val="single" w:sz="4" w:space="0" w:color="auto"/>
            </w:tcBorders>
            <w:vAlign w:val="center"/>
          </w:tcPr>
          <w:p w14:paraId="58AA2875"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23</w:t>
            </w:r>
            <w:r>
              <w:rPr>
                <w:rFonts w:ascii="Times New Roman" w:hAnsi="Times New Roman"/>
                <w:color w:val="000000"/>
                <w:kern w:val="0"/>
                <w:sz w:val="25"/>
                <w:szCs w:val="24"/>
              </w:rPr>
              <w:t>厦门国际银行三农债</w:t>
            </w:r>
            <w:r>
              <w:rPr>
                <w:rFonts w:ascii="Times New Roman" w:hAnsi="Times New Roman"/>
                <w:color w:val="000000"/>
                <w:kern w:val="0"/>
                <w:sz w:val="25"/>
                <w:szCs w:val="24"/>
              </w:rPr>
              <w:t>01</w:t>
            </w:r>
          </w:p>
        </w:tc>
        <w:tc>
          <w:tcPr>
            <w:tcW w:w="750" w:type="pct"/>
            <w:tcBorders>
              <w:top w:val="single" w:sz="4" w:space="0" w:color="auto"/>
              <w:left w:val="single" w:sz="4" w:space="0" w:color="auto"/>
              <w:bottom w:val="single" w:sz="4" w:space="0" w:color="auto"/>
              <w:right w:val="single" w:sz="4" w:space="0" w:color="auto"/>
            </w:tcBorders>
            <w:vAlign w:val="center"/>
          </w:tcPr>
          <w:p w14:paraId="12DEE361"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1,000,000</w:t>
            </w:r>
          </w:p>
        </w:tc>
        <w:tc>
          <w:tcPr>
            <w:tcW w:w="750" w:type="pct"/>
            <w:tcBorders>
              <w:top w:val="single" w:sz="4" w:space="0" w:color="auto"/>
              <w:left w:val="single" w:sz="4" w:space="0" w:color="auto"/>
              <w:bottom w:val="single" w:sz="4" w:space="0" w:color="auto"/>
              <w:right w:val="single" w:sz="4" w:space="0" w:color="auto"/>
            </w:tcBorders>
            <w:vAlign w:val="center"/>
          </w:tcPr>
          <w:p w14:paraId="0BC5AFAC"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100,170,000.00</w:t>
            </w:r>
          </w:p>
        </w:tc>
        <w:tc>
          <w:tcPr>
            <w:tcW w:w="750" w:type="pct"/>
            <w:tcBorders>
              <w:top w:val="single" w:sz="4" w:space="0" w:color="auto"/>
              <w:left w:val="single" w:sz="4" w:space="0" w:color="auto"/>
              <w:bottom w:val="single" w:sz="4" w:space="0" w:color="auto"/>
              <w:right w:val="single" w:sz="4" w:space="0" w:color="auto"/>
            </w:tcBorders>
            <w:vAlign w:val="center"/>
          </w:tcPr>
          <w:p w14:paraId="39F10C23"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1.87</w:t>
            </w:r>
          </w:p>
        </w:tc>
      </w:tr>
    </w:tbl>
    <w:p w14:paraId="072CCB3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6、报告期末按公允价值占基金资产净值比例大小排序的前十名资产支持证券投资明细</w:t>
      </w:r>
    </w:p>
    <w:p w14:paraId="5C7D3A5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4B335C3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7、报告期末按公允价值占基金资产净值比例大小排序的前五名贵金属投资明细</w:t>
      </w:r>
    </w:p>
    <w:p w14:paraId="0C65909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2F678AF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8、报告期末按公允价值占基金资产净值比例大小排序的前五名权证投资明细</w:t>
      </w:r>
    </w:p>
    <w:p w14:paraId="324B682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11E8212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9、报告期末本基金投资的国债期货交易情况说明</w:t>
      </w:r>
    </w:p>
    <w:p w14:paraId="114D6FE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 本期国债期货投资政策</w:t>
      </w:r>
    </w:p>
    <w:p w14:paraId="62C9A48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6CB9220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 报告期末本基金投资的国债期货持仓和损益明细</w:t>
      </w:r>
    </w:p>
    <w:p w14:paraId="155AA09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50CE754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9.3 本期国债期货投资评价</w:t>
      </w:r>
    </w:p>
    <w:p w14:paraId="1B75EAC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15BCA0C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10、投资组合报告附注</w:t>
      </w:r>
    </w:p>
    <w:p w14:paraId="0071770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 本基金投资的前十名证券的发行主体本期是否出现被监管部门立案调查，或在报告编制日前一年内受到公开谴责、处罚的情形</w:t>
      </w:r>
    </w:p>
    <w:p w14:paraId="1BF0BF0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报告期内本基金投资的前十名证券的发行主体未被监管部门立案调查，在本报告编制日前一年内本基金投资的前十名证券的发行主体未受到公开谴责和处罚。</w:t>
      </w:r>
    </w:p>
    <w:p w14:paraId="7DDD6E2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 基金投资的前十名股票是否超出基金合同规定的备选股票库</w:t>
      </w:r>
    </w:p>
    <w:p w14:paraId="32D8724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本基金投资的前十名股票中，没有超出基金合同规定的备选股票库之外的股票。</w:t>
      </w:r>
    </w:p>
    <w:p w14:paraId="34A4D96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 其他资产构成</w:t>
      </w:r>
    </w:p>
    <w:tbl>
      <w:tblPr>
        <w:tblW w:w="5000" w:type="pct"/>
        <w:tblCellMar>
          <w:left w:w="0" w:type="dxa"/>
          <w:right w:w="0" w:type="dxa"/>
        </w:tblCellMar>
        <w:tblLook w:val="0000" w:firstRow="0" w:lastRow="0" w:firstColumn="0" w:lastColumn="0" w:noHBand="0" w:noVBand="0"/>
      </w:tblPr>
      <w:tblGrid>
        <w:gridCol w:w="1544"/>
        <w:gridCol w:w="4634"/>
        <w:gridCol w:w="2472"/>
      </w:tblGrid>
      <w:tr w:rsidR="00234D74" w14:paraId="7E07BFD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3334DC19"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DEC6DD9"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423ECB3D"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rsidR="00234D74" w14:paraId="3D9093B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A57B5C3"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61E4A9B8"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14:paraId="1C4FD44F"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72,936.82</w:t>
            </w:r>
          </w:p>
        </w:tc>
      </w:tr>
      <w:tr w:rsidR="00234D74" w14:paraId="0B2D9D9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E7FDC72"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3A39031E"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14:paraId="3839598F"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20,802,156.16</w:t>
            </w:r>
          </w:p>
        </w:tc>
      </w:tr>
      <w:tr w:rsidR="00234D74" w14:paraId="51CFD6B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00461A1"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73225645"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14:paraId="07548DC8"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234D74" w14:paraId="7CDD869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D6E33DB"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77C8238F"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14:paraId="54091E55"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234D74" w14:paraId="28D1096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981DF71"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6665EB0F"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14:paraId="6EF785B3"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2,886,695.05</w:t>
            </w:r>
          </w:p>
        </w:tc>
      </w:tr>
      <w:tr w:rsidR="00234D74" w14:paraId="03E5C1F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662AB7A"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42595936"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14:paraId="78C04A0D"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25.00</w:t>
            </w:r>
          </w:p>
        </w:tc>
      </w:tr>
      <w:tr w:rsidR="00234D74" w14:paraId="0D66473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04F1AA4"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15BDCD5D"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14:paraId="2D7C1CB6"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234D74" w14:paraId="08F2E47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7C7AFD3"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32B10220"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14:paraId="4BAB629C" w14:textId="77777777" w:rsidR="00234D74" w:rsidRDefault="00BC098F">
            <w:pPr>
              <w:widowControl/>
              <w:snapToGrid w:val="0"/>
              <w:jc w:val="right"/>
              <w:rPr>
                <w:rFonts w:ascii="宋体" w:hAnsi="宋体"/>
                <w:color w:val="000000"/>
                <w:kern w:val="0"/>
                <w:sz w:val="25"/>
                <w:szCs w:val="24"/>
              </w:rPr>
            </w:pPr>
            <w:r>
              <w:rPr>
                <w:rFonts w:ascii="Times New Roman" w:hAnsi="Times New Roman"/>
                <w:color w:val="000000"/>
                <w:kern w:val="0"/>
                <w:sz w:val="25"/>
                <w:szCs w:val="24"/>
              </w:rPr>
              <w:t>23,761,813.03</w:t>
            </w:r>
          </w:p>
        </w:tc>
      </w:tr>
    </w:tbl>
    <w:p w14:paraId="6933BBB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10.4 报告期末持有的处于转股期的可转换债券明细</w:t>
      </w:r>
    </w:p>
    <w:p w14:paraId="00B5397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4369755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10.5 报告期末前十名股票中存在流通受限情况的说明</w:t>
      </w:r>
    </w:p>
    <w:p w14:paraId="3FC7B43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6B5A9CD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10.6 投资组合报告附注的其他文字描述部分</w:t>
      </w:r>
    </w:p>
    <w:p w14:paraId="0E3EE62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由于四舍五入的原因，分项之和与合计项之间可能存在尾差。</w:t>
      </w:r>
    </w:p>
    <w:p w14:paraId="1E10331F" w14:textId="77777777" w:rsidR="00C61788" w:rsidRDefault="00BC098F" w:rsidP="00C6178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E85F4A4" w14:textId="77777777" w:rsidR="00234D74" w:rsidRDefault="00BC098F">
      <w:pPr>
        <w:pStyle w:val="1"/>
        <w:snapToGrid w:val="0"/>
        <w:spacing w:beforeLines="0" w:before="240" w:after="240"/>
        <w:rPr>
          <w:rFonts w:ascii="宋体" w:hAnsi="宋体"/>
          <w:szCs w:val="30"/>
        </w:rPr>
      </w:pPr>
      <w:bookmarkStart w:id="15" w:name="_Toc135728687"/>
      <w:r>
        <w:rPr>
          <w:rFonts w:ascii="Times New Roman" w:hAnsi="Times New Roman"/>
          <w:sz w:val="30"/>
        </w:rPr>
        <w:lastRenderedPageBreak/>
        <w:t>十一、基金的业绩</w:t>
      </w:r>
      <w:bookmarkEnd w:id="15"/>
    </w:p>
    <w:p w14:paraId="2407234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基金业绩截止日为2023年03月31日，所载财务数据未经审计师审计。</w:t>
      </w:r>
    </w:p>
    <w:p w14:paraId="40E028D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728B8AB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1、本报告期基金份额净值增长率及其与同期业绩比较基准收益率的比较</w:t>
      </w:r>
    </w:p>
    <w:p w14:paraId="6E5624D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1、交银丰晟收益债券A：</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234D74" w14:paraId="13D5BB52"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9D01E26"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14:paraId="4021941C"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14:paraId="633BDD32"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14:paraId="0AA1BE01"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7A02E2FC"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14:paraId="5BCAC758"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w:t>
            </w:r>
            <w:r>
              <w:rPr>
                <w:rFonts w:ascii="Times New Roman" w:hAnsi="Times New Roman"/>
                <w:color w:val="000000"/>
                <w:kern w:val="0"/>
                <w:sz w:val="25"/>
                <w:szCs w:val="24"/>
              </w:rPr>
              <w:t>－</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0D4E6718"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w:t>
            </w:r>
            <w:r>
              <w:rPr>
                <w:rFonts w:ascii="Times New Roman" w:hAnsi="Times New Roman"/>
                <w:color w:val="000000"/>
                <w:kern w:val="0"/>
                <w:sz w:val="25"/>
                <w:szCs w:val="24"/>
              </w:rPr>
              <w:t>－</w:t>
            </w:r>
            <w:r>
              <w:rPr>
                <w:rFonts w:ascii="Times New Roman" w:hAnsi="Times New Roman"/>
                <w:color w:val="000000"/>
                <w:kern w:val="0"/>
                <w:sz w:val="25"/>
                <w:szCs w:val="24"/>
              </w:rPr>
              <w:t>④</w:t>
            </w:r>
          </w:p>
        </w:tc>
      </w:tr>
      <w:tr w:rsidR="00234D74" w14:paraId="345C89C0"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97FE3BA"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0A500D1F"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2.36%</w:t>
            </w:r>
          </w:p>
        </w:tc>
        <w:tc>
          <w:tcPr>
            <w:tcW w:w="750" w:type="pct"/>
            <w:tcBorders>
              <w:top w:val="single" w:sz="4" w:space="0" w:color="auto"/>
              <w:left w:val="single" w:sz="4" w:space="0" w:color="auto"/>
              <w:bottom w:val="single" w:sz="4" w:space="0" w:color="auto"/>
              <w:right w:val="single" w:sz="4" w:space="0" w:color="auto"/>
            </w:tcBorders>
            <w:vAlign w:val="center"/>
          </w:tcPr>
          <w:p w14:paraId="3C141ABB"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14:paraId="6A5241D0"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0.28%</w:t>
            </w:r>
          </w:p>
        </w:tc>
        <w:tc>
          <w:tcPr>
            <w:tcW w:w="750" w:type="pct"/>
            <w:tcBorders>
              <w:top w:val="single" w:sz="4" w:space="0" w:color="auto"/>
              <w:left w:val="single" w:sz="4" w:space="0" w:color="auto"/>
              <w:bottom w:val="single" w:sz="4" w:space="0" w:color="auto"/>
              <w:right w:val="single" w:sz="4" w:space="0" w:color="auto"/>
            </w:tcBorders>
            <w:vAlign w:val="center"/>
          </w:tcPr>
          <w:p w14:paraId="70B3A625"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14:paraId="36F9D4A0"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2.08%</w:t>
            </w:r>
          </w:p>
        </w:tc>
        <w:tc>
          <w:tcPr>
            <w:tcW w:w="750" w:type="pct"/>
            <w:tcBorders>
              <w:top w:val="single" w:sz="4" w:space="0" w:color="auto"/>
              <w:left w:val="single" w:sz="4" w:space="0" w:color="auto"/>
              <w:bottom w:val="single" w:sz="4" w:space="0" w:color="auto"/>
              <w:right w:val="single" w:sz="4" w:space="0" w:color="auto"/>
            </w:tcBorders>
            <w:vAlign w:val="center"/>
          </w:tcPr>
          <w:p w14:paraId="295EC948"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234D74" w14:paraId="7D3CE319"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D1D663C"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4BE803AF"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0.85%</w:t>
            </w:r>
          </w:p>
        </w:tc>
        <w:tc>
          <w:tcPr>
            <w:tcW w:w="750" w:type="pct"/>
            <w:tcBorders>
              <w:top w:val="single" w:sz="4" w:space="0" w:color="auto"/>
              <w:left w:val="single" w:sz="4" w:space="0" w:color="auto"/>
              <w:bottom w:val="single" w:sz="4" w:space="0" w:color="auto"/>
              <w:right w:val="single" w:sz="4" w:space="0" w:color="auto"/>
            </w:tcBorders>
            <w:vAlign w:val="center"/>
          </w:tcPr>
          <w:p w14:paraId="1EE21C08"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635A0F02"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0.51%</w:t>
            </w:r>
          </w:p>
        </w:tc>
        <w:tc>
          <w:tcPr>
            <w:tcW w:w="750" w:type="pct"/>
            <w:tcBorders>
              <w:top w:val="single" w:sz="4" w:space="0" w:color="auto"/>
              <w:left w:val="single" w:sz="4" w:space="0" w:color="auto"/>
              <w:bottom w:val="single" w:sz="4" w:space="0" w:color="auto"/>
              <w:right w:val="single" w:sz="4" w:space="0" w:color="auto"/>
            </w:tcBorders>
            <w:vAlign w:val="center"/>
          </w:tcPr>
          <w:p w14:paraId="10FEB119"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15DCB8BE"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0.34%</w:t>
            </w:r>
          </w:p>
        </w:tc>
        <w:tc>
          <w:tcPr>
            <w:tcW w:w="750" w:type="pct"/>
            <w:tcBorders>
              <w:top w:val="single" w:sz="4" w:space="0" w:color="auto"/>
              <w:left w:val="single" w:sz="4" w:space="0" w:color="auto"/>
              <w:bottom w:val="single" w:sz="4" w:space="0" w:color="auto"/>
              <w:right w:val="single" w:sz="4" w:space="0" w:color="auto"/>
            </w:tcBorders>
            <w:vAlign w:val="center"/>
          </w:tcPr>
          <w:p w14:paraId="4FA80E64"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234D74" w14:paraId="630B0649"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3E12EF2"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10D2ACF2"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5.13%</w:t>
            </w:r>
          </w:p>
        </w:tc>
        <w:tc>
          <w:tcPr>
            <w:tcW w:w="750" w:type="pct"/>
            <w:tcBorders>
              <w:top w:val="single" w:sz="4" w:space="0" w:color="auto"/>
              <w:left w:val="single" w:sz="4" w:space="0" w:color="auto"/>
              <w:bottom w:val="single" w:sz="4" w:space="0" w:color="auto"/>
              <w:right w:val="single" w:sz="4" w:space="0" w:color="auto"/>
            </w:tcBorders>
            <w:vAlign w:val="center"/>
          </w:tcPr>
          <w:p w14:paraId="7D4167C6"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14:paraId="5137090B"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2.10%</w:t>
            </w:r>
          </w:p>
        </w:tc>
        <w:tc>
          <w:tcPr>
            <w:tcW w:w="750" w:type="pct"/>
            <w:tcBorders>
              <w:top w:val="single" w:sz="4" w:space="0" w:color="auto"/>
              <w:left w:val="single" w:sz="4" w:space="0" w:color="auto"/>
              <w:bottom w:val="single" w:sz="4" w:space="0" w:color="auto"/>
              <w:right w:val="single" w:sz="4" w:space="0" w:color="auto"/>
            </w:tcBorders>
            <w:vAlign w:val="center"/>
          </w:tcPr>
          <w:p w14:paraId="4762DD69"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36D4ECFF"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3.03%</w:t>
            </w:r>
          </w:p>
        </w:tc>
        <w:tc>
          <w:tcPr>
            <w:tcW w:w="750" w:type="pct"/>
            <w:tcBorders>
              <w:top w:val="single" w:sz="4" w:space="0" w:color="auto"/>
              <w:left w:val="single" w:sz="4" w:space="0" w:color="auto"/>
              <w:bottom w:val="single" w:sz="4" w:space="0" w:color="auto"/>
              <w:right w:val="single" w:sz="4" w:space="0" w:color="auto"/>
            </w:tcBorders>
            <w:vAlign w:val="center"/>
          </w:tcPr>
          <w:p w14:paraId="2194C309"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r w:rsidR="00234D74" w14:paraId="15BDF859"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8FD0C71"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5ED3106F"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2.81%</w:t>
            </w:r>
          </w:p>
        </w:tc>
        <w:tc>
          <w:tcPr>
            <w:tcW w:w="750" w:type="pct"/>
            <w:tcBorders>
              <w:top w:val="single" w:sz="4" w:space="0" w:color="auto"/>
              <w:left w:val="single" w:sz="4" w:space="0" w:color="auto"/>
              <w:bottom w:val="single" w:sz="4" w:space="0" w:color="auto"/>
              <w:right w:val="single" w:sz="4" w:space="0" w:color="auto"/>
            </w:tcBorders>
            <w:vAlign w:val="center"/>
          </w:tcPr>
          <w:p w14:paraId="622A53CE"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0CDDEBBE"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38A98CB3"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5B877D1A"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2.88%</w:t>
            </w:r>
          </w:p>
        </w:tc>
        <w:tc>
          <w:tcPr>
            <w:tcW w:w="750" w:type="pct"/>
            <w:tcBorders>
              <w:top w:val="single" w:sz="4" w:space="0" w:color="auto"/>
              <w:left w:val="single" w:sz="4" w:space="0" w:color="auto"/>
              <w:bottom w:val="single" w:sz="4" w:space="0" w:color="auto"/>
              <w:right w:val="single" w:sz="4" w:space="0" w:color="auto"/>
            </w:tcBorders>
            <w:vAlign w:val="center"/>
          </w:tcPr>
          <w:p w14:paraId="77D7329F"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r>
      <w:tr w:rsidR="00234D74" w14:paraId="797791EC"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3ED281A"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2C284902"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5.48%</w:t>
            </w:r>
          </w:p>
        </w:tc>
        <w:tc>
          <w:tcPr>
            <w:tcW w:w="750" w:type="pct"/>
            <w:tcBorders>
              <w:top w:val="single" w:sz="4" w:space="0" w:color="auto"/>
              <w:left w:val="single" w:sz="4" w:space="0" w:color="auto"/>
              <w:bottom w:val="single" w:sz="4" w:space="0" w:color="auto"/>
              <w:right w:val="single" w:sz="4" w:space="0" w:color="auto"/>
            </w:tcBorders>
            <w:vAlign w:val="center"/>
          </w:tcPr>
          <w:p w14:paraId="2085AA38"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42DFEDAD"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1.31%</w:t>
            </w:r>
          </w:p>
        </w:tc>
        <w:tc>
          <w:tcPr>
            <w:tcW w:w="750" w:type="pct"/>
            <w:tcBorders>
              <w:top w:val="single" w:sz="4" w:space="0" w:color="auto"/>
              <w:left w:val="single" w:sz="4" w:space="0" w:color="auto"/>
              <w:bottom w:val="single" w:sz="4" w:space="0" w:color="auto"/>
              <w:right w:val="single" w:sz="4" w:space="0" w:color="auto"/>
            </w:tcBorders>
            <w:vAlign w:val="center"/>
          </w:tcPr>
          <w:p w14:paraId="23ADDCB1"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5FF839C8"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4.17%</w:t>
            </w:r>
          </w:p>
        </w:tc>
        <w:tc>
          <w:tcPr>
            <w:tcW w:w="750" w:type="pct"/>
            <w:tcBorders>
              <w:top w:val="single" w:sz="4" w:space="0" w:color="auto"/>
              <w:left w:val="single" w:sz="4" w:space="0" w:color="auto"/>
              <w:bottom w:val="single" w:sz="4" w:space="0" w:color="auto"/>
              <w:right w:val="single" w:sz="4" w:space="0" w:color="auto"/>
            </w:tcBorders>
            <w:vAlign w:val="center"/>
          </w:tcPr>
          <w:p w14:paraId="50CD926F"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234D74" w14:paraId="21185D88"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B26169F"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w:t>
            </w:r>
            <w:r>
              <w:rPr>
                <w:rFonts w:ascii="Times New Roman" w:hAnsi="Times New Roman"/>
                <w:color w:val="000000"/>
                <w:kern w:val="0"/>
                <w:sz w:val="25"/>
                <w:szCs w:val="24"/>
              </w:rPr>
              <w:t>2018</w:t>
            </w:r>
            <w:r>
              <w:rPr>
                <w:rFonts w:ascii="Times New Roman" w:hAnsi="Times New Roman"/>
                <w:color w:val="000000"/>
                <w:kern w:val="0"/>
                <w:sz w:val="25"/>
                <w:szCs w:val="24"/>
              </w:rPr>
              <w:t>年</w:t>
            </w:r>
            <w:r>
              <w:rPr>
                <w:rFonts w:ascii="Times New Roman" w:hAnsi="Times New Roman"/>
                <w:color w:val="000000"/>
                <w:kern w:val="0"/>
                <w:sz w:val="25"/>
                <w:szCs w:val="24"/>
              </w:rPr>
              <w:t>5</w:t>
            </w:r>
            <w:r>
              <w:rPr>
                <w:rFonts w:ascii="Times New Roman" w:hAnsi="Times New Roman"/>
                <w:color w:val="000000"/>
                <w:kern w:val="0"/>
                <w:sz w:val="25"/>
                <w:szCs w:val="24"/>
              </w:rPr>
              <w:t>月</w:t>
            </w:r>
            <w:r>
              <w:rPr>
                <w:rFonts w:ascii="Times New Roman" w:hAnsi="Times New Roman"/>
                <w:color w:val="000000"/>
                <w:kern w:val="0"/>
                <w:sz w:val="25"/>
                <w:szCs w:val="24"/>
              </w:rPr>
              <w:t>23</w:t>
            </w:r>
            <w:r>
              <w:rPr>
                <w:rFonts w:ascii="Times New Roman" w:hAnsi="Times New Roman"/>
                <w:color w:val="000000"/>
                <w:kern w:val="0"/>
                <w:sz w:val="25"/>
                <w:szCs w:val="24"/>
              </w:rPr>
              <w:t>日至</w:t>
            </w:r>
            <w:r>
              <w:rPr>
                <w:rFonts w:ascii="Times New Roman" w:hAnsi="Times New Roman"/>
                <w:color w:val="000000"/>
                <w:kern w:val="0"/>
                <w:sz w:val="25"/>
                <w:szCs w:val="24"/>
              </w:rPr>
              <w:t>2018</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7F3ED6C2"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6.79%</w:t>
            </w:r>
          </w:p>
        </w:tc>
        <w:tc>
          <w:tcPr>
            <w:tcW w:w="750" w:type="pct"/>
            <w:tcBorders>
              <w:top w:val="single" w:sz="4" w:space="0" w:color="auto"/>
              <w:left w:val="single" w:sz="4" w:space="0" w:color="auto"/>
              <w:bottom w:val="single" w:sz="4" w:space="0" w:color="auto"/>
              <w:right w:val="single" w:sz="4" w:space="0" w:color="auto"/>
            </w:tcBorders>
            <w:vAlign w:val="center"/>
          </w:tcPr>
          <w:p w14:paraId="28C1BA34"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0.11%</w:t>
            </w:r>
          </w:p>
        </w:tc>
        <w:tc>
          <w:tcPr>
            <w:tcW w:w="750" w:type="pct"/>
            <w:tcBorders>
              <w:top w:val="single" w:sz="4" w:space="0" w:color="auto"/>
              <w:left w:val="single" w:sz="4" w:space="0" w:color="auto"/>
              <w:bottom w:val="single" w:sz="4" w:space="0" w:color="auto"/>
              <w:right w:val="single" w:sz="4" w:space="0" w:color="auto"/>
            </w:tcBorders>
            <w:vAlign w:val="center"/>
          </w:tcPr>
          <w:p w14:paraId="2B111BC2"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3.04%</w:t>
            </w:r>
          </w:p>
        </w:tc>
        <w:tc>
          <w:tcPr>
            <w:tcW w:w="750" w:type="pct"/>
            <w:tcBorders>
              <w:top w:val="single" w:sz="4" w:space="0" w:color="auto"/>
              <w:left w:val="single" w:sz="4" w:space="0" w:color="auto"/>
              <w:bottom w:val="single" w:sz="4" w:space="0" w:color="auto"/>
              <w:right w:val="single" w:sz="4" w:space="0" w:color="auto"/>
            </w:tcBorders>
            <w:vAlign w:val="center"/>
          </w:tcPr>
          <w:p w14:paraId="4A62A42A"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4540AC0F"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3.75%</w:t>
            </w:r>
          </w:p>
        </w:tc>
        <w:tc>
          <w:tcPr>
            <w:tcW w:w="750" w:type="pct"/>
            <w:tcBorders>
              <w:top w:val="single" w:sz="4" w:space="0" w:color="auto"/>
              <w:left w:val="single" w:sz="4" w:space="0" w:color="auto"/>
              <w:bottom w:val="single" w:sz="4" w:space="0" w:color="auto"/>
              <w:right w:val="single" w:sz="4" w:space="0" w:color="auto"/>
            </w:tcBorders>
            <w:vAlign w:val="center"/>
          </w:tcPr>
          <w:p w14:paraId="5D159C41"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r>
    </w:tbl>
    <w:p w14:paraId="3EC8DDC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2、交银丰晟收益债券C：</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234D74" w14:paraId="58B7415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AF218E7"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14:paraId="74B2336D"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14:paraId="736BD0CF"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14:paraId="0A368AEA"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697BF445"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14:paraId="5356DCEC"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w:t>
            </w:r>
            <w:r>
              <w:rPr>
                <w:rFonts w:ascii="Times New Roman" w:hAnsi="Times New Roman"/>
                <w:color w:val="000000"/>
                <w:kern w:val="0"/>
                <w:sz w:val="25"/>
                <w:szCs w:val="24"/>
              </w:rPr>
              <w:t>－</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46662C1D"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w:t>
            </w:r>
            <w:r>
              <w:rPr>
                <w:rFonts w:ascii="Times New Roman" w:hAnsi="Times New Roman"/>
                <w:color w:val="000000"/>
                <w:kern w:val="0"/>
                <w:sz w:val="25"/>
                <w:szCs w:val="24"/>
              </w:rPr>
              <w:t>－</w:t>
            </w:r>
            <w:r>
              <w:rPr>
                <w:rFonts w:ascii="Times New Roman" w:hAnsi="Times New Roman"/>
                <w:color w:val="000000"/>
                <w:kern w:val="0"/>
                <w:sz w:val="25"/>
                <w:szCs w:val="24"/>
              </w:rPr>
              <w:t>④</w:t>
            </w:r>
          </w:p>
        </w:tc>
      </w:tr>
      <w:tr w:rsidR="00234D74" w14:paraId="1B94C965"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95229D5"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301B7C97"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2.21%</w:t>
            </w:r>
          </w:p>
        </w:tc>
        <w:tc>
          <w:tcPr>
            <w:tcW w:w="750" w:type="pct"/>
            <w:tcBorders>
              <w:top w:val="single" w:sz="4" w:space="0" w:color="auto"/>
              <w:left w:val="single" w:sz="4" w:space="0" w:color="auto"/>
              <w:bottom w:val="single" w:sz="4" w:space="0" w:color="auto"/>
              <w:right w:val="single" w:sz="4" w:space="0" w:color="auto"/>
            </w:tcBorders>
            <w:vAlign w:val="center"/>
          </w:tcPr>
          <w:p w14:paraId="298766C7"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14:paraId="4A7EA36E"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0.28%</w:t>
            </w:r>
          </w:p>
        </w:tc>
        <w:tc>
          <w:tcPr>
            <w:tcW w:w="750" w:type="pct"/>
            <w:tcBorders>
              <w:top w:val="single" w:sz="4" w:space="0" w:color="auto"/>
              <w:left w:val="single" w:sz="4" w:space="0" w:color="auto"/>
              <w:bottom w:val="single" w:sz="4" w:space="0" w:color="auto"/>
              <w:right w:val="single" w:sz="4" w:space="0" w:color="auto"/>
            </w:tcBorders>
            <w:vAlign w:val="center"/>
          </w:tcPr>
          <w:p w14:paraId="77508335"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14:paraId="66C676B2"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1.93%</w:t>
            </w:r>
          </w:p>
        </w:tc>
        <w:tc>
          <w:tcPr>
            <w:tcW w:w="750" w:type="pct"/>
            <w:tcBorders>
              <w:top w:val="single" w:sz="4" w:space="0" w:color="auto"/>
              <w:left w:val="single" w:sz="4" w:space="0" w:color="auto"/>
              <w:bottom w:val="single" w:sz="4" w:space="0" w:color="auto"/>
              <w:right w:val="single" w:sz="4" w:space="0" w:color="auto"/>
            </w:tcBorders>
            <w:vAlign w:val="center"/>
          </w:tcPr>
          <w:p w14:paraId="66C480F9"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234D74" w14:paraId="1D3E8453"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5FEE19D"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0E22072D"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0.25%</w:t>
            </w:r>
          </w:p>
        </w:tc>
        <w:tc>
          <w:tcPr>
            <w:tcW w:w="750" w:type="pct"/>
            <w:tcBorders>
              <w:top w:val="single" w:sz="4" w:space="0" w:color="auto"/>
              <w:left w:val="single" w:sz="4" w:space="0" w:color="auto"/>
              <w:bottom w:val="single" w:sz="4" w:space="0" w:color="auto"/>
              <w:right w:val="single" w:sz="4" w:space="0" w:color="auto"/>
            </w:tcBorders>
            <w:vAlign w:val="center"/>
          </w:tcPr>
          <w:p w14:paraId="4A79F33B"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43750CE1"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0.51%</w:t>
            </w:r>
          </w:p>
        </w:tc>
        <w:tc>
          <w:tcPr>
            <w:tcW w:w="750" w:type="pct"/>
            <w:tcBorders>
              <w:top w:val="single" w:sz="4" w:space="0" w:color="auto"/>
              <w:left w:val="single" w:sz="4" w:space="0" w:color="auto"/>
              <w:bottom w:val="single" w:sz="4" w:space="0" w:color="auto"/>
              <w:right w:val="single" w:sz="4" w:space="0" w:color="auto"/>
            </w:tcBorders>
            <w:vAlign w:val="center"/>
          </w:tcPr>
          <w:p w14:paraId="7C7BE389"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37D4E9C5"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-0.26%</w:t>
            </w:r>
          </w:p>
        </w:tc>
        <w:tc>
          <w:tcPr>
            <w:tcW w:w="750" w:type="pct"/>
            <w:tcBorders>
              <w:top w:val="single" w:sz="4" w:space="0" w:color="auto"/>
              <w:left w:val="single" w:sz="4" w:space="0" w:color="auto"/>
              <w:bottom w:val="single" w:sz="4" w:space="0" w:color="auto"/>
              <w:right w:val="single" w:sz="4" w:space="0" w:color="auto"/>
            </w:tcBorders>
            <w:vAlign w:val="center"/>
          </w:tcPr>
          <w:p w14:paraId="7E18ECBA"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234D74" w14:paraId="071C755C"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267153C"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47A6514C"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4.49%</w:t>
            </w:r>
          </w:p>
        </w:tc>
        <w:tc>
          <w:tcPr>
            <w:tcW w:w="750" w:type="pct"/>
            <w:tcBorders>
              <w:top w:val="single" w:sz="4" w:space="0" w:color="auto"/>
              <w:left w:val="single" w:sz="4" w:space="0" w:color="auto"/>
              <w:bottom w:val="single" w:sz="4" w:space="0" w:color="auto"/>
              <w:right w:val="single" w:sz="4" w:space="0" w:color="auto"/>
            </w:tcBorders>
            <w:vAlign w:val="center"/>
          </w:tcPr>
          <w:p w14:paraId="5289BAC9"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14:paraId="08CF8A43"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2.10%</w:t>
            </w:r>
          </w:p>
        </w:tc>
        <w:tc>
          <w:tcPr>
            <w:tcW w:w="750" w:type="pct"/>
            <w:tcBorders>
              <w:top w:val="single" w:sz="4" w:space="0" w:color="auto"/>
              <w:left w:val="single" w:sz="4" w:space="0" w:color="auto"/>
              <w:bottom w:val="single" w:sz="4" w:space="0" w:color="auto"/>
              <w:right w:val="single" w:sz="4" w:space="0" w:color="auto"/>
            </w:tcBorders>
            <w:vAlign w:val="center"/>
          </w:tcPr>
          <w:p w14:paraId="1CF7ECA1"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6E3DB07B"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2.39%</w:t>
            </w:r>
          </w:p>
        </w:tc>
        <w:tc>
          <w:tcPr>
            <w:tcW w:w="750" w:type="pct"/>
            <w:tcBorders>
              <w:top w:val="single" w:sz="4" w:space="0" w:color="auto"/>
              <w:left w:val="single" w:sz="4" w:space="0" w:color="auto"/>
              <w:bottom w:val="single" w:sz="4" w:space="0" w:color="auto"/>
              <w:right w:val="single" w:sz="4" w:space="0" w:color="auto"/>
            </w:tcBorders>
            <w:vAlign w:val="center"/>
          </w:tcPr>
          <w:p w14:paraId="4FA85046"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r w:rsidR="00234D74" w14:paraId="078C0118"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9CEFB6C"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4490567F"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2.20%</w:t>
            </w:r>
          </w:p>
        </w:tc>
        <w:tc>
          <w:tcPr>
            <w:tcW w:w="750" w:type="pct"/>
            <w:tcBorders>
              <w:top w:val="single" w:sz="4" w:space="0" w:color="auto"/>
              <w:left w:val="single" w:sz="4" w:space="0" w:color="auto"/>
              <w:bottom w:val="single" w:sz="4" w:space="0" w:color="auto"/>
              <w:right w:val="single" w:sz="4" w:space="0" w:color="auto"/>
            </w:tcBorders>
            <w:vAlign w:val="center"/>
          </w:tcPr>
          <w:p w14:paraId="70530E11"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3D4F8A67"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2F7D5E5F"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779A2AE4"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2.27%</w:t>
            </w:r>
          </w:p>
        </w:tc>
        <w:tc>
          <w:tcPr>
            <w:tcW w:w="750" w:type="pct"/>
            <w:tcBorders>
              <w:top w:val="single" w:sz="4" w:space="0" w:color="auto"/>
              <w:left w:val="single" w:sz="4" w:space="0" w:color="auto"/>
              <w:bottom w:val="single" w:sz="4" w:space="0" w:color="auto"/>
              <w:right w:val="single" w:sz="4" w:space="0" w:color="auto"/>
            </w:tcBorders>
            <w:vAlign w:val="center"/>
          </w:tcPr>
          <w:p w14:paraId="706C587F"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r>
      <w:tr w:rsidR="00234D74" w14:paraId="33500A0B"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1129A10"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61AD0EF5"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4.84%</w:t>
            </w:r>
          </w:p>
        </w:tc>
        <w:tc>
          <w:tcPr>
            <w:tcW w:w="750" w:type="pct"/>
            <w:tcBorders>
              <w:top w:val="single" w:sz="4" w:space="0" w:color="auto"/>
              <w:left w:val="single" w:sz="4" w:space="0" w:color="auto"/>
              <w:bottom w:val="single" w:sz="4" w:space="0" w:color="auto"/>
              <w:right w:val="single" w:sz="4" w:space="0" w:color="auto"/>
            </w:tcBorders>
            <w:vAlign w:val="center"/>
          </w:tcPr>
          <w:p w14:paraId="4723C138"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41B8509E"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1.31%</w:t>
            </w:r>
          </w:p>
        </w:tc>
        <w:tc>
          <w:tcPr>
            <w:tcW w:w="750" w:type="pct"/>
            <w:tcBorders>
              <w:top w:val="single" w:sz="4" w:space="0" w:color="auto"/>
              <w:left w:val="single" w:sz="4" w:space="0" w:color="auto"/>
              <w:bottom w:val="single" w:sz="4" w:space="0" w:color="auto"/>
              <w:right w:val="single" w:sz="4" w:space="0" w:color="auto"/>
            </w:tcBorders>
            <w:vAlign w:val="center"/>
          </w:tcPr>
          <w:p w14:paraId="56F99DFB"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412E8531"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3.53%</w:t>
            </w:r>
          </w:p>
        </w:tc>
        <w:tc>
          <w:tcPr>
            <w:tcW w:w="750" w:type="pct"/>
            <w:tcBorders>
              <w:top w:val="single" w:sz="4" w:space="0" w:color="auto"/>
              <w:left w:val="single" w:sz="4" w:space="0" w:color="auto"/>
              <w:bottom w:val="single" w:sz="4" w:space="0" w:color="auto"/>
              <w:right w:val="single" w:sz="4" w:space="0" w:color="auto"/>
            </w:tcBorders>
            <w:vAlign w:val="center"/>
          </w:tcPr>
          <w:p w14:paraId="30B88EEE"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234D74" w14:paraId="1AA27CCC"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09E09B6"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w:t>
            </w:r>
            <w:r>
              <w:rPr>
                <w:rFonts w:ascii="Times New Roman" w:hAnsi="Times New Roman"/>
                <w:color w:val="000000"/>
                <w:kern w:val="0"/>
                <w:sz w:val="25"/>
                <w:szCs w:val="24"/>
              </w:rPr>
              <w:t>2018</w:t>
            </w:r>
            <w:r>
              <w:rPr>
                <w:rFonts w:ascii="Times New Roman" w:hAnsi="Times New Roman"/>
                <w:color w:val="000000"/>
                <w:kern w:val="0"/>
                <w:sz w:val="25"/>
                <w:szCs w:val="24"/>
              </w:rPr>
              <w:t>年</w:t>
            </w:r>
            <w:r>
              <w:rPr>
                <w:rFonts w:ascii="Times New Roman" w:hAnsi="Times New Roman"/>
                <w:color w:val="000000"/>
                <w:kern w:val="0"/>
                <w:sz w:val="25"/>
                <w:szCs w:val="24"/>
              </w:rPr>
              <w:t>5</w:t>
            </w:r>
            <w:r>
              <w:rPr>
                <w:rFonts w:ascii="Times New Roman" w:hAnsi="Times New Roman"/>
                <w:color w:val="000000"/>
                <w:kern w:val="0"/>
                <w:sz w:val="25"/>
                <w:szCs w:val="24"/>
              </w:rPr>
              <w:t>月</w:t>
            </w:r>
            <w:r>
              <w:rPr>
                <w:rFonts w:ascii="Times New Roman" w:hAnsi="Times New Roman"/>
                <w:color w:val="000000"/>
                <w:kern w:val="0"/>
                <w:sz w:val="25"/>
                <w:szCs w:val="24"/>
              </w:rPr>
              <w:t>23</w:t>
            </w:r>
            <w:r>
              <w:rPr>
                <w:rFonts w:ascii="Times New Roman" w:hAnsi="Times New Roman"/>
                <w:color w:val="000000"/>
                <w:kern w:val="0"/>
                <w:sz w:val="25"/>
                <w:szCs w:val="24"/>
              </w:rPr>
              <w:t>日至</w:t>
            </w:r>
            <w:r>
              <w:rPr>
                <w:rFonts w:ascii="Times New Roman" w:hAnsi="Times New Roman"/>
                <w:color w:val="000000"/>
                <w:kern w:val="0"/>
                <w:sz w:val="25"/>
                <w:szCs w:val="24"/>
              </w:rPr>
              <w:t>2018</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69E74A0E"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6.40%</w:t>
            </w:r>
          </w:p>
        </w:tc>
        <w:tc>
          <w:tcPr>
            <w:tcW w:w="750" w:type="pct"/>
            <w:tcBorders>
              <w:top w:val="single" w:sz="4" w:space="0" w:color="auto"/>
              <w:left w:val="single" w:sz="4" w:space="0" w:color="auto"/>
              <w:bottom w:val="single" w:sz="4" w:space="0" w:color="auto"/>
              <w:right w:val="single" w:sz="4" w:space="0" w:color="auto"/>
            </w:tcBorders>
            <w:vAlign w:val="center"/>
          </w:tcPr>
          <w:p w14:paraId="6910EB1A"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0.11%</w:t>
            </w:r>
          </w:p>
        </w:tc>
        <w:tc>
          <w:tcPr>
            <w:tcW w:w="750" w:type="pct"/>
            <w:tcBorders>
              <w:top w:val="single" w:sz="4" w:space="0" w:color="auto"/>
              <w:left w:val="single" w:sz="4" w:space="0" w:color="auto"/>
              <w:bottom w:val="single" w:sz="4" w:space="0" w:color="auto"/>
              <w:right w:val="single" w:sz="4" w:space="0" w:color="auto"/>
            </w:tcBorders>
            <w:vAlign w:val="center"/>
          </w:tcPr>
          <w:p w14:paraId="4918337D"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3.04%</w:t>
            </w:r>
          </w:p>
        </w:tc>
        <w:tc>
          <w:tcPr>
            <w:tcW w:w="750" w:type="pct"/>
            <w:tcBorders>
              <w:top w:val="single" w:sz="4" w:space="0" w:color="auto"/>
              <w:left w:val="single" w:sz="4" w:space="0" w:color="auto"/>
              <w:bottom w:val="single" w:sz="4" w:space="0" w:color="auto"/>
              <w:right w:val="single" w:sz="4" w:space="0" w:color="auto"/>
            </w:tcBorders>
            <w:vAlign w:val="center"/>
          </w:tcPr>
          <w:p w14:paraId="407C2398"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756E483F"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3.36%</w:t>
            </w:r>
          </w:p>
        </w:tc>
        <w:tc>
          <w:tcPr>
            <w:tcW w:w="750" w:type="pct"/>
            <w:tcBorders>
              <w:top w:val="single" w:sz="4" w:space="0" w:color="auto"/>
              <w:left w:val="single" w:sz="4" w:space="0" w:color="auto"/>
              <w:bottom w:val="single" w:sz="4" w:space="0" w:color="auto"/>
              <w:right w:val="single" w:sz="4" w:space="0" w:color="auto"/>
            </w:tcBorders>
            <w:vAlign w:val="center"/>
          </w:tcPr>
          <w:p w14:paraId="22D68469"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r>
    </w:tbl>
    <w:p w14:paraId="669A70F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2、自基金合同生效以来基金份额累计净值增长率变动及其与同期业绩比较基准收益率变动的比较</w:t>
      </w:r>
    </w:p>
    <w:p w14:paraId="4DED22FA" w14:textId="77777777" w:rsidR="00234D74" w:rsidRDefault="00BC098F">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lastRenderedPageBreak/>
        <w:t>交银施罗德丰晟收益债券型证券投资基金</w:t>
      </w:r>
    </w:p>
    <w:p w14:paraId="1D63A9D6" w14:textId="77777777" w:rsidR="00234D74" w:rsidRDefault="00BC098F">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份额累计净值增长率与业绩比较基准收益率的历史走势对比图</w:t>
      </w:r>
    </w:p>
    <w:p w14:paraId="1377487E" w14:textId="77777777" w:rsidR="00234D74" w:rsidRDefault="00BC098F">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（2018年5月23日至2023年03月31日）</w:t>
      </w:r>
    </w:p>
    <w:p w14:paraId="6224C3C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1、交银丰晟收益债券A：</w:t>
      </w:r>
    </w:p>
    <w:p w14:paraId="377726AC" w14:textId="48E09B7F" w:rsidR="00234D74" w:rsidRDefault="00701A9A">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drawing>
          <wp:inline distT="0" distB="0" distL="0" distR="0" wp14:anchorId="598756C5" wp14:editId="45682F05">
            <wp:extent cx="5556250" cy="4572000"/>
            <wp:effectExtent l="0" t="0" r="0" b="0"/>
            <wp:docPr id="4"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2566102420208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56250" cy="4572000"/>
                    </a:xfrm>
                    <a:prstGeom prst="rect">
                      <a:avLst/>
                    </a:prstGeom>
                    <a:noFill/>
                    <a:ln>
                      <a:noFill/>
                    </a:ln>
                  </pic:spPr>
                </pic:pic>
              </a:graphicData>
            </a:graphic>
          </wp:inline>
        </w:drawing>
      </w:r>
    </w:p>
    <w:p w14:paraId="7113609C" w14:textId="2FA798B8" w:rsidR="00234D74" w:rsidRDefault="00701A9A">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lastRenderedPageBreak/>
        <w:drawing>
          <wp:inline distT="0" distB="0" distL="0" distR="0" wp14:anchorId="3818A161" wp14:editId="2FF04584">
            <wp:extent cx="5556250" cy="4572000"/>
            <wp:effectExtent l="0" t="0" r="0" b="0"/>
            <wp:docPr id="3" name="图片 3"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212566102420208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56250" cy="4572000"/>
                    </a:xfrm>
                    <a:prstGeom prst="rect">
                      <a:avLst/>
                    </a:prstGeom>
                    <a:noFill/>
                    <a:ln>
                      <a:noFill/>
                    </a:ln>
                  </pic:spPr>
                </pic:pic>
              </a:graphicData>
            </a:graphic>
          </wp:inline>
        </w:drawing>
      </w:r>
    </w:p>
    <w:p w14:paraId="0F6E2F7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注：本基金建仓期为自基金合同生效日起的6个月。截至建仓期结束，本基金各项资产配置比例符合基金合同及招募说明书有关投资比例的约定。</w:t>
      </w:r>
    </w:p>
    <w:p w14:paraId="1120C121" w14:textId="77777777" w:rsidR="00C61788" w:rsidRDefault="00BC098F" w:rsidP="00C6178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09DC5FD" w14:textId="77777777" w:rsidR="00234D74" w:rsidRDefault="00BC098F">
      <w:pPr>
        <w:pStyle w:val="1"/>
        <w:snapToGrid w:val="0"/>
        <w:spacing w:beforeLines="0" w:before="240" w:after="240"/>
        <w:rPr>
          <w:rFonts w:ascii="宋体" w:hAnsi="宋体"/>
          <w:szCs w:val="30"/>
        </w:rPr>
      </w:pPr>
      <w:bookmarkStart w:id="16" w:name="_Toc135728688"/>
      <w:r>
        <w:rPr>
          <w:rFonts w:ascii="Times New Roman" w:hAnsi="Times New Roman"/>
          <w:sz w:val="30"/>
        </w:rPr>
        <w:lastRenderedPageBreak/>
        <w:t>十二、基金的财产</w:t>
      </w:r>
      <w:bookmarkEnd w:id="16"/>
    </w:p>
    <w:p w14:paraId="2FC13AD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（一）基金资产总值</w:t>
      </w:r>
    </w:p>
    <w:p w14:paraId="22FA882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基金资产总值是指基金拥有的各类有价证券、银行存款本息、基金应收申购款及其他资产的价值总和。</w:t>
      </w:r>
    </w:p>
    <w:p w14:paraId="0046B97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（二）基金资产净值</w:t>
      </w:r>
    </w:p>
    <w:p w14:paraId="34457D3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14:paraId="68E0A9C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（三）基金财产的账户</w:t>
      </w:r>
    </w:p>
    <w:p w14:paraId="0DDE0B8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1A6C80B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（四）基金财产的保管和处分</w:t>
      </w:r>
    </w:p>
    <w:p w14:paraId="4F9314C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890A20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3FA5E0C8" w14:textId="77777777" w:rsidR="00C61788" w:rsidRDefault="00BC098F" w:rsidP="00C6178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9AD2F7F" w14:textId="77777777" w:rsidR="00234D74" w:rsidRDefault="00BC098F">
      <w:pPr>
        <w:pStyle w:val="1"/>
        <w:snapToGrid w:val="0"/>
        <w:spacing w:beforeLines="0" w:before="240" w:after="240"/>
        <w:rPr>
          <w:rFonts w:ascii="宋体" w:hAnsi="宋体"/>
          <w:szCs w:val="30"/>
        </w:rPr>
      </w:pPr>
      <w:bookmarkStart w:id="17" w:name="_Toc135728689"/>
      <w:r>
        <w:rPr>
          <w:rFonts w:ascii="Times New Roman" w:hAnsi="Times New Roman"/>
          <w:sz w:val="30"/>
        </w:rPr>
        <w:lastRenderedPageBreak/>
        <w:t>十三、基金资产的估值</w:t>
      </w:r>
      <w:bookmarkEnd w:id="17"/>
    </w:p>
    <w:p w14:paraId="640408F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（一）估值日</w:t>
      </w:r>
    </w:p>
    <w:p w14:paraId="09D969F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本基金的估值日为本基金相关的证券交易场所的交易日以及国家法律法规规定需要对外披露基金净值的非交易日。</w:t>
      </w:r>
    </w:p>
    <w:p w14:paraId="74C2E7F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（二）估值对象</w:t>
      </w:r>
    </w:p>
    <w:p w14:paraId="7449FA9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基金所拥有的债券和其它投资等持续以公允价值计量的金融资产及负债。</w:t>
      </w:r>
    </w:p>
    <w:p w14:paraId="5520846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（三）估值方法</w:t>
      </w:r>
    </w:p>
    <w:p w14:paraId="5B84006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14:paraId="7210C7A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（1）交易所上市交易或挂牌转让的固定收益品种（本合同另有规定的除外），选取估值日第三方估值机构提供的相应品种对应的估值净价估值，具体估值机构由基金管理人与托管人另行协商约定；</w:t>
      </w:r>
    </w:p>
    <w:p w14:paraId="08C8807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（2）交易所上市实行全价交易的债券（可转债除外），选取第三方估值机构提供的估值全价减去估值全价中所含的债券（税后）应收利息得到的净价进行估值。</w:t>
      </w:r>
    </w:p>
    <w:p w14:paraId="0EF5995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（3）交易所上市不存在活跃市场的有价证券，采用估值技术确定公允价值。交易所上市的资产支持证券，采用估值技术确定公允价值，在估值技术难以可靠计量公允价值的情况下，按成本估值。</w:t>
      </w:r>
    </w:p>
    <w:p w14:paraId="7F079FD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2、首次公开发行未上市的债券，采用估值技术确定公允价值，在估值技术难以可靠计量公允价值的情况下，按成本估值。</w:t>
      </w:r>
    </w:p>
    <w:p w14:paraId="628B54F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3、全国银行间债券市场交易的债券、资产支持证券等固定收益品种，以第三方估值机构提供的价格数据估值；对银行间市场未上市，且第三方估值机构未提供估值价格的债券，按成本估值。</w:t>
      </w:r>
    </w:p>
    <w:p w14:paraId="1647768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4、中小企业私募债券采用估值技术确定公允价值，估值技术难以确定和计量其公允价值的，按成本估值。</w:t>
      </w:r>
    </w:p>
    <w:p w14:paraId="4E9BCB8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5、同一债券同时在两个或两个以上市场交易的，按债券所处的市场分别估值。</w:t>
      </w:r>
    </w:p>
    <w:p w14:paraId="49DAC3E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6、如有确凿证据表明按上述方法进行估值不能客观反映其公允价值的，基金管理人可根据具体情况与基金托管人商定后，按最能反映公允价值的方法估值。</w:t>
      </w:r>
    </w:p>
    <w:p w14:paraId="6899EC3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7、摆动定价机制：当本基金发生大额申购或赎回情形时，基金管理人可以对本基金采用摆动定价机制，以确保基金估值的公平性。</w:t>
      </w:r>
    </w:p>
    <w:p w14:paraId="7408443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8、相关法律法规以及监管部门有强制规定的，从其规定。如有新增事项，按法律法规以及监管部门最新规定估值。</w:t>
      </w:r>
    </w:p>
    <w:p w14:paraId="7C2DAEF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F9E5AE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79121EA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（四）估值程序</w:t>
      </w:r>
    </w:p>
    <w:p w14:paraId="472F5C5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1、各类基金份额的基金份额净值是按照每个工作日闭市后，该类基金份额的基金资产净值除以当日该类基金份额的余额数量计算，精确到0.0001元，小数点后第五位四舍五入。国家另有规定的，从其规定。</w:t>
      </w:r>
    </w:p>
    <w:p w14:paraId="7EF73851" w14:textId="26E32B65"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基金管理人于每个工作日分别计算</w:t>
      </w:r>
      <w:r w:rsidR="0062560B">
        <w:rPr>
          <w:rFonts w:ascii="宋体" w:hAnsi="宋体" w:hint="eastAsia"/>
          <w:sz w:val="24"/>
        </w:rPr>
        <w:t>各</w:t>
      </w:r>
      <w:r>
        <w:rPr>
          <w:rFonts w:ascii="宋体" w:hAnsi="宋体"/>
          <w:sz w:val="24"/>
        </w:rPr>
        <w:t>类基金份额的基金资产净值及基金份额净值，并按规定公告。如遇特殊情况，经中国证监会同意，可以适当延迟计算或公告。</w:t>
      </w:r>
    </w:p>
    <w:p w14:paraId="6D388824" w14:textId="57AE2101"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2、基金管理人应每个工作日对基金资产估值，但基金管理人根据法律法规或基金合同的规定暂停估值时除外。基金管理人每个工作日对基金资产估值后，将</w:t>
      </w:r>
      <w:r w:rsidR="00835CED">
        <w:rPr>
          <w:rFonts w:ascii="宋体" w:hAnsi="宋体" w:hint="eastAsia"/>
          <w:sz w:val="24"/>
        </w:rPr>
        <w:t>各类</w:t>
      </w:r>
      <w:r>
        <w:rPr>
          <w:rFonts w:ascii="宋体" w:hAnsi="宋体"/>
          <w:sz w:val="24"/>
        </w:rPr>
        <w:t>基金份额净值结果发送基金托管人，经基金托管人复核无误后，由基金管理人依据基金合同和相关法律法规的规定对外公布。</w:t>
      </w:r>
    </w:p>
    <w:p w14:paraId="2CCBABB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（五）估值错误的处理</w:t>
      </w:r>
    </w:p>
    <w:p w14:paraId="1C874ED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基金管理人和基金托管人将采取必要、适当、合理的措施确保基金资产估值的准确性、及时性。当基金份额净值小数点后第4位以内（含第4位） 发生估值错误时，视为基金份额净值错误。</w:t>
      </w:r>
    </w:p>
    <w:p w14:paraId="0DE8734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基金合同的当事人应按照以下约定处理：</w:t>
      </w:r>
    </w:p>
    <w:p w14:paraId="299A8D0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1、估值错误类型</w:t>
      </w:r>
    </w:p>
    <w:p w14:paraId="2922496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 的直接损失按下述“估值错误处理原则”给予赔偿，承担赔偿责任。</w:t>
      </w:r>
    </w:p>
    <w:p w14:paraId="2365A1F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上述估值错误的主要类型包括但不限于：资料申报差错、数据传输差错、数据计算差错、系统故障差错、下达指令差错等。</w:t>
      </w:r>
    </w:p>
    <w:p w14:paraId="0D0291F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对于因技术原因引起的差错，若系同行业现有技术水平无法预见、无法避免、无法抗拒，则属不可抗力，按照下述规定执行。</w:t>
      </w:r>
    </w:p>
    <w:p w14:paraId="36A75EE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4DF1263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2、估值错误处理原则</w:t>
      </w:r>
    </w:p>
    <w:p w14:paraId="375361A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4D5DF1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（2）估值错误的责任方对有关当事人的直接损失负责，不对间接损失负责，并且仅对估值错误的有关直接当事人负责，不对第三方负责。</w:t>
      </w:r>
    </w:p>
    <w:p w14:paraId="6BDC61A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09A230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（4）估值错误调整采用尽量恢复至假设未发生估值错误的正确情形的方式。</w:t>
      </w:r>
    </w:p>
    <w:p w14:paraId="343E663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3、估值错误处理程序</w:t>
      </w:r>
    </w:p>
    <w:p w14:paraId="58E4E97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估值错误被发现后，有关的当事人应当及时进行处理，处理的程序如下：</w:t>
      </w:r>
    </w:p>
    <w:p w14:paraId="60DD14C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（1）查明估值错误发生的原因，列明所有的当事人，并根据估值错误发生的原因确定估值错误的责任方；</w:t>
      </w:r>
    </w:p>
    <w:p w14:paraId="1C73857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（2）根据估值错误处理原则或当事人协商的方法对因估值错误造成的损失进行评估；</w:t>
      </w:r>
    </w:p>
    <w:p w14:paraId="16D3F84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（3）根据估值错误处理原则或当事人协商的方法由估值错误的责任方进行更正和赔偿损失；</w:t>
      </w:r>
    </w:p>
    <w:p w14:paraId="5CE891A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（4）根据估值错误处理的方法，需要修改基金登记机构交易数据的，由基金登记机构进行更正，并就估值错误的更正向有关当事人进行确认。</w:t>
      </w:r>
    </w:p>
    <w:p w14:paraId="6128E06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4、基金份额净值估值错误处理的方法如下：</w:t>
      </w:r>
    </w:p>
    <w:p w14:paraId="7834B6D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（1）基金份额净值计算出现错误时，基金管理人应当立即予以纠正，通报基金托管人，并采取合理的措施防止损失进一步扩大。</w:t>
      </w:r>
    </w:p>
    <w:p w14:paraId="19581D0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（2）错误偏差达到基金份额净值的0.25%时，基金管理人应当通报基金托管人并报中国证监会备案；错误偏差达到基金份额净值的0.5%时，基金管理人应当公告并报中国证监会备案。</w:t>
      </w:r>
    </w:p>
    <w:p w14:paraId="645E0F7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（3）当基金份额净值计算差错给基金和基金份额持有人造成损失需要进行赔偿时，基金管理人和基金托管人应根据实际情况界定双方承担的责任，经确认后按以下条款进行赔偿：</w:t>
      </w:r>
    </w:p>
    <w:p w14:paraId="078479D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0041E6C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7B3EF4F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3948D36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④由于基金管理人提供的信息错误（包括但不限于基金申购或赎回金额等），进而导致基金份额净值计算错误而引起的基金份额持有人和基金财产的损失，由基金管理人负责赔付。</w:t>
      </w:r>
    </w:p>
    <w:p w14:paraId="39E290F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（4）前述内容如法律法规或者监管部门另有规定的，从其规定。如果行业另有通行做法，双方当事人应本着平等和保护基金份额持有人利益的原则进行协商。</w:t>
      </w:r>
    </w:p>
    <w:p w14:paraId="43DF8A2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（六）暂停估值的情形</w:t>
      </w:r>
    </w:p>
    <w:p w14:paraId="71C3C5C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1、基金投资所涉及的证券交易市场遇法定节假日或因其他原因暂停营业时；</w:t>
      </w:r>
    </w:p>
    <w:p w14:paraId="7E86FAF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2、因不可抗力致使基金管理人、基金托管人无法准确评估基金资产价值时；</w:t>
      </w:r>
    </w:p>
    <w:p w14:paraId="1B56E53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3、当特定资产占前一估值日基金资产净值50%以上的，经与基金托管人协商确认后，基金管理人应当暂停估值；</w:t>
      </w:r>
    </w:p>
    <w:p w14:paraId="6FA4693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4、法律法规、中国证监会和基金合同认定的其它情形。</w:t>
      </w:r>
    </w:p>
    <w:p w14:paraId="11643A1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（七）基金净值的确认</w:t>
      </w:r>
    </w:p>
    <w:p w14:paraId="4D1574A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用于基金信息披露的各类基金份额的基金资产净值和基金份额净值由基金管理人负责计算，基金托管人负责进行复核。基金管理人应于每个工作日交易结束后计算当日各类基金份额的基金资产净值和基金份额净值并发送给基金托管人。基金托管人对净值计算结果复核确认后发送给基金管理人，由基金管理人依据基金合同和相关法律法规的规定对基金净值予以公布。</w:t>
      </w:r>
    </w:p>
    <w:p w14:paraId="4B29CF0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（八）特殊情形的处理</w:t>
      </w:r>
    </w:p>
    <w:p w14:paraId="1DF8835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1、基金管理人或基金托管人按估值方法的第6项进行估值时，所造成的误差不作为基金资产估值错误处理。</w:t>
      </w:r>
    </w:p>
    <w:p w14:paraId="61D31F6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由于不可抗力原因，或由于证券交易所、证券经纪机构、登记结算公司及存款银行等第三方机构发送的数据错误，或国家会计政策变更、市场规则变更等，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7B68B63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（九）实施侧袋机制期间的基金资产估值</w:t>
      </w:r>
    </w:p>
    <w:p w14:paraId="7B23493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本基金实施侧袋机制的，应根据本部分的约定对主袋账户资产进行估值并披露主袋账户的基金净值信息，暂停披露侧袋账户份额净值。</w:t>
      </w:r>
    </w:p>
    <w:p w14:paraId="13BD099E" w14:textId="77777777" w:rsidR="00C61788" w:rsidRDefault="00BC098F" w:rsidP="00C6178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626BA41" w14:textId="77777777" w:rsidR="00234D74" w:rsidRDefault="00BC098F">
      <w:pPr>
        <w:pStyle w:val="1"/>
        <w:snapToGrid w:val="0"/>
        <w:spacing w:beforeLines="0" w:before="240" w:after="240"/>
        <w:rPr>
          <w:rFonts w:ascii="宋体" w:hAnsi="宋体"/>
          <w:szCs w:val="30"/>
        </w:rPr>
      </w:pPr>
      <w:bookmarkStart w:id="18" w:name="_Toc135728690"/>
      <w:r>
        <w:rPr>
          <w:rFonts w:ascii="Times New Roman" w:hAnsi="Times New Roman"/>
          <w:sz w:val="30"/>
        </w:rPr>
        <w:lastRenderedPageBreak/>
        <w:t>十四、基金收益与分配</w:t>
      </w:r>
      <w:bookmarkEnd w:id="18"/>
    </w:p>
    <w:p w14:paraId="26C430D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（一）基金利润的构成</w:t>
      </w:r>
    </w:p>
    <w:p w14:paraId="4F93AC0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14:paraId="6F3AB02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（二）基金可供分配利润</w:t>
      </w:r>
    </w:p>
    <w:p w14:paraId="3983AEF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基金可供分配利润指截至收益分配基准日基金未分配利润与未分配利润中已实现收益的孰低数。</w:t>
      </w:r>
    </w:p>
    <w:p w14:paraId="0BDB1C0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（三）基金收益分配原则</w:t>
      </w:r>
    </w:p>
    <w:p w14:paraId="6FCE450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1、本基金在封闭期内，收益分配应遵循下列原则：</w:t>
      </w:r>
    </w:p>
    <w:p w14:paraId="573A0DC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在符合有关基金分红条件的前提下，本基金每年收益分配次数至少1次，每份基金份额每次分配比例不得低于收益分配基准日每份基金份额可供分配利润的90%，若《基金合同》生效不满3个月可不进行收益分配；</w:t>
      </w:r>
    </w:p>
    <w:p w14:paraId="692E8F9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（2）本基金收益分配方式仅为现金分红一种收益分配方式，不进行红利再投资；</w:t>
      </w:r>
    </w:p>
    <w:p w14:paraId="3A474B9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（3）基金收益分配后任一类基金份额净值不能低于面值，即基金收益分配基准日的任一类基金份额净值减去该类每单位基金份额收益分配金额后不能低于面值；</w:t>
      </w:r>
    </w:p>
    <w:p w14:paraId="5C2C322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（4）由于本基金A类基金份额不收取销售服务费，C类基金份额收取销售服务费，各基金份额类别对应的可供分配利润将有所不同，本基金同一类别的每份基金份额享有同等分配权；</w:t>
      </w:r>
    </w:p>
    <w:p w14:paraId="268DE36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（5）法律法规或监管机关另有规定的，从其规定。</w:t>
      </w:r>
    </w:p>
    <w:p w14:paraId="2C58E3D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2、本基金转为开放式运作后，收益分配应遵循下列原则：</w:t>
      </w:r>
    </w:p>
    <w:p w14:paraId="6928B21F" w14:textId="5C361DBE"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（1）由于本基金A类基金份额</w:t>
      </w:r>
      <w:r w:rsidR="00BB09B0" w:rsidRPr="00BB09B0">
        <w:rPr>
          <w:rFonts w:ascii="宋体" w:hAnsi="宋体" w:hint="eastAsia"/>
          <w:sz w:val="24"/>
        </w:rPr>
        <w:t>和D类基金份额</w:t>
      </w:r>
      <w:r>
        <w:rPr>
          <w:rFonts w:ascii="宋体" w:hAnsi="宋体"/>
          <w:sz w:val="24"/>
        </w:rPr>
        <w:t>不收取销售服务费，C类基金份额收取销售服务费，各基金份额类别对应的可供分配利润将有所不同；</w:t>
      </w:r>
    </w:p>
    <w:p w14:paraId="5946505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（2）若基金封闭期结束转为开放式运作后不满3个月可不进行收益分配；</w:t>
      </w:r>
    </w:p>
    <w:p w14:paraId="7985D859" w14:textId="7404769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（3）本基金收益分配方式分两种：现金分红与红利再投资，投资者可选择现金红利或将现金红利自动转为</w:t>
      </w:r>
      <w:r w:rsidR="00BB09B0" w:rsidRPr="00A22ACB">
        <w:rPr>
          <w:rFonts w:hint="eastAsia"/>
          <w:bCs/>
          <w:sz w:val="24"/>
        </w:rPr>
        <w:t>相应类别的</w:t>
      </w:r>
      <w:r>
        <w:rPr>
          <w:rFonts w:ascii="宋体" w:hAnsi="宋体"/>
          <w:sz w:val="24"/>
        </w:rPr>
        <w:t>基金份额进行再投资；若投资者不选择，本基金默认的收益分配方式是现金分红；基金份额持有人可对其持有的A类基金份额</w:t>
      </w:r>
      <w:r w:rsidR="00BB09B0">
        <w:rPr>
          <w:rFonts w:ascii="宋体" w:hAnsi="宋体" w:hint="eastAsia"/>
          <w:sz w:val="24"/>
        </w:rPr>
        <w:t>、</w:t>
      </w:r>
      <w:r>
        <w:rPr>
          <w:rFonts w:ascii="宋体" w:hAnsi="宋体"/>
          <w:sz w:val="24"/>
        </w:rPr>
        <w:t>C类基金份额</w:t>
      </w:r>
      <w:r w:rsidR="00BB09B0" w:rsidRPr="00BB09B0">
        <w:rPr>
          <w:rFonts w:ascii="宋体" w:hAnsi="宋体" w:hint="eastAsia"/>
          <w:sz w:val="24"/>
        </w:rPr>
        <w:t>和D类基金份额</w:t>
      </w:r>
      <w:r>
        <w:rPr>
          <w:rFonts w:ascii="宋体" w:hAnsi="宋体"/>
          <w:sz w:val="24"/>
        </w:rPr>
        <w:t>分别选择不同的收益分配方式；</w:t>
      </w:r>
    </w:p>
    <w:p w14:paraId="1EC9C2F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（4）基金收益分配后任一类基金份额净值不能低于面值，即基金收益分配基准日的任一类基金份额净值减去该类每单位基金份额收益分配金额后不能低于面值；</w:t>
      </w:r>
    </w:p>
    <w:p w14:paraId="3D4A836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（5）本基金同一类别的每份基金份额享有同等分配权；</w:t>
      </w:r>
    </w:p>
    <w:p w14:paraId="6EA1082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（6）法律法规或监管机关另有规定的，从其规定。</w:t>
      </w:r>
    </w:p>
    <w:p w14:paraId="32C276F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（四）收益分配方案</w:t>
      </w:r>
    </w:p>
    <w:p w14:paraId="6959CCF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基金收益分配方案中应载明截止收益分配基准日的可供分配利润、基金收益分配对象、分配时间、分配数额及比例、分配方式等内容。</w:t>
      </w:r>
    </w:p>
    <w:p w14:paraId="351A3D7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（五）收益分配方案的确定、公告与实施</w:t>
      </w:r>
    </w:p>
    <w:p w14:paraId="4AB598A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本基金收益分配方案由基金管理人拟定，并由基金托管人复核，依照《信息披露办法》的有关规定在指定媒介公告。</w:t>
      </w:r>
    </w:p>
    <w:p w14:paraId="33AD6FD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基金红利发放日距离收益分配基准日（即可供分配利润计算截止日）的时间不得超过15个工作日。</w:t>
      </w:r>
    </w:p>
    <w:p w14:paraId="1FA8880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法律法规或监管机关另有规定的，从其规定。</w:t>
      </w:r>
    </w:p>
    <w:p w14:paraId="1F76AD1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（六）基金收益分配中发生的费用</w:t>
      </w:r>
    </w:p>
    <w:p w14:paraId="26DA0DB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时所发生的银行转账或其他手续费用由投资者自行承担。本基金转为开放式运作后，当投资者的现金红利小于一定金额，不足以支付银行转账或其他手续费用时，登记机构可将基金份额持有人的现金红利自动转为相应类别的基金份额。红利再投资的计算方法，依照《业务规则》执行。</w:t>
      </w:r>
    </w:p>
    <w:p w14:paraId="164CE33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（七）收益分配方式的修改</w:t>
      </w:r>
    </w:p>
    <w:p w14:paraId="1EB5CEF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投资人可至销售机构办理收益分配方式的修改，投资人对本基金不同的交易账户可设置不同的收益分配方式。</w:t>
      </w:r>
    </w:p>
    <w:p w14:paraId="3FD1714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投资人同一日多次申报收益分配方式变更的，按照《业务规则》执行，最终确认的收益分配方式以登记机构记录为准。</w:t>
      </w:r>
    </w:p>
    <w:p w14:paraId="60F2CC2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（八）实施侧袋机制期间的收益分配</w:t>
      </w:r>
    </w:p>
    <w:p w14:paraId="5D8F434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本基金实施侧袋机制的，侧袋账户不进行收益分配。</w:t>
      </w:r>
    </w:p>
    <w:p w14:paraId="5C148A01" w14:textId="77777777" w:rsidR="00C61788" w:rsidRDefault="00BC098F" w:rsidP="00C6178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AFF1D56" w14:textId="77777777" w:rsidR="00234D74" w:rsidRDefault="00BC098F">
      <w:pPr>
        <w:pStyle w:val="1"/>
        <w:snapToGrid w:val="0"/>
        <w:spacing w:beforeLines="0" w:before="240" w:after="240"/>
        <w:rPr>
          <w:rFonts w:ascii="宋体" w:hAnsi="宋体"/>
          <w:szCs w:val="30"/>
        </w:rPr>
      </w:pPr>
      <w:bookmarkStart w:id="19" w:name="_Toc135728691"/>
      <w:r>
        <w:rPr>
          <w:rFonts w:ascii="Times New Roman" w:hAnsi="Times New Roman"/>
          <w:sz w:val="30"/>
        </w:rPr>
        <w:lastRenderedPageBreak/>
        <w:t>十五、基金的费用与税收</w:t>
      </w:r>
      <w:bookmarkEnd w:id="19"/>
    </w:p>
    <w:p w14:paraId="48151EF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（一）基金费用的种类</w:t>
      </w:r>
    </w:p>
    <w:p w14:paraId="6D51E8C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7A5D296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630B783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3、《基金合同》生效后与基金相关的信息披露费用；</w:t>
      </w:r>
    </w:p>
    <w:p w14:paraId="4A10B22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4、《基金合同》生效后与基金相关的会计师费、律师费、仲裁费和诉讼费；</w:t>
      </w:r>
    </w:p>
    <w:p w14:paraId="7D901F0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5、基金份额持有人大会费用；</w:t>
      </w:r>
    </w:p>
    <w:p w14:paraId="1D03D9C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6、基金的证券交易费用；</w:t>
      </w:r>
    </w:p>
    <w:p w14:paraId="37C5F5E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7、基金的银行汇划费用；</w:t>
      </w:r>
    </w:p>
    <w:p w14:paraId="4077F75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8、基金的开户费用、账户维护费用；</w:t>
      </w:r>
    </w:p>
    <w:p w14:paraId="555781B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9、本基金从C类基金份额的基金财产中计提的销售服务费；</w:t>
      </w:r>
    </w:p>
    <w:p w14:paraId="1918388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10、按照国家有关规定和《基金合同》约定，可以在基金财产中列支的其他费用。</w:t>
      </w:r>
    </w:p>
    <w:p w14:paraId="513D4DD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（二）基金费用计提方法、计提标准和支付方式</w:t>
      </w:r>
    </w:p>
    <w:p w14:paraId="37E0E15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14:paraId="4930A59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6A4D381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本基金的管理费按前一日基金资产净值的0.3%年费率计提。管理费的计算方法如下：</w:t>
      </w:r>
    </w:p>
    <w:p w14:paraId="2F6CD67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H＝E×0.3%÷当年天数</w:t>
      </w:r>
    </w:p>
    <w:p w14:paraId="7D6B86F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H为每日应计提的基金管理费</w:t>
      </w:r>
    </w:p>
    <w:p w14:paraId="21258A5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383A33D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费每日计提，逐日累计至每月月末，按月支付。由基金管理人与基金托管人核对一致后，由基金托管人按照与基金管理人协商一致的方式自动于次月首日起5个工作日内从基金财产中一次性支付给基金管理人，若遇法定节假日、休息日或不可抗力致使无法按时支付的，支付日期顺延。</w:t>
      </w:r>
    </w:p>
    <w:p w14:paraId="2BE42E2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6BCA6C1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本基金的托管费按前一日基金资产净值的0.1%的年费率计提。托管费的计算方法如下：</w:t>
      </w:r>
    </w:p>
    <w:p w14:paraId="4FA1D93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H＝E×0.1%÷当年天数</w:t>
      </w:r>
    </w:p>
    <w:p w14:paraId="0F160C0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H为每日应计提的基金托管费</w:t>
      </w:r>
    </w:p>
    <w:p w14:paraId="5BD889F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1D309FC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费每日计提，逐日累计至每月月末，按月支付。由基金管理人与基金托管人核对一致后，由基金托管人按照与基金管理人协商一致的方式自动于次月首日起5个工作日内从基金财产中一次性支付给基金托管人，若遇法定节假日、休息日或不可抗力致使无法按时支付的，支付日期顺延。</w:t>
      </w:r>
    </w:p>
    <w:p w14:paraId="6D6E0B6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（3）C类基金份额的销售服务费</w:t>
      </w:r>
    </w:p>
    <w:p w14:paraId="31B84928" w14:textId="25801CBE"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w:t>
      </w:r>
      <w:r w:rsidR="00544208" w:rsidRPr="00544208">
        <w:rPr>
          <w:rFonts w:ascii="宋体" w:hAnsi="宋体" w:hint="eastAsia"/>
          <w:sz w:val="24"/>
        </w:rPr>
        <w:t>和D类基金份额</w:t>
      </w:r>
      <w:r>
        <w:rPr>
          <w:rFonts w:ascii="宋体" w:hAnsi="宋体"/>
          <w:sz w:val="24"/>
        </w:rPr>
        <w:t>不收取销售服务费，C类基金份额的销售服务费按前一日C类基金资产净值的0.6%年费率计提。计算方法如下：</w:t>
      </w:r>
    </w:p>
    <w:p w14:paraId="05DB5C2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H＝E×0.6%÷当年天数</w:t>
      </w:r>
    </w:p>
    <w:p w14:paraId="4B6BD94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H为C类基金份额每日应计提的销售服务费</w:t>
      </w:r>
    </w:p>
    <w:p w14:paraId="037A613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E为C类基金份额前一日基金资产净值</w:t>
      </w:r>
    </w:p>
    <w:p w14:paraId="08F0433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销售服务费每日计提，逐日累计至每月月末，按月支付。由基金管理人与基金托管人核对一致后，由基金托管人按照与基金管理人协商一致的方式自动于次月首日起5个工作日内从基金财产中一次性支付给基金管理人，由基金管理人代付给销售机构，若遇法定节假日、休息日或不可抗力致使无法按时支付的，支付日期顺延。</w:t>
      </w:r>
    </w:p>
    <w:p w14:paraId="044F4C5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C类基金份额的销售服务费将专门用于本基金的推广、销售与基金份额持有人服务。</w:t>
      </w:r>
    </w:p>
    <w:p w14:paraId="7130FB7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（4）上述“（一）基金费用的种类”中第3－8项、第10项费用，根据有关法规及相应协议规定，按费用实际支出金额列入当期费用，由基金托管人从基金财产中支付。</w:t>
      </w:r>
    </w:p>
    <w:p w14:paraId="7F2B540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2、与基金销售有关的费用</w:t>
      </w:r>
    </w:p>
    <w:p w14:paraId="3C44588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w:t>
      </w:r>
    </w:p>
    <w:p w14:paraId="2504285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本基金申购费的费率水平、计算公式和收取方式详见“基金份额的申购与赎回”一章。</w:t>
      </w:r>
    </w:p>
    <w:p w14:paraId="2B8CD63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w:t>
      </w:r>
    </w:p>
    <w:p w14:paraId="5502EDC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本基金赎回费的费率水平、计算公式和收取方式详见“基金份额的申购与赎回”一章。</w:t>
      </w:r>
    </w:p>
    <w:p w14:paraId="6C69819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（三）不列入基金费用的项目</w:t>
      </w:r>
    </w:p>
    <w:p w14:paraId="269CD5C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下列费用不列入基金费用：</w:t>
      </w:r>
    </w:p>
    <w:p w14:paraId="69C1B9A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1、基金管理人和基金托管人因未履行或未完全履行义务导致的费用支出或基金财产的损失；</w:t>
      </w:r>
    </w:p>
    <w:p w14:paraId="47FC731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2、基金管理人和基金托管人处理与基金运作无关的事项发生的费用；</w:t>
      </w:r>
    </w:p>
    <w:p w14:paraId="3AD82C5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3、《基金合同》生效前的相关费用；</w:t>
      </w:r>
    </w:p>
    <w:p w14:paraId="122B0B6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4、其他根据相关法律法规及中国证监会的有关规定不得列入基金费用的项目。</w:t>
      </w:r>
    </w:p>
    <w:p w14:paraId="1860846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和基金托管人可根据基金发展情况，履行适当的程序后调整基金管理费率、基金托管费率和C类基金份额销售服务费率等相关费率。降低C类基金份额销售服务费率，无须召开基金份额持有人大会。基金管理人必须依照有关规定于新的费率实施日前在指定媒介上刊登公告。</w:t>
      </w:r>
    </w:p>
    <w:p w14:paraId="49C3EFB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（五）实施侧袋机制期间的基金费用</w:t>
      </w:r>
    </w:p>
    <w:p w14:paraId="7CCFC47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本基金实施侧袋机制的，与侧袋账户有关的费用可以从侧袋账户中列支，但应待侧袋账户资产变现后方可列支，有关费用可酌情收取或减免，但不得收取管理费，详见本招募说明书“侧袋机制”部分的规定。</w:t>
      </w:r>
    </w:p>
    <w:p w14:paraId="49B242D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（六）基金税收</w:t>
      </w:r>
    </w:p>
    <w:p w14:paraId="56BBBC2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本基金运作过程中涉及的各纳税主体，其纳税义务按国家税收法律、法规执行。</w:t>
      </w:r>
    </w:p>
    <w:p w14:paraId="7B2EE46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基金财产投资的相关税收，由基金份额持有人承担，基金管理人或者其他扣缴义务人按照国家有关税收征收的规定代扣代缴。</w:t>
      </w:r>
    </w:p>
    <w:p w14:paraId="50FD76B8" w14:textId="77777777" w:rsidR="00C61788" w:rsidRDefault="00BC098F" w:rsidP="00C6178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6C0644F" w14:textId="77777777" w:rsidR="00234D74" w:rsidRDefault="00BC098F">
      <w:pPr>
        <w:pStyle w:val="1"/>
        <w:snapToGrid w:val="0"/>
        <w:spacing w:beforeLines="0" w:before="240" w:after="240"/>
        <w:rPr>
          <w:rFonts w:ascii="宋体" w:hAnsi="宋体"/>
          <w:szCs w:val="30"/>
        </w:rPr>
      </w:pPr>
      <w:bookmarkStart w:id="20" w:name="_Toc135728692"/>
      <w:r>
        <w:rPr>
          <w:rFonts w:ascii="Times New Roman" w:hAnsi="Times New Roman"/>
          <w:sz w:val="30"/>
        </w:rPr>
        <w:lastRenderedPageBreak/>
        <w:t>十六、基金的会计与审计</w:t>
      </w:r>
      <w:bookmarkEnd w:id="20"/>
    </w:p>
    <w:p w14:paraId="3DD5010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（一）基金会计政策</w:t>
      </w:r>
    </w:p>
    <w:p w14:paraId="2F94D9E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1、基金管理人为本基金的基金会计责任方；</w:t>
      </w:r>
    </w:p>
    <w:p w14:paraId="7C778E5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2、基金的会计年度为公历年度的1月1日至12月31日；基金首次募集的会计年度按如下原则：如果《基金合同》生效少于2个月，可以并入下一个会计年度披露；</w:t>
      </w:r>
    </w:p>
    <w:p w14:paraId="119D68C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3、基金核算以人民币为记账本位币，以人民币元为记账单位；</w:t>
      </w:r>
    </w:p>
    <w:p w14:paraId="5EC8FF1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4、会计制度执行国家有关会计制度；</w:t>
      </w:r>
    </w:p>
    <w:p w14:paraId="5FEF180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14:paraId="7279BC5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6、基金管理人及基金托管人各自保留完整的会计账目、凭证并进行日常的会计核算，按照有关规定编制基金会计报表；</w:t>
      </w:r>
    </w:p>
    <w:p w14:paraId="433BB38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7、基金托管人每月与基金管理人就基金的会计核算、报表编制等进行核对并以书面方式确认。</w:t>
      </w:r>
    </w:p>
    <w:p w14:paraId="6463B63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（二）基金的年度审计</w:t>
      </w:r>
    </w:p>
    <w:p w14:paraId="6052F45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1、基金管理人聘请与基金管理人、基金托管人相互独立的具有证券、期货相关从业资格的会计师事务所及其注册会计师对本基金的年度财务报表进行审计。</w:t>
      </w:r>
    </w:p>
    <w:p w14:paraId="6975621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2、会计师事务所更换经办注册会计师，应事先征得基金管理人同意。</w:t>
      </w:r>
    </w:p>
    <w:p w14:paraId="5740B8B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3、基金管理人认为有充足理由更换会计师事务所，须通报基金托管人。更换会计师事务所需按照《信息披露办法》的有关规定在指定媒介公告。</w:t>
      </w:r>
    </w:p>
    <w:p w14:paraId="68FB0C56" w14:textId="77777777" w:rsidR="00C61788" w:rsidRDefault="00BC098F" w:rsidP="00C6178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2152081" w14:textId="77777777" w:rsidR="00234D74" w:rsidRDefault="00BC098F">
      <w:pPr>
        <w:pStyle w:val="1"/>
        <w:snapToGrid w:val="0"/>
        <w:spacing w:beforeLines="0" w:before="240" w:after="240"/>
        <w:rPr>
          <w:rFonts w:ascii="宋体" w:hAnsi="宋体"/>
          <w:szCs w:val="30"/>
        </w:rPr>
      </w:pPr>
      <w:bookmarkStart w:id="21" w:name="_Toc135728693"/>
      <w:r>
        <w:rPr>
          <w:rFonts w:ascii="Times New Roman" w:hAnsi="Times New Roman"/>
          <w:sz w:val="30"/>
        </w:rPr>
        <w:lastRenderedPageBreak/>
        <w:t>十七、基金的信息披露</w:t>
      </w:r>
      <w:bookmarkEnd w:id="21"/>
    </w:p>
    <w:p w14:paraId="7F8C9F7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（一）本基金的信息披露应符合《基金法》、《运作办法》、《信息披露办法》、《流动性规定》、《基金合同》及其他有关规定。</w:t>
      </w:r>
    </w:p>
    <w:p w14:paraId="50CFB28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（二）信息披露义务人</w:t>
      </w:r>
    </w:p>
    <w:p w14:paraId="4B013C2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本基金信息披露义务人包括基金管理人、基金托管人、召集基金份额持有人大会的基金份额持有人等法律法规和中国证监会规定的自然人、法人和非法人组织。</w:t>
      </w:r>
    </w:p>
    <w:p w14:paraId="096DDD8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14:paraId="56D8DF8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5903590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（三）本基金信息披露义务人承诺公开披露的基金信息，不得有下列行为：</w:t>
      </w:r>
    </w:p>
    <w:p w14:paraId="707BB42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14:paraId="54BB9FC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14:paraId="3CEE4EB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14:paraId="1D4EBB1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14:paraId="706D324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14:paraId="282FD45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14:paraId="4DF11C8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（四）本基金公开披露的信息应采用中文文本。同时采用外文文本的，基金信息披露义务人应保证不同文本的内容一致。不同文本之间发生歧义的，以中文文本为准。</w:t>
      </w:r>
    </w:p>
    <w:p w14:paraId="35E0B04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14:paraId="07D84F7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（五）公开披露的基金信息</w:t>
      </w:r>
    </w:p>
    <w:p w14:paraId="106D6BB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14:paraId="50CAED8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1、基金招募说明书、《基金合同》、基金托管协议、基金产品资料概要</w:t>
      </w:r>
    </w:p>
    <w:p w14:paraId="140732E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（1）《基金合同》是界定《基金合同》当事人的各项权利、义务关系，明确基</w:t>
      </w:r>
      <w:r>
        <w:rPr>
          <w:rFonts w:ascii="宋体" w:hAnsi="宋体"/>
          <w:sz w:val="24"/>
        </w:rPr>
        <w:lastRenderedPageBreak/>
        <w:t>金份额持有人大会召开的规则及具体程序，说明基金产品的特性等涉及基金投资者重大利益的事项的法律文件。</w:t>
      </w:r>
    </w:p>
    <w:p w14:paraId="7338A01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5E6323F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14:paraId="1C68AE9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76FF0FE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基金募集申请经中国证监会注册后，基金管理人在基金份额发售的3日前，将基金招募说明书、《基金合同》摘要登载在指定媒介上；基金管理人、基金托管人应当将《基金合同》、基金托管协议登载在网站上。</w:t>
      </w:r>
    </w:p>
    <w:p w14:paraId="3212E9F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2、基金份额发售公告</w:t>
      </w:r>
    </w:p>
    <w:p w14:paraId="1AA66DB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基金管理人应当就基金份额发售的具体事宜编制基金份额发售公告，并在披露招募说明书的当日登载于指定媒介上。</w:t>
      </w:r>
    </w:p>
    <w:p w14:paraId="7DCCD0A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3、《基金合同》生效公告</w:t>
      </w:r>
    </w:p>
    <w:p w14:paraId="356DDDE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基金管理人应当在收到中国证监会确认文件的次日在指定媒介上登载《基金合同》生效公告。</w:t>
      </w:r>
    </w:p>
    <w:p w14:paraId="52E6C02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4、基金净值信息</w:t>
      </w:r>
    </w:p>
    <w:p w14:paraId="7966A52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《基金合同》生效后，在开始办理基金份额申购或者赎回前，基金管理人应当至少每周在指定网站分别披露一次A类基金份额和C类基金份额所对应的基金份额净值和基金份额累计净值。</w:t>
      </w:r>
    </w:p>
    <w:p w14:paraId="71DBD011" w14:textId="6A4661D5"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在开始办理基金份额申购或者赎回后，基金管理人应当在不晚于每个开放日的</w:t>
      </w:r>
      <w:r>
        <w:rPr>
          <w:rFonts w:ascii="宋体" w:hAnsi="宋体"/>
          <w:sz w:val="24"/>
        </w:rPr>
        <w:lastRenderedPageBreak/>
        <w:t>次日，通过指定网站、基金销售机构网站或者营业网点分别披露开放日的A类基金份额</w:t>
      </w:r>
      <w:r w:rsidR="00E72718">
        <w:rPr>
          <w:rFonts w:hint="eastAsia"/>
          <w:bCs/>
          <w:sz w:val="24"/>
        </w:rPr>
        <w:t>、</w:t>
      </w:r>
      <w:r>
        <w:rPr>
          <w:rFonts w:ascii="宋体" w:hAnsi="宋体"/>
          <w:sz w:val="24"/>
        </w:rPr>
        <w:t>C类基金份额</w:t>
      </w:r>
      <w:r w:rsidR="00E72718" w:rsidRPr="00E72718">
        <w:rPr>
          <w:rFonts w:ascii="宋体" w:hAnsi="宋体" w:hint="eastAsia"/>
          <w:sz w:val="24"/>
        </w:rPr>
        <w:t>和D类基金份额</w:t>
      </w:r>
      <w:r>
        <w:rPr>
          <w:rFonts w:ascii="宋体" w:hAnsi="宋体"/>
          <w:sz w:val="24"/>
        </w:rPr>
        <w:t>所对应的基金份额净值和基金份额累计净值。</w:t>
      </w:r>
    </w:p>
    <w:p w14:paraId="18CA0DD8" w14:textId="292426A3"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基金管理人应当在不晚于半年度和年度最后一日的次日，在指定网站披露半年度和年度最后一日的A类基金份额</w:t>
      </w:r>
      <w:r w:rsidR="00E72718">
        <w:rPr>
          <w:rFonts w:hint="eastAsia"/>
          <w:bCs/>
          <w:sz w:val="24"/>
        </w:rPr>
        <w:t>、</w:t>
      </w:r>
      <w:r>
        <w:rPr>
          <w:rFonts w:ascii="宋体" w:hAnsi="宋体"/>
          <w:sz w:val="24"/>
        </w:rPr>
        <w:t>C类基金份额</w:t>
      </w:r>
      <w:r w:rsidR="00E72718" w:rsidRPr="00E72718">
        <w:rPr>
          <w:rFonts w:ascii="宋体" w:hAnsi="宋体" w:hint="eastAsia"/>
          <w:sz w:val="24"/>
        </w:rPr>
        <w:t>和D类基金份额</w:t>
      </w:r>
      <w:r>
        <w:rPr>
          <w:rFonts w:ascii="宋体" w:hAnsi="宋体"/>
          <w:sz w:val="24"/>
        </w:rPr>
        <w:t>所对应的基金份额净值和基金份额累计净值。</w:t>
      </w:r>
    </w:p>
    <w:p w14:paraId="1A81E01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5、基金份额申购、赎回价格</w:t>
      </w:r>
    </w:p>
    <w:p w14:paraId="037E131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16B0340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6、基金定期报告，包括基金年度报告、基金中期报告和基金季度报告</w:t>
      </w:r>
    </w:p>
    <w:p w14:paraId="00C99B8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515F9A5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基金管理人应当在上半年结束之日起两个月内，编制完成基金中期报告，将中期报告登载在指定网站上，并将中期报告提示性公告登载在指定报刊上。</w:t>
      </w:r>
    </w:p>
    <w:p w14:paraId="5BB042A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基金管理人应当在季度结束之日起15个工作日内，编制完成基金季度报告，将季度报告登载在指定网站上，并将季度报告提示性公告登载在指定报刊上。</w:t>
      </w:r>
    </w:p>
    <w:p w14:paraId="13FA30E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《基金合同》生效不足2个月的，基金管理人可以不编制当期季度报告、中期报告或者年度报告。</w:t>
      </w:r>
    </w:p>
    <w:p w14:paraId="0032C9C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运作期间，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377402E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本基金转为开放式运作后，基金管理人应当在基金年度报告和中期报告中披露基金组合资产情况及其流动性风险分析等。</w:t>
      </w:r>
    </w:p>
    <w:p w14:paraId="789F49E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7、临时报告</w:t>
      </w:r>
    </w:p>
    <w:p w14:paraId="11E40FA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本基金发生重大事件，有关信息披露义务人应当在2日内编制临时报告书，并登载在指定报刊和指定网站上。</w:t>
      </w:r>
    </w:p>
    <w:p w14:paraId="7539F5A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前款所称重大事件，是指可能对基金份额持有人权益或者基金份额的价格产生</w:t>
      </w:r>
      <w:r>
        <w:rPr>
          <w:rFonts w:ascii="宋体" w:hAnsi="宋体"/>
          <w:sz w:val="24"/>
        </w:rPr>
        <w:lastRenderedPageBreak/>
        <w:t>重大影响的下列事件：</w:t>
      </w:r>
    </w:p>
    <w:p w14:paraId="4B91DC0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（1）基金份额持有人大会的召开及决定的事项；</w:t>
      </w:r>
    </w:p>
    <w:p w14:paraId="35B3337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14:paraId="36CB23A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（3）转换基金运作方式（本基金基金合同生效满两年直接转为开放式运作除外）、基金合并；</w:t>
      </w:r>
    </w:p>
    <w:p w14:paraId="2A24281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（4）更换基金管理人、基金托管人、基金份额登记机构，基金改聘会计师事务所；</w:t>
      </w:r>
    </w:p>
    <w:p w14:paraId="4823EE4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14:paraId="2579CCE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14:paraId="4CB7687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（7）基金管理人变更持有百分之五以上股权的股东、基金管理人的实际控制人变更；</w:t>
      </w:r>
    </w:p>
    <w:p w14:paraId="332FFBF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（8）基金募集期延长或提前结束募集；</w:t>
      </w:r>
    </w:p>
    <w:p w14:paraId="52E319C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（9）基金管理人的高级管理人员、基金经理和基金托管人专门基金托管部门负责人发生变动；</w:t>
      </w:r>
    </w:p>
    <w:p w14:paraId="6D611E0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14:paraId="41CA66A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（11）涉及基金财产、基金管理业务、基金托管业务的诉讼或仲裁；</w:t>
      </w:r>
    </w:p>
    <w:p w14:paraId="0CD1332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14:paraId="50A3CC6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36E6AEC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（14）基金收益分配事项；</w:t>
      </w:r>
    </w:p>
    <w:p w14:paraId="4ACC6DD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（15）管理费、托管费、销售服务费、申购费、赎回费等费用计提标准、计提方式和费率发生变更；</w:t>
      </w:r>
    </w:p>
    <w:p w14:paraId="1F9FF2D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（16）任一类基金份额净值计价错误达该类基金份额净值百分之零点五；</w:t>
      </w:r>
    </w:p>
    <w:p w14:paraId="5633A1A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（17）本基金开始办理申购、赎回；</w:t>
      </w:r>
    </w:p>
    <w:p w14:paraId="15CD806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（18）本基金发生巨额赎回并延期办理；</w:t>
      </w:r>
    </w:p>
    <w:p w14:paraId="07C499A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（19）本基金连续发生巨额赎回并暂停接受赎回申请或延缓支付赎回款项；</w:t>
      </w:r>
    </w:p>
    <w:p w14:paraId="1C46B2F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（20）本基金暂停接受申购、赎回申请或重新接受申购、赎回申请；</w:t>
      </w:r>
    </w:p>
    <w:p w14:paraId="5F4D9DA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（21）发生涉及基金申购、赎回事项调整或潜在影响投资者赎回等重大事项时；</w:t>
      </w:r>
    </w:p>
    <w:p w14:paraId="3FA4FDC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（22）基金管理人采用摆动定价机制进行估值；</w:t>
      </w:r>
    </w:p>
    <w:p w14:paraId="37A8C8C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（23）本基金增加或调整基金份额类别；</w:t>
      </w:r>
    </w:p>
    <w:p w14:paraId="612A91E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（24）本基金转为开放式运作后发生涉及基金申购、赎回事项调整或潜在影响投资者赎回等重大事项；</w:t>
      </w:r>
    </w:p>
    <w:p w14:paraId="392CBD3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（25）基金信息披露义务人认为可能对基金份额持有人权益或者基金份额的价格产生重大影响的其他事项或中国证监会规定的其他事项。</w:t>
      </w:r>
    </w:p>
    <w:p w14:paraId="046490F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8、澄清公告</w:t>
      </w:r>
    </w:p>
    <w:p w14:paraId="211A62B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0C49100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9、基金份额持有人大会决议</w:t>
      </w:r>
    </w:p>
    <w:p w14:paraId="69F862F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14:paraId="78FA4F3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14:paraId="35BDB98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10、实施侧袋机制期间的信息披露</w:t>
      </w:r>
    </w:p>
    <w:p w14:paraId="4A82A9D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本基金实施侧袋机制的，相关信息披露义务人应当根据法律法规、基金合同和招募说明书的规定进行信息披露，详见本招募说明书“侧袋机制”部分的规定。</w:t>
      </w:r>
    </w:p>
    <w:p w14:paraId="11BA490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11、清算报告</w:t>
      </w:r>
    </w:p>
    <w:p w14:paraId="328FE2D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54FF0BE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12、基金投资资产支持证券情况</w:t>
      </w:r>
    </w:p>
    <w:p w14:paraId="5778920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投资资产支持证券，基金管理人应在基金年报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4787131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13、基金投资中小企业私募债情况</w:t>
      </w:r>
    </w:p>
    <w:p w14:paraId="23F3956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投资中小企业私募债券后2个交易日内，在中国证监会指定媒介披露所投资中小企业私募债券的名称、数量、期限、收益率等信息。基金管理人应当在基金年度报告、基金中期报告和基金季度报告等定期报告和招募说明书等文件中披露中小企业私募债券的投资情况。</w:t>
      </w:r>
    </w:p>
    <w:p w14:paraId="52B7273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14、中国证监会规定的其他信息。</w:t>
      </w:r>
    </w:p>
    <w:p w14:paraId="57678B6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（六）信息披露事务管理</w:t>
      </w:r>
    </w:p>
    <w:p w14:paraId="3A5B808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14:paraId="635F796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基金信息披露义务人公开披露基金信息，应当符合中国证监会相关基金信息披露内容与格式准则等法律法规规定。</w:t>
      </w:r>
    </w:p>
    <w:p w14:paraId="60C1A954" w14:textId="6AEAF129"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w:t>
      </w:r>
      <w:r w:rsidR="00701A9A">
        <w:rPr>
          <w:rFonts w:hint="eastAsia"/>
          <w:bCs/>
          <w:sz w:val="24"/>
        </w:rPr>
        <w:t>各类</w:t>
      </w:r>
      <w:r>
        <w:rPr>
          <w:rFonts w:ascii="宋体" w:hAnsi="宋体"/>
          <w:sz w:val="24"/>
        </w:rPr>
        <w:t>基金份额净值、基金份额申购赎回价格、基金定期报告、更新的招募说明书、基金产品资料概要、基金清算报告等公开披露的相关基金信息进行复核、审查，并向基金管理人进行书面或电子确认。</w:t>
      </w:r>
    </w:p>
    <w:p w14:paraId="0089E2D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44D03E7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03F8B4A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为基金信息披露义务人公开披露的基金信息出具审计报告、法律意见书的专业机构，应当制作工作底稿，并将相关档案至少保存到《基金合同》终止后10年。</w:t>
      </w:r>
    </w:p>
    <w:p w14:paraId="7736EE5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基金管理人、基金托管人除按法律法规要求披露信息外，也可着眼于为投资者决策提供有用信息的角度，在保证公平对待投资者、不误导投资者、不影响基金正</w:t>
      </w:r>
      <w:r>
        <w:rPr>
          <w:rFonts w:ascii="宋体" w:hAnsi="宋体"/>
          <w:sz w:val="24"/>
        </w:rPr>
        <w:lastRenderedPageBreak/>
        <w:t>常投资操作的前提下，自主提升信息披露服务的质量。具体要求应当符合中国证监会及自律规则的相关规定。前述自主披露如产生信息披露费用，该费用不得从基金财产中列支。</w:t>
      </w:r>
    </w:p>
    <w:p w14:paraId="116255A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（七）信息披露文件的存放与查阅</w:t>
      </w:r>
    </w:p>
    <w:p w14:paraId="047BA2A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依法必须披露的信息发布后，基金管理人、基金托管人应当按照相关法律法规规定将信息置备于各自住所，供社会公众查阅、复制。</w:t>
      </w:r>
    </w:p>
    <w:p w14:paraId="161CD8F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（八）本基金信息披露事项以法律法规规定及本章节约定的内容为准。</w:t>
      </w:r>
    </w:p>
    <w:p w14:paraId="6BBC107C" w14:textId="77777777" w:rsidR="00C61788" w:rsidRDefault="00BC098F" w:rsidP="00C6178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8D14AF3" w14:textId="77777777" w:rsidR="00234D74" w:rsidRDefault="00BC098F">
      <w:pPr>
        <w:pStyle w:val="1"/>
        <w:snapToGrid w:val="0"/>
        <w:spacing w:beforeLines="0" w:before="240" w:after="240"/>
        <w:rPr>
          <w:rFonts w:ascii="宋体" w:hAnsi="宋体"/>
          <w:szCs w:val="30"/>
        </w:rPr>
      </w:pPr>
      <w:bookmarkStart w:id="22" w:name="_Toc135728694"/>
      <w:r>
        <w:rPr>
          <w:rFonts w:ascii="Times New Roman" w:hAnsi="Times New Roman"/>
          <w:sz w:val="30"/>
        </w:rPr>
        <w:lastRenderedPageBreak/>
        <w:t>十八、侧袋机制</w:t>
      </w:r>
      <w:bookmarkEnd w:id="22"/>
    </w:p>
    <w:p w14:paraId="00352752" w14:textId="77777777" w:rsidR="00234D74" w:rsidRDefault="00BC098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（一）侧袋机制的实施条件</w:t>
      </w:r>
    </w:p>
    <w:p w14:paraId="12321C8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277C3EA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基金管理人应当在启用侧袋机制后及时发布临时公告，并在五个工作日内聘请侧袋机制启用日发表意见且符合《中华人民共和国证券法》规定的会计师事务所进行审计并披露专项审计意见。</w:t>
      </w:r>
    </w:p>
    <w:p w14:paraId="647D7BCC" w14:textId="77777777" w:rsidR="00234D74" w:rsidRDefault="00BC098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（二）实施侧袋机制期间基金份额的申购与赎回</w:t>
      </w:r>
    </w:p>
    <w:p w14:paraId="3D03245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3C94FDC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2、实施侧袋机制期间，基金管理人不办理侧袋账户份额的申购、赎回和转换；同时，基金管理人按照基金合同和招募说明书的约定办理主袋账户份额的赎回，并根据主袋账户运作情况确定是否暂停申购。</w:t>
      </w:r>
    </w:p>
    <w:p w14:paraId="3AD8D10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10%认定。</w:t>
      </w:r>
    </w:p>
    <w:p w14:paraId="2AD6C3B2" w14:textId="77777777" w:rsidR="00234D74" w:rsidRDefault="00BC098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（三）实施侧袋机制期间的基金投资</w:t>
      </w:r>
    </w:p>
    <w:p w14:paraId="0C1E3D3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招募说明书“基金的投资”部分约定的投资组合比例、投资策略、组合限制、业绩比较基准、风险收益特征等约定仅适用于主袋账户。基金管理人计算各项投资运作指标和基金业绩指标时仅需考虑主袋账户资产。</w:t>
      </w:r>
    </w:p>
    <w:p w14:paraId="7F1F074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基金管理人原则上应当在侧袋机制启用后20个交易日内完成对主袋账户投资组合的调整，因资产流动性受限等中国证监会规定的情形除外。</w:t>
      </w:r>
    </w:p>
    <w:p w14:paraId="6466ED4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基金管理人不得在侧袋账户中进行除特定资产处置变现以外的其他投资操作。</w:t>
      </w:r>
    </w:p>
    <w:p w14:paraId="5BA9CFE0" w14:textId="77777777" w:rsidR="00234D74" w:rsidRDefault="00BC098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（四）实施侧袋机制期间的基金估值</w:t>
      </w:r>
    </w:p>
    <w:p w14:paraId="1C98B3B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本基金实施侧袋机制的，基金管理人和基金托管人应对主袋账户资产进行估值</w:t>
      </w:r>
      <w:r>
        <w:rPr>
          <w:rFonts w:ascii="宋体" w:hAnsi="宋体"/>
          <w:sz w:val="24"/>
        </w:rPr>
        <w:lastRenderedPageBreak/>
        <w:t>并披露主袋账户的基金净值信息，暂停披露侧袋账户份额净值。侧袋账户的会计核算应符合《企业会计准则》的相关要求。</w:t>
      </w:r>
    </w:p>
    <w:p w14:paraId="2933708A" w14:textId="77777777" w:rsidR="00234D74" w:rsidRDefault="00BC098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（五）实施侧袋账户期间的基金费用</w:t>
      </w:r>
    </w:p>
    <w:p w14:paraId="357117A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1、本基金实施侧袋机制的，管理费和托管费按主袋账户基金资产净值作为基数计提。</w:t>
      </w:r>
    </w:p>
    <w:p w14:paraId="4EA634D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2、与侧袋账户有关的费用可从侧袋账户中列支，但应待侧袋账户资产变现后方可列支，有关费用可酌情收取或减免，但不得收取管理费。</w:t>
      </w:r>
    </w:p>
    <w:p w14:paraId="59470D80" w14:textId="77777777" w:rsidR="00234D74" w:rsidRDefault="00BC098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（六）侧袋账户中特定资产的处置变现和支付</w:t>
      </w:r>
    </w:p>
    <w:p w14:paraId="15DDD41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7A1D97F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5C5AFDD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侧袋账户资产全部完成变现并终止侧袋机制后，基金管理人应及时聘请符合《中华人民共和国证券法》规定的会计师事务所进行审计并披露专项审计意见。</w:t>
      </w:r>
    </w:p>
    <w:p w14:paraId="29C94D11" w14:textId="77777777" w:rsidR="00234D74" w:rsidRDefault="00BC098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（七）侧袋机制的信息披露</w:t>
      </w:r>
    </w:p>
    <w:p w14:paraId="2A9E59D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1、临时公告</w:t>
      </w:r>
    </w:p>
    <w:p w14:paraId="17E9970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在启用侧袋机制、处置特定资产、终止侧袋机制以及发生其他可能对投资者利益产生重大影响的事项后基金管理人应及时发布临时公告。</w:t>
      </w:r>
    </w:p>
    <w:p w14:paraId="7754908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2、基金净值信息</w:t>
      </w:r>
    </w:p>
    <w:p w14:paraId="023A98B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基金管理人应按照招募说明书“基金的信息披露”部分规定的基金净值信息披露方式和频率披露主袋账户份额的基金净值信息。实施侧袋机制期间本基金暂停披露侧袋账户份额净值和累计净值。</w:t>
      </w:r>
    </w:p>
    <w:p w14:paraId="1D00709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3、定期报告</w:t>
      </w:r>
    </w:p>
    <w:p w14:paraId="34EBB30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基金管理人应当在基金定期报告中披露报告期内侧袋账户相关信息，基金定期报告中的基金会计报表仅需针对主袋账户进行编制。会计师事务所对基金年度报告进行审计时，应对报告期内基金侧袋机制运行相关的会计核算和年度报告披露等发表审计意见。</w:t>
      </w:r>
    </w:p>
    <w:p w14:paraId="514045DF" w14:textId="77777777" w:rsidR="00C61788" w:rsidRDefault="00BC098F" w:rsidP="00C61788">
      <w:pPr>
        <w:autoSpaceDE w:val="0"/>
        <w:autoSpaceDN w:val="0"/>
        <w:adjustRightInd w:val="0"/>
        <w:spacing w:line="360" w:lineRule="auto"/>
        <w:ind w:firstLineChars="200" w:firstLine="480"/>
        <w:rPr>
          <w:rFonts w:ascii="宋体" w:hAnsi="宋体"/>
          <w:szCs w:val="24"/>
        </w:rPr>
      </w:pPr>
      <w:r>
        <w:rPr>
          <w:rFonts w:ascii="宋体" w:hAnsi="宋体"/>
          <w:sz w:val="24"/>
        </w:rPr>
        <w:lastRenderedPageBreak/>
        <w:br w:type="page"/>
      </w:r>
    </w:p>
    <w:p w14:paraId="29C5618B" w14:textId="77777777" w:rsidR="00234D74" w:rsidRDefault="00BC098F">
      <w:pPr>
        <w:pStyle w:val="1"/>
        <w:snapToGrid w:val="0"/>
        <w:spacing w:beforeLines="0" w:before="240" w:after="240"/>
        <w:rPr>
          <w:rFonts w:ascii="宋体" w:hAnsi="宋体"/>
          <w:szCs w:val="30"/>
        </w:rPr>
      </w:pPr>
      <w:bookmarkStart w:id="23" w:name="_Toc135728695"/>
      <w:r>
        <w:rPr>
          <w:rFonts w:ascii="Times New Roman" w:hAnsi="Times New Roman"/>
          <w:sz w:val="30"/>
        </w:rPr>
        <w:lastRenderedPageBreak/>
        <w:t>十九、风险揭示</w:t>
      </w:r>
      <w:bookmarkEnd w:id="23"/>
    </w:p>
    <w:p w14:paraId="143BC9B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54B56DF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扣除申购申请份额总数及基金转换中转入申请份额总数后的余额）超过上一开放日基金总份额的百分之十时，投资人将可能无法及时赎回持有的全部基金份额。</w:t>
      </w:r>
    </w:p>
    <w:p w14:paraId="4F49187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423D593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认真阅读《基金合同》、《招募说明书》、基金产品资料概要等基金法律文件，了解基金的风险收益特征，并根据自身的投资目的、投资期限、投资经验、资产状况等判断基金是否和投资人的风险承受能力相适应。</w:t>
      </w:r>
    </w:p>
    <w:p w14:paraId="46954D3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68C0A2A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412BDE4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w:t>
      </w:r>
      <w:r>
        <w:rPr>
          <w:rFonts w:ascii="宋体" w:hAnsi="宋体"/>
          <w:sz w:val="24"/>
        </w:rPr>
        <w:lastRenderedPageBreak/>
        <w:t>做出投资决策后，基金运营状况与基金净值变化引致的投资风险，由投资人自行负担。</w:t>
      </w:r>
    </w:p>
    <w:p w14:paraId="4AFBBAF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基金份额持有人须了解并承受以下风险：</w:t>
      </w:r>
    </w:p>
    <w:p w14:paraId="36414A4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（一）市场风险</w:t>
      </w:r>
    </w:p>
    <w:p w14:paraId="01CBAC3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14:paraId="7D9A575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14:paraId="2515F95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2、经济周期风险。证券市场受宏观经济运行的影响，而经济运行具有周期性的特点，宏观经济运行状况将对证券市场的收益水平产生影响，从而对基金收益造成影响。</w:t>
      </w:r>
    </w:p>
    <w:p w14:paraId="570AEFF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59A5D35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4、信用风险。基金所投资债券的发行人如果不能或拒绝支付到期本息，或者不能履行合约规定的其它义务，或者其信用等级降低，将会导致债券价格下降，进而造成基金资产损失，从而产生风险。</w:t>
      </w:r>
    </w:p>
    <w:p w14:paraId="49AA8CC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14:paraId="2EE84B2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6、债券收益率曲线变动风险。是指收益率曲线没有按预期变化导致基金投资决策出现偏差。</w:t>
      </w:r>
    </w:p>
    <w:p w14:paraId="2098A16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1A743AF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8、经营风险。它与基金所投资债券的发行人的经营活动所引起的收入现金流的不确定性有关。债券发行人期间运营收入变化越大，经营风险就越大；反之，运营收入越稳定，经营风险就越小。</w:t>
      </w:r>
    </w:p>
    <w:p w14:paraId="7806F41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9、上市公司经营风险。上市公司的经营状况受多种因素影响，如管理能力、</w:t>
      </w:r>
      <w:r>
        <w:rPr>
          <w:rFonts w:ascii="宋体" w:hAnsi="宋体"/>
          <w:sz w:val="24"/>
        </w:rPr>
        <w:lastRenderedPageBreak/>
        <w:t>财务状况、市场前景、行业竞争、人员素质等，这些都会导致企业的盈利发生变化。虽然基金可以通过投资多样化来分散这种非系统风险，但不能完全规避。</w:t>
      </w:r>
    </w:p>
    <w:p w14:paraId="3DCDFDF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2294421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（二）管理风险</w:t>
      </w:r>
    </w:p>
    <w:p w14:paraId="2CB8855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3DE0F0D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（三）流动性风险</w:t>
      </w:r>
    </w:p>
    <w:p w14:paraId="798345F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基金转为开放式运作后，基金资产不能迅速转变成现金，或者不能应付可能出现的投资者大额赎回的风险。</w:t>
      </w:r>
    </w:p>
    <w:p w14:paraId="3C1FC58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在本基金转为开放式运作后，在交易过程中，可能会发生巨额赎回的情形。巨额赎回可能会产生基金仓位调整的困难，导致流动性风险，甚至影响基金份额净值。</w:t>
      </w:r>
    </w:p>
    <w:p w14:paraId="29E8EFA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14:paraId="683EDB4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基金合同生效之日起两年(含两年)的期间内，采取封闭式运作。封闭期内，基金投资者不能申购、赎回本基金基金份额。基金封闭期结束，本基金转为开放式运作，基金投资者方可申购、赎回本基金基金份额。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4E6FAF3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14:paraId="2DA21BE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的投资市场主要为证券交易所、全国银行间债券市场等流动性较好的规范型交易场所，主要投资对象为具有良好流动性的金融工具（包括国内依法发行上市的债券和货币市场工具等），同时本基金基于分散投资的原则在个券方面未有高集中度的特征，综合评估在正常市场环境下本基金的流动性风险适中。</w:t>
      </w:r>
    </w:p>
    <w:p w14:paraId="3F14A8C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14:paraId="169CE2C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1BB463A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14:paraId="7260C1F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04FDB33E" w14:textId="54284654"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241C6B">
        <w:rPr>
          <w:rFonts w:ascii="宋体" w:hAnsi="宋体" w:hint="eastAsia"/>
          <w:sz w:val="24"/>
        </w:rPr>
        <w:t>该类</w:t>
      </w:r>
      <w:r>
        <w:rPr>
          <w:rFonts w:ascii="宋体" w:hAnsi="宋体"/>
          <w:sz w:val="24"/>
        </w:rPr>
        <w:t>基金份额净值为基础计算赎回金额，以此类推，直到全部赎回为止。如投资人在提交赎回申请时未作明确选择，投资人未能赎回部分作自动延期赎回处理。</w:t>
      </w:r>
    </w:p>
    <w:p w14:paraId="13D1FFE8" w14:textId="6BFA639E"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应当采取如下措施：对于基金份额持有人当日超过20%的赎回申请，可以对其赎回申请延期办理；对于基金份额持有人未超过上述比例的部分，基金管理人可以根据前段“（1）全额赎回”或“（2）部分延期赎回”的约定方式与其他基金份额持有人的赎回申请一并办理。如基金份额持有人在当日选择取消赎回，则其当日未获受理的部分赎回申请将被撤销。</w:t>
      </w:r>
    </w:p>
    <w:p w14:paraId="7A532B7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（3）暂停赎回：连续2个开放日以上（含本数）发生巨额赎回，如基金管理人</w:t>
      </w:r>
      <w:r>
        <w:rPr>
          <w:rFonts w:ascii="宋体" w:hAnsi="宋体"/>
          <w:sz w:val="24"/>
        </w:rPr>
        <w:lastRenderedPageBreak/>
        <w:t>认为有必要，可暂停接受基金的赎回申请；已经接受的赎回申请可以延缓支付赎回款项，但不得超过20个工作日，并应当在指定媒介上进行公告。</w:t>
      </w:r>
    </w:p>
    <w:p w14:paraId="63B7594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4、实施备用的流动性风险管理工具的情形、程序及对投资者的潜在影响</w:t>
      </w:r>
    </w:p>
    <w:p w14:paraId="0BEA06E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14:paraId="2C170E7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暂停接受赎回申请、部分延期赎回、收取短期赎回费、摆动定价、暂停基金估值、实施侧袋机制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0B933A4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2A2ECAF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602C7F0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基金管理人将根据主袋账户运作情况合理确定申购政策，因此实施侧袋机制后主袋账户份额存在暂停申购的可能。</w:t>
      </w:r>
    </w:p>
    <w:p w14:paraId="2611221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7A55358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（四）交易对手违约风险</w:t>
      </w:r>
    </w:p>
    <w:p w14:paraId="31F2605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交易对手违约风险是指当债券、票据或债券回购等交易对手违约时，将直接导致基金资产的损失，或导致基金不能及时抓住市场机会，对投资收益产生影响。</w:t>
      </w:r>
    </w:p>
    <w:p w14:paraId="3A66D8B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（五）本基金的特有风险</w:t>
      </w:r>
    </w:p>
    <w:p w14:paraId="1695195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1、本基金为债券型基金，投资于债券资产的比例不低于基金资产的80%，因投资固定收益类资产而面临固定收益类资产市场的系统性风险和个券风险；</w:t>
      </w:r>
    </w:p>
    <w:p w14:paraId="70FAA45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5A7F166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3、特有的流动性风险。本基金为封闭两年运作，之后转为开放式运作。本基金在封闭期内不办理申购赎回业务，也不上市交易，从而可能无法满足投资者的短期流动性需求；</w:t>
      </w:r>
    </w:p>
    <w:p w14:paraId="588BA99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00F4D6F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投资资产支持证券，资产支持证券具有一定的价格波动风险、流动性风险、信用风险等风险，本公司将本着谨慎和控制风险的原则进行资产支持证券投资，请基金份额持有人关注包括投资资产支持证券可能导致的基金净值波动在内的各项风险；</w:t>
      </w:r>
    </w:p>
    <w:p w14:paraId="4BE7EA3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6、基金合同提前终止风险。连续六十个工作日出现基金份额持有人数量不满200人或者基金资产净值低于5000万元情形的，基金管理人应向中国证监会报告，并可提前终止基金合同，不需召开基金份额持有人大会。</w:t>
      </w:r>
    </w:p>
    <w:p w14:paraId="1B1239E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（六）其他风险</w:t>
      </w:r>
    </w:p>
    <w:p w14:paraId="2544D92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1、因技术因素而产生的风险，如电脑系统不可靠产生的风险；</w:t>
      </w:r>
    </w:p>
    <w:p w14:paraId="5D4C169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2、因基金业务快速发展，在制度建设、人员配备、内控制度建立等方面的不完善产生的风险；</w:t>
      </w:r>
    </w:p>
    <w:p w14:paraId="4B0AB19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14:paraId="744C8DF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4、对主要业务人员如基金经理的依赖而可能产生的风险；</w:t>
      </w:r>
    </w:p>
    <w:p w14:paraId="37EEB32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5、因业务竞争压力可能产生的风险；</w:t>
      </w:r>
    </w:p>
    <w:p w14:paraId="5B5B3C5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6、战争、自然灾害等不可抗力可能导致基金财产的损失，影响基金收益水平，从而带来风险；</w:t>
      </w:r>
    </w:p>
    <w:p w14:paraId="56262A9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7、其他意外导致的风险。</w:t>
      </w:r>
    </w:p>
    <w:p w14:paraId="113CFF62" w14:textId="77777777" w:rsidR="00C61788" w:rsidRDefault="00BC098F" w:rsidP="00C6178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C1E173C" w14:textId="77777777" w:rsidR="00234D74" w:rsidRDefault="00BC098F">
      <w:pPr>
        <w:pStyle w:val="1"/>
        <w:snapToGrid w:val="0"/>
        <w:spacing w:beforeLines="0" w:before="240" w:after="240"/>
        <w:rPr>
          <w:rFonts w:ascii="宋体" w:hAnsi="宋体"/>
          <w:szCs w:val="30"/>
        </w:rPr>
      </w:pPr>
      <w:bookmarkStart w:id="24" w:name="_Toc135728696"/>
      <w:r>
        <w:rPr>
          <w:rFonts w:ascii="Times New Roman" w:hAnsi="Times New Roman"/>
          <w:sz w:val="30"/>
        </w:rPr>
        <w:lastRenderedPageBreak/>
        <w:t>二十、基金合同的变更、终止与基金财产的清算</w:t>
      </w:r>
      <w:bookmarkEnd w:id="24"/>
    </w:p>
    <w:p w14:paraId="596E415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（一）《基金合同》的变更</w:t>
      </w:r>
    </w:p>
    <w:p w14:paraId="75CCCF9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4D45984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2、关于《基金合同》变更的基金份额持有人大会决议自表决通过之日起生效，生效后方可执行，并自决议生效后依照《信息披露办法》的规定在指定媒介公告。</w:t>
      </w:r>
    </w:p>
    <w:p w14:paraId="01F0629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（二）《基金合同》的终止事由</w:t>
      </w:r>
    </w:p>
    <w:p w14:paraId="7E022F0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14:paraId="34D36EB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2E4B82C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21E3EDE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3、连续60个工作日出现基金份额持有人数量不满200人或者基金资产净值低于5000万元情形的，基金管理人可提前终止基金合同，不需召开基金份额持有人大会；</w:t>
      </w:r>
    </w:p>
    <w:p w14:paraId="402A447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4、《基金合同》约定的其他情形；</w:t>
      </w:r>
    </w:p>
    <w:p w14:paraId="3091F7C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5、相关法律法规和中国证监会规定的其他情况。</w:t>
      </w:r>
    </w:p>
    <w:p w14:paraId="6ADC5A7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（三）基金财产的清算</w:t>
      </w:r>
    </w:p>
    <w:p w14:paraId="2288B0F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70FA1D9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464E219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3E6B81E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3D62A7C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（1）《基金合同》终止情形出现时，由基金财产清算小组统一接管基金财产；</w:t>
      </w:r>
    </w:p>
    <w:p w14:paraId="0CCA32C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440A3DA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14:paraId="57EC0F3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1610081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00126DA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5E04CA8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78DB4FD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5、基金财产清算的期限为6个月，若遇基金持有的有价证券出现长期休市、停牌或其他流通受限的情形除外。</w:t>
      </w:r>
    </w:p>
    <w:p w14:paraId="109424E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（四）清算费用</w:t>
      </w:r>
    </w:p>
    <w:p w14:paraId="1E57CA2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28F2B15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（五）基金财产清算剩余资产的分配</w:t>
      </w:r>
    </w:p>
    <w:p w14:paraId="0189ACB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19B3FA7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（六）基金财产清算的公告</w:t>
      </w:r>
    </w:p>
    <w:p w14:paraId="289B949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73A084D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（七）基金财产清算账册及文件的保存</w:t>
      </w:r>
    </w:p>
    <w:p w14:paraId="7015FB3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14:paraId="16538F5A" w14:textId="77777777" w:rsidR="00C61788" w:rsidRDefault="00BC098F" w:rsidP="00C6178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EAF3ADA" w14:textId="77777777" w:rsidR="00234D74" w:rsidRDefault="00BC098F">
      <w:pPr>
        <w:pStyle w:val="1"/>
        <w:snapToGrid w:val="0"/>
        <w:spacing w:beforeLines="0" w:before="240" w:after="240"/>
        <w:rPr>
          <w:rFonts w:ascii="宋体" w:hAnsi="宋体"/>
          <w:szCs w:val="30"/>
        </w:rPr>
      </w:pPr>
      <w:bookmarkStart w:id="25" w:name="_Toc135728697"/>
      <w:r>
        <w:rPr>
          <w:rFonts w:ascii="Times New Roman" w:hAnsi="Times New Roman"/>
          <w:sz w:val="30"/>
        </w:rPr>
        <w:lastRenderedPageBreak/>
        <w:t>二十一、基金合同内容摘要</w:t>
      </w:r>
      <w:bookmarkEnd w:id="25"/>
    </w:p>
    <w:p w14:paraId="437177C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（一）基金份额持有人、基金管理人和基金托管人的权利与义务</w:t>
      </w:r>
    </w:p>
    <w:p w14:paraId="730D5BD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1、基金管理人的权利与义务</w:t>
      </w:r>
    </w:p>
    <w:p w14:paraId="628A4B8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（1）根据《基金法》、《运作办法》及其他有关规定，基金管理人的权利包括但不限于：</w:t>
      </w:r>
    </w:p>
    <w:p w14:paraId="6E80923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w:t>
      </w:r>
    </w:p>
    <w:p w14:paraId="55766B2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2）自《基金合同》生效之日起，根据法律法规和《基金合同》独立运用并管理基金财产；</w:t>
      </w:r>
    </w:p>
    <w:p w14:paraId="3AFA688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3）依照《基金合同》收取基金管理费以及法律法规规定或中国证监会批准的其他费用；</w:t>
      </w:r>
    </w:p>
    <w:p w14:paraId="3387D77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4）销售基金份额；</w:t>
      </w:r>
    </w:p>
    <w:p w14:paraId="7D617EF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5）按照规定召集基金份额持有人大会；</w:t>
      </w:r>
    </w:p>
    <w:p w14:paraId="2051A7C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14:paraId="779F088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7）在基金托管人更换时，提名新的基金托管人；</w:t>
      </w:r>
    </w:p>
    <w:p w14:paraId="2B1852C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8）选择、更换基金销售机构，对基金销售机构的相关行为进行监督和处理；</w:t>
      </w:r>
    </w:p>
    <w:p w14:paraId="5F2C8DC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9）担任或委托其他符合条件的机构担任基金登记机构办理基金登记业务并获得《基金合同》规定的费用；</w:t>
      </w:r>
    </w:p>
    <w:p w14:paraId="4B491F2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10）依据《基金合同》及有关法律规定决定基金收益的分配方案；</w:t>
      </w:r>
    </w:p>
    <w:p w14:paraId="4F3D1D0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11）在《基金合同》约定的范围内，拒绝或暂停受理申购与赎回申请；</w:t>
      </w:r>
    </w:p>
    <w:p w14:paraId="768F1A5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12）依照法律法规为基金的利益行使因基金财产投资于证券所产生的权利；</w:t>
      </w:r>
    </w:p>
    <w:p w14:paraId="6AF2470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13）在法律法规允许的前提下，为基金的利益依法为基金进行融资；</w:t>
      </w:r>
    </w:p>
    <w:p w14:paraId="6B9CE0F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14）以基金管理人的名义，代表基金份额持有人的利益行使诉讼权利或者实施其他法律行为；</w:t>
      </w:r>
    </w:p>
    <w:p w14:paraId="7C70425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15）选择、更换律师事务所、会计师事务所、证券经纪商或其他为基金提供服务的外部机构；</w:t>
      </w:r>
    </w:p>
    <w:p w14:paraId="79AD19B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16）在符合有关法律、法规的前提下，制定和调整有关基金认购、申购、赎回、转换等的业务规则；</w:t>
      </w:r>
    </w:p>
    <w:p w14:paraId="00C101F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17）法律法规及中国证监会规定的和《基金合同》约定的其他权利。</w:t>
      </w:r>
    </w:p>
    <w:p w14:paraId="07750AE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（2）根据《基金法》、《运作办法》及其他有关规定，基金管理人的义务包括但不限于：</w:t>
      </w:r>
    </w:p>
    <w:p w14:paraId="303096F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14:paraId="531C4C8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7FB16BA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3）自《基金合同》生效之日起，以诚实信用、谨慎勤勉的原则管理和运用基金财产；</w:t>
      </w:r>
    </w:p>
    <w:p w14:paraId="547B4D6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4）配备足够的具有专业资格的人员进行基金投资分析、决策，以专业化的经营方式管理和运作基金财产；</w:t>
      </w:r>
    </w:p>
    <w:p w14:paraId="1954D4D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5）建立健全内部风险控制、监察与稽核、财务管理及人事管理等制度，保证所管理的基金财产和基金管理人的财产相互独立，对所管理的不同基金分别管理，分别记账，进行证券投资；</w:t>
      </w:r>
    </w:p>
    <w:p w14:paraId="6676EC7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6）除依据《基金法》、《基金合同》及其他有关规定外，不得利用基金财产为自己及任何第三人谋取利益，不得委托第三人运作基金财产；</w:t>
      </w:r>
    </w:p>
    <w:p w14:paraId="7B5A645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7）依法接受基金托管人的监督；</w:t>
      </w:r>
    </w:p>
    <w:p w14:paraId="55C7AED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8）采取适当合理的措施使计算基金份额认购、申购、赎回和注销价格的方法符合《基金合同》等法律文件的规定，按有关规定计算并公告基金净值信息，确定基金份额申购、赎回的价格；</w:t>
      </w:r>
    </w:p>
    <w:p w14:paraId="688BADD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9）进行基金会计核算并编制基金财务会计报告；</w:t>
      </w:r>
    </w:p>
    <w:p w14:paraId="519930B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10）编制季度报告、中期报告和年度报告；</w:t>
      </w:r>
    </w:p>
    <w:p w14:paraId="7CEE3F2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11）严格按照《基金法》、《基金合同》及其他有关规定，履行信息披露及报告义务；</w:t>
      </w:r>
    </w:p>
    <w:p w14:paraId="5AFAC71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12）保守基金商业秘密，不泄露基金投资计划、投资意向等。除《基金法》、《基金合同》及其他有关规定另有规定外，在基金信息公开披露前应予保密，不向他人泄露；</w:t>
      </w:r>
    </w:p>
    <w:p w14:paraId="61B48F1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13）按《基金合同》的约定确定基金收益分配方案，及时向基金份额持有人分配基金收益；</w:t>
      </w:r>
    </w:p>
    <w:p w14:paraId="66E2B8C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14）按规定受理申购与赎回申请，及时、足额支付赎回款项；</w:t>
      </w:r>
    </w:p>
    <w:p w14:paraId="22D880F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w:t>
      </w:r>
      <w:r>
        <w:rPr>
          <w:rFonts w:ascii="宋体" w:hAnsi="宋体"/>
          <w:sz w:val="24"/>
        </w:rPr>
        <w:lastRenderedPageBreak/>
        <w:t>配合基金托管人、基金份额持有人依法召集基金份额持有人大会；</w:t>
      </w:r>
    </w:p>
    <w:p w14:paraId="66D769A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16）按规定保存基金财产管理业务活动的会计账册、报表、记录和其他相关资料15年以上；</w:t>
      </w:r>
    </w:p>
    <w:p w14:paraId="70FE00A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B6C6C6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18）组织并参加基金财产清算小组，参与基金财产的保管、清理、估价、变现和分配；</w:t>
      </w:r>
    </w:p>
    <w:p w14:paraId="69875B9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19）面临解散、依法被撤销或者被依法宣告破产时，及时报告中国证监会并通知基金托管人；</w:t>
      </w:r>
    </w:p>
    <w:p w14:paraId="08D1CE8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20）因违反《基金合同》导致基金财产的损失或损害基金份额持有人合法权益时，应当承担赔偿责任，其赔偿责任不因其退任而免除；</w:t>
      </w:r>
    </w:p>
    <w:p w14:paraId="73EDEC7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21）监督基金托管人按法律法规和《基金合同》规定履行自己的义务，基金托管人违反《基金合同》造成基金财产损失时，基金管理人应为基金份额持有人利益向基金托管人追偿；</w:t>
      </w:r>
    </w:p>
    <w:p w14:paraId="0996352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22）当基金管理人将其义务委托第三方处理时，应当对第三方处理有关基金事务的行为承担责任；</w:t>
      </w:r>
    </w:p>
    <w:p w14:paraId="6281E66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23）以基金管理人名义，代表基金份额持有人利益行使诉讼权利或实施其他法律行为；</w:t>
      </w:r>
    </w:p>
    <w:p w14:paraId="2C717B2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14:paraId="188D55D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25）执行生效的基金份额持有人大会的决议；</w:t>
      </w:r>
    </w:p>
    <w:p w14:paraId="0121E89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26）建立并保存基金份额持有人名册；</w:t>
      </w:r>
    </w:p>
    <w:p w14:paraId="0CE42B5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27）法律法规及中国证监会规定的和《基金合同》约定的其他义务。</w:t>
      </w:r>
    </w:p>
    <w:p w14:paraId="285F7D9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2、基金托管人的权利与义务</w:t>
      </w:r>
    </w:p>
    <w:p w14:paraId="726154F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（1）根据《基金法》、《运作办法》及其他有关规定，基金托管人的权利包括但不限于：</w:t>
      </w:r>
    </w:p>
    <w:p w14:paraId="1B067BA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1）自《基金合同》生效之日起，依法律法规和《基金合同》的规定安全保管基金财产；</w:t>
      </w:r>
    </w:p>
    <w:p w14:paraId="62C1F8E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2）依《基金合同》约定获得基金托管费以及法律法规规定或监管部门批准的其他费用；</w:t>
      </w:r>
    </w:p>
    <w:p w14:paraId="467683D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BACCBB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4）根据相关市场规则，为基金开设资金账户、证券账户等投资所需账户，为基金办理证券交易资金清算；</w:t>
      </w:r>
    </w:p>
    <w:p w14:paraId="3F0FE19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5）提议召开或召集基金份额持有人大会；</w:t>
      </w:r>
    </w:p>
    <w:p w14:paraId="5F4DCA2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6）在基金管理人更换时，提名新的基金管理人；</w:t>
      </w:r>
    </w:p>
    <w:p w14:paraId="4650F66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7）法律法规及中国证监会规定的和《基金合同》约定的其他权利。</w:t>
      </w:r>
    </w:p>
    <w:p w14:paraId="2B09F57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（2）根据《基金法》、《运作办法》及其他有关规定，基金托管人的义务包括但不限于：</w:t>
      </w:r>
    </w:p>
    <w:p w14:paraId="381B59A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1）以诚实信用、勤勉尽责的原则持有并安全保管基金财产；</w:t>
      </w:r>
    </w:p>
    <w:p w14:paraId="0C4A6F8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2）设立专门的基金托管部门，具有符合要求的营业场所，配备足够的、合格的熟悉基金托管业务的专职人员，负责基金财产托管事宜；</w:t>
      </w:r>
    </w:p>
    <w:p w14:paraId="1EA6239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6AFB6C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4）除依据《基金法》、《基金合同》及其他有关规定外，不得利用基金财产为自己及任何第三人谋取利益，不得委托第三人托管基金财产；</w:t>
      </w:r>
    </w:p>
    <w:p w14:paraId="7E051F6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5）保管由基金管理人代表基金签订的与基金有关的重大合同及有关凭证；</w:t>
      </w:r>
    </w:p>
    <w:p w14:paraId="25939EF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6）按规定开设基金财产的资金账户和证券账户等投资所需账户，按照《基金合同》的约定，根据基金管理人的投资指令，及时办理清算、交割事宜；</w:t>
      </w:r>
    </w:p>
    <w:p w14:paraId="2B45779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7）保守基金商业秘密，除《基金法》、《基金合同》及其他有关规定另有规定外，在基金信息公开披露前予以保密，不得向他人泄露；</w:t>
      </w:r>
    </w:p>
    <w:p w14:paraId="230AA9BD" w14:textId="64B7C836"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8）复核、审查基金管理人计算的基金资产净值、</w:t>
      </w:r>
      <w:r w:rsidR="000F67DE">
        <w:rPr>
          <w:rFonts w:ascii="宋体" w:hAnsi="宋体" w:hint="eastAsia"/>
          <w:sz w:val="24"/>
        </w:rPr>
        <w:t>各类</w:t>
      </w:r>
      <w:r>
        <w:rPr>
          <w:rFonts w:ascii="宋体" w:hAnsi="宋体"/>
          <w:sz w:val="24"/>
        </w:rPr>
        <w:t>基金份额净值、基金份额申购、赎回价格；</w:t>
      </w:r>
    </w:p>
    <w:p w14:paraId="6B1E7A1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9）办理与基金托管业务活动有关的信息披露事项；</w:t>
      </w:r>
    </w:p>
    <w:p w14:paraId="0B3FD58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10）对基金财务会计报告、季度报告、中期报告和年度报告出具意见，说明基</w:t>
      </w:r>
      <w:r>
        <w:rPr>
          <w:rFonts w:ascii="宋体" w:hAnsi="宋体"/>
          <w:sz w:val="24"/>
        </w:rPr>
        <w:lastRenderedPageBreak/>
        <w:t>金管理人在各重要方面的运作是否严格按照《基金合同》的规定进行；如果基金管理人有未执行《基金合同》规定的行为，还应当说明基金托管人是否采取了适当的措施；</w:t>
      </w:r>
    </w:p>
    <w:p w14:paraId="2AEF3CA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11）保存基金托管业务活动的记录、账册、报表和其他相关资料15年以上；</w:t>
      </w:r>
    </w:p>
    <w:p w14:paraId="36F6139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12）保存基金份额持有人名册；</w:t>
      </w:r>
    </w:p>
    <w:p w14:paraId="1959F0D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13）按规定制作相关账册并与基金管理人核对；</w:t>
      </w:r>
    </w:p>
    <w:p w14:paraId="2A79BE1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14）依据基金管理人的指令或有关规定向基金份额持有人支付基金收益和赎回款项；</w:t>
      </w:r>
    </w:p>
    <w:p w14:paraId="1B7EBC4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15）依据《基金法》、《基金合同》及其他有关规定，召集基金份额持有人大会或配合基金管理人、基金份额持有人依法召集基金份额持有人大会；</w:t>
      </w:r>
    </w:p>
    <w:p w14:paraId="680A62B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16）按照法律法规和《基金合同》的规定监督基金管理人的投资运作；</w:t>
      </w:r>
    </w:p>
    <w:p w14:paraId="7179B54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17）参加基金财产清算小组，参与基金财产的保管、清理、估价、变现和分配；</w:t>
      </w:r>
    </w:p>
    <w:p w14:paraId="652D85B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18）面临解散、依法被撤销或者被依法宣告破产时，及时报告中国证监会和银行业监督管理机构，并通知基金管理人；</w:t>
      </w:r>
    </w:p>
    <w:p w14:paraId="1E6ECA0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19）因违反《基金合同》导致基金财产损失时，应承担赔偿责任，其赔偿责任不因其退任而免除；</w:t>
      </w:r>
    </w:p>
    <w:p w14:paraId="1B48D8D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20）按规定监督基金管理人按法律法规和《基金合同》规定履行自己的义务，基金管理人因违反《基金合同》造成基金财产损失时，应为基金份额持有人利益向基金管理人追偿；</w:t>
      </w:r>
    </w:p>
    <w:p w14:paraId="54B289D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21）执行生效的基金份额持有人大会的决议；</w:t>
      </w:r>
    </w:p>
    <w:p w14:paraId="605ED49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22）法律法规及中国证监会规定的和《基金合同》约定的其他义务。</w:t>
      </w:r>
    </w:p>
    <w:p w14:paraId="310FB79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3、基金份额持有人的权利与义务</w:t>
      </w:r>
    </w:p>
    <w:p w14:paraId="4303284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6B2CC80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同一类别每份基金份额具有同等的合法权益。</w:t>
      </w:r>
    </w:p>
    <w:p w14:paraId="300313D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（1）根据《基金法》、《运作办法》及其他有关规定，基金份额持有人的权利包括但不限于：</w:t>
      </w:r>
    </w:p>
    <w:p w14:paraId="011C90F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1）分享基金财产收益；</w:t>
      </w:r>
    </w:p>
    <w:p w14:paraId="3FF1611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2）参与分配清算后的剩余基金财产；</w:t>
      </w:r>
    </w:p>
    <w:p w14:paraId="2A268CA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3）依法并按照基金合同和招募说明书的规定申请赎回或转让其持有的基金份额；</w:t>
      </w:r>
    </w:p>
    <w:p w14:paraId="23EE5A5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4）按照规定要求召开基金份额持有人大会或者召集基金份额持有人大会；</w:t>
      </w:r>
    </w:p>
    <w:p w14:paraId="0A0D025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5）出席或者委派代表出席基金份额持有人大会，对基金份额持有人大会审议事项行使表决权；</w:t>
      </w:r>
    </w:p>
    <w:p w14:paraId="301EAC2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6）查阅或者复制公开披露的基金信息资料；</w:t>
      </w:r>
    </w:p>
    <w:p w14:paraId="23C0108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7）监督基金管理人的投资运作；</w:t>
      </w:r>
    </w:p>
    <w:p w14:paraId="1A466D7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8）对基金管理人、基金托管人、基金服务机构损害其合法权益的行为依法提起诉讼或仲裁；</w:t>
      </w:r>
    </w:p>
    <w:p w14:paraId="1AE191E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9）法律法规及中国证监会规定的和《基金合同》约定的其他权利。</w:t>
      </w:r>
    </w:p>
    <w:p w14:paraId="5AA7C69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（2）根据《基金法》、《运作办法》及其他有关规定，基金份额持有人的义务包括但不限于：</w:t>
      </w:r>
    </w:p>
    <w:p w14:paraId="717AE0C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1）认真阅读并遵守《基金合同》、招募说明书等信息披露文件；</w:t>
      </w:r>
    </w:p>
    <w:p w14:paraId="120F170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2）了解所投资基金产品，了解自身风险承受能力，自主判断基金的投资价值，自主做出投资决策，自行承担投资风险；</w:t>
      </w:r>
    </w:p>
    <w:p w14:paraId="67F3397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3）关注基金信息披露，及时行使权利和履行义务；</w:t>
      </w:r>
    </w:p>
    <w:p w14:paraId="78EF6BF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4）缴纳基金认购、申购款项及法律法规和《基金合同》所规定的费用；</w:t>
      </w:r>
    </w:p>
    <w:p w14:paraId="140E646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5）在其持有的基金份额范围内，承担基金亏损或者《基金合同》终止的有限责任；</w:t>
      </w:r>
    </w:p>
    <w:p w14:paraId="072EDD1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6）不从事任何有损基金及其他《基金合同》当事人合法权益的活动；</w:t>
      </w:r>
    </w:p>
    <w:p w14:paraId="2BE4D07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7）执行生效的基金份额持有人大会的决议；</w:t>
      </w:r>
    </w:p>
    <w:p w14:paraId="041E2A8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8）返还在基金交易过程中因任何原因获得的不当得利；</w:t>
      </w:r>
    </w:p>
    <w:p w14:paraId="1452CAA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9）遵守基金管理人、基金托管人、销售机构和登记机构的相关交易及业务规则；</w:t>
      </w:r>
    </w:p>
    <w:p w14:paraId="473505F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10）提供基金管理人和监管机构依法要求提供的信息，以及不时的更新和补充，并保证其真实性；</w:t>
      </w:r>
    </w:p>
    <w:p w14:paraId="5832AF6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11）法律法规及中国证监会规定的和《基金合同》约定的其他义务。</w:t>
      </w:r>
    </w:p>
    <w:p w14:paraId="2B7F874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（二）基金份额持有人大会召集、议事及表决的程序和规则</w:t>
      </w:r>
    </w:p>
    <w:p w14:paraId="5675F44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基金份额持有人大会由基金份额持有人组成，基金份额持有人的合法授权代表有权代表基金份额持有人出席会议并表决。基金份额持有人持有的每一基金份额拥有平等的投票权。</w:t>
      </w:r>
    </w:p>
    <w:p w14:paraId="062A26B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本基金份额持有人大会不设日常机构。</w:t>
      </w:r>
    </w:p>
    <w:p w14:paraId="1A1AD2F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1、召开事由</w:t>
      </w:r>
    </w:p>
    <w:p w14:paraId="121BAA2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（1）当出现或需要决定下列事由之一的，应当召开基金份额持有人大会，法律法规、基金合同和中国证监会另有规定的除外：</w:t>
      </w:r>
    </w:p>
    <w:p w14:paraId="4A5AF63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w:t>
      </w:r>
    </w:p>
    <w:p w14:paraId="1EA3FB8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2）更换基金管理人；</w:t>
      </w:r>
    </w:p>
    <w:p w14:paraId="13F59E0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3）更换基金托管人；</w:t>
      </w:r>
    </w:p>
    <w:p w14:paraId="50BC0B3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4）转换基金运作方式，本基金基金合同生效满两年直接转为开放式运作方式以及法律法规和中国证监会另有规定的除外；</w:t>
      </w:r>
    </w:p>
    <w:p w14:paraId="59064DC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5）调整基金管理人、基金托管人的报酬标准和提高销售服务费；</w:t>
      </w:r>
    </w:p>
    <w:p w14:paraId="61E302F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6）变更基金类别；</w:t>
      </w:r>
    </w:p>
    <w:p w14:paraId="5CF4B91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7）本基金与其他基金的合并；</w:t>
      </w:r>
    </w:p>
    <w:p w14:paraId="336E2DA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8）变更基金投资目标、范围或策略，但在本基金基金合同生效满两年直接转为开放式运作后依据基金合同变更投资策略以及法律法规和中国证监会另有规定的除外；</w:t>
      </w:r>
    </w:p>
    <w:p w14:paraId="24DB432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9）变更基金份额持有人大会程序；</w:t>
      </w:r>
    </w:p>
    <w:p w14:paraId="0AAB177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10）基金管理人或基金托管人要求召开基金份额持有人大会；</w:t>
      </w:r>
    </w:p>
    <w:p w14:paraId="60AF045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14:paraId="354689F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12）对基金合同当事人权利和义务产生重大影响的其他事项；</w:t>
      </w:r>
    </w:p>
    <w:p w14:paraId="6E26EAE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13）法律法规、《基金合同》或中国证监会规定的其他应当召开基金份额持有人大会的事项。</w:t>
      </w:r>
    </w:p>
    <w:p w14:paraId="660F29B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（2）以下情况可由基金管理人和基金托管人协商后修改，不需召开基金份额持有人大会：</w:t>
      </w:r>
    </w:p>
    <w:p w14:paraId="6EBF299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1）调低销售服务费；</w:t>
      </w:r>
    </w:p>
    <w:p w14:paraId="36AA775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2）法律法规要求增加的基金费用的收取；</w:t>
      </w:r>
    </w:p>
    <w:p w14:paraId="44B1328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3）在法律法规及《基金合同》规定的范围内调整本基金的申购费率、调低赎回费率、在对现有基金份额持有人利益无实质性不利影响的前提下变更收费方式；</w:t>
      </w:r>
    </w:p>
    <w:p w14:paraId="5CEC2A6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4）因相应的法律法规、登记机构的相关业务规则发生变动而应当对《基金合同》进行修改；</w:t>
      </w:r>
    </w:p>
    <w:p w14:paraId="6B24791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5）对《基金合同》的修改对基金份额持有人利益无实质性不利影响或修改不涉及《基金合同》当事人权利义务关系发生重大变化；</w:t>
      </w:r>
    </w:p>
    <w:p w14:paraId="7145DA2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6）在法律法规允许的情况下，且在对现有基金份额持有人利益无实质性不利影响的前提下，基金推出新业务或服务；</w:t>
      </w:r>
    </w:p>
    <w:p w14:paraId="1FCF7EA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7）在符合法律法规及本基金合同规定、并且对基金份额持有人利益无实质不利影响的前提下，经与基金托管人协商一致，调整本基金份额类别的设置；</w:t>
      </w:r>
    </w:p>
    <w:p w14:paraId="763AE78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8）在不违反法律法规及对基金份额持有人利益无实质性不利影响的前提下，基金管理人、登记机构、销售机构调整有关基金认购、申购、赎回、转换、收益分配、非交易过户、转托管等业务的规则；</w:t>
      </w:r>
    </w:p>
    <w:p w14:paraId="4CD1AAA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9）按照法律法规和《基金合同》规定不需召开基金份额持有人大会的其他情形。</w:t>
      </w:r>
    </w:p>
    <w:p w14:paraId="228C4C3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后的存续期内，若基金份额持有人数量连续60个工作日达不到200人或基金资产净值连续60个工作日低于5000万元，本基金管理人应向中国证监会报告，并可提前终止本基金合同，不需召开基金份额持有人大会。</w:t>
      </w:r>
    </w:p>
    <w:p w14:paraId="7B53BBE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2、会议召集人及召集方式</w:t>
      </w:r>
    </w:p>
    <w:p w14:paraId="565B9CE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（1）除法律法规规定或《基金合同》另有约定外，基金份额持有人大会由基金管理人召集；</w:t>
      </w:r>
    </w:p>
    <w:p w14:paraId="139F0EA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（2）基金管理人未按规定召集或不能召集时，由基金托管人召集；</w:t>
      </w:r>
    </w:p>
    <w:p w14:paraId="5800FF9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395B350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（4）代表基金份额10%以上（含10%）的基金份额持有人就同一事项书面要求召开基金份额持有人大会，应当向基金管理人提出书面提议。基金管理人应当自收</w:t>
      </w:r>
      <w:r>
        <w:rPr>
          <w:rFonts w:ascii="宋体" w:hAnsi="宋体"/>
          <w:sz w:val="24"/>
        </w:rPr>
        <w:lastRenderedPageBreak/>
        <w:t>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7B0E253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68B6500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（6）基金份额持有人会议的召集人负责选择确定开会时间、地点、方式和权益登记日。</w:t>
      </w:r>
    </w:p>
    <w:p w14:paraId="3528D41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3、召开基金份额持有人大会的通知时间、通知内容、通知方式</w:t>
      </w:r>
    </w:p>
    <w:p w14:paraId="7A5C5A8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（1）召开基金份额持有人大会，召集人应于会议召开前30日，在指定媒介公告。基金份额持有人大会通知应至少载明以下内容：</w:t>
      </w:r>
    </w:p>
    <w:p w14:paraId="4408E7E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1）会议召开的时间、地点和会议形式；</w:t>
      </w:r>
    </w:p>
    <w:p w14:paraId="24B51EB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2）会议拟审议的事项、议事程序和表决方式；</w:t>
      </w:r>
    </w:p>
    <w:p w14:paraId="5368739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3）有权出席基金份额持有人大会的基金份额持有人的权益登记日；</w:t>
      </w:r>
    </w:p>
    <w:p w14:paraId="6926BC7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4）授权委托证明的内容要求（包括但不限于代理人身份，代理权限和代理有效期限等）、送达时间和地点；</w:t>
      </w:r>
    </w:p>
    <w:p w14:paraId="0E19414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5）会务常设联系人姓名及联系电话；</w:t>
      </w:r>
    </w:p>
    <w:p w14:paraId="79EA1A0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6）出席会议者必须准备的文件和必须履行的手续；</w:t>
      </w:r>
    </w:p>
    <w:p w14:paraId="24F58B8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7）召集人需要通知的其他事项。</w:t>
      </w:r>
    </w:p>
    <w:p w14:paraId="7AF7C11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DB78EE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（3）如召集人为基金管理人，还应另行书面通知基金托管人到指定地点对表决意见的计票进行监督；如召集人为基金托管人，则应另行书面通知基金管理人到</w:t>
      </w:r>
      <w:r>
        <w:rPr>
          <w:rFonts w:ascii="宋体" w:hAnsi="宋体"/>
          <w:sz w:val="24"/>
        </w:rPr>
        <w:lastRenderedPageBreak/>
        <w:t>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5F153E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4、基金份额持有人出席会议的方式</w:t>
      </w:r>
    </w:p>
    <w:p w14:paraId="262DDDE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基金份额持有人大会可通过现场开会方式、通讯开会方式或法律法规和监管机关允许的其他方式召开，会议的召开方式由会议召集人确定。</w:t>
      </w:r>
    </w:p>
    <w:p w14:paraId="48A5C35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A44198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19434F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基金份额应不少于在权益登记日基金总份额的三分之一（含三分之一）。</w:t>
      </w:r>
    </w:p>
    <w:p w14:paraId="6DC101A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（2）通讯开会。通讯开会系指基金份额持有人将其对表决事项的投票以会议通知载明的形式在表决截止日以前送达至召集人指定的地址或系统。通讯开会应以书面方式或大会公告载明的其他方式进行表决。</w:t>
      </w:r>
    </w:p>
    <w:p w14:paraId="2068812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在同时符合以下条件时，通讯开会的方式视为有效：</w:t>
      </w:r>
    </w:p>
    <w:p w14:paraId="642EFB1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1）会议召集人按《基金合同》约定公布会议通知后，在2个工作日内连续公布相关提示性公告；</w:t>
      </w:r>
    </w:p>
    <w:p w14:paraId="7963D0A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w:t>
      </w:r>
      <w:r>
        <w:rPr>
          <w:rFonts w:ascii="宋体" w:hAnsi="宋体"/>
          <w:sz w:val="24"/>
        </w:rPr>
        <w:lastRenderedPageBreak/>
        <w:t>规定的方式收取基金份额持有人的表决意见；基金托管人或基金管理人经通知不参加收取表决意见的，不影响表决效力；</w:t>
      </w:r>
    </w:p>
    <w:p w14:paraId="0549CB4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总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7B08267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02B80AC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6983529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5、议事内容与程序</w:t>
      </w:r>
    </w:p>
    <w:p w14:paraId="6E03FE7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14:paraId="2A46E28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7C6CCB6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基金份额持有人大会的召集人发出召集会议的通知后，对原有提案的修改应当在基金份额持有人大会召开前及时公告。</w:t>
      </w:r>
    </w:p>
    <w:p w14:paraId="74C3118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基金份额持有人大会不得对未事先公告的议事内容进行表决。</w:t>
      </w:r>
    </w:p>
    <w:p w14:paraId="7A83E7A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14:paraId="315B688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1AC6FCE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代理人作为该次基金份额持有人大会的主持人。基金管理人和基金托管人拒不出席或主持基金份额持有人大会，不影响基金份额持有人大会作出的决议的效力。</w:t>
      </w:r>
    </w:p>
    <w:p w14:paraId="5EE12AA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会议召集人应当制作出席会议人员的签名册。签名册载明参加会议人员姓名（或单位名称）、身份证明文件号码、持有或代表有表决权的基金份额、委托人姓名（或单位名称）和联系方式等事项。</w:t>
      </w:r>
    </w:p>
    <w:p w14:paraId="7F2DD80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1CC5677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在通讯开会的情况下，首先由召集人提前30日公布提案，在所通知的表决截止日期后2个工作日内在公证机关监督下由召集人统计全部有效表决，在公证机关监督下形成决议。</w:t>
      </w:r>
    </w:p>
    <w:p w14:paraId="5C1E77A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6、表决</w:t>
      </w:r>
    </w:p>
    <w:p w14:paraId="17E00E9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基金份额持有人所持每份基金份额有一票表决权。</w:t>
      </w:r>
    </w:p>
    <w:p w14:paraId="099C8C0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基金份额持有人大会决议分为一般决议和特别决议：</w:t>
      </w:r>
    </w:p>
    <w:p w14:paraId="55B5965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3255ED6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特别决议应当经参加大会的基金份额持有人或其代理人所持表决权的三分之二以上（含三分之二）通过方可做出。转换基金运作方式（本基金基金合同生效满两年直接转为开放式运作除外）、更换基金管理人或者基金托管人、终止《基金合同》、本基金与其他基金合并（法律法规、基金合同和中国证监会另有规定的除外）以特别决议通过方为有效。</w:t>
      </w:r>
    </w:p>
    <w:p w14:paraId="2581B28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基金份额持有人大会采取记名方式进行投票表决。</w:t>
      </w:r>
    </w:p>
    <w:p w14:paraId="7BA9E52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w:t>
      </w:r>
      <w:r>
        <w:rPr>
          <w:rFonts w:ascii="宋体" w:hAnsi="宋体"/>
          <w:sz w:val="24"/>
        </w:rPr>
        <w:lastRenderedPageBreak/>
        <w:t>表决，但应当计入出具表决意见的基金份额持有人所代表的基金份额总数。</w:t>
      </w:r>
    </w:p>
    <w:p w14:paraId="3FC86D9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基金份额持有人大会的各项提案或同一项提案内并列的各项议题应当分开审议、逐项表决。</w:t>
      </w:r>
    </w:p>
    <w:p w14:paraId="0721400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7、计票</w:t>
      </w:r>
    </w:p>
    <w:p w14:paraId="21A318C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08FA4CE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0565261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2）监票人应当在基金份额持有人表决后立即进行清点并由大会主持人当场公布计票结果。</w:t>
      </w:r>
    </w:p>
    <w:p w14:paraId="14740B7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2E8A16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4）计票过程应由公证机关予以公证，基金管理人或基金托管人拒不出席大会的，不影响计票的效力。</w:t>
      </w:r>
    </w:p>
    <w:p w14:paraId="7184F01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13FA9B7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102BBFB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8、生效与公告</w:t>
      </w:r>
    </w:p>
    <w:p w14:paraId="79657C0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基金份额持有人大会决定的事项自表决通过之日起生效，召集人应当自通过之日起5日内报中国证监会备案。</w:t>
      </w:r>
    </w:p>
    <w:p w14:paraId="4554287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基金份额持有人大会决议自生效之日起2日内在指定媒介上公告。如果采用通讯方式进行表决，在公告基金份额持有人大会决议时，必须将公证书全文、公证机构、公证员姓名等一同公告。</w:t>
      </w:r>
    </w:p>
    <w:p w14:paraId="48A1CDF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14:paraId="0267BAC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9、实施侧袋机制期间基金份额持有人大会的特殊约定</w:t>
      </w:r>
    </w:p>
    <w:p w14:paraId="607423C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628E575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（1）基金份额持有人行使提议权、召集权、提名权所需单独或合计代表相关基金份额10%以上（含10%）；</w:t>
      </w:r>
    </w:p>
    <w:p w14:paraId="09B8F28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（2）现场开会的到会者在权益登记日代表的基金份额不少于本基金在权益登记日相关基金份额的二分之一（含二分之一）；</w:t>
      </w:r>
    </w:p>
    <w:p w14:paraId="173DFE8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（3）通讯开会的直接出具表决意见或授权他人代表出具表决意见的基金份额持有人所持有的基金份额不小于在权益登记日相关基金份额的二分之一（含二分之一）；</w:t>
      </w:r>
    </w:p>
    <w:p w14:paraId="405ABC8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73FED94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（5）现场开会由出席大会的基金份额持有人和代理人所持表决权的50%以上（含50%）选举产生一名基金份额持有人或代理人作为该次基金份额持有人大会的主持人；</w:t>
      </w:r>
    </w:p>
    <w:p w14:paraId="12E1B9D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（6）一般决议须经参加大会的基金份额持有人或其代理人所持表决权的二分之一以上（含二分之一）通过；</w:t>
      </w:r>
    </w:p>
    <w:p w14:paraId="78A3CA3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（7）特别决议应当经参加大会的基金份额持有人或其代理人所持表决权的三分之二以上（含三分之二）通过。</w:t>
      </w:r>
    </w:p>
    <w:p w14:paraId="3E91A10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同一主侧袋账户内的每份基金份额具有平等的表决权。</w:t>
      </w:r>
    </w:p>
    <w:p w14:paraId="73DA9B7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10、本部分对基金份额持有人大会召开事由、召开条件、议事程序、表决条件等规定，凡是直接引用法律法规的部分，如将来法律法规修改导致相关内容被取消</w:t>
      </w:r>
      <w:r>
        <w:rPr>
          <w:rFonts w:ascii="宋体" w:hAnsi="宋体"/>
          <w:sz w:val="24"/>
        </w:rPr>
        <w:lastRenderedPageBreak/>
        <w:t>或变更的，基金管理人经与基金托管人协商一致并提前公告后，可直接对本部分内容进行修改和调整，无需召开基金份额持有人大会审议。</w:t>
      </w:r>
    </w:p>
    <w:p w14:paraId="248B515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（三）基金合同解除和终止的事由、程序</w:t>
      </w:r>
    </w:p>
    <w:p w14:paraId="0FBB5AA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1、《基金合同》的变更</w:t>
      </w:r>
    </w:p>
    <w:p w14:paraId="21929F4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10F5270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（2）关于《基金合同》变更的基金份额持有人大会决议自表决通过之日起生效，生效后方可执行，并自决议生效后依照《信息披露办法》的规定在指定媒介公告。</w:t>
      </w:r>
    </w:p>
    <w:p w14:paraId="27E644C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2、《基金合同》的终止事由</w:t>
      </w:r>
    </w:p>
    <w:p w14:paraId="47E86F7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14:paraId="3B08E96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5FEF88C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035E60F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（3）连续60个工作日出现基金份额持有人数量不满200人或者基金资产净值低于5000万元情形的，基金管理人可提前终止基金合同，不需召开基金份额持有人大会；</w:t>
      </w:r>
    </w:p>
    <w:p w14:paraId="56BB433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（4）《基金合同》约定的其他情形；</w:t>
      </w:r>
    </w:p>
    <w:p w14:paraId="690F74F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（5）相关法律法规和中国证监会规定的其他情况。</w:t>
      </w:r>
    </w:p>
    <w:p w14:paraId="11081B7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3、基金财产的清算</w:t>
      </w:r>
    </w:p>
    <w:p w14:paraId="7F11E92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6D2BAB2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3F52EE5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6B8E1F0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（4）基金财产清算程序：</w:t>
      </w:r>
    </w:p>
    <w:p w14:paraId="464820F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1）《基金合同》终止情形出现时，由基金财产清算小组统一接管基金财产；</w:t>
      </w:r>
    </w:p>
    <w:p w14:paraId="58254ED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2A4D6C6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14:paraId="7744D2B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265540E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2FA89AA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7241578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4FC88B1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（5）基金财产清算的期限为6个月，若遇基金持有的有价证券出现长期休市、停牌或其他流通受限的情形除外。</w:t>
      </w:r>
    </w:p>
    <w:p w14:paraId="5B8E087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4、清算费用</w:t>
      </w:r>
    </w:p>
    <w:p w14:paraId="72E6AB4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1645563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5、基金财产清算剩余资产的分配</w:t>
      </w:r>
    </w:p>
    <w:p w14:paraId="7D08BE2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537430B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6、基金财产清算的公告</w:t>
      </w:r>
    </w:p>
    <w:p w14:paraId="2B7DC63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13299E0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7、基金财产清算账册及文件的保存</w:t>
      </w:r>
    </w:p>
    <w:p w14:paraId="3EA0EE1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14:paraId="3EDA463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（四）争议解决方式</w:t>
      </w:r>
    </w:p>
    <w:p w14:paraId="56C37FD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方当事人同意，因《基金合同》而产生的或与《基金合同》有关的一切争议，如经友好协商未能解决的，任何一方均有权将争议提交华南国际经济贸易仲裁委员会，按照华南国际经济贸易仲裁委员会届时有效的仲裁规则进行仲裁。仲裁地点为深圳市。仲裁裁决是终局的，对各方当事人均有约束力，除非仲裁裁决另有规</w:t>
      </w:r>
      <w:r>
        <w:rPr>
          <w:rFonts w:ascii="宋体" w:hAnsi="宋体"/>
          <w:sz w:val="24"/>
        </w:rPr>
        <w:lastRenderedPageBreak/>
        <w:t>定，仲裁费用由败诉方承担。争议处理期间，基金合同当事人应恪守各自的职责，继续忠实、勤勉、尽责地履行基金合同规定的义务，维护基金份额持有人的合法权益。</w:t>
      </w:r>
    </w:p>
    <w:p w14:paraId="250D5F1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《基金合同》受中国法律（不含港澳台地区法律）管辖。</w:t>
      </w:r>
    </w:p>
    <w:p w14:paraId="0D05970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（五）基金合同存放及投资者取得基金合同的方式</w:t>
      </w:r>
    </w:p>
    <w:p w14:paraId="2A7EA3D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《基金合同》正本一式三份，除上报有关监管机构一份外，基金管理人、基金托管人各持有一份，每份具有同等的法律效力。</w:t>
      </w:r>
    </w:p>
    <w:p w14:paraId="575FEB2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《基金合同》可印制成册，供投资者在基金管理人、基金托管人、销售机构的办公场所和营业场所查阅，但应以《基金合同》正本为准。</w:t>
      </w:r>
    </w:p>
    <w:p w14:paraId="15CC5F81" w14:textId="77777777" w:rsidR="00C61788" w:rsidRDefault="00BC098F" w:rsidP="00C6178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C789DC5" w14:textId="77777777" w:rsidR="00234D74" w:rsidRDefault="00BC098F">
      <w:pPr>
        <w:pStyle w:val="1"/>
        <w:snapToGrid w:val="0"/>
        <w:spacing w:beforeLines="0" w:before="240" w:after="240"/>
        <w:rPr>
          <w:rFonts w:ascii="宋体" w:hAnsi="宋体"/>
          <w:szCs w:val="30"/>
        </w:rPr>
      </w:pPr>
      <w:bookmarkStart w:id="26" w:name="_Toc135728698"/>
      <w:r>
        <w:rPr>
          <w:rFonts w:ascii="Times New Roman" w:hAnsi="Times New Roman"/>
          <w:sz w:val="30"/>
        </w:rPr>
        <w:lastRenderedPageBreak/>
        <w:t>二十二、托管协议的内容摘要</w:t>
      </w:r>
      <w:bookmarkEnd w:id="26"/>
    </w:p>
    <w:p w14:paraId="1A497A7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（一）托管协议当事人</w:t>
      </w:r>
    </w:p>
    <w:p w14:paraId="0FEBF04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w:t>
      </w:r>
    </w:p>
    <w:p w14:paraId="696DFE2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3BBD068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5DAF238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22F2F9B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5E639FA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2EEFA06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 2005年8月4日</w:t>
      </w:r>
    </w:p>
    <w:p w14:paraId="39E9831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批准设立机关：中国证券监督管理委员会</w:t>
      </w:r>
    </w:p>
    <w:p w14:paraId="4E578E0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批准设立文号：中国证监会证监基金字[2005]128号</w:t>
      </w:r>
    </w:p>
    <w:p w14:paraId="0FF09FF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组织形式：有限责任公司</w:t>
      </w:r>
    </w:p>
    <w:p w14:paraId="1D35EFD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 2亿元人民币</w:t>
      </w:r>
    </w:p>
    <w:p w14:paraId="393F09E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426B09D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经营范围：基金募集、基金销售、资产管理和中国证监会许可的其他业务。</w:t>
      </w:r>
    </w:p>
    <w:p w14:paraId="1F64E4F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w:t>
      </w:r>
    </w:p>
    <w:p w14:paraId="7CB1384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名称：招商银行股份有限公司(简称：招商银行)</w:t>
      </w:r>
    </w:p>
    <w:p w14:paraId="35C9572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住所：深圳市深南大道7088号招商银行大厦</w:t>
      </w:r>
    </w:p>
    <w:p w14:paraId="082279E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办公地址：深圳市深南大道7088号招商银行大厦</w:t>
      </w:r>
    </w:p>
    <w:p w14:paraId="2DAC100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邮政编码：518040</w:t>
      </w:r>
    </w:p>
    <w:p w14:paraId="3CEFA65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14:paraId="50CD7AF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成立时间：1987年4月8日</w:t>
      </w:r>
    </w:p>
    <w:p w14:paraId="75F2953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基金托管业务批准文号：证监基金字[2002]83号</w:t>
      </w:r>
    </w:p>
    <w:p w14:paraId="7653501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14:paraId="753599E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注册资本：人民币252.20亿元</w:t>
      </w:r>
    </w:p>
    <w:p w14:paraId="245D979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358C8A7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（二）基金托管人对基金管理人的业务监督和核查</w:t>
      </w:r>
    </w:p>
    <w:p w14:paraId="6BA9BE1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1、基金托管人根据有关法律法规的规定以及《基金合同》的约定，对基金投资范围、投资比例、投资限制、关联方交易等进行监督。《基金合同》明确约定基</w:t>
      </w:r>
      <w:r>
        <w:rPr>
          <w:rFonts w:ascii="宋体" w:hAnsi="宋体"/>
          <w:sz w:val="24"/>
        </w:rPr>
        <w:lastRenderedPageBreak/>
        <w:t>金投资证券选择标准的，基金管理人应事先或定期向基金托管人提供投资品种池，以便基金托管人对基金实际投资是否符合基金合同关于证券选择标准的约定进行监督。</w:t>
      </w:r>
    </w:p>
    <w:p w14:paraId="69ED782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（1）本基金的投资范围为：</w:t>
      </w:r>
    </w:p>
    <w:p w14:paraId="5627524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交易的国债、金融债、央行票据、地方政府债、企业债、公司债、可分离交易可转债的纯债部分、公开发行的次级债、资产支持证券、短期融资券、超级短期融资券、中小企业私募债、中期票据、债券回购、银行存款、同业存单、货币市场工具等资产和法律法规允许投资的其他金融工具。本基金不投资于股票、权证等资产，也不投资于可转换债券（可分离交易可转债的纯债部分除外）、可交换债券。</w:t>
      </w:r>
    </w:p>
    <w:p w14:paraId="3D8B322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14:paraId="2010A26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（2）本基金各类品种的投资比例、投资限制为：</w:t>
      </w:r>
    </w:p>
    <w:p w14:paraId="3933B3F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投资于债券资产的比例不低于基金资产的80%，但在封闭期结束前三个月和转开放后三个月内，基金投资不受上述债券资产投资比例限制。本基金转为开放式运作后，现金或到期日在一年以内的政府债券的比例合计不低于基金资产净值的5%，其中现金不包括结算备付金、存出保证金、应收申购款等。如果法律法规或中国证监会变更投资品种的投资比例限制，基金管理人在履行适当程序后，可以调整上述投资品种的投资比例。</w:t>
      </w:r>
    </w:p>
    <w:p w14:paraId="0F8B12E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基金的投资组合应遵循以下限制：</w:t>
      </w:r>
    </w:p>
    <w:p w14:paraId="6561B09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1）本基金投资于债券资产的比例不低于基金资产的80%，但在封闭期结束前三个月和转开放后三个月内基金投资不受上述债券资产投资比例限制；</w:t>
      </w:r>
    </w:p>
    <w:p w14:paraId="6FBF736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2）本基金转为开放式运作后，保持不低于基金资产净值5%的现金或者到期日在一年以内的政府债券，其中现金不包括结算备付金、存出保证金、应收申购款等；</w:t>
      </w:r>
    </w:p>
    <w:p w14:paraId="1EBC2B1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3）本基金持有一家公司发行的证券，其市值不得超过基金资产净值的10%；</w:t>
      </w:r>
    </w:p>
    <w:p w14:paraId="33CEBD9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4）本基金管理人管理的全部基金持有一家公司发行的证券，不超过该证券的10%；</w:t>
      </w:r>
    </w:p>
    <w:p w14:paraId="1D4C43B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5）本基金在封闭期内，基金总资产不超过基金净资产的200%；本基金转为开放式运作后，基金总资产不超过基金净资产的140%；</w:t>
      </w:r>
    </w:p>
    <w:p w14:paraId="11CD9E1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6）本基金转为开放式运作后，主动投资于流动性受限资产的市值合计不得超过基金资产净值的 15%；因证券市场波动、基金规模变动等基金管理人之外的因素致使基金不符合该比例限制的，基金管理人不得主动新增流动性受限资产的投资；</w:t>
      </w:r>
    </w:p>
    <w:p w14:paraId="18379CF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7）本基金与私募类证券资管产品及中国证监会认定的其他主体为交易对手开展逆回购交易的，可接受质押品的资质要求应当与基金合同约定的投资范围保持一致；</w:t>
      </w:r>
    </w:p>
    <w:p w14:paraId="288CC4A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8）本基金投资于同一原始权益人的各类资产支持证券的比例，不得超过基金资产净值的10%；</w:t>
      </w:r>
    </w:p>
    <w:p w14:paraId="3B614B9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9）本基金持有的全部资产支持证券，其市值不得超过基金资产净值的20%；</w:t>
      </w:r>
    </w:p>
    <w:p w14:paraId="1E9D51D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10）本基金持有的同一(指同一信用级别)资产支持证券的比例，不得超过该资产支持证券规模的10%；</w:t>
      </w:r>
    </w:p>
    <w:p w14:paraId="1459A69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11）本基金管理人管理的全部基金投资于同一原始权益人的各类资产支持证券，不得超过其各类资产支持证券合计规模的10%；</w:t>
      </w:r>
    </w:p>
    <w:p w14:paraId="4E58772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12）本基金应投资于信用级别评级为BBB以上(含BBB)的资产支持证券。基金持有资产支持证券期间，如果其信用等级下降、不再符合投资标准，应在评级报告发布之日起3个月内予以全部卖出；</w:t>
      </w:r>
    </w:p>
    <w:p w14:paraId="32E0B30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13）本基金进入全国银行间同业市场进行债券回购的资金余额不得超过基金资产净值的40%；本基金在全国银行间同业市场中的债券回购最长期限为1年，债券回购到期后不得展期；</w:t>
      </w:r>
    </w:p>
    <w:p w14:paraId="7141819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14）本基金持有单只中小企业私募债券，其市值不得超过基金资产净值的10%；</w:t>
      </w:r>
    </w:p>
    <w:p w14:paraId="79155A7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15）法律法规及中国证监会规定的和《基金合同》约定的其他投资限制。</w:t>
      </w:r>
    </w:p>
    <w:p w14:paraId="433C748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法律法规对上述投资组合比例限制进行变更的，以变更后的规定为准。法律法规或监管部门取消上述限制，如适用于本基金，基金管理人在履行适当程序后，则本基金投资不再受相关限制。</w:t>
      </w:r>
    </w:p>
    <w:p w14:paraId="01501FA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（3)本基金财产不得用于以下投资或者活动：1）承销证券；</w:t>
      </w:r>
    </w:p>
    <w:p w14:paraId="79DB797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2）违反规定向他人贷款或者提供担保；</w:t>
      </w:r>
    </w:p>
    <w:p w14:paraId="73CF0F8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14:paraId="6994E42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4）买卖其他基金份额，但是中国证监会另有规定的除外；</w:t>
      </w:r>
    </w:p>
    <w:p w14:paraId="100161B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14:paraId="200F8AF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6）从事内幕交易、操纵证券交易价格及其他不正当的证券交易活动；</w:t>
      </w:r>
    </w:p>
    <w:p w14:paraId="0F540B5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7）法律、行政法规和中国证监会规定禁止的其他活动。</w:t>
      </w:r>
    </w:p>
    <w:p w14:paraId="2644C78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如法律、行政法规或监管部门取消上述禁止性规定，如适用于本基金，基金管理人在履行适当程序后，本基金可不受上述规定的限制。</w:t>
      </w:r>
    </w:p>
    <w:p w14:paraId="37A655B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333FE2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（5）基金管理人应当自基金合同生效日起6个月内使基金的投资组合比例符合基金合同的有关约定，基金合同另有约定的除外。在上述期间内，本基金的投资范围、投资策略应当符合基金合同的约定。</w:t>
      </w:r>
    </w:p>
    <w:p w14:paraId="7CA973A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对基金的投资的监督与检查自本基金合同生效之日起开始。除上述第（2）、（6）、（7）、（12）项外，因证券市场波动、证券发行人合并或基金规模变动等基金管理人之外的原因导致投资比例不符合上述规定的，基金管理人应在10个交易日内进行调整，但中国证监会规定的特殊情形除外。法律法规另有规定的，从其规定。</w:t>
      </w:r>
    </w:p>
    <w:p w14:paraId="0BC7DAC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如果法律法规及监管政策等对基金合同约定的投资禁止行为和投资组合比例限制进行变更的，本基金可相应调整禁止行为和投资比例限制规定，不需经基金份额持有人大会审议。《基金法》及其他有关法律法规或监管部门取消上述限制的，履行适当程序后，基金不受上述限制。</w:t>
      </w:r>
    </w:p>
    <w:p w14:paraId="0D215C9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53EAB5B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本基金投资银行存款应符合如下规定：</w:t>
      </w:r>
    </w:p>
    <w:p w14:paraId="6E4A470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本基金投资于有固定期限银行存款的比例，不得超过基金资产净值的30%，但投资于有存款期限，根据协议可提前支取的银行存款不受上述比例限制；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14:paraId="3292F88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有关法律法规或监管部门制定或修改新的定期存款投资政策，基金管理人履行适当程序后，可相应调整投资组合限制的规定。</w:t>
      </w:r>
    </w:p>
    <w:p w14:paraId="4B556D5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274FBC8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1）基金管理人负责控制信用风险。信用风险主要包括存款银行的信用等级、存款银行的支付能力等涉及到存款银行选择方面的风险。因选择存款银行不当造成基金财产损失的，由基金管理人承担责任。</w:t>
      </w:r>
    </w:p>
    <w:p w14:paraId="39015E4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048B1A6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3）基金管理人须加强内部风险控制制度的建设。如因基金管理人员工职务行为导致基金财产受到损失的，需由基金管理人承担由此造成的损失。</w:t>
      </w:r>
    </w:p>
    <w:p w14:paraId="6780628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4）基金管理人与基金托管人在开展基金存款业务时，应严格遵守《基金法》、《运作办法》等有关法律法规，以及国家有关账户管理、利率管理、支付结算等的各项规定。</w:t>
      </w:r>
    </w:p>
    <w:p w14:paraId="43513DC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3、基金投资银行存款协议的签订、账户开设与管理、投资指令与资金划付、账目核对、到期兑付、提前支取</w:t>
      </w:r>
    </w:p>
    <w:p w14:paraId="1EBB8F2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（1）基金投资银行存款协议的签订</w:t>
      </w:r>
    </w:p>
    <w:p w14:paraId="1C6F83D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应与符合资格的存款银行总行或其授权分行签订《基金存款业务总体合作协议》（以下简称《总体合作协议》），确定《存款协议书》的格式范本。《总体合作协议》和《存款协议书》的格式范本由基金托管人与基金管理人共</w:t>
      </w:r>
      <w:r>
        <w:rPr>
          <w:rFonts w:ascii="宋体" w:hAnsi="宋体"/>
          <w:sz w:val="24"/>
        </w:rPr>
        <w:lastRenderedPageBreak/>
        <w:t>同商定。</w:t>
      </w:r>
    </w:p>
    <w:p w14:paraId="7D20A8B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2）基金托管人依据相关法规对《总体合作协议》和《存款协议书》的内容进行复核，审查存款银行资格等。</w:t>
      </w:r>
    </w:p>
    <w:p w14:paraId="68F457E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3）基金管理人应在《存款协议书》中明确存款证实书或其他有效存款凭证的办理方式、邮寄地址、联系人和联系电话，以及存款证实书或其他有效凭证在邮寄过程中遗失后，存款余额的确认及兑付办法等。</w:t>
      </w:r>
    </w:p>
    <w:p w14:paraId="00DC3AF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由存款银行指定的存放存款的分支机构（以下简称“存款分支机构”）寄送、上门交付或双方约定方式送达存款证实书或其他有效存款凭证的，基金托管人可向存款分支机构的上级行发出存款余额询证函，存款分支机构及其上级行应予配合。</w:t>
      </w:r>
    </w:p>
    <w:p w14:paraId="1BCEE29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5）基金管理人应在《存款协议书》中规定，基金存放到期或提前兑付的资金应全部划转到指定的基金托管账户，并在《存款协议书》写明账户名称和账号，未划入指定账户的，由存款银行承担一切责任。</w:t>
      </w:r>
    </w:p>
    <w:p w14:paraId="6AD83C1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0485ECE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7）基金管理人应在《存款协议书》中规定，因定期存款产生的存单不得被质押或以任何方式被抵押，不得用于转让和背书。</w:t>
      </w:r>
    </w:p>
    <w:p w14:paraId="20DF029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（2）基金投资银行存款时的账户开设与管理</w:t>
      </w:r>
    </w:p>
    <w:p w14:paraId="2672063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1）基金投资于银行存款时，基金管理人应当依据基金管理人与存款银行签订的《总体合作协议》、《存款协议书》等，以基金的名义在存款银行总行或授权分行指定的分支机构开立银行账户。</w:t>
      </w:r>
    </w:p>
    <w:p w14:paraId="7F650C6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2）基金投资于银行存款时的预留印鉴由基金托管人保管和使用。</w:t>
      </w:r>
    </w:p>
    <w:p w14:paraId="629A7E0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（3）存款凭证传递、账目核对及到期兑付</w:t>
      </w:r>
    </w:p>
    <w:p w14:paraId="5BE1908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1）存款证实书等存款凭证传递</w:t>
      </w:r>
    </w:p>
    <w:p w14:paraId="7771AD6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款资金只能存放于存款银行总行或授权分行指定的分支机构。基金管理人应在《存款协议书》中规定，存款银行分支机构应为基金开具存款证实书或其他有效存款凭证（下称“存款凭证”），该存款凭证为基金存款确认或到期提款的有效凭</w:t>
      </w:r>
      <w:r>
        <w:rPr>
          <w:rFonts w:ascii="宋体" w:hAnsi="宋体"/>
          <w:sz w:val="24"/>
        </w:rPr>
        <w:lastRenderedPageBreak/>
        <w:t>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5F15607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2）存款凭证的遗失补办</w:t>
      </w:r>
    </w:p>
    <w:p w14:paraId="52239E2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存款凭证在邮寄过程中遗失的，由基金管理人向存款银行提出补办申请，基金管理人应督促存款银行尽快补办存款凭证，并按以上（1）的方式快递或上门交送至托管人，原存款凭证自动作废。</w:t>
      </w:r>
    </w:p>
    <w:p w14:paraId="3B77634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3）账目核对</w:t>
      </w:r>
    </w:p>
    <w:p w14:paraId="6E29B46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基金管理人应与基金托管人核对各项银行存款投资余额及应计利息。基金管理人应在《存款协议书》中规定，对于存期超过3个月的定期存款，存款银行应于每季末后5个工作日内向基金托管人指定人员寄送对账单。因存款银行未寄送对账单造成的资金被挪用、盗取的责任由存款银行承担。</w:t>
      </w:r>
    </w:p>
    <w:p w14:paraId="50FB948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存款银行应配合基金托管人对存款凭证的询证，并在询证函上加盖存款银行公章寄送至基金托管人指定联系人。</w:t>
      </w:r>
    </w:p>
    <w:p w14:paraId="5E7F1F9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4）到期兑付</w:t>
      </w:r>
    </w:p>
    <w:p w14:paraId="4DEAF3E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提前通知基金托管人通过快递或双方约定方式将存款凭证原件寄给存款银行分支机构指定的会计主管。存款银行未收到存款凭证原件的，应与基金托管人电话询问。存款到期前基金管理人与存款银行确认存款凭证收到并于到期日兑付存款本息事宜。</w:t>
      </w:r>
    </w:p>
    <w:p w14:paraId="499C239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060EFC1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07E94E0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如果存款到期日为法定节假日，存款银行顺延至到期后第一个工作日支付，存款银行需按原协议约定利率和实际延期天数支付延期利息。</w:t>
      </w:r>
    </w:p>
    <w:p w14:paraId="1C63365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（4）提前支取</w:t>
      </w:r>
    </w:p>
    <w:p w14:paraId="252777C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如果在存款期限内，由于基金规模发生缩减的原因或者出于流动性管理的需要等原因，基金管理人可以提前支取全部或部分资金。</w:t>
      </w:r>
    </w:p>
    <w:p w14:paraId="7629CEA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提前支取的具体事项按照基金管理人与存款银行签订的《存款协议书》执行。</w:t>
      </w:r>
    </w:p>
    <w:p w14:paraId="3CEA991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（5）基金投资银行存款的监督</w:t>
      </w:r>
    </w:p>
    <w:p w14:paraId="0EFFE3E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基金托管人发现基金管理人在进行存款投资时有违反有关法律法规的规定及《基金合同》的约定的行为，应及时以书面形式通知基金管理人在10 个工作日内纠正。基金管理人对基金托管人通知的违规事项未能在10 个工作日内纠正的，基金托管人应报告中国证监会。基金托管人发现基金管理人有重大违规行为，应立即报告中国证监会，同时通知基金管理人在10 个工作日内纠正或拒绝结算，若因基金管理人拒不执行造成基金财产损失的，相关损失由基金管理人承担，基金托管人不承担任何责任。</w:t>
      </w:r>
    </w:p>
    <w:p w14:paraId="09D6882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3个交易日内与基金托管人协商解决。</w:t>
      </w:r>
    </w:p>
    <w:p w14:paraId="06332B3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负责对交易对手的资信风险防范，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w:t>
      </w:r>
      <w:r>
        <w:rPr>
          <w:rFonts w:ascii="宋体" w:hAnsi="宋体"/>
          <w:sz w:val="24"/>
        </w:rPr>
        <w:lastRenderedPageBreak/>
        <w:t>人，基金托管人不承担由此造成的任何损失和责任。</w:t>
      </w:r>
    </w:p>
    <w:p w14:paraId="740CF8E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5、基金管理人应当对投资中期票据业务进行研究，认真评估中期票据投资业务的风险，本着审慎、勤勉尽责的原则进行中期票据的投资业务，并应符合法律法规及监管机构的相关规定。</w:t>
      </w:r>
    </w:p>
    <w:p w14:paraId="30B48FC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托管人根据有关法律法规的规定及《基金合同》的约定，对各类基金份额的基金资产净值计算及基金份额净值计算、基金费用开支及收入确定、基金收益分配、相关信息披露、基金宣传推介材料中登载基金业绩表现数据等进行监督和核查。</w:t>
      </w:r>
    </w:p>
    <w:p w14:paraId="19FD910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发现基金管理人的上述事项及投资指令或实际投资运作违反法律法规、《基金合同》和本托管协议的规定，应及时以电话提醒、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2FB08B9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22E6CFA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0BB835C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10、基金托管人发现基金管理人有重大违规行为，应及时报告中国证监会，同时通知基金管理人限期纠正。</w:t>
      </w:r>
    </w:p>
    <w:p w14:paraId="34F4929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11、侧袋机制的实施和投资运作安排</w:t>
      </w:r>
    </w:p>
    <w:p w14:paraId="25A7E57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w:t>
      </w:r>
      <w:r>
        <w:rPr>
          <w:rFonts w:ascii="宋体" w:hAnsi="宋体"/>
          <w:sz w:val="24"/>
        </w:rPr>
        <w:lastRenderedPageBreak/>
        <w:t>意见后，可以依照法律法规及基金合同的约定启用侧袋机制。</w:t>
      </w:r>
    </w:p>
    <w:p w14:paraId="351B252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侧袋机制实施期间，基金合同约定的投资组合比例、投资策略、组合限制、业绩比较基准、风险收益特征等约定仅适用于主袋账户。</w:t>
      </w:r>
    </w:p>
    <w:p w14:paraId="6D6D2CF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侧袋账户的实施条件、实施程序、运作安排、投资安排、特定资产的处置变现和支付等对投资者权益有重大影响的事项详见招募说明书的规定。</w:t>
      </w:r>
    </w:p>
    <w:p w14:paraId="1063243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（三）基金管理人对基金托管人的业务核查</w:t>
      </w:r>
    </w:p>
    <w:p w14:paraId="467086F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对基金托管人履行托管职责情况进行核查，核查事项包括基金托管人安全保管基金财产、开设基金财产的资金账户、证券账户等投资所需账户、复核基金管理人计算的各类基金份额的基金资产净值和基金份额净值、根据基金管理人指令办理清算交收、相关信息披露和监督基金投资运作等行为。</w:t>
      </w:r>
    </w:p>
    <w:p w14:paraId="65F7057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5099FF4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3EE3E89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4、基金管理人发现基金托管人有重大违规行为，应及时报告中国证监会，同时通知基金托管人限期纠正，并将纠正结果报告中国证监会。</w:t>
      </w:r>
    </w:p>
    <w:p w14:paraId="485FBF5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（四）基金财产保管</w:t>
      </w:r>
    </w:p>
    <w:p w14:paraId="1C3CC44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1、基金财产保管的原则</w:t>
      </w:r>
    </w:p>
    <w:p w14:paraId="62419BF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（1）基金财产应独立于基金管理人、基金托管人的固有财产。</w:t>
      </w:r>
    </w:p>
    <w:p w14:paraId="0A0884C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（2）基金托管人应安全保管基金财产。</w:t>
      </w:r>
    </w:p>
    <w:p w14:paraId="03DBB04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（3）基金托管人按照规定开设基金财产的资金账户和证券账户等投资所需的相关账户。</w:t>
      </w:r>
    </w:p>
    <w:p w14:paraId="1E06345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（4）基金托管人对所托管的不同基金财产分别设置账户，确保基金财产的完</w:t>
      </w:r>
      <w:r>
        <w:rPr>
          <w:rFonts w:ascii="宋体" w:hAnsi="宋体"/>
          <w:sz w:val="24"/>
        </w:rPr>
        <w:lastRenderedPageBreak/>
        <w:t>整与独立。</w:t>
      </w:r>
    </w:p>
    <w:p w14:paraId="6F11B47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责任。</w:t>
      </w:r>
    </w:p>
    <w:p w14:paraId="1544CCB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14:paraId="0B6E44A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14:paraId="204C68A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（8）除依据法律法规和基金合同的规定外，基金托管人不得委托第三人托管基金财产。</w:t>
      </w:r>
    </w:p>
    <w:p w14:paraId="2E587C8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2、基金募集期间及募集资金的验资</w:t>
      </w:r>
    </w:p>
    <w:p w14:paraId="13AF26E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（1）基金募集期间募集认购款项应开立“基金募集专户”。该账户由基金管理人或基金管理人委托的登记机构开立并管理。</w:t>
      </w:r>
    </w:p>
    <w:p w14:paraId="41746B8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满或基金停止募集时，募集的基金份额总额、基金募集金额、基金份额持有人人数符合《基金法》、《运作办法》等有关规定后，基金管理人应将属于基金财产的全部资金划入基金托管人为基金开立的基金资金账户，同时在规定时间内，基金管理人应聘请具有从事证券相关业务资格的会计师事务所进行验资，出具验资报告。出具的验资报告由参加验资的2名或2名以上中国注册会计师签字方为有效。</w:t>
      </w:r>
    </w:p>
    <w:p w14:paraId="2A4DB3F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（3）若基金募集期限届满，未能达到基金合同生效的条件，由基金管理人按规定办理退款等事宜。</w:t>
      </w:r>
    </w:p>
    <w:p w14:paraId="01FE051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3、基金资金账户的开立和管理</w:t>
      </w:r>
    </w:p>
    <w:p w14:paraId="09160E9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以本基金的名义在其营业机构开立基金的资金账户（也可称为“托管账户”），保管基金的银行存款，并根据基金管理人的指令办理资金收付。托管账户名称应为“交银施罗德丰晟收益债券型证券投资基金”，预留印鉴为</w:t>
      </w:r>
      <w:r>
        <w:rPr>
          <w:rFonts w:ascii="宋体" w:hAnsi="宋体"/>
          <w:sz w:val="24"/>
        </w:rPr>
        <w:lastRenderedPageBreak/>
        <w:t>基金托管人印章。</w:t>
      </w:r>
    </w:p>
    <w:p w14:paraId="2E3A520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（2）基金资金账户的开立和使用，限于满足开展本基金业务的需要。基金托管人和基金管理人不得假借本基金的名义开立任何其他银行账户；亦不得使用基金的任何账户进行本基金业务以外的活动。</w:t>
      </w:r>
    </w:p>
    <w:p w14:paraId="0E6AD17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（3）基金资金账户的开立和管理应符合法律法规及银行业监督管理机构的有关规定。</w:t>
      </w:r>
    </w:p>
    <w:p w14:paraId="32F1E25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4、基金证券账户和结算备付金账户的开立和管理</w:t>
      </w:r>
    </w:p>
    <w:p w14:paraId="0485C0C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（1）基金托管人在中国证券登记结算有限责任公司上海分公司、深圳分公司为基金开立基金托管人与基金联名的证券账户。</w:t>
      </w:r>
    </w:p>
    <w:p w14:paraId="1A402F0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2B57D96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（3）基金证券账户的开立和证券账户卡的保管由基金托管人负责，账户资产的管理和运用由基金管理人负责。</w:t>
      </w:r>
    </w:p>
    <w:p w14:paraId="643BD75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等的收取按照中国证券登记结算有限责任公司的规定执行。</w:t>
      </w:r>
    </w:p>
    <w:p w14:paraId="66C0E60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14:paraId="1146872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5、债券托管专户的开设和管理</w:t>
      </w:r>
    </w:p>
    <w:p w14:paraId="59BB6B0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14:paraId="060614E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6、其他账户的开立和管理</w:t>
      </w:r>
    </w:p>
    <w:p w14:paraId="325BE90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（1）因业务发展需要而开立的其他账户，可以根据法律法规和基金合同的规定，由基金管理人协助基金托管人按照有关法律法规和本协议的约定协商后开立。新账户按有关规定使用并管理。</w:t>
      </w:r>
    </w:p>
    <w:p w14:paraId="0B08BED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（2）法律法规等有关规定对相关账户的开立和管理另有规定的，从其规定办</w:t>
      </w:r>
      <w:r>
        <w:rPr>
          <w:rFonts w:ascii="宋体" w:hAnsi="宋体"/>
          <w:sz w:val="24"/>
        </w:rPr>
        <w:lastRenderedPageBreak/>
        <w:t>理。</w:t>
      </w:r>
    </w:p>
    <w:p w14:paraId="698D0DA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7、基金财产投资的有关有价凭证等的保管</w:t>
      </w:r>
    </w:p>
    <w:p w14:paraId="63517C3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投资的有关实物证券、银行存款开户证实书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4816F47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8、与基金财产有关的重大合同的保管</w:t>
      </w:r>
    </w:p>
    <w:p w14:paraId="33AD52B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基金合同终止后不少于15年。</w:t>
      </w:r>
    </w:p>
    <w:p w14:paraId="1B4A4BD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0C4CFE8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（五）基金资产净值计算、估值和会计核算</w:t>
      </w:r>
    </w:p>
    <w:p w14:paraId="00CE59F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1、基金资产净值的计算、复核与完成的时间及程序</w:t>
      </w:r>
    </w:p>
    <w:p w14:paraId="075D298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w:t>
      </w:r>
    </w:p>
    <w:p w14:paraId="1C0FC62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14:paraId="24310FB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各类基金份额的基金份额净值是指估值日该类基金份额的基金资产净值除以估值日该类基金份额总数，基金份额净值的计算，精确到0.0001元，小数点后第五位四舍五入，国家另有规定的，从其规定。</w:t>
      </w:r>
    </w:p>
    <w:p w14:paraId="0935676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基金管理人每个工作日计算各类基金份额的基金资产净值、基金份额净值，经基金托管人复核，按规定公告，但基金管理人根据法律法规或基金合同的规定暂停估值时除外。</w:t>
      </w:r>
    </w:p>
    <w:p w14:paraId="60CD33F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（2）复核程序</w:t>
      </w:r>
    </w:p>
    <w:p w14:paraId="3B4FAD3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基金管理人每工作日对基金资产进行估值后，将各类基金份额的基金资产净值、基金份额净值发送基金托管人，经基金托管人复核无误后，由基金管理人对外公布。</w:t>
      </w:r>
    </w:p>
    <w:p w14:paraId="7AB4D95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0703C27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2、基金资产的估值</w:t>
      </w:r>
    </w:p>
    <w:p w14:paraId="3647340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基金管理人及基金托管人应当按照《基金合同》的约定进行估值。</w:t>
      </w:r>
    </w:p>
    <w:p w14:paraId="64A4D01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3、基金份额净值错误的处理方式</w:t>
      </w:r>
    </w:p>
    <w:p w14:paraId="21D07F8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基金管理人及基金托管人应当按照《基金合同》的约定处理份额净值错误。</w:t>
      </w:r>
    </w:p>
    <w:p w14:paraId="56B9A1E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4、基金会计制度</w:t>
      </w:r>
    </w:p>
    <w:p w14:paraId="2A8513C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按国家有关部门规定的会计制度执行。</w:t>
      </w:r>
    </w:p>
    <w:p w14:paraId="4E54929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5、基金账册的建立</w:t>
      </w:r>
    </w:p>
    <w:p w14:paraId="1D8931E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334D475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6、基金财务报表与报告的编制和复核</w:t>
      </w:r>
    </w:p>
    <w:p w14:paraId="36B679D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（1）财务报表的编制</w:t>
      </w:r>
    </w:p>
    <w:p w14:paraId="116D37E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基金财务报表由基金管理人编制，基金托管人复核。</w:t>
      </w:r>
    </w:p>
    <w:p w14:paraId="26054F2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（2）报表复核</w:t>
      </w:r>
    </w:p>
    <w:p w14:paraId="34B9C57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基金托管人在收到基金管理人编制的基金财务报表后，进行独立的复核。核对不符时，应及时通知基金管理人共同查出原因，进行调整，直至双方数据完全一致。</w:t>
      </w:r>
    </w:p>
    <w:p w14:paraId="55DA02B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（3）财务报表的编制与复核时间安排</w:t>
      </w:r>
    </w:p>
    <w:p w14:paraId="27A7B43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每月结束后5个工作日内完成月度报表的编制及复核；在每个季度结束之日起15个工作日内完成基金季度报告的编制及复核；在上半年结束之日起60日内完成基金半年度报告的编制及复核；在每年结束之日起90日内完成基金年度报告的编制及复核。基金托管人在复核过程中，发现双方的报表存在不符时，基金管理人和基金托管人应共同查明原因，进行调整，调整以国家有</w:t>
      </w:r>
      <w:r>
        <w:rPr>
          <w:rFonts w:ascii="宋体" w:hAnsi="宋体"/>
          <w:sz w:val="24"/>
        </w:rPr>
        <w:lastRenderedPageBreak/>
        <w:t>关规定为准。基金年度报告的财务会计报告应当经过审计。基金合同生效不足两个月的，基金管理人可以不编制当期季度报告、半年度报告或者年度报告。</w:t>
      </w:r>
    </w:p>
    <w:p w14:paraId="67B9C4F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7、在有需要时，基金管理人应每季度向基金托管人提供基金业绩比较基准的基础数据和编制结果。</w:t>
      </w:r>
    </w:p>
    <w:p w14:paraId="5CC57AB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8、实施侧袋机制期间的基金资产估值</w:t>
      </w:r>
    </w:p>
    <w:p w14:paraId="1F02840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本基金实施侧袋机制的，应根据基金合同的约定对主袋账户资产进行估值并披露主袋账户的基金净值信息，暂停披露侧袋账户份额净值。</w:t>
      </w:r>
    </w:p>
    <w:p w14:paraId="3E907C9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（六）基金份额持有人名册的保管</w:t>
      </w:r>
    </w:p>
    <w:p w14:paraId="4808FB4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15年。如不能妥善保管，则按相关法律法规承担责任。</w:t>
      </w:r>
    </w:p>
    <w:p w14:paraId="1B9CE31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托管人要求或编制半年报和年报前，基金管理人应将有关资料送交基金托管人，不得无故拒绝或延误提供，并保证其真实性、准确性和完整性。基金管理人和托管人不得将所保管的基金份额持有人名册用于基金托管业务以外的其他用途，并应遵守保密义务。</w:t>
      </w:r>
    </w:p>
    <w:p w14:paraId="6CC1568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（七）争议解决方式</w:t>
      </w:r>
    </w:p>
    <w:p w14:paraId="5020689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方当事人同意，因本协议而产生的或与本协议有关的一切争议，如经友好协商未能解决的，任何一方均有权将争议提交华南国际经济贸易仲裁委员会，按照华南国际经济贸易仲裁委员会届时有效的仲裁规则进行仲裁。仲裁地点为深圳市。仲裁裁决是终局的，对各方当事人均有约束力，除非仲裁裁决另有规定，仲裁费用由败诉方承担。</w:t>
      </w:r>
    </w:p>
    <w:p w14:paraId="0658EE2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争议处理期间，双方当事人应恪守基金管理人和基金托管人职责，各自继续忠实、勤勉、尽责地履行基金合同和本托管协议规定的义务，维护基金份额持有人的合法权益。</w:t>
      </w:r>
    </w:p>
    <w:p w14:paraId="1CB60A3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本协议受中华人民共和国法律（不含港澳台立法）管辖。</w:t>
      </w:r>
    </w:p>
    <w:p w14:paraId="0EB2BFF8"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（八）托管协议的变更、终止与基金财产的清算</w:t>
      </w:r>
    </w:p>
    <w:p w14:paraId="7A7B345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1、托管协议的变更程序</w:t>
      </w:r>
    </w:p>
    <w:p w14:paraId="639467CA"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本协议双方当事人经协商一致，可以对协议进行修改。修改后的新协议，其内容不得与基金合同的规定有任何冲突。基金托管协议的变更应报中国证监会备案。</w:t>
      </w:r>
    </w:p>
    <w:p w14:paraId="4F5E9D6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2、基金托管协议终止的情形</w:t>
      </w:r>
    </w:p>
    <w:p w14:paraId="7BC95D4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w:t>
      </w:r>
    </w:p>
    <w:p w14:paraId="770C0CA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（2）基金托管人因解散、破产、撤销等事由，不能继续担任基金托管人的职务，而在6个月内无其他适当的托管机构承接其原有权利义务；</w:t>
      </w:r>
    </w:p>
    <w:p w14:paraId="244DAAB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（3）基金管理人因解散、破产、撤销等事由，不能继续担任基金管理人的职务，而在6个月内无其他适当的基金管理公司承接其原有权利义务；</w:t>
      </w:r>
    </w:p>
    <w:p w14:paraId="529A54A4"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（4）发生法律法规或《基金合同》规定的其他终止事项。</w:t>
      </w:r>
    </w:p>
    <w:p w14:paraId="05ADF99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3、基金财产的清算</w:t>
      </w:r>
    </w:p>
    <w:p w14:paraId="7E4CB97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基金管理人与基金托管人按照《基金合同》的约定处理基金财产的清算。</w:t>
      </w:r>
    </w:p>
    <w:p w14:paraId="60732EF7" w14:textId="77777777" w:rsidR="00C61788" w:rsidRDefault="00BC098F" w:rsidP="00C6178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DDDB0F1" w14:textId="77777777" w:rsidR="00234D74" w:rsidRDefault="00BC098F">
      <w:pPr>
        <w:pStyle w:val="1"/>
        <w:snapToGrid w:val="0"/>
        <w:spacing w:beforeLines="0" w:before="240" w:after="240"/>
        <w:rPr>
          <w:rFonts w:ascii="宋体" w:hAnsi="宋体"/>
          <w:szCs w:val="30"/>
        </w:rPr>
      </w:pPr>
      <w:bookmarkStart w:id="27" w:name="_Toc135728699"/>
      <w:r>
        <w:rPr>
          <w:rFonts w:ascii="Times New Roman" w:hAnsi="Times New Roman"/>
          <w:sz w:val="30"/>
        </w:rPr>
        <w:lastRenderedPageBreak/>
        <w:t>二十三、对基金份额持有人的服务</w:t>
      </w:r>
      <w:bookmarkEnd w:id="27"/>
    </w:p>
    <w:p w14:paraId="7CD9E70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基金管理人承诺为基金份额持有人提供一系列的服务。基金管理人根据基金份额持有人的需要和市场的变化，有权增加或变更服务项目。主要服务内容如下：</w:t>
      </w:r>
    </w:p>
    <w:p w14:paraId="4E8059A5"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（一）持有人交易资料的寄送服务</w:t>
      </w:r>
    </w:p>
    <w:p w14:paraId="2CFBFD0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1、每次交易结束后，投资人可在T+2个工作日后通过销售机构的网点查询和打印确认单；</w:t>
      </w:r>
    </w:p>
    <w:p w14:paraId="5A262F6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2、本基金管理人将向持有人提供电子或纸质对账单，需要订阅或取消的客户可与本基金管理人客户服务中心（400-700-5000，021-61055000）联系。</w:t>
      </w:r>
    </w:p>
    <w:p w14:paraId="05F5A863"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（二）网上直销服务</w:t>
      </w:r>
    </w:p>
    <w:p w14:paraId="3C499E41" w14:textId="42071C92"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已开通基金网上直销业务，个人投资者可以直接通过本基金管理人网站的网上直销交易平台办理开户和本基金的申购、赎回、定期定额投资和转换等业务。通过网上直销交易平台办理本基金A类基金份额</w:t>
      </w:r>
      <w:r w:rsidR="000F67DE">
        <w:rPr>
          <w:rFonts w:ascii="宋体" w:hAnsi="宋体" w:hint="eastAsia"/>
          <w:sz w:val="24"/>
        </w:rPr>
        <w:t>或D类基金份额</w:t>
      </w:r>
      <w:r>
        <w:rPr>
          <w:rFonts w:ascii="宋体" w:hAnsi="宋体"/>
          <w:sz w:val="24"/>
        </w:rPr>
        <w:t>的申购和定期定额投资业务的个人投资者将享受前端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14:paraId="6F48F79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本公司基金网上直销业务已开通的银行卡及各银行卡交易金额限额请参阅本公司网站。</w:t>
      </w:r>
    </w:p>
    <w:p w14:paraId="5D4FE6E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在条件成熟的时候，本基金管理人将根据基金网上直销业务的发展状况，适时调整可用于网上直销交易平台的银行卡种类，敬请个人投资者留意相关公告。</w:t>
      </w:r>
    </w:p>
    <w:p w14:paraId="5D59ED7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（三）信息咨询、查询服务</w:t>
      </w:r>
    </w:p>
    <w:p w14:paraId="5DF85F0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投资人如果想查询基金账户余额、基金产品与服务等信息，请拨打本基金管理人客户服务电话（400-700-5000，021-61055000）或登录本基金管理人网站（www.fund001.com）进行咨询、查询。</w:t>
      </w:r>
    </w:p>
    <w:p w14:paraId="1C63479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人客户服务电话修改基金查询密码。</w:t>
      </w:r>
    </w:p>
    <w:p w14:paraId="27BF66B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投资人可以拨打本基金管理人客户服务电话投诉直销机构的人员和服务。</w:t>
      </w:r>
    </w:p>
    <w:p w14:paraId="74D37C8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（四）基金红利再投资</w:t>
      </w:r>
    </w:p>
    <w:p w14:paraId="705D13E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本基金在封闭期内，收益分配方式为现金分红。</w:t>
      </w:r>
    </w:p>
    <w:p w14:paraId="3DD2064C" w14:textId="7FCC916A"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为开放式运作后，基金份额持有人持有的基金份额可选择现金红利或选择红利再投将现金红利自动转为基金份额进行再投资，若投资人不选择，本基金默认的收益分配方式是现金分红；基金份额持有人可对其持有的A类</w:t>
      </w:r>
      <w:r w:rsidR="000F67DE">
        <w:rPr>
          <w:rFonts w:ascii="宋体" w:hAnsi="宋体" w:hint="eastAsia"/>
          <w:sz w:val="24"/>
        </w:rPr>
        <w:t>基金份额、</w:t>
      </w:r>
      <w:r>
        <w:rPr>
          <w:rFonts w:ascii="宋体" w:hAnsi="宋体"/>
          <w:sz w:val="24"/>
        </w:rPr>
        <w:t>C类基金份额</w:t>
      </w:r>
      <w:r w:rsidR="000F67DE">
        <w:rPr>
          <w:rFonts w:ascii="宋体" w:hAnsi="宋体" w:hint="eastAsia"/>
          <w:sz w:val="24"/>
        </w:rPr>
        <w:t>和D类基金份额</w:t>
      </w:r>
      <w:r>
        <w:rPr>
          <w:rFonts w:ascii="宋体" w:hAnsi="宋体"/>
          <w:sz w:val="24"/>
        </w:rPr>
        <w:t>分别选择不同的收益分配方式。再投资红利按红利再投日（即除息日）除息后的基金份额净值自动转为基金份额，并免收申购费用。</w:t>
      </w:r>
    </w:p>
    <w:p w14:paraId="3D48690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（五）定期定额投资计划</w:t>
      </w:r>
    </w:p>
    <w:p w14:paraId="1DF2F097" w14:textId="3563BA7F"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本基金已开通定期定额投资计划，具体实施方法请参见相关公告。</w:t>
      </w:r>
    </w:p>
    <w:p w14:paraId="0C0494A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服务联系方式：</w:t>
      </w:r>
    </w:p>
    <w:p w14:paraId="26C8265C"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本基金管理人的互联网地址及电子信箱</w:t>
      </w:r>
    </w:p>
    <w:p w14:paraId="677460C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76B1857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电子信箱：services@jysld.com</w:t>
      </w:r>
    </w:p>
    <w:p w14:paraId="1359F189"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投资者也可登录本基金管理人网站，直接提出有关本基金的问题和建议。</w:t>
      </w:r>
    </w:p>
    <w:p w14:paraId="7C93DD5F"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（六）如本招募说明书存在任何您/贵机构无法理解的内容，请通过上述方式联系基金管理人。请确保投资前，您/贵机构已经全面理解了本招募说明书。</w:t>
      </w:r>
    </w:p>
    <w:p w14:paraId="4FA08617" w14:textId="77777777" w:rsidR="00C61788" w:rsidRDefault="00BC098F" w:rsidP="00C6178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C44EE81" w14:textId="77777777" w:rsidR="00234D74" w:rsidRDefault="00BC098F">
      <w:pPr>
        <w:pStyle w:val="1"/>
        <w:snapToGrid w:val="0"/>
        <w:spacing w:beforeLines="0" w:before="240" w:after="240"/>
        <w:rPr>
          <w:rFonts w:ascii="宋体" w:hAnsi="宋体"/>
          <w:szCs w:val="30"/>
        </w:rPr>
      </w:pPr>
      <w:bookmarkStart w:id="28" w:name="_Toc135728700"/>
      <w:r>
        <w:rPr>
          <w:rFonts w:ascii="Times New Roman" w:hAnsi="Times New Roman"/>
          <w:sz w:val="30"/>
        </w:rPr>
        <w:lastRenderedPageBreak/>
        <w:t>二十四、其他应披露事项</w:t>
      </w:r>
      <w:bookmarkEnd w:id="28"/>
    </w:p>
    <w:p w14:paraId="5B7EB60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p w14:paraId="27196131"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本招募说明书更新期间基金披露的其他重要事项</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234D74" w14:paraId="1240C18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3B24EF3"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3A8B71F5"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14:paraId="129F87E4"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14:paraId="0D2CFF09"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234D74" w14:paraId="3DCCDDA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94C4568"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5E0F94ED"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交银施罗德基金管理有限公司关于交银施罗德丰晟收益债券型证券投资基金于</w:t>
            </w:r>
            <w:r>
              <w:rPr>
                <w:rFonts w:ascii="Times New Roman" w:hAnsi="Times New Roman"/>
                <w:color w:val="000000"/>
                <w:kern w:val="0"/>
                <w:sz w:val="25"/>
                <w:szCs w:val="24"/>
              </w:rPr>
              <w:t>2022</w:t>
            </w:r>
            <w:r>
              <w:rPr>
                <w:rFonts w:ascii="Times New Roman" w:hAnsi="Times New Roman"/>
                <w:color w:val="000000"/>
                <w:kern w:val="0"/>
                <w:sz w:val="25"/>
                <w:szCs w:val="24"/>
              </w:rPr>
              <w:t>年</w:t>
            </w:r>
            <w:r>
              <w:rPr>
                <w:rFonts w:ascii="Times New Roman" w:hAnsi="Times New Roman"/>
                <w:color w:val="000000"/>
                <w:kern w:val="0"/>
                <w:sz w:val="25"/>
                <w:szCs w:val="24"/>
              </w:rPr>
              <w:t>“</w:t>
            </w:r>
            <w:r>
              <w:rPr>
                <w:rFonts w:ascii="Times New Roman" w:hAnsi="Times New Roman"/>
                <w:color w:val="000000"/>
                <w:kern w:val="0"/>
                <w:sz w:val="25"/>
                <w:szCs w:val="24"/>
              </w:rPr>
              <w:t>劳动节</w:t>
            </w:r>
            <w:r>
              <w:rPr>
                <w:rFonts w:ascii="Times New Roman" w:hAnsi="Times New Roman"/>
                <w:color w:val="000000"/>
                <w:kern w:val="0"/>
                <w:sz w:val="25"/>
                <w:szCs w:val="24"/>
              </w:rPr>
              <w:t>”</w:t>
            </w:r>
            <w:r>
              <w:rPr>
                <w:rFonts w:ascii="Times New Roman" w:hAnsi="Times New Roman"/>
                <w:color w:val="000000"/>
                <w:kern w:val="0"/>
                <w:sz w:val="25"/>
                <w:szCs w:val="24"/>
              </w:rPr>
              <w:t>假期前暂停及节后恢复大额申购（转换转入、定期定额投资）业务的公告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16D12264"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0210515"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2022-04-28</w:t>
            </w:r>
          </w:p>
        </w:tc>
      </w:tr>
      <w:tr w:rsidR="00234D74" w14:paraId="501CBEC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7604693"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43807FB8"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交银施罗德基金管理有限公司关于交银施罗德丰晟收益债券型证券投资基金暂停大额申购（转换转入、定期定额投资）业务的公告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33B09BAC"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950E98E"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2022-05-17</w:t>
            </w:r>
          </w:p>
        </w:tc>
      </w:tr>
      <w:tr w:rsidR="00234D74" w14:paraId="4A55755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9CFE275"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372FA09C"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交银施罗德基金管理有限公司关于增加长城国瑞证券有限公司为旗下基金销售机构的公告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39314F1F"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3B538EC"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2022-05-18</w:t>
            </w:r>
          </w:p>
        </w:tc>
      </w:tr>
      <w:tr w:rsidR="00234D74" w14:paraId="711C5AD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B83B956"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176A0890"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交银施罗德丰晟收益债券型证券投资基金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59D73A80"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0EC3790"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2022-05-27</w:t>
            </w:r>
          </w:p>
        </w:tc>
      </w:tr>
      <w:tr w:rsidR="00234D74" w14:paraId="5064572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7D5C78A"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0F54E675"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交银施罗德丰晟收益债券型证券投资基金（</w:t>
            </w:r>
            <w:r>
              <w:rPr>
                <w:rFonts w:ascii="Times New Roman" w:hAnsi="Times New Roman"/>
                <w:color w:val="000000"/>
                <w:kern w:val="0"/>
                <w:sz w:val="25"/>
                <w:szCs w:val="24"/>
              </w:rPr>
              <w:t>A</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4719CA81"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37A92F3"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2022-05-27</w:t>
            </w:r>
          </w:p>
        </w:tc>
      </w:tr>
      <w:tr w:rsidR="00234D74" w14:paraId="6252CE5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47176EC"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7FEC1532"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交银施罗德丰晟收益债券型证券投资基金（</w:t>
            </w:r>
            <w:r>
              <w:rPr>
                <w:rFonts w:ascii="Times New Roman" w:hAnsi="Times New Roman"/>
                <w:color w:val="000000"/>
                <w:kern w:val="0"/>
                <w:sz w:val="25"/>
                <w:szCs w:val="24"/>
              </w:rPr>
              <w:t>C</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1EF61AB9"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26BF2E9"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2022-05-27</w:t>
            </w:r>
          </w:p>
        </w:tc>
      </w:tr>
      <w:tr w:rsidR="00234D74" w14:paraId="6217A10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DC245C2"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40FAE3C4"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交银施罗德基金管理有限公司关于增加平安证券股份有限公司为旗下基金销售机构的公告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7400AA32"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88E31C1"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2022-06-20</w:t>
            </w:r>
          </w:p>
        </w:tc>
      </w:tr>
      <w:tr w:rsidR="00234D74" w14:paraId="7E0B534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F89D400"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2596D5E6"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交银施罗德丰晟收益债券型证券投资基金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2698A07D"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8519D46"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2022-07-20</w:t>
            </w:r>
          </w:p>
        </w:tc>
      </w:tr>
      <w:tr w:rsidR="00234D74" w14:paraId="72ADDA4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387BF1D"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9</w:t>
            </w:r>
          </w:p>
        </w:tc>
        <w:tc>
          <w:tcPr>
            <w:tcW w:w="750" w:type="pct"/>
            <w:tcBorders>
              <w:top w:val="single" w:sz="4" w:space="0" w:color="auto"/>
              <w:left w:val="single" w:sz="4" w:space="0" w:color="auto"/>
              <w:bottom w:val="single" w:sz="4" w:space="0" w:color="auto"/>
              <w:right w:val="single" w:sz="4" w:space="0" w:color="auto"/>
            </w:tcBorders>
            <w:vAlign w:val="center"/>
          </w:tcPr>
          <w:p w14:paraId="59BB850A"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交银施罗德基金管理有限公司关于交银施罗德丰晟收益债券型证券投资基金恢复大额申购（转换转入、定期定额投资）业务的公告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09EBB1BE"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20E8916"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2022-07-27</w:t>
            </w:r>
          </w:p>
        </w:tc>
      </w:tr>
      <w:tr w:rsidR="00234D74" w14:paraId="759D561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29B7BA3"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71E2C559"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交银施罗德基金管理有限公司关于增加中邮证券有限责任公司为旗下基金销售机构的公告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23B9DCD2"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C5936F0"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2022-07-28</w:t>
            </w:r>
          </w:p>
        </w:tc>
      </w:tr>
      <w:tr w:rsidR="00234D74" w14:paraId="71AE2AD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FFBFC48"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14:paraId="710A26DA"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交银施罗德基金管理有限公司关于高级管理人员变更的公告</w:t>
            </w:r>
          </w:p>
        </w:tc>
        <w:tc>
          <w:tcPr>
            <w:tcW w:w="750" w:type="pct"/>
            <w:tcBorders>
              <w:top w:val="single" w:sz="4" w:space="0" w:color="auto"/>
              <w:left w:val="single" w:sz="4" w:space="0" w:color="auto"/>
              <w:bottom w:val="single" w:sz="4" w:space="0" w:color="auto"/>
              <w:right w:val="single" w:sz="4" w:space="0" w:color="auto"/>
            </w:tcBorders>
            <w:vAlign w:val="center"/>
          </w:tcPr>
          <w:p w14:paraId="2D816B16"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8F6086D"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2022-07-30</w:t>
            </w:r>
          </w:p>
        </w:tc>
      </w:tr>
      <w:tr w:rsidR="00234D74" w14:paraId="159FE8B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1AE73DD"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sz="4" w:space="0" w:color="auto"/>
              <w:left w:val="single" w:sz="4" w:space="0" w:color="auto"/>
              <w:bottom w:val="single" w:sz="4" w:space="0" w:color="auto"/>
              <w:right w:val="single" w:sz="4" w:space="0" w:color="auto"/>
            </w:tcBorders>
            <w:vAlign w:val="center"/>
          </w:tcPr>
          <w:p w14:paraId="5C9FC591"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交银施罗德基金管理有限公司关于交银施罗德丰晟收益债券型证券投资基金暂停大额申购（转换转入、定期定额投资）业务的公告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786B352C"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3E3CF99"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2022-08-02</w:t>
            </w:r>
          </w:p>
        </w:tc>
      </w:tr>
      <w:tr w:rsidR="00234D74" w14:paraId="41806D1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2B0716E"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14:paraId="35FC497A"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交银施罗德基金管理有限公司关于增加华宝证券有限责任公司为旗下基金的销售机构的公告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2A9B8FDC"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CEAA9CA"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2022-08-03</w:t>
            </w:r>
          </w:p>
        </w:tc>
      </w:tr>
      <w:tr w:rsidR="00234D74" w14:paraId="56BF77A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6E51856"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14:paraId="4DE3A26A"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交银施罗德基金管理有限公司关于增加中信建投证券股份有限公司为旗下基金销售机构的公告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30DA8A0F"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AEF3B37"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2022-08-04</w:t>
            </w:r>
          </w:p>
        </w:tc>
      </w:tr>
      <w:tr w:rsidR="00234D74" w14:paraId="27B9325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A5F5217"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05DCE3D9"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交银施罗德基金管理有限公司关于增加开源证券股份有限公司为旗下基金销售机构的公告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061DA4BF"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A45ED9B"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2022-08-12</w:t>
            </w:r>
          </w:p>
        </w:tc>
      </w:tr>
      <w:tr w:rsidR="00234D74" w14:paraId="7A56B1B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6CC338F"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14:paraId="62E2982A"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交银施罗德基金管理有限公司关于交银施罗德丰晟收益债券型证券投资基金恢复大额申购（转换转入、定期定额投资）业务的公告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29F46B56"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0C6812F"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2022-08-20</w:t>
            </w:r>
          </w:p>
        </w:tc>
      </w:tr>
      <w:tr w:rsidR="00234D74" w14:paraId="6BB7E92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AED1B9D"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sz="4" w:space="0" w:color="auto"/>
              <w:left w:val="single" w:sz="4" w:space="0" w:color="auto"/>
              <w:bottom w:val="single" w:sz="4" w:space="0" w:color="auto"/>
              <w:right w:val="single" w:sz="4" w:space="0" w:color="auto"/>
            </w:tcBorders>
            <w:vAlign w:val="center"/>
          </w:tcPr>
          <w:p w14:paraId="2549375E"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交银施罗德丰晟收益债券型证券投资基金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14:paraId="04DDE931"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047C0AF"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2022-08-30</w:t>
            </w:r>
          </w:p>
        </w:tc>
      </w:tr>
      <w:tr w:rsidR="00234D74" w14:paraId="35B0510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977F5AE"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sz="4" w:space="0" w:color="auto"/>
              <w:left w:val="single" w:sz="4" w:space="0" w:color="auto"/>
              <w:bottom w:val="single" w:sz="4" w:space="0" w:color="auto"/>
              <w:right w:val="single" w:sz="4" w:space="0" w:color="auto"/>
            </w:tcBorders>
            <w:vAlign w:val="center"/>
          </w:tcPr>
          <w:p w14:paraId="5A18C164"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交银施罗德基金管理有限公司关于增加中国人寿保险股份有限公司为旗下基金的销售机构的公告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02C0077A"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BEB8740"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2022-08-31</w:t>
            </w:r>
          </w:p>
        </w:tc>
      </w:tr>
      <w:tr w:rsidR="00234D74" w14:paraId="30B3B97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8209164"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19</w:t>
            </w:r>
          </w:p>
        </w:tc>
        <w:tc>
          <w:tcPr>
            <w:tcW w:w="750" w:type="pct"/>
            <w:tcBorders>
              <w:top w:val="single" w:sz="4" w:space="0" w:color="auto"/>
              <w:left w:val="single" w:sz="4" w:space="0" w:color="auto"/>
              <w:bottom w:val="single" w:sz="4" w:space="0" w:color="auto"/>
              <w:right w:val="single" w:sz="4" w:space="0" w:color="auto"/>
            </w:tcBorders>
            <w:vAlign w:val="center"/>
          </w:tcPr>
          <w:p w14:paraId="2476971A"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交银施罗德基金管理有限公司关于调整直销中心柜台投资者最低认申购金额限制的公告</w:t>
            </w:r>
          </w:p>
        </w:tc>
        <w:tc>
          <w:tcPr>
            <w:tcW w:w="750" w:type="pct"/>
            <w:tcBorders>
              <w:top w:val="single" w:sz="4" w:space="0" w:color="auto"/>
              <w:left w:val="single" w:sz="4" w:space="0" w:color="auto"/>
              <w:bottom w:val="single" w:sz="4" w:space="0" w:color="auto"/>
              <w:right w:val="single" w:sz="4" w:space="0" w:color="auto"/>
            </w:tcBorders>
            <w:vAlign w:val="center"/>
          </w:tcPr>
          <w:p w14:paraId="748F77E4"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EF74F8D"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2022-09-03</w:t>
            </w:r>
          </w:p>
        </w:tc>
      </w:tr>
      <w:tr w:rsidR="00234D74" w14:paraId="3165FD7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9DE59D3"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20</w:t>
            </w:r>
          </w:p>
        </w:tc>
        <w:tc>
          <w:tcPr>
            <w:tcW w:w="750" w:type="pct"/>
            <w:tcBorders>
              <w:top w:val="single" w:sz="4" w:space="0" w:color="auto"/>
              <w:left w:val="single" w:sz="4" w:space="0" w:color="auto"/>
              <w:bottom w:val="single" w:sz="4" w:space="0" w:color="auto"/>
              <w:right w:val="single" w:sz="4" w:space="0" w:color="auto"/>
            </w:tcBorders>
            <w:vAlign w:val="center"/>
          </w:tcPr>
          <w:p w14:paraId="6228E6D1"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交银施罗德基金管理有限公司关于增加招商证券股份有限公司为旗下基金销售机构的公告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562BC0CF"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79099B7"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2022-09-22</w:t>
            </w:r>
          </w:p>
        </w:tc>
      </w:tr>
      <w:tr w:rsidR="00234D74" w14:paraId="3F9B654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0BA6F7D"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21</w:t>
            </w:r>
          </w:p>
        </w:tc>
        <w:tc>
          <w:tcPr>
            <w:tcW w:w="750" w:type="pct"/>
            <w:tcBorders>
              <w:top w:val="single" w:sz="4" w:space="0" w:color="auto"/>
              <w:left w:val="single" w:sz="4" w:space="0" w:color="auto"/>
              <w:bottom w:val="single" w:sz="4" w:space="0" w:color="auto"/>
              <w:right w:val="single" w:sz="4" w:space="0" w:color="auto"/>
            </w:tcBorders>
            <w:vAlign w:val="center"/>
          </w:tcPr>
          <w:p w14:paraId="7B53E865"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交银施罗德基金管理有限公司关于交银施罗德丰晟收益债券型证券投资基金于</w:t>
            </w:r>
            <w:r>
              <w:rPr>
                <w:rFonts w:ascii="Times New Roman" w:hAnsi="Times New Roman"/>
                <w:color w:val="000000"/>
                <w:kern w:val="0"/>
                <w:sz w:val="25"/>
                <w:szCs w:val="24"/>
              </w:rPr>
              <w:t>2022</w:t>
            </w:r>
            <w:r>
              <w:rPr>
                <w:rFonts w:ascii="Times New Roman" w:hAnsi="Times New Roman"/>
                <w:color w:val="000000"/>
                <w:kern w:val="0"/>
                <w:sz w:val="25"/>
                <w:szCs w:val="24"/>
              </w:rPr>
              <w:t>年</w:t>
            </w:r>
            <w:r>
              <w:rPr>
                <w:rFonts w:ascii="Times New Roman" w:hAnsi="Times New Roman"/>
                <w:color w:val="000000"/>
                <w:kern w:val="0"/>
                <w:sz w:val="25"/>
                <w:szCs w:val="24"/>
              </w:rPr>
              <w:t>“</w:t>
            </w:r>
            <w:r>
              <w:rPr>
                <w:rFonts w:ascii="Times New Roman" w:hAnsi="Times New Roman"/>
                <w:color w:val="000000"/>
                <w:kern w:val="0"/>
                <w:sz w:val="25"/>
                <w:szCs w:val="24"/>
              </w:rPr>
              <w:t>国庆节</w:t>
            </w:r>
            <w:r>
              <w:rPr>
                <w:rFonts w:ascii="Times New Roman" w:hAnsi="Times New Roman"/>
                <w:color w:val="000000"/>
                <w:kern w:val="0"/>
                <w:sz w:val="25"/>
                <w:szCs w:val="24"/>
              </w:rPr>
              <w:t>”</w:t>
            </w:r>
            <w:r>
              <w:rPr>
                <w:rFonts w:ascii="Times New Roman" w:hAnsi="Times New Roman"/>
                <w:color w:val="000000"/>
                <w:kern w:val="0"/>
                <w:sz w:val="25"/>
                <w:szCs w:val="24"/>
              </w:rPr>
              <w:t>假期前暂停及节后恢复大额申购（转换转入、定期定额投资）业务的公告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5D0770A9"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179FAE9"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2022-09-29</w:t>
            </w:r>
          </w:p>
        </w:tc>
      </w:tr>
      <w:tr w:rsidR="00234D74" w14:paraId="715B8F4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78859B0"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22</w:t>
            </w:r>
          </w:p>
        </w:tc>
        <w:tc>
          <w:tcPr>
            <w:tcW w:w="750" w:type="pct"/>
            <w:tcBorders>
              <w:top w:val="single" w:sz="4" w:space="0" w:color="auto"/>
              <w:left w:val="single" w:sz="4" w:space="0" w:color="auto"/>
              <w:bottom w:val="single" w:sz="4" w:space="0" w:color="auto"/>
              <w:right w:val="single" w:sz="4" w:space="0" w:color="auto"/>
            </w:tcBorders>
            <w:vAlign w:val="center"/>
          </w:tcPr>
          <w:p w14:paraId="54E58988"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交银施罗德基金管理有限公司关于增加国信证券股份有限公司为旗下基金的销售机构的公告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04DA0306"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AB29DC6"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2022-09-29</w:t>
            </w:r>
          </w:p>
        </w:tc>
      </w:tr>
      <w:tr w:rsidR="00234D74" w14:paraId="18F5F1E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0950C55"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23</w:t>
            </w:r>
          </w:p>
        </w:tc>
        <w:tc>
          <w:tcPr>
            <w:tcW w:w="750" w:type="pct"/>
            <w:tcBorders>
              <w:top w:val="single" w:sz="4" w:space="0" w:color="auto"/>
              <w:left w:val="single" w:sz="4" w:space="0" w:color="auto"/>
              <w:bottom w:val="single" w:sz="4" w:space="0" w:color="auto"/>
              <w:right w:val="single" w:sz="4" w:space="0" w:color="auto"/>
            </w:tcBorders>
            <w:vAlign w:val="center"/>
          </w:tcPr>
          <w:p w14:paraId="5106FBDC"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交银施罗德基金管理有限公司关于增加国泰君安证券股份有限公司为旗下基金的销售机构的公告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13F8FEBE"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2516E01"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2022-10-12</w:t>
            </w:r>
          </w:p>
        </w:tc>
      </w:tr>
      <w:tr w:rsidR="00234D74" w14:paraId="06722D7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E4F21EF"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24</w:t>
            </w:r>
          </w:p>
        </w:tc>
        <w:tc>
          <w:tcPr>
            <w:tcW w:w="750" w:type="pct"/>
            <w:tcBorders>
              <w:top w:val="single" w:sz="4" w:space="0" w:color="auto"/>
              <w:left w:val="single" w:sz="4" w:space="0" w:color="auto"/>
              <w:bottom w:val="single" w:sz="4" w:space="0" w:color="auto"/>
              <w:right w:val="single" w:sz="4" w:space="0" w:color="auto"/>
            </w:tcBorders>
            <w:vAlign w:val="center"/>
          </w:tcPr>
          <w:p w14:paraId="2CD5ABF0"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交银施罗德丰晟收益债券型证券投资基金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1C31CF10"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DE1471E"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2022-10-25</w:t>
            </w:r>
          </w:p>
        </w:tc>
      </w:tr>
      <w:tr w:rsidR="00234D74" w14:paraId="32A9D0D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5478A85"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25</w:t>
            </w:r>
          </w:p>
        </w:tc>
        <w:tc>
          <w:tcPr>
            <w:tcW w:w="750" w:type="pct"/>
            <w:tcBorders>
              <w:top w:val="single" w:sz="4" w:space="0" w:color="auto"/>
              <w:left w:val="single" w:sz="4" w:space="0" w:color="auto"/>
              <w:bottom w:val="single" w:sz="4" w:space="0" w:color="auto"/>
              <w:right w:val="single" w:sz="4" w:space="0" w:color="auto"/>
            </w:tcBorders>
            <w:vAlign w:val="center"/>
          </w:tcPr>
          <w:p w14:paraId="0499EB0F"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交银施罗德基金管理有限公司关于增加方正证券股份有限公司为旗下基金的销售机构的公告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1FDB50A7"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BB1E4F8"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2022-12-09</w:t>
            </w:r>
          </w:p>
        </w:tc>
      </w:tr>
      <w:tr w:rsidR="00234D74" w14:paraId="14AB8D2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7BCA9C8"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26</w:t>
            </w:r>
          </w:p>
        </w:tc>
        <w:tc>
          <w:tcPr>
            <w:tcW w:w="750" w:type="pct"/>
            <w:tcBorders>
              <w:top w:val="single" w:sz="4" w:space="0" w:color="auto"/>
              <w:left w:val="single" w:sz="4" w:space="0" w:color="auto"/>
              <w:bottom w:val="single" w:sz="4" w:space="0" w:color="auto"/>
              <w:right w:val="single" w:sz="4" w:space="0" w:color="auto"/>
            </w:tcBorders>
            <w:vAlign w:val="center"/>
          </w:tcPr>
          <w:p w14:paraId="5BCA3EE9"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交银施罗德基金管理有限公司关于交银施罗德丰晟收益债券型证券投资基金于</w:t>
            </w:r>
            <w:r>
              <w:rPr>
                <w:rFonts w:ascii="Times New Roman" w:hAnsi="Times New Roman"/>
                <w:color w:val="000000"/>
                <w:kern w:val="0"/>
                <w:sz w:val="25"/>
                <w:szCs w:val="24"/>
              </w:rPr>
              <w:t>2023</w:t>
            </w:r>
            <w:r>
              <w:rPr>
                <w:rFonts w:ascii="Times New Roman" w:hAnsi="Times New Roman"/>
                <w:color w:val="000000"/>
                <w:kern w:val="0"/>
                <w:sz w:val="25"/>
                <w:szCs w:val="24"/>
              </w:rPr>
              <w:t>年</w:t>
            </w:r>
            <w:r>
              <w:rPr>
                <w:rFonts w:ascii="Times New Roman" w:hAnsi="Times New Roman"/>
                <w:color w:val="000000"/>
                <w:kern w:val="0"/>
                <w:sz w:val="25"/>
                <w:szCs w:val="24"/>
              </w:rPr>
              <w:t>“</w:t>
            </w:r>
            <w:r>
              <w:rPr>
                <w:rFonts w:ascii="Times New Roman" w:hAnsi="Times New Roman"/>
                <w:color w:val="000000"/>
                <w:kern w:val="0"/>
                <w:sz w:val="25"/>
                <w:szCs w:val="24"/>
              </w:rPr>
              <w:t>元旦</w:t>
            </w:r>
            <w:r>
              <w:rPr>
                <w:rFonts w:ascii="Times New Roman" w:hAnsi="Times New Roman"/>
                <w:color w:val="000000"/>
                <w:kern w:val="0"/>
                <w:sz w:val="25"/>
                <w:szCs w:val="24"/>
              </w:rPr>
              <w:t>”</w:t>
            </w:r>
            <w:r>
              <w:rPr>
                <w:rFonts w:ascii="Times New Roman" w:hAnsi="Times New Roman"/>
                <w:color w:val="000000"/>
                <w:kern w:val="0"/>
                <w:sz w:val="25"/>
                <w:szCs w:val="24"/>
              </w:rPr>
              <w:t>假期前暂停及节后恢复大额申购（转换转入、定期定额投资）业务的公告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78DC6801"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A8ED5C4"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2022-12-29</w:t>
            </w:r>
          </w:p>
        </w:tc>
      </w:tr>
      <w:tr w:rsidR="00234D74" w14:paraId="5F1EB14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452FFEA"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27</w:t>
            </w:r>
          </w:p>
        </w:tc>
        <w:tc>
          <w:tcPr>
            <w:tcW w:w="750" w:type="pct"/>
            <w:tcBorders>
              <w:top w:val="single" w:sz="4" w:space="0" w:color="auto"/>
              <w:left w:val="single" w:sz="4" w:space="0" w:color="auto"/>
              <w:bottom w:val="single" w:sz="4" w:space="0" w:color="auto"/>
              <w:right w:val="single" w:sz="4" w:space="0" w:color="auto"/>
            </w:tcBorders>
            <w:vAlign w:val="center"/>
          </w:tcPr>
          <w:p w14:paraId="4F307951"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交银施罗德基金管理有限公司关于增加兴业银行股份有限公司银银平台销售旗下部分基金的公告</w:t>
            </w:r>
          </w:p>
        </w:tc>
        <w:tc>
          <w:tcPr>
            <w:tcW w:w="750" w:type="pct"/>
            <w:tcBorders>
              <w:top w:val="single" w:sz="4" w:space="0" w:color="auto"/>
              <w:left w:val="single" w:sz="4" w:space="0" w:color="auto"/>
              <w:bottom w:val="single" w:sz="4" w:space="0" w:color="auto"/>
              <w:right w:val="single" w:sz="4" w:space="0" w:color="auto"/>
            </w:tcBorders>
            <w:vAlign w:val="center"/>
          </w:tcPr>
          <w:p w14:paraId="11AAF2F1"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636CB36"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2023-01-09</w:t>
            </w:r>
          </w:p>
        </w:tc>
      </w:tr>
      <w:tr w:rsidR="00234D74" w14:paraId="37461D4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783E8C1"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28</w:t>
            </w:r>
          </w:p>
        </w:tc>
        <w:tc>
          <w:tcPr>
            <w:tcW w:w="750" w:type="pct"/>
            <w:tcBorders>
              <w:top w:val="single" w:sz="4" w:space="0" w:color="auto"/>
              <w:left w:val="single" w:sz="4" w:space="0" w:color="auto"/>
              <w:bottom w:val="single" w:sz="4" w:space="0" w:color="auto"/>
              <w:right w:val="single" w:sz="4" w:space="0" w:color="auto"/>
            </w:tcBorders>
            <w:vAlign w:val="center"/>
          </w:tcPr>
          <w:p w14:paraId="5A850688"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交银施罗德丰晟收益债券型证券投资基金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3C58881E"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B6AB247"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2023-01-19</w:t>
            </w:r>
          </w:p>
        </w:tc>
      </w:tr>
      <w:tr w:rsidR="00234D74" w14:paraId="19658CE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7DE9560"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29</w:t>
            </w:r>
          </w:p>
        </w:tc>
        <w:tc>
          <w:tcPr>
            <w:tcW w:w="750" w:type="pct"/>
            <w:tcBorders>
              <w:top w:val="single" w:sz="4" w:space="0" w:color="auto"/>
              <w:left w:val="single" w:sz="4" w:space="0" w:color="auto"/>
              <w:bottom w:val="single" w:sz="4" w:space="0" w:color="auto"/>
              <w:right w:val="single" w:sz="4" w:space="0" w:color="auto"/>
            </w:tcBorders>
            <w:vAlign w:val="center"/>
          </w:tcPr>
          <w:p w14:paraId="51153028"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交银施罗德基金管理有限公司关于交银施罗德丰晟收益债券型证券投资基金于</w:t>
            </w:r>
            <w:r>
              <w:rPr>
                <w:rFonts w:ascii="Times New Roman" w:hAnsi="Times New Roman"/>
                <w:color w:val="000000"/>
                <w:kern w:val="0"/>
                <w:sz w:val="25"/>
                <w:szCs w:val="24"/>
              </w:rPr>
              <w:t>2023</w:t>
            </w:r>
            <w:r>
              <w:rPr>
                <w:rFonts w:ascii="Times New Roman" w:hAnsi="Times New Roman"/>
                <w:color w:val="000000"/>
                <w:kern w:val="0"/>
                <w:sz w:val="25"/>
                <w:szCs w:val="24"/>
              </w:rPr>
              <w:t>年</w:t>
            </w:r>
            <w:r>
              <w:rPr>
                <w:rFonts w:ascii="Times New Roman" w:hAnsi="Times New Roman"/>
                <w:color w:val="000000"/>
                <w:kern w:val="0"/>
                <w:sz w:val="25"/>
                <w:szCs w:val="24"/>
              </w:rPr>
              <w:t>“</w:t>
            </w:r>
            <w:r>
              <w:rPr>
                <w:rFonts w:ascii="Times New Roman" w:hAnsi="Times New Roman"/>
                <w:color w:val="000000"/>
                <w:kern w:val="0"/>
                <w:sz w:val="25"/>
                <w:szCs w:val="24"/>
              </w:rPr>
              <w:t>春节</w:t>
            </w:r>
            <w:r>
              <w:rPr>
                <w:rFonts w:ascii="Times New Roman" w:hAnsi="Times New Roman"/>
                <w:color w:val="000000"/>
                <w:kern w:val="0"/>
                <w:sz w:val="25"/>
                <w:szCs w:val="24"/>
              </w:rPr>
              <w:t>”</w:t>
            </w:r>
            <w:r>
              <w:rPr>
                <w:rFonts w:ascii="Times New Roman" w:hAnsi="Times New Roman"/>
                <w:color w:val="000000"/>
                <w:kern w:val="0"/>
                <w:sz w:val="25"/>
                <w:szCs w:val="24"/>
              </w:rPr>
              <w:t>假期前调整大额申购（转换转入、定期定额投资）业务限额的公告</w:t>
            </w:r>
          </w:p>
        </w:tc>
        <w:tc>
          <w:tcPr>
            <w:tcW w:w="750" w:type="pct"/>
            <w:tcBorders>
              <w:top w:val="single" w:sz="4" w:space="0" w:color="auto"/>
              <w:left w:val="single" w:sz="4" w:space="0" w:color="auto"/>
              <w:bottom w:val="single" w:sz="4" w:space="0" w:color="auto"/>
              <w:right w:val="single" w:sz="4" w:space="0" w:color="auto"/>
            </w:tcBorders>
            <w:vAlign w:val="center"/>
          </w:tcPr>
          <w:p w14:paraId="34E555C9"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D18BF08"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2023-01-19</w:t>
            </w:r>
          </w:p>
        </w:tc>
      </w:tr>
      <w:tr w:rsidR="00234D74" w14:paraId="548A576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7DAF1C0"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p>
        </w:tc>
        <w:tc>
          <w:tcPr>
            <w:tcW w:w="750" w:type="pct"/>
            <w:tcBorders>
              <w:top w:val="single" w:sz="4" w:space="0" w:color="auto"/>
              <w:left w:val="single" w:sz="4" w:space="0" w:color="auto"/>
              <w:bottom w:val="single" w:sz="4" w:space="0" w:color="auto"/>
              <w:right w:val="single" w:sz="4" w:space="0" w:color="auto"/>
            </w:tcBorders>
            <w:vAlign w:val="center"/>
          </w:tcPr>
          <w:p w14:paraId="5579344E"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交银施罗德基金管理有限公司关于增加济安财富（北京）基金销售有限公司为旗下基金销售机构的公告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25D88135"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DE1A52B"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2023-02-10</w:t>
            </w:r>
          </w:p>
        </w:tc>
      </w:tr>
      <w:tr w:rsidR="00234D74" w14:paraId="0A5F83F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A491E0E"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31</w:t>
            </w:r>
          </w:p>
        </w:tc>
        <w:tc>
          <w:tcPr>
            <w:tcW w:w="750" w:type="pct"/>
            <w:tcBorders>
              <w:top w:val="single" w:sz="4" w:space="0" w:color="auto"/>
              <w:left w:val="single" w:sz="4" w:space="0" w:color="auto"/>
              <w:bottom w:val="single" w:sz="4" w:space="0" w:color="auto"/>
              <w:right w:val="single" w:sz="4" w:space="0" w:color="auto"/>
            </w:tcBorders>
            <w:vAlign w:val="center"/>
          </w:tcPr>
          <w:p w14:paraId="4212EC08"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交银施罗德基金管理有限公司关于增加海通证券股份有限公司为旗下基金销售机构的公告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6AF5CCCA"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2BE5212"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2023-02-17</w:t>
            </w:r>
          </w:p>
        </w:tc>
      </w:tr>
      <w:tr w:rsidR="00234D74" w14:paraId="4B7BE74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D554A5C"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32</w:t>
            </w:r>
          </w:p>
        </w:tc>
        <w:tc>
          <w:tcPr>
            <w:tcW w:w="750" w:type="pct"/>
            <w:tcBorders>
              <w:top w:val="single" w:sz="4" w:space="0" w:color="auto"/>
              <w:left w:val="single" w:sz="4" w:space="0" w:color="auto"/>
              <w:bottom w:val="single" w:sz="4" w:space="0" w:color="auto"/>
              <w:right w:val="single" w:sz="4" w:space="0" w:color="auto"/>
            </w:tcBorders>
            <w:vAlign w:val="center"/>
          </w:tcPr>
          <w:p w14:paraId="1C12596E"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交银施罗德基金管理有限公司关于增加华龙证券股份有限公司为旗下基金销售机构的公告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06FD98AC"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9D6AB71"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2023-03-02</w:t>
            </w:r>
          </w:p>
        </w:tc>
      </w:tr>
      <w:tr w:rsidR="00234D74" w14:paraId="696965B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B64E888"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33</w:t>
            </w:r>
          </w:p>
        </w:tc>
        <w:tc>
          <w:tcPr>
            <w:tcW w:w="750" w:type="pct"/>
            <w:tcBorders>
              <w:top w:val="single" w:sz="4" w:space="0" w:color="auto"/>
              <w:left w:val="single" w:sz="4" w:space="0" w:color="auto"/>
              <w:bottom w:val="single" w:sz="4" w:space="0" w:color="auto"/>
              <w:right w:val="single" w:sz="4" w:space="0" w:color="auto"/>
            </w:tcBorders>
            <w:vAlign w:val="center"/>
          </w:tcPr>
          <w:p w14:paraId="1939A3C4"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交银施罗德基金管理有限公司关于增加东方证券股份有限公司为旗下基金销售机构的公告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534C6181"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44580C2"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2023-03-10</w:t>
            </w:r>
          </w:p>
        </w:tc>
      </w:tr>
      <w:tr w:rsidR="00234D74" w14:paraId="2C67B83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B703C7B"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34</w:t>
            </w:r>
          </w:p>
        </w:tc>
        <w:tc>
          <w:tcPr>
            <w:tcW w:w="750" w:type="pct"/>
            <w:tcBorders>
              <w:top w:val="single" w:sz="4" w:space="0" w:color="auto"/>
              <w:left w:val="single" w:sz="4" w:space="0" w:color="auto"/>
              <w:bottom w:val="single" w:sz="4" w:space="0" w:color="auto"/>
              <w:right w:val="single" w:sz="4" w:space="0" w:color="auto"/>
            </w:tcBorders>
            <w:vAlign w:val="center"/>
          </w:tcPr>
          <w:p w14:paraId="6BCCFF17"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交银施罗德丰晟收益债券型证券投资基金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14:paraId="32630F57"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D504B5C"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2023-03-30</w:t>
            </w:r>
          </w:p>
        </w:tc>
      </w:tr>
      <w:tr w:rsidR="00234D74" w14:paraId="6823028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2135E91"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35</w:t>
            </w:r>
          </w:p>
        </w:tc>
        <w:tc>
          <w:tcPr>
            <w:tcW w:w="750" w:type="pct"/>
            <w:tcBorders>
              <w:top w:val="single" w:sz="4" w:space="0" w:color="auto"/>
              <w:left w:val="single" w:sz="4" w:space="0" w:color="auto"/>
              <w:bottom w:val="single" w:sz="4" w:space="0" w:color="auto"/>
              <w:right w:val="single" w:sz="4" w:space="0" w:color="auto"/>
            </w:tcBorders>
            <w:vAlign w:val="center"/>
          </w:tcPr>
          <w:p w14:paraId="5C1F9DD1"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交银施罗德基金管理有限公司关于交银施罗德丰晟收益债券型证券投资基金调整大额申购（转换转入、定期定额投资）业务限额的公告</w:t>
            </w:r>
          </w:p>
        </w:tc>
        <w:tc>
          <w:tcPr>
            <w:tcW w:w="750" w:type="pct"/>
            <w:tcBorders>
              <w:top w:val="single" w:sz="4" w:space="0" w:color="auto"/>
              <w:left w:val="single" w:sz="4" w:space="0" w:color="auto"/>
              <w:bottom w:val="single" w:sz="4" w:space="0" w:color="auto"/>
              <w:right w:val="single" w:sz="4" w:space="0" w:color="auto"/>
            </w:tcBorders>
            <w:vAlign w:val="center"/>
          </w:tcPr>
          <w:p w14:paraId="43F63D28"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8950664"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2023-04-06</w:t>
            </w:r>
          </w:p>
        </w:tc>
      </w:tr>
      <w:tr w:rsidR="00234D74" w14:paraId="044C649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2247A24"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36</w:t>
            </w:r>
          </w:p>
        </w:tc>
        <w:tc>
          <w:tcPr>
            <w:tcW w:w="750" w:type="pct"/>
            <w:tcBorders>
              <w:top w:val="single" w:sz="4" w:space="0" w:color="auto"/>
              <w:left w:val="single" w:sz="4" w:space="0" w:color="auto"/>
              <w:bottom w:val="single" w:sz="4" w:space="0" w:color="auto"/>
              <w:right w:val="single" w:sz="4" w:space="0" w:color="auto"/>
            </w:tcBorders>
            <w:vAlign w:val="center"/>
          </w:tcPr>
          <w:p w14:paraId="6C6E780A"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交银施罗德丰晟收益债券型证券投资基金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650003FA"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CA580D6"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2023-04-21</w:t>
            </w:r>
          </w:p>
        </w:tc>
      </w:tr>
      <w:tr w:rsidR="00234D74" w14:paraId="21AF23F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1BCB0D5"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37</w:t>
            </w:r>
          </w:p>
        </w:tc>
        <w:tc>
          <w:tcPr>
            <w:tcW w:w="750" w:type="pct"/>
            <w:tcBorders>
              <w:top w:val="single" w:sz="4" w:space="0" w:color="auto"/>
              <w:left w:val="single" w:sz="4" w:space="0" w:color="auto"/>
              <w:bottom w:val="single" w:sz="4" w:space="0" w:color="auto"/>
              <w:right w:val="single" w:sz="4" w:space="0" w:color="auto"/>
            </w:tcBorders>
            <w:vAlign w:val="center"/>
          </w:tcPr>
          <w:p w14:paraId="3ED88E08"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交银施罗德基金管理有限公司关于增加大连网金基金销售有限公司为旗下基金销售机构的公告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14CD9AA9" w14:textId="77777777" w:rsidR="00234D74" w:rsidRDefault="00BC098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EB2F008" w14:textId="77777777" w:rsidR="00234D74" w:rsidRDefault="00BC098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2023-04-25</w:t>
            </w:r>
          </w:p>
        </w:tc>
      </w:tr>
    </w:tbl>
    <w:p w14:paraId="5702C7DD" w14:textId="77777777" w:rsidR="00C61788" w:rsidRDefault="00BC098F" w:rsidP="00C6178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0BA5808" w14:textId="77777777" w:rsidR="00234D74" w:rsidRDefault="00BC098F">
      <w:pPr>
        <w:pStyle w:val="1"/>
        <w:snapToGrid w:val="0"/>
        <w:spacing w:beforeLines="0" w:before="240" w:after="240"/>
        <w:rPr>
          <w:rFonts w:ascii="宋体" w:hAnsi="宋体"/>
          <w:szCs w:val="30"/>
        </w:rPr>
      </w:pPr>
      <w:bookmarkStart w:id="29" w:name="_Toc135728701"/>
      <w:r>
        <w:rPr>
          <w:rFonts w:ascii="Times New Roman" w:hAnsi="Times New Roman"/>
          <w:sz w:val="30"/>
        </w:rPr>
        <w:lastRenderedPageBreak/>
        <w:t>二十五、招募说明书的存放及查阅方式</w:t>
      </w:r>
      <w:bookmarkEnd w:id="29"/>
    </w:p>
    <w:p w14:paraId="27CFF037"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和基金销售机构的办公场所和营业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14:paraId="6F3F487E"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投资人还可以直接登录基金管理人的网站(www.fund001.com)查阅和下载招募说明书。</w:t>
      </w:r>
    </w:p>
    <w:p w14:paraId="69CCF3CB" w14:textId="77777777" w:rsidR="00C61788" w:rsidRDefault="00BC098F" w:rsidP="00C6178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6B1B3D8" w14:textId="77777777" w:rsidR="00234D74" w:rsidRDefault="00BC098F">
      <w:pPr>
        <w:pStyle w:val="1"/>
        <w:snapToGrid w:val="0"/>
        <w:spacing w:beforeLines="0" w:before="240" w:after="240"/>
        <w:rPr>
          <w:rFonts w:ascii="宋体" w:hAnsi="宋体"/>
          <w:szCs w:val="30"/>
        </w:rPr>
      </w:pPr>
      <w:bookmarkStart w:id="30" w:name="_Toc135728702"/>
      <w:r>
        <w:rPr>
          <w:rFonts w:ascii="Times New Roman" w:hAnsi="Times New Roman"/>
          <w:sz w:val="30"/>
        </w:rPr>
        <w:lastRenderedPageBreak/>
        <w:t>二十六、备查文件</w:t>
      </w:r>
      <w:bookmarkEnd w:id="30"/>
    </w:p>
    <w:p w14:paraId="1A4D646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14:paraId="26116B8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（一）中国证监会准予交银施罗德丰晟收益债券型证券投资基金募集注册的文件</w:t>
      </w:r>
    </w:p>
    <w:p w14:paraId="05561486"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（二）《交银施罗德丰晟收益债券型证券投资基金基金合同》</w:t>
      </w:r>
    </w:p>
    <w:p w14:paraId="525E184B"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（三）《交银施罗德丰晟收益债券型证券投资基金托管协议》</w:t>
      </w:r>
    </w:p>
    <w:p w14:paraId="7ED6D740"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14:paraId="130CA292"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14:paraId="66C5794D" w14:textId="77777777" w:rsidR="00234D74" w:rsidRDefault="00BC098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（六）关于申请募集注册交银施罗德丰晟收益债券型证券投资基金的法律意见书</w:t>
      </w:r>
    </w:p>
    <w:sectPr w:rsidR="00234D74">
      <w:footerReference w:type="default" r:id="rId15"/>
      <w:pgSz w:w="11920" w:h="16840"/>
      <w:pgMar w:top="1360" w:right="1580" w:bottom="280" w:left="1680" w:header="0" w:footer="1186"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72AF96" w16cid:durableId="291C7A65"/>
  <w16cid:commentId w16cid:paraId="77C3635C" w16cid:durableId="291C7A66"/>
  <w16cid:commentId w16cid:paraId="5A5C7C6A" w16cid:durableId="291C8624"/>
  <w16cid:commentId w16cid:paraId="76FC9CC6" w16cid:durableId="291C85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480C3" w14:textId="77777777" w:rsidR="007F568F" w:rsidRDefault="007F568F">
      <w:r>
        <w:separator/>
      </w:r>
    </w:p>
  </w:endnote>
  <w:endnote w:type="continuationSeparator" w:id="0">
    <w:p w14:paraId="698997EB" w14:textId="77777777" w:rsidR="007F568F" w:rsidRDefault="007F5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58275" w14:textId="3F34730C" w:rsidR="00B01AD7" w:rsidRDefault="00B01AD7">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14:anchorId="0F5FD9E7" wp14:editId="4DEE04A1">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FC445" w14:textId="66A721C9" w:rsidR="00B01AD7" w:rsidRDefault="00B01AD7">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F95BAB">
                            <w:rPr>
                              <w:rFonts w:ascii="Times New Roman" w:hAnsi="Times New Roman"/>
                              <w:noProof/>
                              <w:kern w:val="0"/>
                              <w:sz w:val="18"/>
                              <w:szCs w:val="18"/>
                            </w:rPr>
                            <w:t>2</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FD9E7"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CLU/2FrAIAAKgFAAAOAAAA&#10;AAAAAAAAAAAAAC4CAABkcnMvZTJvRG9jLnhtbFBLAQItABQABgAIAAAAIQCqI3XO4QAAAA0BAAAP&#10;AAAAAAAAAAAAAAAAAAYFAABkcnMvZG93bnJldi54bWxQSwUGAAAAAAQABADzAAAAFAYAAAAA&#10;" o:allowincell="f" filled="f" stroked="f">
              <v:textbox inset="0,0,0,0">
                <w:txbxContent>
                  <w:p w14:paraId="773FC445" w14:textId="66A721C9" w:rsidR="00B01AD7" w:rsidRDefault="00B01AD7">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F95BAB">
                      <w:rPr>
                        <w:rFonts w:ascii="Times New Roman" w:hAnsi="Times New Roman"/>
                        <w:noProof/>
                        <w:kern w:val="0"/>
                        <w:sz w:val="18"/>
                        <w:szCs w:val="18"/>
                      </w:rPr>
                      <w:t>2</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18442" w14:textId="5B2468A9" w:rsidR="00B01AD7" w:rsidRDefault="00B01AD7">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14:anchorId="1AA9982D" wp14:editId="20759D68">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6AE05" w14:textId="648F6395" w:rsidR="00B01AD7" w:rsidRDefault="00B01AD7">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F95BAB">
                            <w:rPr>
                              <w:rFonts w:ascii="Times New Roman" w:hAnsi="Times New Roman"/>
                              <w:noProof/>
                              <w:kern w:val="0"/>
                              <w:sz w:val="18"/>
                              <w:szCs w:val="18"/>
                            </w:rPr>
                            <w:t>10</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9982D"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cqsQ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" o:allowincell="f" filled="f" stroked="f">
              <v:textbox inset="0,0,0,0">
                <w:txbxContent>
                  <w:p w14:paraId="59B6AE05" w14:textId="648F6395" w:rsidR="00B01AD7" w:rsidRDefault="00B01AD7">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F95BAB">
                      <w:rPr>
                        <w:rFonts w:ascii="Times New Roman" w:hAnsi="Times New Roman"/>
                        <w:noProof/>
                        <w:kern w:val="0"/>
                        <w:sz w:val="18"/>
                        <w:szCs w:val="18"/>
                      </w:rPr>
                      <w:t>10</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BA7DB" w14:textId="77777777" w:rsidR="007F568F" w:rsidRDefault="007F568F">
      <w:r>
        <w:separator/>
      </w:r>
    </w:p>
  </w:footnote>
  <w:footnote w:type="continuationSeparator" w:id="0">
    <w:p w14:paraId="55BA0A2C" w14:textId="77777777" w:rsidR="007F568F" w:rsidRDefault="007F5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1B87E" w14:textId="042E3FE1" w:rsidR="00B01AD7" w:rsidRDefault="00B01AD7">
    <w:pPr>
      <w:pStyle w:val="a3"/>
      <w:jc w:val="right"/>
    </w:pPr>
    <w:r>
      <w:rPr>
        <w:noProof/>
      </w:rPr>
      <w:drawing>
        <wp:anchor distT="0" distB="0" distL="114300" distR="114300" simplePos="0" relativeHeight="251655680" behindDoc="0" locked="0" layoutInCell="1" allowOverlap="1" wp14:anchorId="441FB497" wp14:editId="489B2D86">
          <wp:simplePos x="0" y="0"/>
          <wp:positionH relativeFrom="column">
            <wp:posOffset>19050</wp:posOffset>
          </wp:positionH>
          <wp:positionV relativeFrom="paragraph">
            <wp:posOffset>-152400</wp:posOffset>
          </wp:positionV>
          <wp:extent cx="1714500" cy="238125"/>
          <wp:effectExtent l="0" t="0" r="0" b="0"/>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4F6FAED0" w14:textId="77777777" w:rsidR="00B01AD7" w:rsidRDefault="00B01AD7">
    <w:pPr>
      <w:pStyle w:val="a3"/>
      <w:jc w:val="right"/>
      <w:rPr>
        <w:rFonts w:ascii="宋体" w:hAnsi="宋体"/>
      </w:rPr>
    </w:pPr>
    <w:r>
      <w:rPr>
        <w:rFonts w:ascii="宋体" w:hAnsi="宋体" w:hint="eastAsia"/>
      </w:rPr>
      <w:t>交银施罗德丰晟收益债券型证券投资基金(更新)招募说明书(2023年第1号)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15FD2" w14:textId="77777777" w:rsidR="00B01AD7" w:rsidRDefault="00B01AD7">
    <w:pPr>
      <w:pStyle w:val="11"/>
      <w:jc w:val="right"/>
    </w:pPr>
  </w:p>
  <w:p w14:paraId="32C5C864" w14:textId="77777777" w:rsidR="00B01AD7" w:rsidRDefault="00B01AD7">
    <w:pPr>
      <w:pStyle w:val="11"/>
      <w:jc w:val="right"/>
    </w:pPr>
  </w:p>
  <w:p w14:paraId="68A57AA5" w14:textId="77777777" w:rsidR="00B01AD7" w:rsidRDefault="00B01AD7">
    <w:pPr>
      <w:pStyle w:val="a3"/>
      <w:jc w:val="right"/>
    </w:pPr>
  </w:p>
  <w:p w14:paraId="2F5EEF5F" w14:textId="0D677A1E" w:rsidR="00B01AD7" w:rsidRDefault="00B01AD7">
    <w:pPr>
      <w:pStyle w:val="a3"/>
      <w:jc w:val="right"/>
    </w:pPr>
    <w:r>
      <w:rPr>
        <w:noProof/>
      </w:rPr>
      <w:drawing>
        <wp:anchor distT="0" distB="0" distL="114300" distR="114300" simplePos="0" relativeHeight="251656704" behindDoc="0" locked="0" layoutInCell="1" allowOverlap="1" wp14:anchorId="6B372C9C" wp14:editId="110BD142">
          <wp:simplePos x="0" y="0"/>
          <wp:positionH relativeFrom="column">
            <wp:posOffset>19050</wp:posOffset>
          </wp:positionH>
          <wp:positionV relativeFrom="paragraph">
            <wp:posOffset>-152400</wp:posOffset>
          </wp:positionV>
          <wp:extent cx="1714500" cy="238125"/>
          <wp:effectExtent l="0" t="0" r="0" b="0"/>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6811EAC6" w14:textId="65F39ACC" w:rsidR="00B01AD7" w:rsidRDefault="00B01AD7">
    <w:pPr>
      <w:pStyle w:val="a3"/>
      <w:jc w:val="right"/>
      <w:rPr>
        <w:rFonts w:ascii="宋体" w:hAnsi="宋体"/>
      </w:rPr>
    </w:pPr>
    <w:r>
      <w:rPr>
        <w:rFonts w:ascii="宋体" w:hAnsi="宋体" w:hint="eastAsia"/>
      </w:rPr>
      <w:t>交银施罗德丰晟收益债券型证券投资基金(更新)招募说明书(2023年第</w:t>
    </w:r>
    <w:r w:rsidR="00E25C52">
      <w:rPr>
        <w:rFonts w:ascii="宋体" w:hAnsi="宋体"/>
      </w:rPr>
      <w:t>2</w:t>
    </w:r>
    <w:r>
      <w:rPr>
        <w:rFonts w:ascii="宋体" w:hAnsi="宋体"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C1276" w14:textId="77777777" w:rsidR="00B01AD7" w:rsidRDefault="00B01AD7">
    <w:pPr>
      <w:pStyle w:val="a3"/>
      <w:jc w:val="right"/>
    </w:pPr>
  </w:p>
  <w:p w14:paraId="28AD0E36" w14:textId="77777777" w:rsidR="00B01AD7" w:rsidRDefault="00B01AD7">
    <w:pPr>
      <w:pStyle w:val="a3"/>
      <w:jc w:val="right"/>
    </w:pPr>
  </w:p>
  <w:p w14:paraId="12070330" w14:textId="77777777" w:rsidR="00B01AD7" w:rsidRDefault="00B01AD7">
    <w:pPr>
      <w:pStyle w:val="a3"/>
      <w:jc w:val="right"/>
    </w:pPr>
  </w:p>
  <w:p w14:paraId="32120C8C" w14:textId="24B0B922" w:rsidR="00B01AD7" w:rsidRDefault="00B01AD7">
    <w:pPr>
      <w:pStyle w:val="a3"/>
      <w:jc w:val="right"/>
    </w:pPr>
    <w:r>
      <w:rPr>
        <w:noProof/>
      </w:rPr>
      <w:drawing>
        <wp:anchor distT="0" distB="0" distL="114300" distR="114300" simplePos="0" relativeHeight="251657728" behindDoc="0" locked="0" layoutInCell="1" allowOverlap="1" wp14:anchorId="3EB757A1" wp14:editId="7D2F8FE8">
          <wp:simplePos x="0" y="0"/>
          <wp:positionH relativeFrom="column">
            <wp:posOffset>19050</wp:posOffset>
          </wp:positionH>
          <wp:positionV relativeFrom="paragraph">
            <wp:posOffset>-152400</wp:posOffset>
          </wp:positionV>
          <wp:extent cx="1714500" cy="238125"/>
          <wp:effectExtent l="0" t="0" r="0" b="0"/>
          <wp:wrapNone/>
          <wp:docPr id="21"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797834F7" w14:textId="4D8677B9" w:rsidR="00B01AD7" w:rsidRDefault="00B01AD7">
    <w:pPr>
      <w:pStyle w:val="a3"/>
      <w:jc w:val="right"/>
      <w:rPr>
        <w:rFonts w:ascii="宋体" w:hAnsi="宋体"/>
      </w:rPr>
    </w:pPr>
    <w:r>
      <w:rPr>
        <w:rFonts w:ascii="宋体" w:hAnsi="宋体" w:hint="eastAsia"/>
      </w:rPr>
      <w:t>交银施罗德丰晟收益债券型证券投资基金(更新)招募说明书(2023年第</w:t>
    </w:r>
    <w:r w:rsidR="00B06803">
      <w:rPr>
        <w:rFonts w:ascii="宋体" w:hAnsi="宋体"/>
      </w:rPr>
      <w:t>2</w:t>
    </w:r>
    <w:r>
      <w:rPr>
        <w:rFonts w:ascii="宋体" w:hAnsi="宋体"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1266E"/>
    <w:rsid w:val="00026A29"/>
    <w:rsid w:val="00026D00"/>
    <w:rsid w:val="00027C73"/>
    <w:rsid w:val="00030964"/>
    <w:rsid w:val="00030F3E"/>
    <w:rsid w:val="000368A2"/>
    <w:rsid w:val="00044AFD"/>
    <w:rsid w:val="00044E2C"/>
    <w:rsid w:val="000457B7"/>
    <w:rsid w:val="0004614E"/>
    <w:rsid w:val="00046212"/>
    <w:rsid w:val="000500B8"/>
    <w:rsid w:val="000506ED"/>
    <w:rsid w:val="000543D5"/>
    <w:rsid w:val="00055792"/>
    <w:rsid w:val="00055F52"/>
    <w:rsid w:val="00057C35"/>
    <w:rsid w:val="00061C0D"/>
    <w:rsid w:val="0006212F"/>
    <w:rsid w:val="0006220F"/>
    <w:rsid w:val="00062546"/>
    <w:rsid w:val="000647B8"/>
    <w:rsid w:val="0006506B"/>
    <w:rsid w:val="0006551A"/>
    <w:rsid w:val="000700AC"/>
    <w:rsid w:val="000705A6"/>
    <w:rsid w:val="0007638A"/>
    <w:rsid w:val="00076B6E"/>
    <w:rsid w:val="000816EA"/>
    <w:rsid w:val="00081744"/>
    <w:rsid w:val="000828CE"/>
    <w:rsid w:val="00083162"/>
    <w:rsid w:val="000833CB"/>
    <w:rsid w:val="00083491"/>
    <w:rsid w:val="00084078"/>
    <w:rsid w:val="000843B3"/>
    <w:rsid w:val="000869C2"/>
    <w:rsid w:val="00087F4C"/>
    <w:rsid w:val="00090648"/>
    <w:rsid w:val="00094253"/>
    <w:rsid w:val="00095030"/>
    <w:rsid w:val="000A01A0"/>
    <w:rsid w:val="000A352B"/>
    <w:rsid w:val="000B0F8B"/>
    <w:rsid w:val="000B359E"/>
    <w:rsid w:val="000B3894"/>
    <w:rsid w:val="000B4E04"/>
    <w:rsid w:val="000C1E1E"/>
    <w:rsid w:val="000C38F1"/>
    <w:rsid w:val="000C5E77"/>
    <w:rsid w:val="000C68E9"/>
    <w:rsid w:val="000D0ADE"/>
    <w:rsid w:val="000D179E"/>
    <w:rsid w:val="000D66DC"/>
    <w:rsid w:val="000E1F3B"/>
    <w:rsid w:val="000E3AB4"/>
    <w:rsid w:val="000E7544"/>
    <w:rsid w:val="000F0C17"/>
    <w:rsid w:val="000F2904"/>
    <w:rsid w:val="000F34A1"/>
    <w:rsid w:val="000F5226"/>
    <w:rsid w:val="000F5583"/>
    <w:rsid w:val="000F6050"/>
    <w:rsid w:val="000F66FF"/>
    <w:rsid w:val="000F67DE"/>
    <w:rsid w:val="000F698D"/>
    <w:rsid w:val="000F7D42"/>
    <w:rsid w:val="001008A5"/>
    <w:rsid w:val="00100C86"/>
    <w:rsid w:val="00105D80"/>
    <w:rsid w:val="0011339C"/>
    <w:rsid w:val="001135B0"/>
    <w:rsid w:val="00113FAA"/>
    <w:rsid w:val="00115AE5"/>
    <w:rsid w:val="00116489"/>
    <w:rsid w:val="0011648B"/>
    <w:rsid w:val="001166C1"/>
    <w:rsid w:val="00116874"/>
    <w:rsid w:val="001177A3"/>
    <w:rsid w:val="001240EB"/>
    <w:rsid w:val="0012443D"/>
    <w:rsid w:val="00127053"/>
    <w:rsid w:val="0013182D"/>
    <w:rsid w:val="00131CEE"/>
    <w:rsid w:val="0013315B"/>
    <w:rsid w:val="00134FCF"/>
    <w:rsid w:val="00135AD8"/>
    <w:rsid w:val="0013630D"/>
    <w:rsid w:val="001367F2"/>
    <w:rsid w:val="001412E8"/>
    <w:rsid w:val="0014250F"/>
    <w:rsid w:val="00144B52"/>
    <w:rsid w:val="00153D66"/>
    <w:rsid w:val="0015725E"/>
    <w:rsid w:val="00162F69"/>
    <w:rsid w:val="00164946"/>
    <w:rsid w:val="00165756"/>
    <w:rsid w:val="001657A6"/>
    <w:rsid w:val="0017362C"/>
    <w:rsid w:val="0017392F"/>
    <w:rsid w:val="00177ABF"/>
    <w:rsid w:val="0018184C"/>
    <w:rsid w:val="0018198F"/>
    <w:rsid w:val="00181C62"/>
    <w:rsid w:val="00183642"/>
    <w:rsid w:val="001860C4"/>
    <w:rsid w:val="00186FAE"/>
    <w:rsid w:val="001917D4"/>
    <w:rsid w:val="001917FC"/>
    <w:rsid w:val="00191D7F"/>
    <w:rsid w:val="001925A2"/>
    <w:rsid w:val="00195218"/>
    <w:rsid w:val="00197A55"/>
    <w:rsid w:val="00197F7E"/>
    <w:rsid w:val="001A1623"/>
    <w:rsid w:val="001A2263"/>
    <w:rsid w:val="001A6222"/>
    <w:rsid w:val="001B4531"/>
    <w:rsid w:val="001B5BDB"/>
    <w:rsid w:val="001B75F9"/>
    <w:rsid w:val="001C2B9E"/>
    <w:rsid w:val="001C38DA"/>
    <w:rsid w:val="001C38E4"/>
    <w:rsid w:val="001C7A48"/>
    <w:rsid w:val="001C7C12"/>
    <w:rsid w:val="001D2797"/>
    <w:rsid w:val="001D2B67"/>
    <w:rsid w:val="001D3730"/>
    <w:rsid w:val="001D4727"/>
    <w:rsid w:val="001D49EC"/>
    <w:rsid w:val="001D5665"/>
    <w:rsid w:val="001D61DC"/>
    <w:rsid w:val="001D6377"/>
    <w:rsid w:val="001D68A8"/>
    <w:rsid w:val="001D6B88"/>
    <w:rsid w:val="001D6C5F"/>
    <w:rsid w:val="001D6F67"/>
    <w:rsid w:val="001D7ECC"/>
    <w:rsid w:val="001E144C"/>
    <w:rsid w:val="001E25FD"/>
    <w:rsid w:val="001E2A4F"/>
    <w:rsid w:val="001E3F8F"/>
    <w:rsid w:val="001E5250"/>
    <w:rsid w:val="001E5D24"/>
    <w:rsid w:val="001F33EB"/>
    <w:rsid w:val="001F4DEA"/>
    <w:rsid w:val="001F4ECB"/>
    <w:rsid w:val="001F7353"/>
    <w:rsid w:val="00201F27"/>
    <w:rsid w:val="00201F9B"/>
    <w:rsid w:val="00203597"/>
    <w:rsid w:val="002076AC"/>
    <w:rsid w:val="00210321"/>
    <w:rsid w:val="002114C8"/>
    <w:rsid w:val="00212B27"/>
    <w:rsid w:val="00212BBA"/>
    <w:rsid w:val="0021469C"/>
    <w:rsid w:val="00215523"/>
    <w:rsid w:val="00216962"/>
    <w:rsid w:val="00217CA4"/>
    <w:rsid w:val="00221112"/>
    <w:rsid w:val="00221A1B"/>
    <w:rsid w:val="002220A4"/>
    <w:rsid w:val="00223C19"/>
    <w:rsid w:val="00224421"/>
    <w:rsid w:val="00226503"/>
    <w:rsid w:val="00226A60"/>
    <w:rsid w:val="00234D74"/>
    <w:rsid w:val="0023578C"/>
    <w:rsid w:val="00235AC5"/>
    <w:rsid w:val="002377E0"/>
    <w:rsid w:val="00240BB6"/>
    <w:rsid w:val="00241C6B"/>
    <w:rsid w:val="0024325F"/>
    <w:rsid w:val="002432CA"/>
    <w:rsid w:val="00243D40"/>
    <w:rsid w:val="00244BA6"/>
    <w:rsid w:val="00245250"/>
    <w:rsid w:val="002477CB"/>
    <w:rsid w:val="00247BF6"/>
    <w:rsid w:val="00250A33"/>
    <w:rsid w:val="00251126"/>
    <w:rsid w:val="002515AD"/>
    <w:rsid w:val="002524D2"/>
    <w:rsid w:val="00252802"/>
    <w:rsid w:val="00261A50"/>
    <w:rsid w:val="002634C3"/>
    <w:rsid w:val="00265B3A"/>
    <w:rsid w:val="00267961"/>
    <w:rsid w:val="0027052E"/>
    <w:rsid w:val="00271E9D"/>
    <w:rsid w:val="00271F7D"/>
    <w:rsid w:val="00274E85"/>
    <w:rsid w:val="002777F6"/>
    <w:rsid w:val="00277907"/>
    <w:rsid w:val="00280C42"/>
    <w:rsid w:val="00281B73"/>
    <w:rsid w:val="002833C9"/>
    <w:rsid w:val="00285E5C"/>
    <w:rsid w:val="00290B63"/>
    <w:rsid w:val="00290E73"/>
    <w:rsid w:val="00293415"/>
    <w:rsid w:val="00294689"/>
    <w:rsid w:val="0029539A"/>
    <w:rsid w:val="002A1A82"/>
    <w:rsid w:val="002A2FB0"/>
    <w:rsid w:val="002A4D32"/>
    <w:rsid w:val="002A5F87"/>
    <w:rsid w:val="002B017B"/>
    <w:rsid w:val="002B0DC0"/>
    <w:rsid w:val="002B2664"/>
    <w:rsid w:val="002B4E21"/>
    <w:rsid w:val="002B5000"/>
    <w:rsid w:val="002B78AA"/>
    <w:rsid w:val="002C383C"/>
    <w:rsid w:val="002D15BB"/>
    <w:rsid w:val="002D1C13"/>
    <w:rsid w:val="002D3109"/>
    <w:rsid w:val="002D378C"/>
    <w:rsid w:val="002D6413"/>
    <w:rsid w:val="002D6F14"/>
    <w:rsid w:val="002D74D5"/>
    <w:rsid w:val="002E4922"/>
    <w:rsid w:val="002E4B2C"/>
    <w:rsid w:val="002E5261"/>
    <w:rsid w:val="002F00BB"/>
    <w:rsid w:val="002F1DE7"/>
    <w:rsid w:val="002F2627"/>
    <w:rsid w:val="002F2748"/>
    <w:rsid w:val="002F6445"/>
    <w:rsid w:val="002F6580"/>
    <w:rsid w:val="002F6DE8"/>
    <w:rsid w:val="002F6E3C"/>
    <w:rsid w:val="002F74D8"/>
    <w:rsid w:val="002F7C72"/>
    <w:rsid w:val="002F7EDC"/>
    <w:rsid w:val="003003A8"/>
    <w:rsid w:val="0030091B"/>
    <w:rsid w:val="00301E62"/>
    <w:rsid w:val="00304063"/>
    <w:rsid w:val="0030555F"/>
    <w:rsid w:val="00305A3B"/>
    <w:rsid w:val="00305BB4"/>
    <w:rsid w:val="0030645F"/>
    <w:rsid w:val="003117B9"/>
    <w:rsid w:val="00311C71"/>
    <w:rsid w:val="00313073"/>
    <w:rsid w:val="0031336C"/>
    <w:rsid w:val="0031339F"/>
    <w:rsid w:val="00313F3E"/>
    <w:rsid w:val="00323F65"/>
    <w:rsid w:val="00326147"/>
    <w:rsid w:val="0033051E"/>
    <w:rsid w:val="0033401D"/>
    <w:rsid w:val="00334456"/>
    <w:rsid w:val="00336150"/>
    <w:rsid w:val="00336E99"/>
    <w:rsid w:val="00342417"/>
    <w:rsid w:val="003454EC"/>
    <w:rsid w:val="00346537"/>
    <w:rsid w:val="00347B94"/>
    <w:rsid w:val="003527DD"/>
    <w:rsid w:val="003547A2"/>
    <w:rsid w:val="00355171"/>
    <w:rsid w:val="00362702"/>
    <w:rsid w:val="00362A37"/>
    <w:rsid w:val="00362CF0"/>
    <w:rsid w:val="00362D5D"/>
    <w:rsid w:val="00364AC5"/>
    <w:rsid w:val="00365D15"/>
    <w:rsid w:val="0036702F"/>
    <w:rsid w:val="00367F3A"/>
    <w:rsid w:val="00370BDF"/>
    <w:rsid w:val="00371452"/>
    <w:rsid w:val="00372FA2"/>
    <w:rsid w:val="003735E9"/>
    <w:rsid w:val="003739FE"/>
    <w:rsid w:val="003749D5"/>
    <w:rsid w:val="0038254F"/>
    <w:rsid w:val="003828EC"/>
    <w:rsid w:val="00383488"/>
    <w:rsid w:val="003843BB"/>
    <w:rsid w:val="003859DA"/>
    <w:rsid w:val="00386153"/>
    <w:rsid w:val="00386BA7"/>
    <w:rsid w:val="00387AEB"/>
    <w:rsid w:val="00390AAC"/>
    <w:rsid w:val="00390B48"/>
    <w:rsid w:val="0039213A"/>
    <w:rsid w:val="00393BF6"/>
    <w:rsid w:val="00395D4D"/>
    <w:rsid w:val="00396D64"/>
    <w:rsid w:val="00397A06"/>
    <w:rsid w:val="003A0FAF"/>
    <w:rsid w:val="003A38BD"/>
    <w:rsid w:val="003A38C8"/>
    <w:rsid w:val="003A6045"/>
    <w:rsid w:val="003A72D0"/>
    <w:rsid w:val="003B22FD"/>
    <w:rsid w:val="003B3004"/>
    <w:rsid w:val="003B3A47"/>
    <w:rsid w:val="003B4168"/>
    <w:rsid w:val="003B42FF"/>
    <w:rsid w:val="003B62D2"/>
    <w:rsid w:val="003B66A3"/>
    <w:rsid w:val="003C27F7"/>
    <w:rsid w:val="003C5CBB"/>
    <w:rsid w:val="003C62C1"/>
    <w:rsid w:val="003C6FA4"/>
    <w:rsid w:val="003D0B3E"/>
    <w:rsid w:val="003D2352"/>
    <w:rsid w:val="003D3863"/>
    <w:rsid w:val="003D3D0A"/>
    <w:rsid w:val="003E0800"/>
    <w:rsid w:val="003E1584"/>
    <w:rsid w:val="003E33DE"/>
    <w:rsid w:val="003E3593"/>
    <w:rsid w:val="003E585F"/>
    <w:rsid w:val="003E6049"/>
    <w:rsid w:val="003E67F9"/>
    <w:rsid w:val="003F0D27"/>
    <w:rsid w:val="003F1C98"/>
    <w:rsid w:val="003F317C"/>
    <w:rsid w:val="003F4813"/>
    <w:rsid w:val="00404193"/>
    <w:rsid w:val="00406654"/>
    <w:rsid w:val="0041100B"/>
    <w:rsid w:val="004114F3"/>
    <w:rsid w:val="00412894"/>
    <w:rsid w:val="004130C3"/>
    <w:rsid w:val="00413E71"/>
    <w:rsid w:val="00421363"/>
    <w:rsid w:val="00421921"/>
    <w:rsid w:val="00422100"/>
    <w:rsid w:val="004254D3"/>
    <w:rsid w:val="0042746B"/>
    <w:rsid w:val="00433B69"/>
    <w:rsid w:val="004369AD"/>
    <w:rsid w:val="00436DD6"/>
    <w:rsid w:val="0044405B"/>
    <w:rsid w:val="00444FB7"/>
    <w:rsid w:val="00450674"/>
    <w:rsid w:val="004533FE"/>
    <w:rsid w:val="00454715"/>
    <w:rsid w:val="00454D80"/>
    <w:rsid w:val="0045678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94DEE"/>
    <w:rsid w:val="00497C30"/>
    <w:rsid w:val="004A084F"/>
    <w:rsid w:val="004A1FA1"/>
    <w:rsid w:val="004A3225"/>
    <w:rsid w:val="004A3F90"/>
    <w:rsid w:val="004A5F59"/>
    <w:rsid w:val="004A622E"/>
    <w:rsid w:val="004A6F1F"/>
    <w:rsid w:val="004B17D8"/>
    <w:rsid w:val="004B2323"/>
    <w:rsid w:val="004B3FA6"/>
    <w:rsid w:val="004B62C3"/>
    <w:rsid w:val="004C0BC8"/>
    <w:rsid w:val="004C461A"/>
    <w:rsid w:val="004C7D23"/>
    <w:rsid w:val="004D0783"/>
    <w:rsid w:val="004D11CB"/>
    <w:rsid w:val="004D49E3"/>
    <w:rsid w:val="004D7163"/>
    <w:rsid w:val="004E0366"/>
    <w:rsid w:val="004E1C30"/>
    <w:rsid w:val="004E3342"/>
    <w:rsid w:val="004E45AC"/>
    <w:rsid w:val="004E4672"/>
    <w:rsid w:val="004E5593"/>
    <w:rsid w:val="004E7A1E"/>
    <w:rsid w:val="004E7F1A"/>
    <w:rsid w:val="004F0352"/>
    <w:rsid w:val="004F0740"/>
    <w:rsid w:val="004F415D"/>
    <w:rsid w:val="004F4980"/>
    <w:rsid w:val="004F66F4"/>
    <w:rsid w:val="004F7710"/>
    <w:rsid w:val="00502A45"/>
    <w:rsid w:val="0050542C"/>
    <w:rsid w:val="00512DC1"/>
    <w:rsid w:val="00514C6B"/>
    <w:rsid w:val="005161EC"/>
    <w:rsid w:val="0051709F"/>
    <w:rsid w:val="005175EB"/>
    <w:rsid w:val="00521A18"/>
    <w:rsid w:val="00522079"/>
    <w:rsid w:val="00522622"/>
    <w:rsid w:val="0052450E"/>
    <w:rsid w:val="00525410"/>
    <w:rsid w:val="00530703"/>
    <w:rsid w:val="00530763"/>
    <w:rsid w:val="00534EFD"/>
    <w:rsid w:val="005362F2"/>
    <w:rsid w:val="00543B42"/>
    <w:rsid w:val="00544208"/>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74C59"/>
    <w:rsid w:val="00576CE2"/>
    <w:rsid w:val="005770AC"/>
    <w:rsid w:val="00577C1A"/>
    <w:rsid w:val="00577FAA"/>
    <w:rsid w:val="0058041D"/>
    <w:rsid w:val="005826AA"/>
    <w:rsid w:val="00583CE7"/>
    <w:rsid w:val="005856E9"/>
    <w:rsid w:val="005867BB"/>
    <w:rsid w:val="00587452"/>
    <w:rsid w:val="00591C2A"/>
    <w:rsid w:val="00592461"/>
    <w:rsid w:val="00592539"/>
    <w:rsid w:val="00596A05"/>
    <w:rsid w:val="00596D6D"/>
    <w:rsid w:val="00597284"/>
    <w:rsid w:val="00597F8F"/>
    <w:rsid w:val="005A1EA2"/>
    <w:rsid w:val="005A2467"/>
    <w:rsid w:val="005A5858"/>
    <w:rsid w:val="005A6E51"/>
    <w:rsid w:val="005A7C7F"/>
    <w:rsid w:val="005A7D88"/>
    <w:rsid w:val="005B130C"/>
    <w:rsid w:val="005B14FF"/>
    <w:rsid w:val="005B3B71"/>
    <w:rsid w:val="005B4B1B"/>
    <w:rsid w:val="005B4F0F"/>
    <w:rsid w:val="005B58F0"/>
    <w:rsid w:val="005C0E62"/>
    <w:rsid w:val="005C0F5B"/>
    <w:rsid w:val="005C2E15"/>
    <w:rsid w:val="005C403B"/>
    <w:rsid w:val="005C63CB"/>
    <w:rsid w:val="005D0AA6"/>
    <w:rsid w:val="005D165F"/>
    <w:rsid w:val="005D21F3"/>
    <w:rsid w:val="005D3CF8"/>
    <w:rsid w:val="005D5D89"/>
    <w:rsid w:val="005E0D2D"/>
    <w:rsid w:val="005E3FB6"/>
    <w:rsid w:val="005E4C5A"/>
    <w:rsid w:val="005F4583"/>
    <w:rsid w:val="005F4ABB"/>
    <w:rsid w:val="005F6066"/>
    <w:rsid w:val="005F6562"/>
    <w:rsid w:val="005F6C6D"/>
    <w:rsid w:val="005F6F09"/>
    <w:rsid w:val="005F787A"/>
    <w:rsid w:val="006019C7"/>
    <w:rsid w:val="00601E7B"/>
    <w:rsid w:val="00601EBC"/>
    <w:rsid w:val="00602D32"/>
    <w:rsid w:val="00603A84"/>
    <w:rsid w:val="006067DC"/>
    <w:rsid w:val="00610629"/>
    <w:rsid w:val="00611BCD"/>
    <w:rsid w:val="006121CB"/>
    <w:rsid w:val="0061258D"/>
    <w:rsid w:val="006142EC"/>
    <w:rsid w:val="006155A5"/>
    <w:rsid w:val="00617824"/>
    <w:rsid w:val="0061799F"/>
    <w:rsid w:val="0062394E"/>
    <w:rsid w:val="00624214"/>
    <w:rsid w:val="00625419"/>
    <w:rsid w:val="0062560B"/>
    <w:rsid w:val="00626D1A"/>
    <w:rsid w:val="00627429"/>
    <w:rsid w:val="0063089C"/>
    <w:rsid w:val="00632A91"/>
    <w:rsid w:val="006345E8"/>
    <w:rsid w:val="0063765C"/>
    <w:rsid w:val="006403CB"/>
    <w:rsid w:val="006410B0"/>
    <w:rsid w:val="0064139F"/>
    <w:rsid w:val="00641404"/>
    <w:rsid w:val="00641EDA"/>
    <w:rsid w:val="00642B97"/>
    <w:rsid w:val="00642DE6"/>
    <w:rsid w:val="00643680"/>
    <w:rsid w:val="00644453"/>
    <w:rsid w:val="00644B32"/>
    <w:rsid w:val="0064639A"/>
    <w:rsid w:val="0064646F"/>
    <w:rsid w:val="00646523"/>
    <w:rsid w:val="00647BDD"/>
    <w:rsid w:val="0065273C"/>
    <w:rsid w:val="00655BD2"/>
    <w:rsid w:val="00656A74"/>
    <w:rsid w:val="00657221"/>
    <w:rsid w:val="00661FC1"/>
    <w:rsid w:val="00663FED"/>
    <w:rsid w:val="00664B64"/>
    <w:rsid w:val="006678E3"/>
    <w:rsid w:val="00667A9C"/>
    <w:rsid w:val="006712E8"/>
    <w:rsid w:val="00677DA7"/>
    <w:rsid w:val="00680212"/>
    <w:rsid w:val="00680C90"/>
    <w:rsid w:val="00681036"/>
    <w:rsid w:val="006823AD"/>
    <w:rsid w:val="00682C29"/>
    <w:rsid w:val="00685872"/>
    <w:rsid w:val="00685AD7"/>
    <w:rsid w:val="00691963"/>
    <w:rsid w:val="00692124"/>
    <w:rsid w:val="00692D96"/>
    <w:rsid w:val="00693C96"/>
    <w:rsid w:val="00696339"/>
    <w:rsid w:val="00696982"/>
    <w:rsid w:val="006A3F85"/>
    <w:rsid w:val="006A48FA"/>
    <w:rsid w:val="006A56F1"/>
    <w:rsid w:val="006A6E5C"/>
    <w:rsid w:val="006A7973"/>
    <w:rsid w:val="006B0972"/>
    <w:rsid w:val="006B3153"/>
    <w:rsid w:val="006B5871"/>
    <w:rsid w:val="006B6BB1"/>
    <w:rsid w:val="006B7212"/>
    <w:rsid w:val="006C14C3"/>
    <w:rsid w:val="006C4B6F"/>
    <w:rsid w:val="006C589D"/>
    <w:rsid w:val="006C769C"/>
    <w:rsid w:val="006C7A95"/>
    <w:rsid w:val="006D11E8"/>
    <w:rsid w:val="006D4B0E"/>
    <w:rsid w:val="006D753C"/>
    <w:rsid w:val="006E0A00"/>
    <w:rsid w:val="006E306D"/>
    <w:rsid w:val="006E4BEC"/>
    <w:rsid w:val="006E6968"/>
    <w:rsid w:val="006F04C6"/>
    <w:rsid w:val="006F08A0"/>
    <w:rsid w:val="006F2A97"/>
    <w:rsid w:val="006F7AD7"/>
    <w:rsid w:val="00701A9A"/>
    <w:rsid w:val="00702627"/>
    <w:rsid w:val="0070359F"/>
    <w:rsid w:val="0070464C"/>
    <w:rsid w:val="00705474"/>
    <w:rsid w:val="00705B46"/>
    <w:rsid w:val="007076B2"/>
    <w:rsid w:val="00711BBB"/>
    <w:rsid w:val="0071340A"/>
    <w:rsid w:val="00713FC7"/>
    <w:rsid w:val="00716FD1"/>
    <w:rsid w:val="00720D0F"/>
    <w:rsid w:val="0072169D"/>
    <w:rsid w:val="007218A9"/>
    <w:rsid w:val="0072241C"/>
    <w:rsid w:val="007245A5"/>
    <w:rsid w:val="00731628"/>
    <w:rsid w:val="00734108"/>
    <w:rsid w:val="007343AD"/>
    <w:rsid w:val="0073448D"/>
    <w:rsid w:val="00735087"/>
    <w:rsid w:val="00736FA0"/>
    <w:rsid w:val="00737F8B"/>
    <w:rsid w:val="0074053E"/>
    <w:rsid w:val="00744F5B"/>
    <w:rsid w:val="0075000E"/>
    <w:rsid w:val="00752156"/>
    <w:rsid w:val="00753A7A"/>
    <w:rsid w:val="00756E77"/>
    <w:rsid w:val="007577C2"/>
    <w:rsid w:val="0076038F"/>
    <w:rsid w:val="00760D77"/>
    <w:rsid w:val="007617E5"/>
    <w:rsid w:val="007671F0"/>
    <w:rsid w:val="0077124E"/>
    <w:rsid w:val="00772FA7"/>
    <w:rsid w:val="0077578C"/>
    <w:rsid w:val="00781ACA"/>
    <w:rsid w:val="007823CF"/>
    <w:rsid w:val="00783E35"/>
    <w:rsid w:val="00784F67"/>
    <w:rsid w:val="00786754"/>
    <w:rsid w:val="00786D49"/>
    <w:rsid w:val="00787061"/>
    <w:rsid w:val="00790F0A"/>
    <w:rsid w:val="00790F5E"/>
    <w:rsid w:val="007927A6"/>
    <w:rsid w:val="00797F6E"/>
    <w:rsid w:val="007A1F4C"/>
    <w:rsid w:val="007A53F8"/>
    <w:rsid w:val="007B05BD"/>
    <w:rsid w:val="007B31A5"/>
    <w:rsid w:val="007B3327"/>
    <w:rsid w:val="007B3533"/>
    <w:rsid w:val="007B4996"/>
    <w:rsid w:val="007B6926"/>
    <w:rsid w:val="007B6FA3"/>
    <w:rsid w:val="007B705D"/>
    <w:rsid w:val="007C5764"/>
    <w:rsid w:val="007C57BB"/>
    <w:rsid w:val="007C61D0"/>
    <w:rsid w:val="007C6FAA"/>
    <w:rsid w:val="007C768F"/>
    <w:rsid w:val="007D251F"/>
    <w:rsid w:val="007D4FA2"/>
    <w:rsid w:val="007D5128"/>
    <w:rsid w:val="007E0874"/>
    <w:rsid w:val="007E0FAD"/>
    <w:rsid w:val="007E60E9"/>
    <w:rsid w:val="007E63F3"/>
    <w:rsid w:val="007E6F5A"/>
    <w:rsid w:val="007F0916"/>
    <w:rsid w:val="007F1E7D"/>
    <w:rsid w:val="007F2A79"/>
    <w:rsid w:val="007F3026"/>
    <w:rsid w:val="007F42DD"/>
    <w:rsid w:val="007F4E0F"/>
    <w:rsid w:val="007F568F"/>
    <w:rsid w:val="007F77CA"/>
    <w:rsid w:val="008011ED"/>
    <w:rsid w:val="00801636"/>
    <w:rsid w:val="00803935"/>
    <w:rsid w:val="008045D0"/>
    <w:rsid w:val="008059B8"/>
    <w:rsid w:val="00810333"/>
    <w:rsid w:val="0081415C"/>
    <w:rsid w:val="0081590D"/>
    <w:rsid w:val="00815E57"/>
    <w:rsid w:val="008166F5"/>
    <w:rsid w:val="0081677E"/>
    <w:rsid w:val="00817467"/>
    <w:rsid w:val="0082043E"/>
    <w:rsid w:val="00822905"/>
    <w:rsid w:val="0082299E"/>
    <w:rsid w:val="0082660E"/>
    <w:rsid w:val="00827CD1"/>
    <w:rsid w:val="00832164"/>
    <w:rsid w:val="00832F53"/>
    <w:rsid w:val="00834003"/>
    <w:rsid w:val="0083455F"/>
    <w:rsid w:val="00834EA0"/>
    <w:rsid w:val="00835CED"/>
    <w:rsid w:val="00836DE2"/>
    <w:rsid w:val="00843042"/>
    <w:rsid w:val="00843C37"/>
    <w:rsid w:val="00844886"/>
    <w:rsid w:val="00844C2D"/>
    <w:rsid w:val="00846D68"/>
    <w:rsid w:val="008518E5"/>
    <w:rsid w:val="00852B15"/>
    <w:rsid w:val="00856135"/>
    <w:rsid w:val="00857A96"/>
    <w:rsid w:val="00861FE5"/>
    <w:rsid w:val="0086376D"/>
    <w:rsid w:val="00865294"/>
    <w:rsid w:val="00867617"/>
    <w:rsid w:val="008703C2"/>
    <w:rsid w:val="0087209F"/>
    <w:rsid w:val="008806CC"/>
    <w:rsid w:val="008849E6"/>
    <w:rsid w:val="0088513E"/>
    <w:rsid w:val="00886300"/>
    <w:rsid w:val="0089099F"/>
    <w:rsid w:val="00890AAF"/>
    <w:rsid w:val="00892F7A"/>
    <w:rsid w:val="00894CEB"/>
    <w:rsid w:val="00896A62"/>
    <w:rsid w:val="00897B88"/>
    <w:rsid w:val="008A113D"/>
    <w:rsid w:val="008A678B"/>
    <w:rsid w:val="008B0034"/>
    <w:rsid w:val="008B0702"/>
    <w:rsid w:val="008B2397"/>
    <w:rsid w:val="008B33B5"/>
    <w:rsid w:val="008B3CD6"/>
    <w:rsid w:val="008B6003"/>
    <w:rsid w:val="008B691D"/>
    <w:rsid w:val="008C4D11"/>
    <w:rsid w:val="008D54FA"/>
    <w:rsid w:val="008D5C05"/>
    <w:rsid w:val="008D6490"/>
    <w:rsid w:val="008D6FFD"/>
    <w:rsid w:val="008E1191"/>
    <w:rsid w:val="008E342E"/>
    <w:rsid w:val="008E4D9C"/>
    <w:rsid w:val="008E566D"/>
    <w:rsid w:val="008E588C"/>
    <w:rsid w:val="008F52D9"/>
    <w:rsid w:val="008F6BC6"/>
    <w:rsid w:val="00902B4C"/>
    <w:rsid w:val="00903FC5"/>
    <w:rsid w:val="0090403F"/>
    <w:rsid w:val="009071FF"/>
    <w:rsid w:val="009108DB"/>
    <w:rsid w:val="009112EB"/>
    <w:rsid w:val="00913191"/>
    <w:rsid w:val="009131F2"/>
    <w:rsid w:val="00916431"/>
    <w:rsid w:val="00917DBE"/>
    <w:rsid w:val="00922982"/>
    <w:rsid w:val="0092605A"/>
    <w:rsid w:val="0092689A"/>
    <w:rsid w:val="0093228E"/>
    <w:rsid w:val="009325E1"/>
    <w:rsid w:val="00933602"/>
    <w:rsid w:val="009338B2"/>
    <w:rsid w:val="00933A26"/>
    <w:rsid w:val="009351EF"/>
    <w:rsid w:val="0093698F"/>
    <w:rsid w:val="00940914"/>
    <w:rsid w:val="009409E8"/>
    <w:rsid w:val="00942250"/>
    <w:rsid w:val="00942706"/>
    <w:rsid w:val="00942E51"/>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49DC"/>
    <w:rsid w:val="00966EB2"/>
    <w:rsid w:val="00970C67"/>
    <w:rsid w:val="00974456"/>
    <w:rsid w:val="00991483"/>
    <w:rsid w:val="0099296D"/>
    <w:rsid w:val="009935AA"/>
    <w:rsid w:val="00993F94"/>
    <w:rsid w:val="009951B2"/>
    <w:rsid w:val="009A039C"/>
    <w:rsid w:val="009A2859"/>
    <w:rsid w:val="009A4E90"/>
    <w:rsid w:val="009A50B8"/>
    <w:rsid w:val="009A737B"/>
    <w:rsid w:val="009B1823"/>
    <w:rsid w:val="009B406F"/>
    <w:rsid w:val="009B443A"/>
    <w:rsid w:val="009B4D09"/>
    <w:rsid w:val="009B6426"/>
    <w:rsid w:val="009B6DD1"/>
    <w:rsid w:val="009C1332"/>
    <w:rsid w:val="009C4A4F"/>
    <w:rsid w:val="009C6D34"/>
    <w:rsid w:val="009D2E97"/>
    <w:rsid w:val="009D328E"/>
    <w:rsid w:val="009D3438"/>
    <w:rsid w:val="009D3B88"/>
    <w:rsid w:val="009D40B6"/>
    <w:rsid w:val="009D4D3A"/>
    <w:rsid w:val="009D7AD4"/>
    <w:rsid w:val="009E1231"/>
    <w:rsid w:val="009E1A57"/>
    <w:rsid w:val="009E36CA"/>
    <w:rsid w:val="009E4B6B"/>
    <w:rsid w:val="009E6470"/>
    <w:rsid w:val="009E7175"/>
    <w:rsid w:val="009F08CB"/>
    <w:rsid w:val="009F1E5E"/>
    <w:rsid w:val="009F497B"/>
    <w:rsid w:val="009F5331"/>
    <w:rsid w:val="009F6453"/>
    <w:rsid w:val="009F6AD6"/>
    <w:rsid w:val="009F6F30"/>
    <w:rsid w:val="009F7BFB"/>
    <w:rsid w:val="00A0081F"/>
    <w:rsid w:val="00A01B61"/>
    <w:rsid w:val="00A03BCB"/>
    <w:rsid w:val="00A048F3"/>
    <w:rsid w:val="00A04CA6"/>
    <w:rsid w:val="00A052DD"/>
    <w:rsid w:val="00A06E6F"/>
    <w:rsid w:val="00A12A49"/>
    <w:rsid w:val="00A135C4"/>
    <w:rsid w:val="00A13CB5"/>
    <w:rsid w:val="00A13FEC"/>
    <w:rsid w:val="00A200C3"/>
    <w:rsid w:val="00A20796"/>
    <w:rsid w:val="00A20871"/>
    <w:rsid w:val="00A21103"/>
    <w:rsid w:val="00A21E3C"/>
    <w:rsid w:val="00A23419"/>
    <w:rsid w:val="00A24BBD"/>
    <w:rsid w:val="00A26D62"/>
    <w:rsid w:val="00A27D2E"/>
    <w:rsid w:val="00A30D78"/>
    <w:rsid w:val="00A31032"/>
    <w:rsid w:val="00A31CCF"/>
    <w:rsid w:val="00A32598"/>
    <w:rsid w:val="00A33EF8"/>
    <w:rsid w:val="00A3432E"/>
    <w:rsid w:val="00A40DFB"/>
    <w:rsid w:val="00A42750"/>
    <w:rsid w:val="00A435BF"/>
    <w:rsid w:val="00A448B0"/>
    <w:rsid w:val="00A46981"/>
    <w:rsid w:val="00A5210B"/>
    <w:rsid w:val="00A524EC"/>
    <w:rsid w:val="00A52F4A"/>
    <w:rsid w:val="00A531D6"/>
    <w:rsid w:val="00A54346"/>
    <w:rsid w:val="00A55211"/>
    <w:rsid w:val="00A569C9"/>
    <w:rsid w:val="00A57E0C"/>
    <w:rsid w:val="00A6039D"/>
    <w:rsid w:val="00A631B5"/>
    <w:rsid w:val="00A63351"/>
    <w:rsid w:val="00A6487D"/>
    <w:rsid w:val="00A65DF5"/>
    <w:rsid w:val="00A66D3E"/>
    <w:rsid w:val="00A676CE"/>
    <w:rsid w:val="00A7001C"/>
    <w:rsid w:val="00A70A43"/>
    <w:rsid w:val="00A75807"/>
    <w:rsid w:val="00A77913"/>
    <w:rsid w:val="00A8209D"/>
    <w:rsid w:val="00A82740"/>
    <w:rsid w:val="00A860C9"/>
    <w:rsid w:val="00A9137F"/>
    <w:rsid w:val="00A9483B"/>
    <w:rsid w:val="00A94F2C"/>
    <w:rsid w:val="00A972E1"/>
    <w:rsid w:val="00AA3F8C"/>
    <w:rsid w:val="00AA6E6B"/>
    <w:rsid w:val="00AB3052"/>
    <w:rsid w:val="00AB4248"/>
    <w:rsid w:val="00AB4520"/>
    <w:rsid w:val="00AB572D"/>
    <w:rsid w:val="00AB5A86"/>
    <w:rsid w:val="00AB6170"/>
    <w:rsid w:val="00AB707C"/>
    <w:rsid w:val="00AC0B37"/>
    <w:rsid w:val="00AC2185"/>
    <w:rsid w:val="00AC3068"/>
    <w:rsid w:val="00AC3C48"/>
    <w:rsid w:val="00AC4067"/>
    <w:rsid w:val="00AC53DF"/>
    <w:rsid w:val="00AC54F8"/>
    <w:rsid w:val="00AC692A"/>
    <w:rsid w:val="00AD0F08"/>
    <w:rsid w:val="00AD1585"/>
    <w:rsid w:val="00AD1747"/>
    <w:rsid w:val="00AD235B"/>
    <w:rsid w:val="00AD560B"/>
    <w:rsid w:val="00AD5BBB"/>
    <w:rsid w:val="00AE02B5"/>
    <w:rsid w:val="00AE0494"/>
    <w:rsid w:val="00AE0B28"/>
    <w:rsid w:val="00AE0C8D"/>
    <w:rsid w:val="00AE0D50"/>
    <w:rsid w:val="00AE1947"/>
    <w:rsid w:val="00AE242E"/>
    <w:rsid w:val="00AE2D8E"/>
    <w:rsid w:val="00AE4C9F"/>
    <w:rsid w:val="00AE7A40"/>
    <w:rsid w:val="00AE7EF9"/>
    <w:rsid w:val="00AF4A88"/>
    <w:rsid w:val="00AF60FC"/>
    <w:rsid w:val="00AF619D"/>
    <w:rsid w:val="00B01A75"/>
    <w:rsid w:val="00B01AD7"/>
    <w:rsid w:val="00B02D39"/>
    <w:rsid w:val="00B03711"/>
    <w:rsid w:val="00B03B6B"/>
    <w:rsid w:val="00B04CC3"/>
    <w:rsid w:val="00B06803"/>
    <w:rsid w:val="00B17DE2"/>
    <w:rsid w:val="00B2096A"/>
    <w:rsid w:val="00B20E8D"/>
    <w:rsid w:val="00B32541"/>
    <w:rsid w:val="00B3267F"/>
    <w:rsid w:val="00B35F87"/>
    <w:rsid w:val="00B379DA"/>
    <w:rsid w:val="00B37A67"/>
    <w:rsid w:val="00B41203"/>
    <w:rsid w:val="00B41500"/>
    <w:rsid w:val="00B5297F"/>
    <w:rsid w:val="00B52E16"/>
    <w:rsid w:val="00B53812"/>
    <w:rsid w:val="00B53C36"/>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4B4A"/>
    <w:rsid w:val="00B8589C"/>
    <w:rsid w:val="00B86BAC"/>
    <w:rsid w:val="00B97B35"/>
    <w:rsid w:val="00BA3196"/>
    <w:rsid w:val="00BA3509"/>
    <w:rsid w:val="00BA5877"/>
    <w:rsid w:val="00BB09B0"/>
    <w:rsid w:val="00BB124C"/>
    <w:rsid w:val="00BB17E3"/>
    <w:rsid w:val="00BB1CDB"/>
    <w:rsid w:val="00BB2110"/>
    <w:rsid w:val="00BB3645"/>
    <w:rsid w:val="00BB3DFE"/>
    <w:rsid w:val="00BB547E"/>
    <w:rsid w:val="00BB5ACE"/>
    <w:rsid w:val="00BB69B7"/>
    <w:rsid w:val="00BC098F"/>
    <w:rsid w:val="00BC2581"/>
    <w:rsid w:val="00BC3F55"/>
    <w:rsid w:val="00BC481A"/>
    <w:rsid w:val="00BC4D26"/>
    <w:rsid w:val="00BC555D"/>
    <w:rsid w:val="00BC658E"/>
    <w:rsid w:val="00BD0218"/>
    <w:rsid w:val="00BD1869"/>
    <w:rsid w:val="00BD200B"/>
    <w:rsid w:val="00BD63DF"/>
    <w:rsid w:val="00BD64D4"/>
    <w:rsid w:val="00BD7C4B"/>
    <w:rsid w:val="00BE33E8"/>
    <w:rsid w:val="00BF2BEB"/>
    <w:rsid w:val="00BF3197"/>
    <w:rsid w:val="00BF5E23"/>
    <w:rsid w:val="00BF6AD1"/>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22B21"/>
    <w:rsid w:val="00C22E92"/>
    <w:rsid w:val="00C23593"/>
    <w:rsid w:val="00C23845"/>
    <w:rsid w:val="00C304D0"/>
    <w:rsid w:val="00C31846"/>
    <w:rsid w:val="00C32A33"/>
    <w:rsid w:val="00C367FB"/>
    <w:rsid w:val="00C41389"/>
    <w:rsid w:val="00C41BB7"/>
    <w:rsid w:val="00C42379"/>
    <w:rsid w:val="00C433EC"/>
    <w:rsid w:val="00C44004"/>
    <w:rsid w:val="00C445F4"/>
    <w:rsid w:val="00C47CAD"/>
    <w:rsid w:val="00C54DF3"/>
    <w:rsid w:val="00C610B6"/>
    <w:rsid w:val="00C61788"/>
    <w:rsid w:val="00C6257F"/>
    <w:rsid w:val="00C63117"/>
    <w:rsid w:val="00C640C7"/>
    <w:rsid w:val="00C65784"/>
    <w:rsid w:val="00C67BDD"/>
    <w:rsid w:val="00C70F24"/>
    <w:rsid w:val="00C717F6"/>
    <w:rsid w:val="00C72FD7"/>
    <w:rsid w:val="00C8155C"/>
    <w:rsid w:val="00C907F0"/>
    <w:rsid w:val="00C93A91"/>
    <w:rsid w:val="00C95601"/>
    <w:rsid w:val="00CA1947"/>
    <w:rsid w:val="00CA1C91"/>
    <w:rsid w:val="00CA323D"/>
    <w:rsid w:val="00CA54A0"/>
    <w:rsid w:val="00CB5515"/>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24FD"/>
    <w:rsid w:val="00CE4AE9"/>
    <w:rsid w:val="00CF41D0"/>
    <w:rsid w:val="00D00CF9"/>
    <w:rsid w:val="00D012FF"/>
    <w:rsid w:val="00D04CD8"/>
    <w:rsid w:val="00D04DEC"/>
    <w:rsid w:val="00D114ED"/>
    <w:rsid w:val="00D1261E"/>
    <w:rsid w:val="00D13F32"/>
    <w:rsid w:val="00D14B5E"/>
    <w:rsid w:val="00D1685E"/>
    <w:rsid w:val="00D171BA"/>
    <w:rsid w:val="00D25B74"/>
    <w:rsid w:val="00D25CA1"/>
    <w:rsid w:val="00D31474"/>
    <w:rsid w:val="00D32933"/>
    <w:rsid w:val="00D34CA6"/>
    <w:rsid w:val="00D3579F"/>
    <w:rsid w:val="00D36B62"/>
    <w:rsid w:val="00D37BF5"/>
    <w:rsid w:val="00D421A7"/>
    <w:rsid w:val="00D42987"/>
    <w:rsid w:val="00D42C18"/>
    <w:rsid w:val="00D43F5E"/>
    <w:rsid w:val="00D44623"/>
    <w:rsid w:val="00D47CD3"/>
    <w:rsid w:val="00D47CF6"/>
    <w:rsid w:val="00D50820"/>
    <w:rsid w:val="00D511C3"/>
    <w:rsid w:val="00D5481D"/>
    <w:rsid w:val="00D55B2D"/>
    <w:rsid w:val="00D60045"/>
    <w:rsid w:val="00D628AE"/>
    <w:rsid w:val="00D647C9"/>
    <w:rsid w:val="00D6632B"/>
    <w:rsid w:val="00D67995"/>
    <w:rsid w:val="00D7163F"/>
    <w:rsid w:val="00D7298C"/>
    <w:rsid w:val="00D73998"/>
    <w:rsid w:val="00D76FD9"/>
    <w:rsid w:val="00D800BD"/>
    <w:rsid w:val="00D816C8"/>
    <w:rsid w:val="00D81BC5"/>
    <w:rsid w:val="00D827CE"/>
    <w:rsid w:val="00D84DEB"/>
    <w:rsid w:val="00D877A6"/>
    <w:rsid w:val="00D904D9"/>
    <w:rsid w:val="00D93DA9"/>
    <w:rsid w:val="00D946F0"/>
    <w:rsid w:val="00D95156"/>
    <w:rsid w:val="00D95BD9"/>
    <w:rsid w:val="00D95DC3"/>
    <w:rsid w:val="00D96A46"/>
    <w:rsid w:val="00D96A67"/>
    <w:rsid w:val="00DA12D5"/>
    <w:rsid w:val="00DA209B"/>
    <w:rsid w:val="00DA3326"/>
    <w:rsid w:val="00DA3644"/>
    <w:rsid w:val="00DA3FCB"/>
    <w:rsid w:val="00DA630F"/>
    <w:rsid w:val="00DA6A38"/>
    <w:rsid w:val="00DA6B30"/>
    <w:rsid w:val="00DA7040"/>
    <w:rsid w:val="00DB07B5"/>
    <w:rsid w:val="00DB07F9"/>
    <w:rsid w:val="00DB3CAF"/>
    <w:rsid w:val="00DB4966"/>
    <w:rsid w:val="00DC1386"/>
    <w:rsid w:val="00DC7A46"/>
    <w:rsid w:val="00DD0F54"/>
    <w:rsid w:val="00DD4F7A"/>
    <w:rsid w:val="00DD5050"/>
    <w:rsid w:val="00DD5306"/>
    <w:rsid w:val="00DD5903"/>
    <w:rsid w:val="00DD5E1E"/>
    <w:rsid w:val="00DE229B"/>
    <w:rsid w:val="00DE3A2B"/>
    <w:rsid w:val="00DE4A81"/>
    <w:rsid w:val="00DE5D64"/>
    <w:rsid w:val="00DE7AB8"/>
    <w:rsid w:val="00DF3188"/>
    <w:rsid w:val="00DF5529"/>
    <w:rsid w:val="00DF6DE8"/>
    <w:rsid w:val="00DF6FB0"/>
    <w:rsid w:val="00DF76B3"/>
    <w:rsid w:val="00DF76F2"/>
    <w:rsid w:val="00E00083"/>
    <w:rsid w:val="00E009E2"/>
    <w:rsid w:val="00E01DE7"/>
    <w:rsid w:val="00E0411F"/>
    <w:rsid w:val="00E0572E"/>
    <w:rsid w:val="00E07FAD"/>
    <w:rsid w:val="00E10005"/>
    <w:rsid w:val="00E1238E"/>
    <w:rsid w:val="00E124B9"/>
    <w:rsid w:val="00E13F21"/>
    <w:rsid w:val="00E1612B"/>
    <w:rsid w:val="00E1728F"/>
    <w:rsid w:val="00E17515"/>
    <w:rsid w:val="00E20591"/>
    <w:rsid w:val="00E22766"/>
    <w:rsid w:val="00E2572E"/>
    <w:rsid w:val="00E25C52"/>
    <w:rsid w:val="00E2692D"/>
    <w:rsid w:val="00E271C2"/>
    <w:rsid w:val="00E27AC2"/>
    <w:rsid w:val="00E30031"/>
    <w:rsid w:val="00E30BEA"/>
    <w:rsid w:val="00E329A6"/>
    <w:rsid w:val="00E34CB5"/>
    <w:rsid w:val="00E36064"/>
    <w:rsid w:val="00E36252"/>
    <w:rsid w:val="00E36419"/>
    <w:rsid w:val="00E37789"/>
    <w:rsid w:val="00E42265"/>
    <w:rsid w:val="00E45DAA"/>
    <w:rsid w:val="00E46560"/>
    <w:rsid w:val="00E47307"/>
    <w:rsid w:val="00E47601"/>
    <w:rsid w:val="00E50DB1"/>
    <w:rsid w:val="00E51053"/>
    <w:rsid w:val="00E51A6B"/>
    <w:rsid w:val="00E51A9F"/>
    <w:rsid w:val="00E52CA8"/>
    <w:rsid w:val="00E550CE"/>
    <w:rsid w:val="00E60B86"/>
    <w:rsid w:val="00E62E45"/>
    <w:rsid w:val="00E62F7D"/>
    <w:rsid w:val="00E700B8"/>
    <w:rsid w:val="00E702B9"/>
    <w:rsid w:val="00E70588"/>
    <w:rsid w:val="00E72718"/>
    <w:rsid w:val="00E75FA1"/>
    <w:rsid w:val="00E76419"/>
    <w:rsid w:val="00E77787"/>
    <w:rsid w:val="00E77CD7"/>
    <w:rsid w:val="00E82017"/>
    <w:rsid w:val="00E82792"/>
    <w:rsid w:val="00E844D7"/>
    <w:rsid w:val="00E92E9D"/>
    <w:rsid w:val="00E93B3C"/>
    <w:rsid w:val="00E96A7F"/>
    <w:rsid w:val="00EA022D"/>
    <w:rsid w:val="00EA031A"/>
    <w:rsid w:val="00EA0CE9"/>
    <w:rsid w:val="00EA1A40"/>
    <w:rsid w:val="00EA330D"/>
    <w:rsid w:val="00EA5190"/>
    <w:rsid w:val="00EA5F4C"/>
    <w:rsid w:val="00EA6109"/>
    <w:rsid w:val="00EB2688"/>
    <w:rsid w:val="00EB6181"/>
    <w:rsid w:val="00EB664F"/>
    <w:rsid w:val="00EB7E37"/>
    <w:rsid w:val="00EC12E8"/>
    <w:rsid w:val="00EC1357"/>
    <w:rsid w:val="00EC5ACF"/>
    <w:rsid w:val="00ED22A8"/>
    <w:rsid w:val="00ED2479"/>
    <w:rsid w:val="00ED4EB4"/>
    <w:rsid w:val="00ED5D09"/>
    <w:rsid w:val="00ED7107"/>
    <w:rsid w:val="00EE2221"/>
    <w:rsid w:val="00EE276F"/>
    <w:rsid w:val="00EE2982"/>
    <w:rsid w:val="00EE634F"/>
    <w:rsid w:val="00EF369D"/>
    <w:rsid w:val="00EF38A7"/>
    <w:rsid w:val="00EF6A39"/>
    <w:rsid w:val="00F00B38"/>
    <w:rsid w:val="00F0376E"/>
    <w:rsid w:val="00F044B3"/>
    <w:rsid w:val="00F05E83"/>
    <w:rsid w:val="00F07DC4"/>
    <w:rsid w:val="00F07E05"/>
    <w:rsid w:val="00F10842"/>
    <w:rsid w:val="00F13C42"/>
    <w:rsid w:val="00F161F7"/>
    <w:rsid w:val="00F206E8"/>
    <w:rsid w:val="00F21755"/>
    <w:rsid w:val="00F21F2E"/>
    <w:rsid w:val="00F23947"/>
    <w:rsid w:val="00F23B61"/>
    <w:rsid w:val="00F276F1"/>
    <w:rsid w:val="00F32680"/>
    <w:rsid w:val="00F33A66"/>
    <w:rsid w:val="00F34368"/>
    <w:rsid w:val="00F34E5A"/>
    <w:rsid w:val="00F35452"/>
    <w:rsid w:val="00F45532"/>
    <w:rsid w:val="00F45ED2"/>
    <w:rsid w:val="00F53C4F"/>
    <w:rsid w:val="00F56A51"/>
    <w:rsid w:val="00F61899"/>
    <w:rsid w:val="00F66CD4"/>
    <w:rsid w:val="00F66E01"/>
    <w:rsid w:val="00F7129A"/>
    <w:rsid w:val="00F7180D"/>
    <w:rsid w:val="00F727A7"/>
    <w:rsid w:val="00F729D7"/>
    <w:rsid w:val="00F774CD"/>
    <w:rsid w:val="00F80F59"/>
    <w:rsid w:val="00F82E69"/>
    <w:rsid w:val="00F8414D"/>
    <w:rsid w:val="00F84181"/>
    <w:rsid w:val="00F84C5D"/>
    <w:rsid w:val="00F86271"/>
    <w:rsid w:val="00F86814"/>
    <w:rsid w:val="00F87176"/>
    <w:rsid w:val="00F87303"/>
    <w:rsid w:val="00F91287"/>
    <w:rsid w:val="00F917FA"/>
    <w:rsid w:val="00F91B28"/>
    <w:rsid w:val="00F91DA0"/>
    <w:rsid w:val="00F9306F"/>
    <w:rsid w:val="00F94B4E"/>
    <w:rsid w:val="00F95BAB"/>
    <w:rsid w:val="00F978B7"/>
    <w:rsid w:val="00FA2FCD"/>
    <w:rsid w:val="00FA3FA8"/>
    <w:rsid w:val="00FA4718"/>
    <w:rsid w:val="00FA6E64"/>
    <w:rsid w:val="00FB1DCD"/>
    <w:rsid w:val="00FB2F0E"/>
    <w:rsid w:val="00FB31CC"/>
    <w:rsid w:val="00FC05EE"/>
    <w:rsid w:val="00FC2EC6"/>
    <w:rsid w:val="00FC339A"/>
    <w:rsid w:val="00FC36E0"/>
    <w:rsid w:val="00FC546F"/>
    <w:rsid w:val="00FC6F5E"/>
    <w:rsid w:val="00FC711A"/>
    <w:rsid w:val="00FC7D31"/>
    <w:rsid w:val="00FD13AC"/>
    <w:rsid w:val="00FD2787"/>
    <w:rsid w:val="00FD2D28"/>
    <w:rsid w:val="00FD6BFE"/>
    <w:rsid w:val="00FE3FF3"/>
    <w:rsid w:val="00FE6D8B"/>
    <w:rsid w:val="00FE766B"/>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14ED7A"/>
  <w15:docId w15:val="{DEAEA5FF-A8D3-49B9-93B4-AAA935FBD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nhideWhenUsed/>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1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nhideWhenUsed/>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f3">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af4">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 w:type="paragraph" w:styleId="af5">
    <w:name w:val="Revision"/>
    <w:hidden/>
    <w:uiPriority w:val="99"/>
    <w:semiHidden/>
    <w:rsid w:val="00494DE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741156">
      <w:bodyDiv w:val="1"/>
      <w:marLeft w:val="0"/>
      <w:marRight w:val="0"/>
      <w:marTop w:val="0"/>
      <w:marBottom w:val="0"/>
      <w:divBdr>
        <w:top w:val="none" w:sz="0" w:space="0" w:color="auto"/>
        <w:left w:val="none" w:sz="0" w:space="0" w:color="auto"/>
        <w:bottom w:val="none" w:sz="0" w:space="0" w:color="auto"/>
        <w:right w:val="none" w:sz="0" w:space="0" w:color="auto"/>
      </w:divBdr>
    </w:div>
    <w:div w:id="239296481">
      <w:bodyDiv w:val="1"/>
      <w:marLeft w:val="0"/>
      <w:marRight w:val="0"/>
      <w:marTop w:val="0"/>
      <w:marBottom w:val="0"/>
      <w:divBdr>
        <w:top w:val="none" w:sz="0" w:space="0" w:color="auto"/>
        <w:left w:val="none" w:sz="0" w:space="0" w:color="auto"/>
        <w:bottom w:val="none" w:sz="0" w:space="0" w:color="auto"/>
        <w:right w:val="none" w:sz="0" w:space="0" w:color="auto"/>
      </w:divBdr>
    </w:div>
    <w:div w:id="1553888296">
      <w:bodyDiv w:val="1"/>
      <w:marLeft w:val="0"/>
      <w:marRight w:val="0"/>
      <w:marTop w:val="0"/>
      <w:marBottom w:val="0"/>
      <w:divBdr>
        <w:top w:val="none" w:sz="0" w:space="0" w:color="auto"/>
        <w:left w:val="none" w:sz="0" w:space="0" w:color="auto"/>
        <w:bottom w:val="none" w:sz="0" w:space="0" w:color="auto"/>
        <w:right w:val="none" w:sz="0" w:space="0" w:color="auto"/>
      </w:divBdr>
    </w:div>
    <w:div w:id="1677999720">
      <w:bodyDiv w:val="1"/>
      <w:marLeft w:val="0"/>
      <w:marRight w:val="0"/>
      <w:marTop w:val="0"/>
      <w:marBottom w:val="0"/>
      <w:divBdr>
        <w:top w:val="none" w:sz="0" w:space="0" w:color="auto"/>
        <w:left w:val="none" w:sz="0" w:space="0" w:color="auto"/>
        <w:bottom w:val="none" w:sz="0" w:space="0" w:color="auto"/>
        <w:right w:val="none" w:sz="0" w:space="0" w:color="auto"/>
      </w:divBdr>
    </w:div>
    <w:div w:id="1837376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162</Pages>
  <Words>17019</Words>
  <Characters>97009</Characters>
  <Application>Microsoft Office Word</Application>
  <DocSecurity>0</DocSecurity>
  <Lines>808</Lines>
  <Paragraphs>227</Paragraphs>
  <ScaleCrop>false</ScaleCrop>
  <Company>Microsoft</Company>
  <LinksUpToDate>false</LinksUpToDate>
  <CharactersWithSpaces>113801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张婕茹</cp:lastModifiedBy>
  <cp:revision>34</cp:revision>
  <cp:lastPrinted>2013-02-18T03:10:00Z</cp:lastPrinted>
  <dcterms:created xsi:type="dcterms:W3CDTF">2023-12-07T12:48:00Z</dcterms:created>
  <dcterms:modified xsi:type="dcterms:W3CDTF">2023-12-15T03:29:00Z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