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5A96C" w14:textId="77777777" w:rsidR="001E6160" w:rsidRDefault="001E6160" w:rsidP="00CD0E47">
      <w:pPr>
        <w:jc w:val="center"/>
        <w:rPr>
          <w:rFonts w:ascii="仿宋_GB2312" w:eastAsia="仿宋_GB2312"/>
          <w:b/>
          <w:sz w:val="32"/>
          <w:szCs w:val="28"/>
        </w:rPr>
      </w:pPr>
      <w:bookmarkStart w:id="0" w:name="OLE_LINK3"/>
      <w:bookmarkStart w:id="1" w:name="OLE_LINK4"/>
      <w:bookmarkStart w:id="2" w:name="OLE_LINK5"/>
      <w:bookmarkStart w:id="3" w:name="_Toc472509887"/>
      <w:bookmarkStart w:id="4" w:name="_Toc85535074"/>
      <w:bookmarkStart w:id="5" w:name="_Toc85535247"/>
    </w:p>
    <w:p w14:paraId="40016861" w14:textId="55C2AA6B" w:rsidR="008141E3" w:rsidRPr="003D7C42" w:rsidRDefault="00B72212" w:rsidP="00CD0E47">
      <w:pPr>
        <w:jc w:val="center"/>
        <w:rPr>
          <w:rFonts w:asciiTheme="majorEastAsia" w:eastAsiaTheme="majorEastAsia" w:hAnsiTheme="majorEastAsia"/>
          <w:b/>
          <w:sz w:val="32"/>
          <w:szCs w:val="28"/>
        </w:rPr>
      </w:pPr>
      <w:r>
        <w:rPr>
          <w:rFonts w:asciiTheme="majorEastAsia" w:eastAsiaTheme="majorEastAsia" w:hAnsiTheme="majorEastAsia" w:hint="eastAsia"/>
          <w:b/>
          <w:sz w:val="32"/>
          <w:szCs w:val="28"/>
        </w:rPr>
        <w:t>交银施罗德安悦平衡养老目标三年持有期混合型发起式基金中基金（FOF）</w:t>
      </w:r>
      <w:r w:rsidR="00864181" w:rsidRPr="003D7C42">
        <w:rPr>
          <w:rFonts w:asciiTheme="majorEastAsia" w:eastAsiaTheme="majorEastAsia" w:hAnsiTheme="majorEastAsia" w:hint="eastAsia"/>
          <w:b/>
          <w:sz w:val="32"/>
          <w:szCs w:val="28"/>
        </w:rPr>
        <w:t>风险揭示</w:t>
      </w:r>
      <w:r w:rsidR="00864181" w:rsidRPr="003D7C42">
        <w:rPr>
          <w:rFonts w:asciiTheme="majorEastAsia" w:eastAsiaTheme="majorEastAsia" w:hAnsiTheme="majorEastAsia"/>
          <w:b/>
          <w:sz w:val="32"/>
          <w:szCs w:val="28"/>
        </w:rPr>
        <w:t>书</w:t>
      </w:r>
    </w:p>
    <w:bookmarkEnd w:id="0"/>
    <w:bookmarkEnd w:id="1"/>
    <w:bookmarkEnd w:id="2"/>
    <w:p w14:paraId="110E2A68" w14:textId="77777777" w:rsidR="00CD0E47" w:rsidRPr="006F662A" w:rsidRDefault="00CD0E47" w:rsidP="00CD0E47">
      <w:pPr>
        <w:rPr>
          <w:rFonts w:asciiTheme="minorEastAsia" w:eastAsiaTheme="minorEastAsia" w:hAnsiTheme="minorEastAsia"/>
          <w:sz w:val="28"/>
          <w:szCs w:val="28"/>
        </w:rPr>
      </w:pPr>
    </w:p>
    <w:bookmarkEnd w:id="3"/>
    <w:bookmarkEnd w:id="4"/>
    <w:bookmarkEnd w:id="5"/>
    <w:p w14:paraId="677D9119" w14:textId="77777777" w:rsidR="002610E5" w:rsidRPr="00821845" w:rsidRDefault="002610E5" w:rsidP="002610E5">
      <w:pPr>
        <w:adjustRightInd w:val="0"/>
        <w:snapToGrid w:val="0"/>
        <w:spacing w:line="360" w:lineRule="auto"/>
        <w:rPr>
          <w:rFonts w:hAnsi="宋体"/>
          <w:sz w:val="24"/>
        </w:rPr>
      </w:pPr>
      <w:r w:rsidRPr="00821845">
        <w:rPr>
          <w:rFonts w:hAnsi="宋体" w:hint="eastAsia"/>
          <w:sz w:val="24"/>
        </w:rPr>
        <w:t>尊敬的</w:t>
      </w:r>
      <w:r w:rsidRPr="00821845">
        <w:rPr>
          <w:rFonts w:hAnsi="宋体"/>
          <w:sz w:val="24"/>
        </w:rPr>
        <w:t>投资人：</w:t>
      </w:r>
    </w:p>
    <w:p w14:paraId="57346A8F" w14:textId="714A0C60" w:rsidR="002610E5" w:rsidRDefault="002610E5" w:rsidP="002610E5">
      <w:pPr>
        <w:adjustRightInd w:val="0"/>
        <w:snapToGrid w:val="0"/>
        <w:spacing w:line="360" w:lineRule="auto"/>
        <w:ind w:firstLineChars="200" w:firstLine="480"/>
        <w:rPr>
          <w:rFonts w:hAnsi="宋体"/>
          <w:sz w:val="24"/>
        </w:rPr>
      </w:pPr>
      <w:r>
        <w:rPr>
          <w:rFonts w:hAnsi="宋体" w:hint="eastAsia"/>
          <w:sz w:val="24"/>
        </w:rPr>
        <w:t>感谢您选择由</w:t>
      </w:r>
      <w:r>
        <w:rPr>
          <w:rFonts w:hAnsi="宋体"/>
          <w:sz w:val="24"/>
        </w:rPr>
        <w:t>交银施罗德基金管理有限公司</w:t>
      </w:r>
      <w:r>
        <w:rPr>
          <w:rFonts w:hAnsi="宋体" w:hint="eastAsia"/>
          <w:sz w:val="24"/>
        </w:rPr>
        <w:t>发起募集</w:t>
      </w:r>
      <w:r>
        <w:rPr>
          <w:rFonts w:hAnsi="宋体"/>
          <w:sz w:val="24"/>
        </w:rPr>
        <w:t>并</w:t>
      </w:r>
      <w:r>
        <w:rPr>
          <w:rFonts w:hAnsi="宋体" w:hint="eastAsia"/>
          <w:sz w:val="24"/>
        </w:rPr>
        <w:t>管理</w:t>
      </w:r>
      <w:r>
        <w:rPr>
          <w:rFonts w:hAnsi="宋体"/>
          <w:sz w:val="24"/>
        </w:rPr>
        <w:t>的“</w:t>
      </w:r>
      <w:r w:rsidR="00B72212">
        <w:rPr>
          <w:rFonts w:hAnsi="宋体" w:hint="eastAsia"/>
          <w:sz w:val="24"/>
        </w:rPr>
        <w:t>交银施罗德安悦平衡养老目标三年持有期混合型发起式基金中基金（</w:t>
      </w:r>
      <w:r w:rsidR="00B72212">
        <w:rPr>
          <w:rFonts w:hAnsi="宋体" w:hint="eastAsia"/>
          <w:sz w:val="24"/>
        </w:rPr>
        <w:t>FOF</w:t>
      </w:r>
      <w:r w:rsidR="00B72212">
        <w:rPr>
          <w:rFonts w:hAnsi="宋体" w:hint="eastAsia"/>
          <w:sz w:val="24"/>
        </w:rPr>
        <w:t>）</w:t>
      </w:r>
      <w:r>
        <w:rPr>
          <w:rFonts w:hAnsi="宋体"/>
          <w:sz w:val="24"/>
        </w:rPr>
        <w:t>”</w:t>
      </w:r>
      <w:r w:rsidR="00665479">
        <w:rPr>
          <w:rFonts w:hAnsi="宋体" w:hint="eastAsia"/>
          <w:sz w:val="24"/>
        </w:rPr>
        <w:t>（以下简称“本基金”）</w:t>
      </w:r>
      <w:r>
        <w:rPr>
          <w:rFonts w:hAnsi="宋体" w:hint="eastAsia"/>
          <w:sz w:val="24"/>
        </w:rPr>
        <w:t>，</w:t>
      </w:r>
      <w:r w:rsidRPr="004E4B80">
        <w:rPr>
          <w:rFonts w:hAnsi="宋体" w:hint="eastAsia"/>
          <w:sz w:val="24"/>
        </w:rPr>
        <w:t>在您做出投资决策前，敬请仔细阅读本风险</w:t>
      </w:r>
      <w:r w:rsidR="0040084E">
        <w:rPr>
          <w:rFonts w:hAnsi="宋体" w:hint="eastAsia"/>
          <w:sz w:val="24"/>
        </w:rPr>
        <w:t>揭示</w:t>
      </w:r>
      <w:r>
        <w:rPr>
          <w:rFonts w:hAnsi="宋体" w:hint="eastAsia"/>
          <w:sz w:val="24"/>
        </w:rPr>
        <w:t>书</w:t>
      </w:r>
      <w:r w:rsidRPr="004E4B80">
        <w:rPr>
          <w:rFonts w:hAnsi="宋体" w:hint="eastAsia"/>
          <w:sz w:val="24"/>
        </w:rPr>
        <w:t>和《基金合同》、《招募说明书》</w:t>
      </w:r>
      <w:r w:rsidR="0064506F">
        <w:rPr>
          <w:rFonts w:hAnsi="宋体" w:hint="eastAsia"/>
          <w:sz w:val="24"/>
        </w:rPr>
        <w:t>、《基金产品资料概要》</w:t>
      </w:r>
      <w:r w:rsidRPr="004E4B80">
        <w:rPr>
          <w:rFonts w:hAnsi="宋体" w:hint="eastAsia"/>
          <w:sz w:val="24"/>
        </w:rPr>
        <w:t>等基金法律文件。</w:t>
      </w:r>
    </w:p>
    <w:p w14:paraId="1B52ADA9" w14:textId="541B1E27" w:rsidR="00675D16" w:rsidRPr="00B879D2" w:rsidRDefault="00CD6C1B" w:rsidP="00B879D2">
      <w:pPr>
        <w:widowControl/>
        <w:adjustRightInd w:val="0"/>
        <w:snapToGrid w:val="0"/>
        <w:spacing w:line="360" w:lineRule="auto"/>
        <w:ind w:firstLineChars="200" w:firstLine="482"/>
        <w:rPr>
          <w:rFonts w:ascii="宋体" w:hAnsi="宋体"/>
          <w:kern w:val="0"/>
          <w:sz w:val="24"/>
        </w:rPr>
      </w:pPr>
      <w:r w:rsidRPr="00EE0749">
        <w:rPr>
          <w:rFonts w:ascii="宋体" w:hAnsi="宋体" w:hint="eastAsia"/>
          <w:b/>
          <w:kern w:val="0"/>
          <w:sz w:val="24"/>
        </w:rPr>
        <w:t>本基金</w:t>
      </w:r>
      <w:r>
        <w:rPr>
          <w:rFonts w:ascii="宋体" w:hAnsi="宋体" w:hint="eastAsia"/>
          <w:b/>
          <w:kern w:val="0"/>
          <w:sz w:val="24"/>
        </w:rPr>
        <w:t>“养老</w:t>
      </w:r>
      <w:r>
        <w:rPr>
          <w:rFonts w:ascii="宋体" w:hAnsi="宋体"/>
          <w:b/>
          <w:kern w:val="0"/>
          <w:sz w:val="24"/>
        </w:rPr>
        <w:t>”</w:t>
      </w:r>
      <w:r>
        <w:rPr>
          <w:rFonts w:ascii="宋体" w:hAnsi="宋体" w:hint="eastAsia"/>
          <w:b/>
          <w:kern w:val="0"/>
          <w:sz w:val="24"/>
        </w:rPr>
        <w:t>的</w:t>
      </w:r>
      <w:r w:rsidRPr="00EE0749">
        <w:rPr>
          <w:rFonts w:ascii="宋体" w:hAnsi="宋体" w:hint="eastAsia"/>
          <w:b/>
          <w:kern w:val="0"/>
          <w:sz w:val="24"/>
        </w:rPr>
        <w:t>名称不代表收益保障或其他任何形式的收益承诺；本基金不保本，可能发生亏损。</w:t>
      </w:r>
    </w:p>
    <w:p w14:paraId="4DDCE6EA" w14:textId="77777777" w:rsidR="00EE0749" w:rsidRPr="00EE0749" w:rsidRDefault="00EE0749" w:rsidP="00EE0749">
      <w:pPr>
        <w:widowControl/>
        <w:adjustRightInd w:val="0"/>
        <w:snapToGrid w:val="0"/>
        <w:spacing w:line="360" w:lineRule="auto"/>
        <w:ind w:firstLineChars="200" w:firstLine="480"/>
        <w:rPr>
          <w:sz w:val="24"/>
        </w:rPr>
      </w:pPr>
    </w:p>
    <w:p w14:paraId="2E937387" w14:textId="77777777" w:rsidR="00EE0749" w:rsidRPr="00EE0749" w:rsidRDefault="00EE0749" w:rsidP="00EE0749">
      <w:pPr>
        <w:widowControl/>
        <w:adjustRightInd w:val="0"/>
        <w:snapToGrid w:val="0"/>
        <w:spacing w:line="360" w:lineRule="auto"/>
        <w:ind w:firstLineChars="200" w:firstLine="482"/>
        <w:rPr>
          <w:b/>
          <w:kern w:val="0"/>
          <w:sz w:val="24"/>
        </w:rPr>
      </w:pPr>
      <w:r>
        <w:rPr>
          <w:rFonts w:hAnsi="宋体" w:hint="eastAsia"/>
          <w:b/>
          <w:kern w:val="0"/>
          <w:sz w:val="24"/>
        </w:rPr>
        <w:t>一</w:t>
      </w:r>
      <w:r>
        <w:rPr>
          <w:rFonts w:hAnsi="宋体"/>
          <w:b/>
          <w:kern w:val="0"/>
          <w:sz w:val="24"/>
        </w:rPr>
        <w:t>、</w:t>
      </w:r>
      <w:r w:rsidRPr="00EE0749">
        <w:rPr>
          <w:rFonts w:hAnsi="宋体"/>
          <w:b/>
          <w:kern w:val="0"/>
          <w:sz w:val="24"/>
        </w:rPr>
        <w:t>基金份额持有人须了解</w:t>
      </w:r>
      <w:r>
        <w:rPr>
          <w:rFonts w:hAnsi="宋体" w:hint="eastAsia"/>
          <w:b/>
          <w:kern w:val="0"/>
          <w:sz w:val="24"/>
        </w:rPr>
        <w:t>本基金以下</w:t>
      </w:r>
      <w:r>
        <w:rPr>
          <w:rFonts w:hAnsi="宋体"/>
          <w:b/>
          <w:kern w:val="0"/>
          <w:sz w:val="24"/>
        </w:rPr>
        <w:t>投资</w:t>
      </w:r>
      <w:r>
        <w:rPr>
          <w:rFonts w:hAnsi="宋体" w:hint="eastAsia"/>
          <w:b/>
          <w:kern w:val="0"/>
          <w:sz w:val="24"/>
        </w:rPr>
        <w:t>内容</w:t>
      </w:r>
      <w:r w:rsidRPr="00EE0749">
        <w:rPr>
          <w:rFonts w:hAnsi="宋体"/>
          <w:b/>
          <w:kern w:val="0"/>
          <w:sz w:val="24"/>
        </w:rPr>
        <w:t>：</w:t>
      </w:r>
    </w:p>
    <w:p w14:paraId="69C3D7AF" w14:textId="77777777"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w:t>
      </w:r>
      <w:r w:rsidRPr="00EE0749">
        <w:rPr>
          <w:rFonts w:hAnsi="宋体"/>
          <w:b/>
          <w:kern w:val="0"/>
          <w:sz w:val="24"/>
        </w:rPr>
        <w:t>一</w:t>
      </w:r>
      <w:r w:rsidRPr="00EE0749">
        <w:rPr>
          <w:rFonts w:hAnsi="宋体" w:hint="eastAsia"/>
          <w:b/>
          <w:kern w:val="0"/>
          <w:sz w:val="24"/>
        </w:rPr>
        <w:t>）本基金</w:t>
      </w:r>
      <w:r w:rsidRPr="00EE0749">
        <w:rPr>
          <w:rFonts w:hAnsi="宋体"/>
          <w:b/>
          <w:kern w:val="0"/>
          <w:sz w:val="24"/>
        </w:rPr>
        <w:t>的</w:t>
      </w:r>
      <w:r w:rsidRPr="00EE0749">
        <w:rPr>
          <w:rFonts w:hAnsi="宋体" w:hint="eastAsia"/>
          <w:b/>
          <w:kern w:val="0"/>
          <w:sz w:val="24"/>
        </w:rPr>
        <w:t>投资目标</w:t>
      </w:r>
    </w:p>
    <w:p w14:paraId="19364605" w14:textId="40C9BF01" w:rsidR="00EE0749" w:rsidRPr="00EE0749" w:rsidRDefault="00B72212" w:rsidP="00EE0749">
      <w:pPr>
        <w:widowControl/>
        <w:adjustRightInd w:val="0"/>
        <w:snapToGrid w:val="0"/>
        <w:spacing w:line="360" w:lineRule="auto"/>
        <w:ind w:firstLineChars="200" w:firstLine="480"/>
        <w:rPr>
          <w:rFonts w:hAnsi="宋体"/>
          <w:kern w:val="0"/>
          <w:sz w:val="24"/>
        </w:rPr>
      </w:pPr>
      <w:r w:rsidRPr="00B72212">
        <w:rPr>
          <w:rFonts w:hAnsi="宋体" w:hint="eastAsia"/>
          <w:kern w:val="0"/>
          <w:sz w:val="24"/>
        </w:rPr>
        <w:t>本基金为基金中基金，在保持基金资产良好的流动性的前提下，力争实现基金资产的长期增值，满足养老资金理财需求。</w:t>
      </w:r>
    </w:p>
    <w:p w14:paraId="5228E171" w14:textId="77777777"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（二）本基金</w:t>
      </w:r>
      <w:r w:rsidRPr="00EE0749">
        <w:rPr>
          <w:rFonts w:hAnsi="宋体"/>
          <w:b/>
          <w:kern w:val="0"/>
          <w:sz w:val="24"/>
        </w:rPr>
        <w:t>的</w:t>
      </w:r>
      <w:r w:rsidRPr="00EE0749">
        <w:rPr>
          <w:rFonts w:hAnsi="宋体" w:hint="eastAsia"/>
          <w:b/>
          <w:kern w:val="0"/>
          <w:sz w:val="24"/>
        </w:rPr>
        <w:t>投资范围</w:t>
      </w:r>
    </w:p>
    <w:p w14:paraId="055D8BAA" w14:textId="56C7BD5A" w:rsidR="00EE0749" w:rsidRPr="00EE0749" w:rsidRDefault="00B72212" w:rsidP="00B72212">
      <w:pPr>
        <w:widowControl/>
        <w:adjustRightInd w:val="0"/>
        <w:snapToGrid w:val="0"/>
        <w:spacing w:line="360" w:lineRule="auto"/>
        <w:ind w:firstLineChars="200" w:firstLine="480"/>
        <w:rPr>
          <w:rFonts w:hAnsi="宋体"/>
          <w:kern w:val="0"/>
          <w:sz w:val="24"/>
        </w:rPr>
      </w:pPr>
      <w:r w:rsidRPr="00B72212">
        <w:rPr>
          <w:rFonts w:hAnsi="宋体" w:hint="eastAsia"/>
          <w:kern w:val="0"/>
          <w:sz w:val="24"/>
        </w:rPr>
        <w:t>本基金的投资范围为具有良好流动性的金融工具，包括经中国证监会依法核准或注册的公开募集证券投资基金（含</w:t>
      </w:r>
      <w:r w:rsidRPr="00B72212">
        <w:rPr>
          <w:rFonts w:hAnsi="宋体" w:hint="eastAsia"/>
          <w:kern w:val="0"/>
          <w:sz w:val="24"/>
        </w:rPr>
        <w:t>ETF</w:t>
      </w:r>
      <w:r w:rsidRPr="00B72212">
        <w:rPr>
          <w:rFonts w:hAnsi="宋体" w:hint="eastAsia"/>
          <w:kern w:val="0"/>
          <w:sz w:val="24"/>
        </w:rPr>
        <w:t>和</w:t>
      </w:r>
      <w:r w:rsidRPr="00B72212">
        <w:rPr>
          <w:rFonts w:hAnsi="宋体" w:hint="eastAsia"/>
          <w:kern w:val="0"/>
          <w:sz w:val="24"/>
        </w:rPr>
        <w:t>LOF</w:t>
      </w:r>
      <w:r w:rsidRPr="00B72212">
        <w:rPr>
          <w:rFonts w:hAnsi="宋体" w:hint="eastAsia"/>
          <w:kern w:val="0"/>
          <w:sz w:val="24"/>
        </w:rPr>
        <w:t>、香港互认基金、</w:t>
      </w:r>
      <w:r w:rsidRPr="00B72212">
        <w:rPr>
          <w:rFonts w:hAnsi="宋体" w:hint="eastAsia"/>
          <w:kern w:val="0"/>
          <w:sz w:val="24"/>
        </w:rPr>
        <w:t>QDII</w:t>
      </w:r>
      <w:r w:rsidRPr="00B72212">
        <w:rPr>
          <w:rFonts w:hAnsi="宋体" w:hint="eastAsia"/>
          <w:kern w:val="0"/>
          <w:sz w:val="24"/>
        </w:rPr>
        <w:t>基金）、国内依法发行上市的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债券、公开发行的次级债券、中期票据、短期融资券、超短期融资券等）、资产支持证券、货币市场工具、债券回购、同业存单、银行存款（含协议存款、定期存款及其他银行存款）以及法律法规或中国证监会允许基金投资的其他金融工具（但须符合中国证监会相关规定）。</w:t>
      </w:r>
    </w:p>
    <w:p w14:paraId="1C65DA79" w14:textId="77777777"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（三）本基金</w:t>
      </w:r>
      <w:r w:rsidRPr="00EE0749">
        <w:rPr>
          <w:rFonts w:hAnsi="宋体"/>
          <w:b/>
          <w:kern w:val="0"/>
          <w:sz w:val="24"/>
        </w:rPr>
        <w:t>的</w:t>
      </w:r>
      <w:r w:rsidRPr="00EE0749">
        <w:rPr>
          <w:rFonts w:hAnsi="宋体" w:hint="eastAsia"/>
          <w:b/>
          <w:kern w:val="0"/>
          <w:sz w:val="24"/>
        </w:rPr>
        <w:t>投资组合比例</w:t>
      </w:r>
    </w:p>
    <w:p w14:paraId="656E5C3A" w14:textId="77777777" w:rsidR="00B72212" w:rsidRPr="00B72212" w:rsidRDefault="00EE0749" w:rsidP="00B72212">
      <w:pPr>
        <w:widowControl/>
        <w:adjustRightInd w:val="0"/>
        <w:snapToGrid w:val="0"/>
        <w:spacing w:line="360" w:lineRule="auto"/>
        <w:ind w:firstLineChars="200" w:firstLine="480"/>
        <w:rPr>
          <w:rFonts w:hAnsi="宋体"/>
          <w:kern w:val="0"/>
          <w:sz w:val="24"/>
        </w:rPr>
      </w:pPr>
      <w:r w:rsidRPr="00EE0749">
        <w:rPr>
          <w:rFonts w:hAnsi="宋体" w:hint="eastAsia"/>
          <w:kern w:val="0"/>
          <w:sz w:val="24"/>
        </w:rPr>
        <w:lastRenderedPageBreak/>
        <w:t>基金的投资组合比例为：</w:t>
      </w:r>
    </w:p>
    <w:p w14:paraId="666B316C" w14:textId="77777777" w:rsidR="00B72212" w:rsidRPr="00B72212" w:rsidRDefault="00B72212" w:rsidP="00B72212">
      <w:pPr>
        <w:widowControl/>
        <w:adjustRightInd w:val="0"/>
        <w:snapToGrid w:val="0"/>
        <w:spacing w:line="360" w:lineRule="auto"/>
        <w:ind w:firstLineChars="200" w:firstLine="480"/>
        <w:rPr>
          <w:rFonts w:hAnsi="宋体"/>
          <w:kern w:val="0"/>
          <w:sz w:val="24"/>
        </w:rPr>
      </w:pPr>
      <w:r w:rsidRPr="00B72212">
        <w:rPr>
          <w:rFonts w:hAnsi="宋体" w:hint="eastAsia"/>
          <w:kern w:val="0"/>
          <w:sz w:val="24"/>
        </w:rPr>
        <w:t>本基金投资于经中国证监会依法核准或注册的公开募集证券投资基金的基金份额的资产不低于本基金资产的</w:t>
      </w:r>
      <w:r w:rsidRPr="00B72212">
        <w:rPr>
          <w:rFonts w:hAnsi="宋体" w:hint="eastAsia"/>
          <w:kern w:val="0"/>
          <w:sz w:val="24"/>
        </w:rPr>
        <w:t>80%</w:t>
      </w:r>
      <w:r w:rsidRPr="00B72212">
        <w:rPr>
          <w:rFonts w:hAnsi="宋体" w:hint="eastAsia"/>
          <w:kern w:val="0"/>
          <w:sz w:val="24"/>
        </w:rPr>
        <w:t>；投资于股票（含存托凭证）、股票型基金（包括股票指数基金）、混合型基金和商品基金（含商品期货基金和黄金</w:t>
      </w:r>
      <w:r w:rsidRPr="00B72212">
        <w:rPr>
          <w:rFonts w:hAnsi="宋体" w:hint="eastAsia"/>
          <w:kern w:val="0"/>
          <w:sz w:val="24"/>
        </w:rPr>
        <w:t>ETF</w:t>
      </w:r>
      <w:r w:rsidRPr="00B72212">
        <w:rPr>
          <w:rFonts w:hAnsi="宋体" w:hint="eastAsia"/>
          <w:kern w:val="0"/>
          <w:sz w:val="24"/>
        </w:rPr>
        <w:t>）等品种的比例合计不超过基金资产的</w:t>
      </w:r>
      <w:r w:rsidRPr="00B72212">
        <w:rPr>
          <w:rFonts w:hAnsi="宋体" w:hint="eastAsia"/>
          <w:kern w:val="0"/>
          <w:sz w:val="24"/>
        </w:rPr>
        <w:t>60%</w:t>
      </w:r>
      <w:r w:rsidRPr="00B72212">
        <w:rPr>
          <w:rFonts w:hAnsi="宋体" w:hint="eastAsia"/>
          <w:kern w:val="0"/>
          <w:sz w:val="24"/>
        </w:rPr>
        <w:t>（其中投资于港股通标的股票的比例占股票资产的</w:t>
      </w:r>
      <w:r w:rsidRPr="00B72212">
        <w:rPr>
          <w:rFonts w:hAnsi="宋体" w:hint="eastAsia"/>
          <w:kern w:val="0"/>
          <w:sz w:val="24"/>
        </w:rPr>
        <w:t>0%-50%</w:t>
      </w:r>
      <w:r w:rsidRPr="00B72212">
        <w:rPr>
          <w:rFonts w:hAnsi="宋体" w:hint="eastAsia"/>
          <w:kern w:val="0"/>
          <w:sz w:val="24"/>
        </w:rPr>
        <w:t>）；投资于</w:t>
      </w:r>
      <w:r w:rsidRPr="00B72212">
        <w:rPr>
          <w:rFonts w:hAnsi="宋体" w:hint="eastAsia"/>
          <w:kern w:val="0"/>
          <w:sz w:val="24"/>
        </w:rPr>
        <w:t>QDII</w:t>
      </w:r>
      <w:r w:rsidRPr="00B72212">
        <w:rPr>
          <w:rFonts w:hAnsi="宋体" w:hint="eastAsia"/>
          <w:kern w:val="0"/>
          <w:sz w:val="24"/>
        </w:rPr>
        <w:t>基金和香港互认基金的比例合计不超过基金资产的</w:t>
      </w:r>
      <w:r w:rsidRPr="00B72212">
        <w:rPr>
          <w:rFonts w:hAnsi="宋体" w:hint="eastAsia"/>
          <w:kern w:val="0"/>
          <w:sz w:val="24"/>
        </w:rPr>
        <w:t>20%</w:t>
      </w:r>
      <w:r w:rsidRPr="00B72212">
        <w:rPr>
          <w:rFonts w:hAnsi="宋体" w:hint="eastAsia"/>
          <w:kern w:val="0"/>
          <w:sz w:val="24"/>
        </w:rPr>
        <w:t>；投资于货币市场基金的比例不超过基金资产的</w:t>
      </w:r>
      <w:r w:rsidRPr="00B72212">
        <w:rPr>
          <w:rFonts w:hAnsi="宋体" w:hint="eastAsia"/>
          <w:kern w:val="0"/>
          <w:sz w:val="24"/>
        </w:rPr>
        <w:t>15%</w:t>
      </w:r>
      <w:r w:rsidRPr="00B72212">
        <w:rPr>
          <w:rFonts w:hAnsi="宋体" w:hint="eastAsia"/>
          <w:kern w:val="0"/>
          <w:sz w:val="24"/>
        </w:rPr>
        <w:t>；投资于商品基金（含商品期货基金和黄金</w:t>
      </w:r>
      <w:r w:rsidRPr="00B72212">
        <w:rPr>
          <w:rFonts w:hAnsi="宋体" w:hint="eastAsia"/>
          <w:kern w:val="0"/>
          <w:sz w:val="24"/>
        </w:rPr>
        <w:t>ETF</w:t>
      </w:r>
      <w:r w:rsidRPr="00B72212">
        <w:rPr>
          <w:rFonts w:hAnsi="宋体" w:hint="eastAsia"/>
          <w:kern w:val="0"/>
          <w:sz w:val="24"/>
        </w:rPr>
        <w:t>）的比例不超过基金资产的</w:t>
      </w:r>
      <w:r w:rsidRPr="00B72212">
        <w:rPr>
          <w:rFonts w:hAnsi="宋体" w:hint="eastAsia"/>
          <w:kern w:val="0"/>
          <w:sz w:val="24"/>
        </w:rPr>
        <w:t>10%</w:t>
      </w:r>
      <w:r w:rsidRPr="00B72212">
        <w:rPr>
          <w:rFonts w:hAnsi="宋体" w:hint="eastAsia"/>
          <w:kern w:val="0"/>
          <w:sz w:val="24"/>
        </w:rPr>
        <w:t>；本基金持有的现金或者到期日在一年以内的政府债券的比例合计不低于基金资产净值的</w:t>
      </w:r>
      <w:r w:rsidRPr="00B72212">
        <w:rPr>
          <w:rFonts w:hAnsi="宋体" w:hint="eastAsia"/>
          <w:kern w:val="0"/>
          <w:sz w:val="24"/>
        </w:rPr>
        <w:t>5%</w:t>
      </w:r>
      <w:r w:rsidRPr="00B72212">
        <w:rPr>
          <w:rFonts w:hAnsi="宋体" w:hint="eastAsia"/>
          <w:kern w:val="0"/>
          <w:sz w:val="24"/>
        </w:rPr>
        <w:t>，其中现金不包括结算备付金、存出保证金、应收申购款等。</w:t>
      </w:r>
    </w:p>
    <w:p w14:paraId="3953DF37" w14:textId="77777777" w:rsidR="00B72212" w:rsidRPr="00B72212" w:rsidRDefault="00B72212" w:rsidP="00B72212">
      <w:pPr>
        <w:widowControl/>
        <w:adjustRightInd w:val="0"/>
        <w:snapToGrid w:val="0"/>
        <w:spacing w:line="360" w:lineRule="auto"/>
        <w:ind w:firstLineChars="200" w:firstLine="480"/>
        <w:rPr>
          <w:rFonts w:hAnsi="宋体"/>
          <w:kern w:val="0"/>
          <w:sz w:val="24"/>
        </w:rPr>
      </w:pPr>
      <w:r w:rsidRPr="00B72212">
        <w:rPr>
          <w:rFonts w:hAnsi="宋体" w:hint="eastAsia"/>
          <w:kern w:val="0"/>
          <w:sz w:val="24"/>
        </w:rPr>
        <w:t>本基金投资于权益类资产包括股票（含存托凭证）、股票型基金（包括股票指数基金）、混合型基金的战略配置目标比例为</w:t>
      </w:r>
      <w:r w:rsidRPr="00B72212">
        <w:rPr>
          <w:rFonts w:hAnsi="宋体" w:hint="eastAsia"/>
          <w:kern w:val="0"/>
          <w:sz w:val="24"/>
        </w:rPr>
        <w:t>50%</w:t>
      </w:r>
      <w:r w:rsidRPr="00B72212">
        <w:rPr>
          <w:rFonts w:hAnsi="宋体" w:hint="eastAsia"/>
          <w:kern w:val="0"/>
          <w:sz w:val="24"/>
        </w:rPr>
        <w:t>，投资比例为基金资产的</w:t>
      </w:r>
      <w:r w:rsidRPr="00B72212">
        <w:rPr>
          <w:rFonts w:hAnsi="宋体" w:hint="eastAsia"/>
          <w:kern w:val="0"/>
          <w:sz w:val="24"/>
        </w:rPr>
        <w:t>35%-60%</w:t>
      </w:r>
      <w:r w:rsidRPr="00B72212">
        <w:rPr>
          <w:rFonts w:hAnsi="宋体" w:hint="eastAsia"/>
          <w:kern w:val="0"/>
          <w:sz w:val="24"/>
        </w:rPr>
        <w:t>。</w:t>
      </w:r>
    </w:p>
    <w:p w14:paraId="61A718CB" w14:textId="77777777" w:rsidR="00B72212" w:rsidRPr="00B72212" w:rsidRDefault="00B72212" w:rsidP="00B72212">
      <w:pPr>
        <w:widowControl/>
        <w:adjustRightInd w:val="0"/>
        <w:snapToGrid w:val="0"/>
        <w:spacing w:line="360" w:lineRule="auto"/>
        <w:ind w:firstLineChars="200" w:firstLine="480"/>
        <w:rPr>
          <w:rFonts w:hAnsi="宋体"/>
          <w:kern w:val="0"/>
          <w:sz w:val="24"/>
        </w:rPr>
      </w:pPr>
      <w:r w:rsidRPr="00B72212">
        <w:rPr>
          <w:rFonts w:hAnsi="宋体" w:hint="eastAsia"/>
          <w:kern w:val="0"/>
          <w:sz w:val="24"/>
        </w:rPr>
        <w:t>计入上述权益类资产的混合型基金需符合下列两个条件之一：</w:t>
      </w:r>
    </w:p>
    <w:p w14:paraId="626F1F73" w14:textId="77777777" w:rsidR="00B72212" w:rsidRPr="00B72212" w:rsidRDefault="00B72212" w:rsidP="00B72212">
      <w:pPr>
        <w:widowControl/>
        <w:adjustRightInd w:val="0"/>
        <w:snapToGrid w:val="0"/>
        <w:spacing w:line="360" w:lineRule="auto"/>
        <w:ind w:firstLineChars="200" w:firstLine="480"/>
        <w:rPr>
          <w:rFonts w:hAnsi="宋体"/>
          <w:kern w:val="0"/>
          <w:sz w:val="24"/>
        </w:rPr>
      </w:pPr>
      <w:r w:rsidRPr="00B72212">
        <w:rPr>
          <w:rFonts w:hAnsi="宋体" w:hint="eastAsia"/>
          <w:kern w:val="0"/>
          <w:sz w:val="24"/>
        </w:rPr>
        <w:t>1</w:t>
      </w:r>
      <w:r w:rsidRPr="00B72212">
        <w:rPr>
          <w:rFonts w:hAnsi="宋体" w:hint="eastAsia"/>
          <w:kern w:val="0"/>
          <w:sz w:val="24"/>
        </w:rPr>
        <w:t>、基金合同中约定股票投资占基金资产的比例不低于</w:t>
      </w:r>
      <w:r w:rsidRPr="00B72212">
        <w:rPr>
          <w:rFonts w:hAnsi="宋体" w:hint="eastAsia"/>
          <w:kern w:val="0"/>
          <w:sz w:val="24"/>
        </w:rPr>
        <w:t>60%</w:t>
      </w:r>
      <w:r w:rsidRPr="00B72212">
        <w:rPr>
          <w:rFonts w:hAnsi="宋体" w:hint="eastAsia"/>
          <w:kern w:val="0"/>
          <w:sz w:val="24"/>
        </w:rPr>
        <w:t>的混合型基金；</w:t>
      </w:r>
    </w:p>
    <w:p w14:paraId="7A08C7CF" w14:textId="3C86593D" w:rsidR="00B879D2" w:rsidRDefault="00B72212" w:rsidP="00B72212">
      <w:pPr>
        <w:widowControl/>
        <w:adjustRightInd w:val="0"/>
        <w:snapToGrid w:val="0"/>
        <w:spacing w:line="360" w:lineRule="auto"/>
        <w:ind w:firstLineChars="200" w:firstLine="480"/>
        <w:rPr>
          <w:rFonts w:hAnsi="宋体"/>
          <w:kern w:val="0"/>
          <w:sz w:val="24"/>
        </w:rPr>
      </w:pPr>
      <w:r w:rsidRPr="00B72212">
        <w:rPr>
          <w:rFonts w:hAnsi="宋体" w:hint="eastAsia"/>
          <w:kern w:val="0"/>
          <w:sz w:val="24"/>
        </w:rPr>
        <w:t>2</w:t>
      </w:r>
      <w:r w:rsidRPr="00B72212">
        <w:rPr>
          <w:rFonts w:hAnsi="宋体" w:hint="eastAsia"/>
          <w:kern w:val="0"/>
          <w:sz w:val="24"/>
        </w:rPr>
        <w:t>、最近四个季度披露的股票投资占基金资产的比例均不低于</w:t>
      </w:r>
      <w:r w:rsidRPr="00B72212">
        <w:rPr>
          <w:rFonts w:hAnsi="宋体" w:hint="eastAsia"/>
          <w:kern w:val="0"/>
          <w:sz w:val="24"/>
        </w:rPr>
        <w:t>60%</w:t>
      </w:r>
      <w:r w:rsidRPr="00B72212">
        <w:rPr>
          <w:rFonts w:hAnsi="宋体" w:hint="eastAsia"/>
          <w:kern w:val="0"/>
          <w:sz w:val="24"/>
        </w:rPr>
        <w:t>的混合型基金。</w:t>
      </w:r>
    </w:p>
    <w:p w14:paraId="43D5FD23" w14:textId="77777777"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（四）</w:t>
      </w:r>
      <w:r>
        <w:rPr>
          <w:rFonts w:hAnsi="宋体" w:hint="eastAsia"/>
          <w:b/>
          <w:kern w:val="0"/>
          <w:sz w:val="24"/>
        </w:rPr>
        <w:t>本</w:t>
      </w:r>
      <w:r w:rsidRPr="00EE0749">
        <w:rPr>
          <w:rFonts w:hAnsi="宋体" w:hint="eastAsia"/>
          <w:b/>
          <w:kern w:val="0"/>
          <w:sz w:val="24"/>
        </w:rPr>
        <w:t>基金</w:t>
      </w:r>
      <w:r w:rsidR="003D7C42">
        <w:rPr>
          <w:rFonts w:hAnsi="宋体" w:hint="eastAsia"/>
          <w:b/>
          <w:kern w:val="0"/>
          <w:sz w:val="24"/>
        </w:rPr>
        <w:t>的</w:t>
      </w:r>
      <w:r w:rsidR="00CB1496">
        <w:rPr>
          <w:rFonts w:hAnsi="宋体" w:hint="eastAsia"/>
          <w:b/>
          <w:kern w:val="0"/>
          <w:sz w:val="24"/>
        </w:rPr>
        <w:t>主要</w:t>
      </w:r>
      <w:r w:rsidRPr="00EE0749">
        <w:rPr>
          <w:rFonts w:hAnsi="宋体" w:hint="eastAsia"/>
          <w:b/>
          <w:kern w:val="0"/>
          <w:sz w:val="24"/>
        </w:rPr>
        <w:t>投资策略</w:t>
      </w:r>
    </w:p>
    <w:p w14:paraId="71C3AA87" w14:textId="77777777"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1</w:t>
      </w:r>
      <w:r w:rsidRPr="009735B8">
        <w:rPr>
          <w:rFonts w:hAnsi="宋体" w:hint="eastAsia"/>
          <w:kern w:val="0"/>
          <w:sz w:val="24"/>
        </w:rPr>
        <w:t>、大类资产配置</w:t>
      </w:r>
    </w:p>
    <w:p w14:paraId="7A720389" w14:textId="52259637" w:rsidR="009735B8" w:rsidRPr="009735B8" w:rsidRDefault="00B72212" w:rsidP="009735B8">
      <w:pPr>
        <w:widowControl/>
        <w:adjustRightInd w:val="0"/>
        <w:snapToGrid w:val="0"/>
        <w:spacing w:line="360" w:lineRule="auto"/>
        <w:ind w:firstLineChars="200" w:firstLine="480"/>
        <w:rPr>
          <w:rFonts w:hAnsi="宋体"/>
          <w:kern w:val="0"/>
          <w:sz w:val="24"/>
        </w:rPr>
      </w:pPr>
      <w:r w:rsidRPr="00B72212">
        <w:rPr>
          <w:rFonts w:hAnsi="宋体" w:hint="eastAsia"/>
          <w:kern w:val="0"/>
          <w:sz w:val="24"/>
        </w:rPr>
        <w:t>本基金主要采用目标风险策略来进行投资品种的大类资产配置，通过对宏观经济运行周期、货币与财政政策形势、资金面供求变化、证券市场走势与估值水平等综合分析，并融合量化投资方法，结合国内外先进资产配置理念，及时把握市场时机，在基于目标风险策略应用过程中，本基金根据既定的风险预算对投资组合进行目标约束，并根据该风险预算目标来调整资产配置比例，获取资产配置收益。</w:t>
      </w:r>
    </w:p>
    <w:p w14:paraId="02FEA0C6" w14:textId="77777777" w:rsidR="009735B8" w:rsidRPr="009735B8" w:rsidRDefault="009735B8" w:rsidP="009735B8">
      <w:pPr>
        <w:widowControl/>
        <w:adjustRightInd w:val="0"/>
        <w:snapToGrid w:val="0"/>
        <w:spacing w:line="360" w:lineRule="auto"/>
        <w:ind w:firstLineChars="200" w:firstLine="480"/>
        <w:rPr>
          <w:rFonts w:hAnsi="宋体"/>
          <w:kern w:val="0"/>
          <w:sz w:val="24"/>
        </w:rPr>
      </w:pPr>
      <w:r w:rsidRPr="009735B8">
        <w:rPr>
          <w:rFonts w:hAnsi="宋体" w:hint="eastAsia"/>
          <w:kern w:val="0"/>
          <w:sz w:val="24"/>
        </w:rPr>
        <w:t>2</w:t>
      </w:r>
      <w:r w:rsidRPr="009735B8">
        <w:rPr>
          <w:rFonts w:hAnsi="宋体" w:hint="eastAsia"/>
          <w:kern w:val="0"/>
          <w:sz w:val="24"/>
        </w:rPr>
        <w:t>、基金投资策略</w:t>
      </w:r>
    </w:p>
    <w:p w14:paraId="56EDC9E7" w14:textId="77777777" w:rsidR="00B72212" w:rsidRDefault="00B72212" w:rsidP="00B72212">
      <w:pPr>
        <w:adjustRightInd w:val="0"/>
        <w:snapToGrid w:val="0"/>
        <w:spacing w:line="360" w:lineRule="auto"/>
        <w:ind w:firstLine="482"/>
        <w:rPr>
          <w:sz w:val="24"/>
        </w:rPr>
      </w:pPr>
      <w:r>
        <w:rPr>
          <w:rFonts w:hint="eastAsia"/>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7B6797CE" w14:textId="77777777" w:rsidR="00B72212" w:rsidRDefault="00B72212" w:rsidP="00B72212">
      <w:pPr>
        <w:adjustRightInd w:val="0"/>
        <w:snapToGrid w:val="0"/>
        <w:spacing w:line="360" w:lineRule="auto"/>
        <w:ind w:firstLine="482"/>
        <w:rPr>
          <w:sz w:val="24"/>
        </w:rPr>
      </w:pPr>
      <w:r>
        <w:rPr>
          <w:rFonts w:hint="eastAsia"/>
          <w:sz w:val="24"/>
        </w:rPr>
        <w:lastRenderedPageBreak/>
        <w:t>（</w:t>
      </w:r>
      <w:r>
        <w:rPr>
          <w:sz w:val="24"/>
        </w:rPr>
        <w:t>1</w:t>
      </w:r>
      <w:r>
        <w:rPr>
          <w:rFonts w:hint="eastAsia"/>
          <w:sz w:val="24"/>
        </w:rPr>
        <w:t>）运用量化方法分析所有适选基金在不同市场下的历史业绩表现，包括收益指标、风险指标和风险调整后收益指标等，具体如下：</w:t>
      </w:r>
    </w:p>
    <w:p w14:paraId="5037A176" w14:textId="77777777" w:rsidR="00B72212" w:rsidRDefault="00B72212" w:rsidP="00B72212">
      <w:pPr>
        <w:pStyle w:val="af5"/>
        <w:numPr>
          <w:ilvl w:val="0"/>
          <w:numId w:val="18"/>
        </w:numPr>
        <w:adjustRightInd w:val="0"/>
        <w:snapToGrid w:val="0"/>
        <w:spacing w:line="360" w:lineRule="auto"/>
        <w:ind w:firstLineChars="0"/>
        <w:rPr>
          <w:sz w:val="24"/>
        </w:rPr>
      </w:pPr>
      <w:r>
        <w:rPr>
          <w:rFonts w:hint="eastAsia"/>
          <w:sz w:val="24"/>
        </w:rPr>
        <w:t>收益指标：包括绝对收益、相对收益等指标；</w:t>
      </w:r>
    </w:p>
    <w:p w14:paraId="013A0DCD" w14:textId="77777777" w:rsidR="00B72212" w:rsidRDefault="00B72212" w:rsidP="00B72212">
      <w:pPr>
        <w:pStyle w:val="af5"/>
        <w:numPr>
          <w:ilvl w:val="0"/>
          <w:numId w:val="18"/>
        </w:numPr>
        <w:adjustRightInd w:val="0"/>
        <w:snapToGrid w:val="0"/>
        <w:spacing w:line="360" w:lineRule="auto"/>
        <w:ind w:firstLineChars="0"/>
        <w:rPr>
          <w:sz w:val="24"/>
        </w:rPr>
      </w:pPr>
      <w:r>
        <w:rPr>
          <w:rFonts w:hint="eastAsia"/>
          <w:sz w:val="24"/>
        </w:rPr>
        <w:t>风险指标：包括波动率、最大回撤等指标；</w:t>
      </w:r>
    </w:p>
    <w:p w14:paraId="2B303476" w14:textId="77777777" w:rsidR="00B72212" w:rsidRDefault="00B72212" w:rsidP="00B72212">
      <w:pPr>
        <w:pStyle w:val="af5"/>
        <w:numPr>
          <w:ilvl w:val="0"/>
          <w:numId w:val="18"/>
        </w:numPr>
        <w:adjustRightInd w:val="0"/>
        <w:snapToGrid w:val="0"/>
        <w:spacing w:line="360" w:lineRule="auto"/>
        <w:ind w:firstLineChars="0"/>
        <w:rPr>
          <w:sz w:val="24"/>
        </w:rPr>
      </w:pPr>
      <w:r>
        <w:rPr>
          <w:rFonts w:hint="eastAsia"/>
          <w:sz w:val="24"/>
        </w:rPr>
        <w:t>风险调整后收益指标：包括夏普比率、信息比率等指标。</w:t>
      </w:r>
    </w:p>
    <w:p w14:paraId="7359552D" w14:textId="77777777" w:rsidR="00B72212" w:rsidRDefault="00B72212" w:rsidP="00B72212">
      <w:pPr>
        <w:adjustRightInd w:val="0"/>
        <w:snapToGrid w:val="0"/>
        <w:spacing w:line="360" w:lineRule="auto"/>
        <w:ind w:firstLine="482"/>
        <w:rPr>
          <w:sz w:val="24"/>
        </w:rPr>
      </w:pPr>
      <w:r>
        <w:rPr>
          <w:rFonts w:hint="eastAsia"/>
          <w:sz w:val="24"/>
        </w:rPr>
        <w:t>（</w:t>
      </w:r>
      <w:r>
        <w:rPr>
          <w:sz w:val="24"/>
        </w:rPr>
        <w:t>2</w:t>
      </w:r>
      <w:r>
        <w:rPr>
          <w:rFonts w:hint="eastAsia"/>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4525A189" w14:textId="77777777" w:rsidR="00B72212" w:rsidRDefault="00B72212" w:rsidP="00B72212">
      <w:pPr>
        <w:adjustRightInd w:val="0"/>
        <w:snapToGrid w:val="0"/>
        <w:spacing w:line="360" w:lineRule="auto"/>
        <w:ind w:firstLine="482"/>
        <w:rPr>
          <w:sz w:val="24"/>
        </w:rPr>
      </w:pPr>
      <w:r>
        <w:rPr>
          <w:rFonts w:hint="eastAsia"/>
          <w:sz w:val="24"/>
        </w:rPr>
        <w:t>（</w:t>
      </w:r>
      <w:r>
        <w:rPr>
          <w:sz w:val="24"/>
        </w:rPr>
        <w:t>3</w:t>
      </w:r>
      <w:r>
        <w:rPr>
          <w:rFonts w:hint="eastAsia"/>
          <w:sz w:val="24"/>
        </w:rPr>
        <w:t>）结合对基金管理人的定性评估，包括基金管理人基本情况、投研团队实力以及投研团队稳定性、基金经理投资优势及业绩稳定性等方面，</w:t>
      </w:r>
      <w:r w:rsidRPr="00B70154">
        <w:rPr>
          <w:rFonts w:hint="eastAsia"/>
          <w:sz w:val="24"/>
        </w:rPr>
        <w:t>被投资基金运作合规，风格清晰，中长期收益良好，业绩波动性较低，根据定性评估分析结果，</w:t>
      </w:r>
      <w:r>
        <w:rPr>
          <w:rFonts w:hint="eastAsia"/>
          <w:sz w:val="24"/>
        </w:rPr>
        <w:t>最终确定本基金的投资组合及配置比例。</w:t>
      </w:r>
    </w:p>
    <w:p w14:paraId="474E65A5" w14:textId="591E75E3" w:rsidR="009735B8" w:rsidRPr="009735B8" w:rsidRDefault="00B72212" w:rsidP="009735B8">
      <w:pPr>
        <w:widowControl/>
        <w:adjustRightInd w:val="0"/>
        <w:snapToGrid w:val="0"/>
        <w:spacing w:line="360" w:lineRule="auto"/>
        <w:ind w:firstLineChars="200" w:firstLine="480"/>
        <w:rPr>
          <w:rFonts w:hAnsi="宋体"/>
          <w:kern w:val="0"/>
          <w:sz w:val="24"/>
        </w:rPr>
      </w:pPr>
      <w:r>
        <w:rPr>
          <w:rFonts w:hint="eastAsia"/>
          <w:sz w:val="24"/>
        </w:rPr>
        <w:t>综上，本基金通过定量和定性相结合的方法，长期持续跟踪本基金的组合业绩，并定期对基金组合进行维护，力争实现基金资产的长期增值。</w:t>
      </w:r>
    </w:p>
    <w:p w14:paraId="0EDEC90C" w14:textId="77777777"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（五）</w:t>
      </w:r>
      <w:r>
        <w:rPr>
          <w:rFonts w:hAnsi="宋体" w:hint="eastAsia"/>
          <w:b/>
          <w:kern w:val="0"/>
          <w:sz w:val="24"/>
        </w:rPr>
        <w:t>本基金</w:t>
      </w:r>
      <w:r w:rsidRPr="00EE0749">
        <w:rPr>
          <w:rFonts w:hAnsi="宋体" w:hint="eastAsia"/>
          <w:b/>
          <w:kern w:val="0"/>
          <w:sz w:val="24"/>
        </w:rPr>
        <w:t>业绩比较基准</w:t>
      </w:r>
    </w:p>
    <w:p w14:paraId="13D392A0" w14:textId="17A880EF" w:rsidR="00EE0749" w:rsidRPr="00EE0749" w:rsidRDefault="00F47775" w:rsidP="00EE0749">
      <w:pPr>
        <w:widowControl/>
        <w:adjustRightInd w:val="0"/>
        <w:snapToGrid w:val="0"/>
        <w:spacing w:line="360" w:lineRule="auto"/>
        <w:ind w:firstLineChars="200" w:firstLine="480"/>
        <w:rPr>
          <w:rFonts w:hAnsi="宋体"/>
          <w:kern w:val="0"/>
          <w:sz w:val="24"/>
        </w:rPr>
      </w:pPr>
      <w:r w:rsidRPr="00F47775">
        <w:rPr>
          <w:rFonts w:hint="eastAsia"/>
          <w:bCs/>
          <w:sz w:val="24"/>
        </w:rPr>
        <w:t>48%</w:t>
      </w:r>
      <w:r w:rsidRPr="00F47775">
        <w:rPr>
          <w:rFonts w:hint="eastAsia"/>
          <w:bCs/>
          <w:sz w:val="24"/>
        </w:rPr>
        <w:t>×中证偏股型基金指数收益率</w:t>
      </w:r>
      <w:r w:rsidRPr="00F47775">
        <w:rPr>
          <w:rFonts w:hint="eastAsia"/>
          <w:bCs/>
          <w:sz w:val="24"/>
        </w:rPr>
        <w:t>+2%</w:t>
      </w:r>
      <w:r w:rsidRPr="00F47775">
        <w:rPr>
          <w:rFonts w:hint="eastAsia"/>
          <w:bCs/>
          <w:sz w:val="24"/>
        </w:rPr>
        <w:t>×恒生指数收益率</w:t>
      </w:r>
      <w:r w:rsidRPr="00F47775">
        <w:rPr>
          <w:rFonts w:hint="eastAsia"/>
          <w:bCs/>
          <w:sz w:val="24"/>
        </w:rPr>
        <w:t>+50%</w:t>
      </w:r>
      <w:r w:rsidRPr="00F47775">
        <w:rPr>
          <w:rFonts w:hint="eastAsia"/>
          <w:bCs/>
          <w:sz w:val="24"/>
        </w:rPr>
        <w:t>×中债综合全价指数收益率</w:t>
      </w:r>
      <w:bookmarkStart w:id="6" w:name="_GoBack"/>
      <w:bookmarkEnd w:id="6"/>
    </w:p>
    <w:p w14:paraId="36AF2DE8" w14:textId="77777777" w:rsidR="00EE0749" w:rsidRPr="00EE0749" w:rsidRDefault="00EE0749" w:rsidP="00EE0749">
      <w:pPr>
        <w:widowControl/>
        <w:adjustRightInd w:val="0"/>
        <w:snapToGrid w:val="0"/>
        <w:spacing w:line="360" w:lineRule="auto"/>
        <w:ind w:firstLineChars="200" w:firstLine="482"/>
        <w:rPr>
          <w:rFonts w:hAnsi="宋体"/>
          <w:b/>
          <w:kern w:val="0"/>
          <w:sz w:val="24"/>
        </w:rPr>
      </w:pPr>
      <w:r w:rsidRPr="00EE0749">
        <w:rPr>
          <w:rFonts w:hAnsi="宋体" w:hint="eastAsia"/>
          <w:b/>
          <w:kern w:val="0"/>
          <w:sz w:val="24"/>
        </w:rPr>
        <w:t>（六）</w:t>
      </w:r>
      <w:r>
        <w:rPr>
          <w:rFonts w:hAnsi="宋体" w:hint="eastAsia"/>
          <w:b/>
          <w:kern w:val="0"/>
          <w:sz w:val="24"/>
        </w:rPr>
        <w:t>本基金</w:t>
      </w:r>
      <w:r w:rsidRPr="00EE0749">
        <w:rPr>
          <w:rFonts w:hAnsi="宋体" w:hint="eastAsia"/>
          <w:b/>
          <w:kern w:val="0"/>
          <w:sz w:val="24"/>
        </w:rPr>
        <w:t>风险收益特征</w:t>
      </w:r>
    </w:p>
    <w:p w14:paraId="7D235EF7" w14:textId="77777777" w:rsidR="00B72212" w:rsidRDefault="00B72212" w:rsidP="00B72212">
      <w:pPr>
        <w:adjustRightInd w:val="0"/>
        <w:snapToGrid w:val="0"/>
        <w:spacing w:line="360" w:lineRule="auto"/>
        <w:ind w:firstLineChars="200" w:firstLine="480"/>
        <w:rPr>
          <w:rFonts w:ascii="宋体" w:hAnsi="宋体"/>
          <w:sz w:val="24"/>
        </w:rPr>
      </w:pPr>
      <w:r>
        <w:rPr>
          <w:rFonts w:ascii="宋体" w:hAnsi="宋体" w:hint="eastAsia"/>
          <w:sz w:val="24"/>
        </w:rPr>
        <w:t>本基金为混合型基金中基金，其预期风险与预期收益理论上高于债券型基金、债券型基金中基金、货币市场基金和货币型基金中基金，低于股票型基金和股票型基金中基金。</w:t>
      </w:r>
    </w:p>
    <w:p w14:paraId="7980FD90" w14:textId="7C665C7E" w:rsidR="00EE0749" w:rsidRDefault="00B72212" w:rsidP="00B72212">
      <w:pPr>
        <w:widowControl/>
        <w:adjustRightInd w:val="0"/>
        <w:snapToGrid w:val="0"/>
        <w:spacing w:line="360" w:lineRule="auto"/>
        <w:ind w:firstLineChars="200" w:firstLine="480"/>
        <w:rPr>
          <w:rFonts w:hAnsi="宋体"/>
          <w:kern w:val="0"/>
          <w:sz w:val="24"/>
        </w:rPr>
      </w:pPr>
      <w:r>
        <w:rPr>
          <w:rFonts w:ascii="宋体" w:hAnsi="宋体" w:hint="eastAsia"/>
          <w:sz w:val="24"/>
        </w:rPr>
        <w:t>本基金可投资港股通标的股票，会面临港股通机制下因投资环境、投资标的、市场制度以及交易规则等差异带来的特有风险。</w:t>
      </w:r>
    </w:p>
    <w:p w14:paraId="648C66CF" w14:textId="77777777" w:rsidR="00EE0749" w:rsidRPr="00EE0749" w:rsidRDefault="00EE0749" w:rsidP="00EE0749">
      <w:pPr>
        <w:widowControl/>
        <w:adjustRightInd w:val="0"/>
        <w:snapToGrid w:val="0"/>
        <w:spacing w:line="360" w:lineRule="auto"/>
        <w:ind w:firstLineChars="200" w:firstLine="482"/>
        <w:rPr>
          <w:b/>
          <w:kern w:val="0"/>
          <w:sz w:val="24"/>
        </w:rPr>
      </w:pPr>
      <w:r>
        <w:rPr>
          <w:rFonts w:hAnsi="宋体" w:hint="eastAsia"/>
          <w:b/>
          <w:kern w:val="0"/>
          <w:sz w:val="24"/>
        </w:rPr>
        <w:t>三</w:t>
      </w:r>
      <w:r>
        <w:rPr>
          <w:rFonts w:hAnsi="宋体"/>
          <w:b/>
          <w:kern w:val="0"/>
          <w:sz w:val="24"/>
        </w:rPr>
        <w:t>、</w:t>
      </w:r>
      <w:r>
        <w:rPr>
          <w:rFonts w:hAnsi="宋体" w:hint="eastAsia"/>
          <w:b/>
          <w:kern w:val="0"/>
          <w:sz w:val="24"/>
        </w:rPr>
        <w:t>本基金的</w:t>
      </w:r>
      <w:r>
        <w:rPr>
          <w:rFonts w:hAnsi="宋体"/>
          <w:b/>
          <w:kern w:val="0"/>
          <w:sz w:val="24"/>
        </w:rPr>
        <w:t>费用</w:t>
      </w:r>
    </w:p>
    <w:p w14:paraId="795109CF" w14:textId="77777777" w:rsidR="00EE0749" w:rsidRPr="00EE0749" w:rsidRDefault="00EE0749" w:rsidP="00EE0749">
      <w:pPr>
        <w:adjustRightInd w:val="0"/>
        <w:snapToGrid w:val="0"/>
        <w:spacing w:line="360" w:lineRule="auto"/>
        <w:ind w:firstLineChars="200" w:firstLine="482"/>
        <w:rPr>
          <w:b/>
          <w:sz w:val="24"/>
        </w:rPr>
      </w:pPr>
      <w:r w:rsidRPr="00EE0749">
        <w:rPr>
          <w:rFonts w:hint="eastAsia"/>
          <w:b/>
          <w:sz w:val="24"/>
        </w:rPr>
        <w:t>（一</w:t>
      </w:r>
      <w:r w:rsidRPr="00EE0749">
        <w:rPr>
          <w:rFonts w:hAnsi="宋体" w:hint="eastAsia"/>
          <w:b/>
          <w:sz w:val="24"/>
        </w:rPr>
        <w:t>）</w:t>
      </w:r>
      <w:r w:rsidRPr="00EE0749">
        <w:rPr>
          <w:rFonts w:hAnsi="宋体"/>
          <w:b/>
          <w:sz w:val="24"/>
        </w:rPr>
        <w:t>基金管理人的管理费</w:t>
      </w:r>
      <w:r w:rsidR="00CB1496">
        <w:rPr>
          <w:rFonts w:hAnsi="宋体"/>
          <w:b/>
          <w:sz w:val="24"/>
        </w:rPr>
        <w:t>和托管费</w:t>
      </w:r>
    </w:p>
    <w:p w14:paraId="01D05162" w14:textId="6AC2363E" w:rsidR="00CB1496" w:rsidRPr="00CB1496" w:rsidRDefault="00CB1496" w:rsidP="00CB1496">
      <w:pPr>
        <w:adjustRightInd w:val="0"/>
        <w:snapToGrid w:val="0"/>
        <w:spacing w:line="360" w:lineRule="auto"/>
        <w:ind w:firstLineChars="200" w:firstLine="480"/>
        <w:rPr>
          <w:bCs/>
          <w:sz w:val="24"/>
        </w:rPr>
      </w:pPr>
      <w:r w:rsidRPr="00CB1496">
        <w:rPr>
          <w:rFonts w:hint="eastAsia"/>
          <w:bCs/>
          <w:sz w:val="24"/>
        </w:rPr>
        <w:t>本基金的年管理费率为</w:t>
      </w:r>
      <w:r w:rsidRPr="00CB1496">
        <w:rPr>
          <w:rFonts w:hint="eastAsia"/>
          <w:bCs/>
          <w:sz w:val="24"/>
        </w:rPr>
        <w:t>0.6%</w:t>
      </w:r>
      <w:r w:rsidRPr="00CB1496">
        <w:rPr>
          <w:rFonts w:hint="eastAsia"/>
          <w:bCs/>
          <w:sz w:val="24"/>
        </w:rPr>
        <w:t>。</w:t>
      </w:r>
    </w:p>
    <w:p w14:paraId="2FCEC24B" w14:textId="0F0F72FF" w:rsidR="00CB1496" w:rsidRDefault="00CB1496" w:rsidP="00CB1496">
      <w:pPr>
        <w:adjustRightInd w:val="0"/>
        <w:snapToGrid w:val="0"/>
        <w:spacing w:line="360" w:lineRule="auto"/>
        <w:ind w:firstLineChars="200" w:firstLine="480"/>
        <w:rPr>
          <w:bCs/>
          <w:sz w:val="24"/>
        </w:rPr>
      </w:pPr>
      <w:r w:rsidRPr="00CB1496">
        <w:rPr>
          <w:rFonts w:hint="eastAsia"/>
          <w:bCs/>
          <w:sz w:val="24"/>
        </w:rPr>
        <w:t>本基金的年托管费率为</w:t>
      </w:r>
      <w:r w:rsidRPr="00CB1496">
        <w:rPr>
          <w:rFonts w:hint="eastAsia"/>
          <w:bCs/>
          <w:sz w:val="24"/>
        </w:rPr>
        <w:t>0.</w:t>
      </w:r>
      <w:r w:rsidR="00B72212">
        <w:rPr>
          <w:bCs/>
          <w:sz w:val="24"/>
        </w:rPr>
        <w:t>15</w:t>
      </w:r>
      <w:r w:rsidRPr="00CB1496">
        <w:rPr>
          <w:rFonts w:hint="eastAsia"/>
          <w:bCs/>
          <w:sz w:val="24"/>
        </w:rPr>
        <w:t>%</w:t>
      </w:r>
      <w:r w:rsidRPr="00CB1496">
        <w:rPr>
          <w:rFonts w:hint="eastAsia"/>
          <w:bCs/>
          <w:sz w:val="24"/>
        </w:rPr>
        <w:t>。</w:t>
      </w:r>
    </w:p>
    <w:p w14:paraId="2A0078BD" w14:textId="3446903E" w:rsidR="00CB1496" w:rsidRPr="00CB1496" w:rsidRDefault="000D33B0" w:rsidP="00CB1496">
      <w:pPr>
        <w:adjustRightInd w:val="0"/>
        <w:snapToGrid w:val="0"/>
        <w:spacing w:line="360" w:lineRule="auto"/>
        <w:ind w:firstLineChars="200" w:firstLine="480"/>
        <w:rPr>
          <w:bCs/>
          <w:sz w:val="24"/>
        </w:rPr>
      </w:pPr>
      <w:r w:rsidRPr="00B852C8">
        <w:rPr>
          <w:rFonts w:ascii="宋体" w:hAnsi="宋体" w:hint="eastAsia"/>
          <w:sz w:val="24"/>
        </w:rPr>
        <w:t>本基金基金财产中持有的基金管理人自身管理的基金部分不收取管理费。本基金基金财产中持有的基金托管人自身托管的基金部分不收取托管费。</w:t>
      </w:r>
      <w:r w:rsidR="00CB1496" w:rsidRPr="00CB1496">
        <w:rPr>
          <w:rFonts w:hint="eastAsia"/>
          <w:bCs/>
          <w:sz w:val="24"/>
        </w:rPr>
        <w:t>本基金的</w:t>
      </w:r>
      <w:r w:rsidR="00CB1496" w:rsidRPr="00CB1496">
        <w:rPr>
          <w:rFonts w:hint="eastAsia"/>
          <w:bCs/>
          <w:sz w:val="24"/>
        </w:rPr>
        <w:lastRenderedPageBreak/>
        <w:t>基金费用计提方法、计提标准和支付方式详见《基金合同》。</w:t>
      </w:r>
    </w:p>
    <w:p w14:paraId="5EC440AE" w14:textId="1AADAB8D" w:rsidR="00B72212" w:rsidRPr="00EE0749" w:rsidRDefault="00B72212" w:rsidP="00B72212">
      <w:pPr>
        <w:adjustRightInd w:val="0"/>
        <w:snapToGrid w:val="0"/>
        <w:spacing w:line="360" w:lineRule="auto"/>
        <w:ind w:firstLineChars="200" w:firstLine="482"/>
        <w:rPr>
          <w:b/>
          <w:bCs/>
          <w:sz w:val="24"/>
        </w:rPr>
      </w:pPr>
      <w:r>
        <w:rPr>
          <w:rFonts w:hint="eastAsia"/>
          <w:b/>
          <w:bCs/>
          <w:sz w:val="24"/>
        </w:rPr>
        <w:t>（二</w:t>
      </w:r>
      <w:r>
        <w:rPr>
          <w:b/>
          <w:bCs/>
          <w:sz w:val="24"/>
        </w:rPr>
        <w:t>）</w:t>
      </w:r>
      <w:r w:rsidRPr="00EE0749">
        <w:rPr>
          <w:rFonts w:hint="eastAsia"/>
          <w:b/>
          <w:bCs/>
          <w:sz w:val="24"/>
        </w:rPr>
        <w:t>本基金的</w:t>
      </w:r>
      <w:r>
        <w:rPr>
          <w:rFonts w:hint="eastAsia"/>
          <w:b/>
          <w:bCs/>
          <w:sz w:val="24"/>
        </w:rPr>
        <w:t>认</w:t>
      </w:r>
      <w:r w:rsidRPr="00EE0749">
        <w:rPr>
          <w:b/>
          <w:bCs/>
          <w:sz w:val="24"/>
        </w:rPr>
        <w:t>购费</w:t>
      </w:r>
    </w:p>
    <w:p w14:paraId="29F23D76" w14:textId="25738F50" w:rsidR="00B72212" w:rsidRPr="005435A1" w:rsidRDefault="00B72212" w:rsidP="00B72212">
      <w:pPr>
        <w:widowControl/>
        <w:adjustRightInd w:val="0"/>
        <w:snapToGrid w:val="0"/>
        <w:spacing w:line="360" w:lineRule="auto"/>
        <w:ind w:firstLineChars="200" w:firstLine="480"/>
        <w:rPr>
          <w:rFonts w:hAnsi="宋体"/>
          <w:sz w:val="24"/>
        </w:rPr>
      </w:pPr>
      <w:r w:rsidRPr="005435A1">
        <w:rPr>
          <w:rFonts w:hAnsi="宋体"/>
          <w:sz w:val="24"/>
        </w:rPr>
        <w:t>本基金的</w:t>
      </w:r>
      <w:r>
        <w:rPr>
          <w:rFonts w:hAnsi="宋体" w:hint="eastAsia"/>
          <w:sz w:val="24"/>
        </w:rPr>
        <w:t>认</w:t>
      </w:r>
      <w:r w:rsidRPr="005435A1">
        <w:rPr>
          <w:rFonts w:hAnsi="宋体"/>
          <w:sz w:val="24"/>
        </w:rPr>
        <w:t>购费率如下：</w:t>
      </w:r>
    </w:p>
    <w:tbl>
      <w:tblPr>
        <w:tblW w:w="8445"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441"/>
        <w:gridCol w:w="2310"/>
        <w:gridCol w:w="2694"/>
      </w:tblGrid>
      <w:tr w:rsidR="00B72212" w:rsidRPr="00C02B7E" w14:paraId="5AE38F1F" w14:textId="77777777" w:rsidTr="00B72212">
        <w:trPr>
          <w:cantSplit/>
          <w:trHeight w:val="135"/>
        </w:trPr>
        <w:tc>
          <w:tcPr>
            <w:tcW w:w="3441" w:type="dxa"/>
            <w:shd w:val="clear" w:color="auto" w:fill="FFFFFF"/>
            <w:vAlign w:val="center"/>
          </w:tcPr>
          <w:p w14:paraId="4D2CA112" w14:textId="0F4F4484" w:rsidR="00B72212" w:rsidRPr="00C02B7E" w:rsidRDefault="00B72212" w:rsidP="00B72212">
            <w:pPr>
              <w:adjustRightInd w:val="0"/>
              <w:snapToGrid w:val="0"/>
              <w:jc w:val="center"/>
              <w:rPr>
                <w:b/>
                <w:sz w:val="24"/>
              </w:rPr>
            </w:pPr>
            <w:r>
              <w:rPr>
                <w:b/>
                <w:sz w:val="24"/>
              </w:rPr>
              <w:t>认购金额（含认购费）</w:t>
            </w:r>
          </w:p>
        </w:tc>
        <w:tc>
          <w:tcPr>
            <w:tcW w:w="2310" w:type="dxa"/>
            <w:shd w:val="clear" w:color="auto" w:fill="FFFFFF"/>
            <w:vAlign w:val="center"/>
          </w:tcPr>
          <w:p w14:paraId="442C1B23" w14:textId="1087EA85" w:rsidR="00B72212" w:rsidRPr="00C02B7E" w:rsidRDefault="00B72212" w:rsidP="00B72212">
            <w:pPr>
              <w:adjustRightInd w:val="0"/>
              <w:snapToGrid w:val="0"/>
              <w:jc w:val="center"/>
              <w:rPr>
                <w:b/>
                <w:sz w:val="24"/>
              </w:rPr>
            </w:pPr>
            <w:r>
              <w:rPr>
                <w:b/>
                <w:sz w:val="24"/>
              </w:rPr>
              <w:t>认购费率</w:t>
            </w:r>
          </w:p>
        </w:tc>
        <w:tc>
          <w:tcPr>
            <w:tcW w:w="2694" w:type="dxa"/>
            <w:shd w:val="clear" w:color="auto" w:fill="FFFFFF"/>
            <w:vAlign w:val="center"/>
          </w:tcPr>
          <w:p w14:paraId="6B19E142" w14:textId="774171F9" w:rsidR="00B72212" w:rsidRPr="00C02B7E" w:rsidRDefault="00B72212" w:rsidP="00B72212">
            <w:pPr>
              <w:adjustRightInd w:val="0"/>
              <w:snapToGrid w:val="0"/>
              <w:jc w:val="center"/>
              <w:rPr>
                <w:b/>
                <w:sz w:val="24"/>
              </w:rPr>
            </w:pPr>
            <w:r>
              <w:rPr>
                <w:rFonts w:hint="eastAsia"/>
                <w:b/>
                <w:sz w:val="24"/>
              </w:rPr>
              <w:t>特定认</w:t>
            </w:r>
            <w:r>
              <w:rPr>
                <w:b/>
                <w:sz w:val="24"/>
              </w:rPr>
              <w:t>购费率</w:t>
            </w:r>
          </w:p>
        </w:tc>
      </w:tr>
      <w:tr w:rsidR="00B72212" w:rsidRPr="00C02B7E" w14:paraId="3FF247BB" w14:textId="77777777" w:rsidTr="00B72212">
        <w:trPr>
          <w:cantSplit/>
          <w:trHeight w:val="134"/>
        </w:trPr>
        <w:tc>
          <w:tcPr>
            <w:tcW w:w="3441" w:type="dxa"/>
          </w:tcPr>
          <w:p w14:paraId="66F672B3" w14:textId="424A8F7E" w:rsidR="00B72212" w:rsidRPr="00C02B7E" w:rsidRDefault="00B72212" w:rsidP="00B72212">
            <w:pPr>
              <w:adjustRightInd w:val="0"/>
              <w:snapToGrid w:val="0"/>
              <w:rPr>
                <w:sz w:val="24"/>
              </w:rPr>
            </w:pPr>
            <w:r>
              <w:rPr>
                <w:sz w:val="24"/>
              </w:rPr>
              <w:t>500</w:t>
            </w:r>
            <w:r>
              <w:rPr>
                <w:sz w:val="24"/>
              </w:rPr>
              <w:t>万元以下</w:t>
            </w:r>
          </w:p>
        </w:tc>
        <w:tc>
          <w:tcPr>
            <w:tcW w:w="2310" w:type="dxa"/>
          </w:tcPr>
          <w:p w14:paraId="179B2016" w14:textId="73683BC4" w:rsidR="00B72212" w:rsidRPr="00C02B7E" w:rsidRDefault="00B72212" w:rsidP="00B72212">
            <w:pPr>
              <w:adjustRightInd w:val="0"/>
              <w:snapToGrid w:val="0"/>
              <w:jc w:val="center"/>
              <w:rPr>
                <w:sz w:val="24"/>
              </w:rPr>
            </w:pPr>
            <w:r>
              <w:rPr>
                <w:sz w:val="24"/>
              </w:rPr>
              <w:t>1.0%</w:t>
            </w:r>
          </w:p>
        </w:tc>
        <w:tc>
          <w:tcPr>
            <w:tcW w:w="2694" w:type="dxa"/>
            <w:vAlign w:val="center"/>
          </w:tcPr>
          <w:p w14:paraId="352AA46A" w14:textId="374F8061" w:rsidR="00B72212" w:rsidRPr="00C02B7E" w:rsidRDefault="00B72212" w:rsidP="00B72212">
            <w:pPr>
              <w:adjustRightInd w:val="0"/>
              <w:snapToGrid w:val="0"/>
              <w:jc w:val="center"/>
              <w:rPr>
                <w:sz w:val="24"/>
              </w:rPr>
            </w:pPr>
            <w:r>
              <w:rPr>
                <w:rFonts w:hint="eastAsia"/>
                <w:sz w:val="24"/>
              </w:rPr>
              <w:t>0.</w:t>
            </w:r>
            <w:r>
              <w:rPr>
                <w:sz w:val="24"/>
              </w:rPr>
              <w:t>40</w:t>
            </w:r>
            <w:r>
              <w:rPr>
                <w:rFonts w:hint="eastAsia"/>
                <w:sz w:val="24"/>
              </w:rPr>
              <w:t>%</w:t>
            </w:r>
          </w:p>
        </w:tc>
      </w:tr>
      <w:tr w:rsidR="00B72212" w:rsidRPr="00C02B7E" w14:paraId="68DAF6EC" w14:textId="77777777" w:rsidTr="00B72212">
        <w:trPr>
          <w:cantSplit/>
          <w:trHeight w:val="134"/>
        </w:trPr>
        <w:tc>
          <w:tcPr>
            <w:tcW w:w="3441" w:type="dxa"/>
          </w:tcPr>
          <w:p w14:paraId="4CB6A6E0" w14:textId="13B3A232" w:rsidR="00B72212" w:rsidRPr="00C02B7E" w:rsidRDefault="00B72212" w:rsidP="00B72212">
            <w:pPr>
              <w:adjustRightInd w:val="0"/>
              <w:snapToGrid w:val="0"/>
              <w:rPr>
                <w:sz w:val="24"/>
              </w:rPr>
            </w:pPr>
            <w:r>
              <w:rPr>
                <w:sz w:val="24"/>
              </w:rPr>
              <w:t>500</w:t>
            </w:r>
            <w:r>
              <w:rPr>
                <w:sz w:val="24"/>
              </w:rPr>
              <w:t>万元（含）至</w:t>
            </w:r>
            <w:r>
              <w:rPr>
                <w:sz w:val="24"/>
              </w:rPr>
              <w:t>1000</w:t>
            </w:r>
            <w:r>
              <w:rPr>
                <w:sz w:val="24"/>
              </w:rPr>
              <w:t>万元</w:t>
            </w:r>
          </w:p>
        </w:tc>
        <w:tc>
          <w:tcPr>
            <w:tcW w:w="2310" w:type="dxa"/>
          </w:tcPr>
          <w:p w14:paraId="162CC654" w14:textId="64293279" w:rsidR="00B72212" w:rsidRPr="00C02B7E" w:rsidRDefault="00B72212" w:rsidP="00B72212">
            <w:pPr>
              <w:adjustRightInd w:val="0"/>
              <w:snapToGrid w:val="0"/>
              <w:jc w:val="center"/>
              <w:rPr>
                <w:sz w:val="24"/>
              </w:rPr>
            </w:pPr>
            <w:r>
              <w:rPr>
                <w:sz w:val="24"/>
              </w:rPr>
              <w:t>0.8%</w:t>
            </w:r>
          </w:p>
        </w:tc>
        <w:tc>
          <w:tcPr>
            <w:tcW w:w="2694" w:type="dxa"/>
          </w:tcPr>
          <w:p w14:paraId="4EC14E05" w14:textId="22CE7161" w:rsidR="00B72212" w:rsidRPr="00C02B7E" w:rsidRDefault="00B72212" w:rsidP="00B72212">
            <w:pPr>
              <w:adjustRightInd w:val="0"/>
              <w:snapToGrid w:val="0"/>
              <w:jc w:val="center"/>
              <w:rPr>
                <w:sz w:val="24"/>
              </w:rPr>
            </w:pPr>
            <w:r>
              <w:rPr>
                <w:rFonts w:hint="eastAsia"/>
                <w:sz w:val="24"/>
              </w:rPr>
              <w:t>0.</w:t>
            </w:r>
            <w:r>
              <w:rPr>
                <w:sz w:val="24"/>
              </w:rPr>
              <w:t>24%</w:t>
            </w:r>
          </w:p>
        </w:tc>
      </w:tr>
      <w:tr w:rsidR="00B72212" w:rsidRPr="00C02B7E" w14:paraId="5D7029A5" w14:textId="77777777" w:rsidTr="00B72212">
        <w:trPr>
          <w:cantSplit/>
          <w:trHeight w:val="134"/>
        </w:trPr>
        <w:tc>
          <w:tcPr>
            <w:tcW w:w="3441" w:type="dxa"/>
          </w:tcPr>
          <w:p w14:paraId="333FA529" w14:textId="5D27BA24" w:rsidR="00B72212" w:rsidRPr="00C02B7E" w:rsidRDefault="00B72212" w:rsidP="00B72212">
            <w:pPr>
              <w:adjustRightInd w:val="0"/>
              <w:snapToGrid w:val="0"/>
              <w:rPr>
                <w:sz w:val="24"/>
              </w:rPr>
            </w:pPr>
            <w:r>
              <w:rPr>
                <w:sz w:val="24"/>
              </w:rPr>
              <w:t>1000</w:t>
            </w:r>
            <w:r>
              <w:rPr>
                <w:sz w:val="24"/>
              </w:rPr>
              <w:t>万元以上（含</w:t>
            </w:r>
            <w:r>
              <w:rPr>
                <w:sz w:val="24"/>
              </w:rPr>
              <w:t>1000</w:t>
            </w:r>
            <w:r>
              <w:rPr>
                <w:sz w:val="24"/>
              </w:rPr>
              <w:t>万元）</w:t>
            </w:r>
          </w:p>
        </w:tc>
        <w:tc>
          <w:tcPr>
            <w:tcW w:w="2310" w:type="dxa"/>
          </w:tcPr>
          <w:p w14:paraId="2BAFDF2D" w14:textId="65EC0901" w:rsidR="00B72212" w:rsidRPr="00C02B7E" w:rsidRDefault="00B72212" w:rsidP="00B72212">
            <w:pPr>
              <w:adjustRightInd w:val="0"/>
              <w:snapToGrid w:val="0"/>
              <w:jc w:val="center"/>
              <w:rPr>
                <w:sz w:val="24"/>
              </w:rPr>
            </w:pPr>
            <w:r>
              <w:rPr>
                <w:sz w:val="24"/>
              </w:rPr>
              <w:t>每笔交易</w:t>
            </w:r>
            <w:r>
              <w:rPr>
                <w:sz w:val="24"/>
              </w:rPr>
              <w:t>1000</w:t>
            </w:r>
            <w:r>
              <w:rPr>
                <w:sz w:val="24"/>
              </w:rPr>
              <w:t>元</w:t>
            </w:r>
          </w:p>
        </w:tc>
        <w:tc>
          <w:tcPr>
            <w:tcW w:w="2694" w:type="dxa"/>
          </w:tcPr>
          <w:p w14:paraId="15118D8D" w14:textId="10414C10" w:rsidR="00B72212" w:rsidRPr="00C02B7E" w:rsidRDefault="00B72212" w:rsidP="00B72212">
            <w:pPr>
              <w:adjustRightInd w:val="0"/>
              <w:snapToGrid w:val="0"/>
              <w:jc w:val="center"/>
              <w:rPr>
                <w:sz w:val="24"/>
              </w:rPr>
            </w:pPr>
            <w:r>
              <w:rPr>
                <w:rFonts w:hAnsi="宋体"/>
                <w:sz w:val="24"/>
              </w:rPr>
              <w:t>每笔交易</w:t>
            </w:r>
            <w:r>
              <w:rPr>
                <w:sz w:val="24"/>
              </w:rPr>
              <w:t>1000</w:t>
            </w:r>
            <w:r>
              <w:rPr>
                <w:rFonts w:hAnsi="宋体"/>
                <w:sz w:val="24"/>
              </w:rPr>
              <w:t>元</w:t>
            </w:r>
          </w:p>
        </w:tc>
      </w:tr>
    </w:tbl>
    <w:p w14:paraId="250B50FD" w14:textId="3875C686" w:rsidR="00EE0749" w:rsidRPr="00EE0749" w:rsidRDefault="00EE0749" w:rsidP="00EE0749">
      <w:pPr>
        <w:adjustRightInd w:val="0"/>
        <w:snapToGrid w:val="0"/>
        <w:spacing w:line="360" w:lineRule="auto"/>
        <w:ind w:firstLineChars="200" w:firstLine="482"/>
        <w:rPr>
          <w:b/>
          <w:bCs/>
          <w:sz w:val="24"/>
        </w:rPr>
      </w:pPr>
      <w:r>
        <w:rPr>
          <w:rFonts w:hint="eastAsia"/>
          <w:b/>
          <w:bCs/>
          <w:sz w:val="24"/>
        </w:rPr>
        <w:t>（</w:t>
      </w:r>
      <w:r w:rsidR="00B72212">
        <w:rPr>
          <w:rFonts w:hint="eastAsia"/>
          <w:b/>
          <w:bCs/>
          <w:sz w:val="24"/>
        </w:rPr>
        <w:t>三</w:t>
      </w:r>
      <w:r>
        <w:rPr>
          <w:b/>
          <w:bCs/>
          <w:sz w:val="24"/>
        </w:rPr>
        <w:t>）</w:t>
      </w:r>
      <w:r w:rsidRPr="00EE0749">
        <w:rPr>
          <w:rFonts w:hint="eastAsia"/>
          <w:b/>
          <w:bCs/>
          <w:sz w:val="24"/>
        </w:rPr>
        <w:t>本基金的</w:t>
      </w:r>
      <w:r w:rsidRPr="00EE0749">
        <w:rPr>
          <w:b/>
          <w:bCs/>
          <w:sz w:val="24"/>
        </w:rPr>
        <w:t>申购费</w:t>
      </w:r>
    </w:p>
    <w:p w14:paraId="24226E13" w14:textId="7DC53FF2" w:rsidR="00EE0749" w:rsidRPr="005435A1" w:rsidRDefault="00EE0749" w:rsidP="00EE0749">
      <w:pPr>
        <w:widowControl/>
        <w:adjustRightInd w:val="0"/>
        <w:snapToGrid w:val="0"/>
        <w:spacing w:line="360" w:lineRule="auto"/>
        <w:ind w:firstLineChars="200" w:firstLine="480"/>
        <w:rPr>
          <w:rFonts w:hAnsi="宋体"/>
          <w:sz w:val="24"/>
        </w:rPr>
      </w:pPr>
      <w:r w:rsidRPr="005435A1">
        <w:rPr>
          <w:rFonts w:hAnsi="宋体"/>
          <w:sz w:val="24"/>
        </w:rPr>
        <w:t>本基金的申购费率如下：</w:t>
      </w:r>
    </w:p>
    <w:tbl>
      <w:tblPr>
        <w:tblW w:w="8445"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441"/>
        <w:gridCol w:w="2310"/>
        <w:gridCol w:w="2694"/>
      </w:tblGrid>
      <w:tr w:rsidR="00F91AD8" w:rsidRPr="00C02B7E" w14:paraId="71BBA2CC" w14:textId="3500EE47" w:rsidTr="00F91AD8">
        <w:trPr>
          <w:cantSplit/>
          <w:trHeight w:val="135"/>
        </w:trPr>
        <w:tc>
          <w:tcPr>
            <w:tcW w:w="3441" w:type="dxa"/>
            <w:shd w:val="clear" w:color="auto" w:fill="FFFFFF"/>
            <w:vAlign w:val="center"/>
          </w:tcPr>
          <w:p w14:paraId="57E581DA" w14:textId="77777777" w:rsidR="00F91AD8" w:rsidRPr="00C02B7E" w:rsidRDefault="00F91AD8" w:rsidP="00B37FC2">
            <w:pPr>
              <w:adjustRightInd w:val="0"/>
              <w:snapToGrid w:val="0"/>
              <w:jc w:val="center"/>
              <w:rPr>
                <w:b/>
                <w:sz w:val="24"/>
              </w:rPr>
            </w:pPr>
            <w:r w:rsidRPr="00C02B7E">
              <w:rPr>
                <w:b/>
                <w:sz w:val="24"/>
              </w:rPr>
              <w:t>申购金额（含申购费）</w:t>
            </w:r>
          </w:p>
        </w:tc>
        <w:tc>
          <w:tcPr>
            <w:tcW w:w="2310" w:type="dxa"/>
            <w:shd w:val="clear" w:color="auto" w:fill="FFFFFF"/>
            <w:vAlign w:val="center"/>
          </w:tcPr>
          <w:p w14:paraId="1AB375D1" w14:textId="41F33278" w:rsidR="00F91AD8" w:rsidRPr="00C02B7E" w:rsidRDefault="00F91AD8" w:rsidP="00B37FC2">
            <w:pPr>
              <w:adjustRightInd w:val="0"/>
              <w:snapToGrid w:val="0"/>
              <w:jc w:val="center"/>
              <w:rPr>
                <w:b/>
                <w:sz w:val="24"/>
              </w:rPr>
            </w:pPr>
            <w:r w:rsidRPr="00C02B7E">
              <w:rPr>
                <w:b/>
                <w:sz w:val="24"/>
              </w:rPr>
              <w:t>申购费率</w:t>
            </w:r>
          </w:p>
        </w:tc>
        <w:tc>
          <w:tcPr>
            <w:tcW w:w="2694" w:type="dxa"/>
            <w:shd w:val="clear" w:color="auto" w:fill="FFFFFF"/>
          </w:tcPr>
          <w:p w14:paraId="7FC1F8E0" w14:textId="281C0274" w:rsidR="00F91AD8" w:rsidRPr="00C02B7E" w:rsidRDefault="00F91AD8" w:rsidP="00B37FC2">
            <w:pPr>
              <w:adjustRightInd w:val="0"/>
              <w:snapToGrid w:val="0"/>
              <w:jc w:val="center"/>
              <w:rPr>
                <w:b/>
                <w:sz w:val="24"/>
              </w:rPr>
            </w:pPr>
            <w:r w:rsidRPr="00C02B7E">
              <w:rPr>
                <w:rFonts w:hint="eastAsia"/>
                <w:b/>
                <w:sz w:val="24"/>
              </w:rPr>
              <w:t>特定</w:t>
            </w:r>
            <w:r w:rsidRPr="00C02B7E">
              <w:rPr>
                <w:b/>
                <w:sz w:val="24"/>
              </w:rPr>
              <w:t>申购费率</w:t>
            </w:r>
          </w:p>
        </w:tc>
      </w:tr>
      <w:tr w:rsidR="00B72212" w:rsidRPr="00C02B7E" w14:paraId="72A08212" w14:textId="18ED852D" w:rsidTr="00525996">
        <w:trPr>
          <w:cantSplit/>
          <w:trHeight w:val="134"/>
        </w:trPr>
        <w:tc>
          <w:tcPr>
            <w:tcW w:w="3441" w:type="dxa"/>
          </w:tcPr>
          <w:p w14:paraId="27E7419F" w14:textId="01149BBD" w:rsidR="00B72212" w:rsidRPr="00C02B7E" w:rsidRDefault="00B72212" w:rsidP="00B72212">
            <w:pPr>
              <w:adjustRightInd w:val="0"/>
              <w:snapToGrid w:val="0"/>
              <w:rPr>
                <w:sz w:val="24"/>
              </w:rPr>
            </w:pPr>
            <w:r>
              <w:rPr>
                <w:sz w:val="24"/>
              </w:rPr>
              <w:t>500</w:t>
            </w:r>
            <w:r>
              <w:rPr>
                <w:rFonts w:hAnsi="宋体"/>
                <w:sz w:val="24"/>
              </w:rPr>
              <w:t>万元以下</w:t>
            </w:r>
          </w:p>
        </w:tc>
        <w:tc>
          <w:tcPr>
            <w:tcW w:w="2310" w:type="dxa"/>
          </w:tcPr>
          <w:p w14:paraId="6DCD28BB" w14:textId="0EA74089" w:rsidR="00B72212" w:rsidRPr="00C02B7E" w:rsidRDefault="00B72212" w:rsidP="00B72212">
            <w:pPr>
              <w:adjustRightInd w:val="0"/>
              <w:snapToGrid w:val="0"/>
              <w:jc w:val="center"/>
              <w:rPr>
                <w:sz w:val="24"/>
              </w:rPr>
            </w:pPr>
            <w:r>
              <w:rPr>
                <w:sz w:val="24"/>
              </w:rPr>
              <w:t>1.2%</w:t>
            </w:r>
          </w:p>
        </w:tc>
        <w:tc>
          <w:tcPr>
            <w:tcW w:w="2694" w:type="dxa"/>
          </w:tcPr>
          <w:p w14:paraId="6B1AD1A8" w14:textId="416374F4" w:rsidR="00B72212" w:rsidRPr="00C02B7E" w:rsidRDefault="00B72212" w:rsidP="00B72212">
            <w:pPr>
              <w:adjustRightInd w:val="0"/>
              <w:snapToGrid w:val="0"/>
              <w:jc w:val="center"/>
              <w:rPr>
                <w:sz w:val="24"/>
              </w:rPr>
            </w:pPr>
            <w:r>
              <w:rPr>
                <w:rFonts w:hint="eastAsia"/>
                <w:sz w:val="24"/>
              </w:rPr>
              <w:t>0.</w:t>
            </w:r>
            <w:r>
              <w:rPr>
                <w:sz w:val="24"/>
              </w:rPr>
              <w:t>48%</w:t>
            </w:r>
          </w:p>
        </w:tc>
      </w:tr>
      <w:tr w:rsidR="00B72212" w:rsidRPr="00C02B7E" w14:paraId="16C59D4B" w14:textId="7EEA10B7" w:rsidTr="00525996">
        <w:trPr>
          <w:cantSplit/>
          <w:trHeight w:val="134"/>
        </w:trPr>
        <w:tc>
          <w:tcPr>
            <w:tcW w:w="3441" w:type="dxa"/>
          </w:tcPr>
          <w:p w14:paraId="12AADB5C" w14:textId="4EDA7D51" w:rsidR="00B72212" w:rsidRPr="00C02B7E" w:rsidRDefault="00B72212" w:rsidP="00B72212">
            <w:pPr>
              <w:adjustRightInd w:val="0"/>
              <w:snapToGrid w:val="0"/>
              <w:rPr>
                <w:sz w:val="24"/>
              </w:rPr>
            </w:pPr>
            <w:r>
              <w:rPr>
                <w:sz w:val="24"/>
              </w:rPr>
              <w:t>500</w:t>
            </w:r>
            <w:r>
              <w:rPr>
                <w:sz w:val="24"/>
              </w:rPr>
              <w:t>万元（含）至</w:t>
            </w:r>
            <w:r>
              <w:rPr>
                <w:rFonts w:hint="eastAsia"/>
                <w:sz w:val="24"/>
              </w:rPr>
              <w:t>1</w:t>
            </w:r>
            <w:r>
              <w:rPr>
                <w:sz w:val="24"/>
              </w:rPr>
              <w:t>000</w:t>
            </w:r>
            <w:r>
              <w:rPr>
                <w:sz w:val="24"/>
              </w:rPr>
              <w:t>万元</w:t>
            </w:r>
          </w:p>
        </w:tc>
        <w:tc>
          <w:tcPr>
            <w:tcW w:w="2310" w:type="dxa"/>
          </w:tcPr>
          <w:p w14:paraId="3FAE24C6" w14:textId="2F06593B" w:rsidR="00B72212" w:rsidRPr="00C02B7E" w:rsidRDefault="00B72212" w:rsidP="00B72212">
            <w:pPr>
              <w:adjustRightInd w:val="0"/>
              <w:snapToGrid w:val="0"/>
              <w:jc w:val="center"/>
              <w:rPr>
                <w:sz w:val="24"/>
              </w:rPr>
            </w:pPr>
            <w:r>
              <w:rPr>
                <w:sz w:val="24"/>
              </w:rPr>
              <w:t>1.0%</w:t>
            </w:r>
          </w:p>
        </w:tc>
        <w:tc>
          <w:tcPr>
            <w:tcW w:w="2694" w:type="dxa"/>
          </w:tcPr>
          <w:p w14:paraId="749031E4" w14:textId="2199E6E1" w:rsidR="00B72212" w:rsidRPr="00C02B7E" w:rsidRDefault="00B72212" w:rsidP="00B72212">
            <w:pPr>
              <w:adjustRightInd w:val="0"/>
              <w:snapToGrid w:val="0"/>
              <w:jc w:val="center"/>
              <w:rPr>
                <w:sz w:val="24"/>
              </w:rPr>
            </w:pPr>
            <w:r>
              <w:rPr>
                <w:rFonts w:hint="eastAsia"/>
                <w:sz w:val="24"/>
              </w:rPr>
              <w:t>0.</w:t>
            </w:r>
            <w:r>
              <w:rPr>
                <w:sz w:val="24"/>
              </w:rPr>
              <w:t>30%</w:t>
            </w:r>
          </w:p>
        </w:tc>
      </w:tr>
      <w:tr w:rsidR="00B72212" w:rsidRPr="00C02B7E" w14:paraId="3C8CDDFA" w14:textId="5AD6E9F1" w:rsidTr="00F91AD8">
        <w:trPr>
          <w:cantSplit/>
          <w:trHeight w:val="134"/>
        </w:trPr>
        <w:tc>
          <w:tcPr>
            <w:tcW w:w="3441" w:type="dxa"/>
          </w:tcPr>
          <w:p w14:paraId="36300629" w14:textId="1EA46E42" w:rsidR="00B72212" w:rsidRPr="00C02B7E" w:rsidRDefault="00B72212" w:rsidP="00B72212">
            <w:pPr>
              <w:adjustRightInd w:val="0"/>
              <w:snapToGrid w:val="0"/>
              <w:rPr>
                <w:sz w:val="24"/>
              </w:rPr>
            </w:pPr>
            <w:r>
              <w:rPr>
                <w:sz w:val="24"/>
              </w:rPr>
              <w:t>1000</w:t>
            </w:r>
            <w:r>
              <w:rPr>
                <w:rFonts w:hAnsi="宋体"/>
                <w:sz w:val="24"/>
              </w:rPr>
              <w:t>万元以上（含</w:t>
            </w:r>
            <w:r>
              <w:rPr>
                <w:rFonts w:hAnsi="宋体" w:hint="eastAsia"/>
                <w:sz w:val="24"/>
              </w:rPr>
              <w:t>1</w:t>
            </w:r>
            <w:r>
              <w:rPr>
                <w:rFonts w:hAnsi="宋体"/>
                <w:sz w:val="24"/>
              </w:rPr>
              <w:t>0</w:t>
            </w:r>
            <w:r>
              <w:rPr>
                <w:sz w:val="24"/>
              </w:rPr>
              <w:t>00</w:t>
            </w:r>
            <w:r>
              <w:rPr>
                <w:rFonts w:hAnsi="宋体"/>
                <w:sz w:val="24"/>
              </w:rPr>
              <w:t>万</w:t>
            </w:r>
            <w:r>
              <w:rPr>
                <w:rFonts w:hAnsi="宋体" w:hint="eastAsia"/>
                <w:sz w:val="24"/>
              </w:rPr>
              <w:t>元</w:t>
            </w:r>
            <w:r>
              <w:rPr>
                <w:rFonts w:hAnsi="宋体"/>
                <w:sz w:val="24"/>
              </w:rPr>
              <w:t>）</w:t>
            </w:r>
          </w:p>
        </w:tc>
        <w:tc>
          <w:tcPr>
            <w:tcW w:w="2310" w:type="dxa"/>
          </w:tcPr>
          <w:p w14:paraId="6B692A69" w14:textId="51A951EB" w:rsidR="00B72212" w:rsidRPr="00C02B7E" w:rsidRDefault="00B72212" w:rsidP="00B72212">
            <w:pPr>
              <w:adjustRightInd w:val="0"/>
              <w:snapToGrid w:val="0"/>
              <w:jc w:val="center"/>
              <w:rPr>
                <w:sz w:val="24"/>
              </w:rPr>
            </w:pPr>
            <w:r w:rsidRPr="00C02B7E">
              <w:rPr>
                <w:rFonts w:hAnsi="宋体"/>
                <w:sz w:val="24"/>
              </w:rPr>
              <w:t>每笔交易</w:t>
            </w:r>
            <w:r w:rsidRPr="00C02B7E">
              <w:rPr>
                <w:sz w:val="24"/>
              </w:rPr>
              <w:t>1000</w:t>
            </w:r>
            <w:r w:rsidRPr="00C02B7E">
              <w:rPr>
                <w:rFonts w:hAnsi="宋体"/>
                <w:sz w:val="24"/>
              </w:rPr>
              <w:t>元</w:t>
            </w:r>
          </w:p>
        </w:tc>
        <w:tc>
          <w:tcPr>
            <w:tcW w:w="2694" w:type="dxa"/>
            <w:vAlign w:val="center"/>
          </w:tcPr>
          <w:p w14:paraId="01D9B4F8" w14:textId="4D838472" w:rsidR="00B72212" w:rsidRPr="00F91AD8" w:rsidRDefault="00B72212" w:rsidP="00B72212">
            <w:pPr>
              <w:adjustRightInd w:val="0"/>
              <w:snapToGrid w:val="0"/>
              <w:jc w:val="center"/>
              <w:rPr>
                <w:sz w:val="24"/>
              </w:rPr>
            </w:pPr>
            <w:r w:rsidRPr="00F91AD8">
              <w:rPr>
                <w:sz w:val="24"/>
              </w:rPr>
              <w:t>每笔交易</w:t>
            </w:r>
            <w:r w:rsidRPr="00F91AD8">
              <w:rPr>
                <w:sz w:val="24"/>
              </w:rPr>
              <w:t>1000</w:t>
            </w:r>
            <w:r w:rsidRPr="00F91AD8">
              <w:rPr>
                <w:sz w:val="24"/>
              </w:rPr>
              <w:t>元</w:t>
            </w:r>
          </w:p>
        </w:tc>
      </w:tr>
    </w:tbl>
    <w:p w14:paraId="43A22AFB" w14:textId="6E5E6220" w:rsidR="00EE0749" w:rsidRPr="00EE0749" w:rsidRDefault="00EE0749" w:rsidP="00EE0749">
      <w:pPr>
        <w:adjustRightInd w:val="0"/>
        <w:snapToGrid w:val="0"/>
        <w:spacing w:line="360" w:lineRule="auto"/>
        <w:ind w:firstLineChars="200" w:firstLine="482"/>
        <w:rPr>
          <w:b/>
          <w:bCs/>
          <w:sz w:val="24"/>
        </w:rPr>
      </w:pPr>
      <w:r>
        <w:rPr>
          <w:rFonts w:hint="eastAsia"/>
          <w:b/>
          <w:bCs/>
          <w:sz w:val="24"/>
        </w:rPr>
        <w:t>（</w:t>
      </w:r>
      <w:r w:rsidR="00B72212">
        <w:rPr>
          <w:rFonts w:hint="eastAsia"/>
          <w:b/>
          <w:bCs/>
          <w:sz w:val="24"/>
        </w:rPr>
        <w:t>四</w:t>
      </w:r>
      <w:r>
        <w:rPr>
          <w:b/>
          <w:bCs/>
          <w:sz w:val="24"/>
        </w:rPr>
        <w:t>）</w:t>
      </w:r>
      <w:r w:rsidRPr="00EE0749">
        <w:rPr>
          <w:rFonts w:hint="eastAsia"/>
          <w:b/>
          <w:bCs/>
          <w:sz w:val="24"/>
        </w:rPr>
        <w:t>本基金的</w:t>
      </w:r>
      <w:r>
        <w:rPr>
          <w:rFonts w:hint="eastAsia"/>
          <w:b/>
          <w:bCs/>
          <w:sz w:val="24"/>
        </w:rPr>
        <w:t>赎回</w:t>
      </w:r>
      <w:r w:rsidRPr="00EE0749">
        <w:rPr>
          <w:b/>
          <w:bCs/>
          <w:sz w:val="24"/>
        </w:rPr>
        <w:t>费</w:t>
      </w:r>
    </w:p>
    <w:p w14:paraId="3F57B56D" w14:textId="72FBA3B2" w:rsidR="00EE0749" w:rsidRPr="00EE0749" w:rsidRDefault="00B72212" w:rsidP="003871CF">
      <w:pPr>
        <w:widowControl/>
        <w:adjustRightInd w:val="0"/>
        <w:snapToGrid w:val="0"/>
        <w:spacing w:line="360" w:lineRule="auto"/>
        <w:ind w:firstLineChars="200" w:firstLine="480"/>
        <w:rPr>
          <w:rFonts w:hAnsi="宋体"/>
          <w:b/>
          <w:kern w:val="0"/>
          <w:sz w:val="24"/>
        </w:rPr>
      </w:pPr>
      <w:r w:rsidRPr="00B72212">
        <w:rPr>
          <w:rFonts w:hAnsi="宋体" w:hint="eastAsia"/>
          <w:sz w:val="24"/>
        </w:rPr>
        <w:t>基金份额持有人持有的每份基金份额最短持有期限为三年，最短持有期限届满后，本基金不收取赎回费。其中，对于不受最短持有期限制的红利再投资所得基金份额，对持续持有期少于</w:t>
      </w:r>
      <w:r w:rsidRPr="00B72212">
        <w:rPr>
          <w:rFonts w:hAnsi="宋体" w:hint="eastAsia"/>
          <w:sz w:val="24"/>
        </w:rPr>
        <w:t>7</w:t>
      </w:r>
      <w:r w:rsidRPr="00B72212">
        <w:rPr>
          <w:rFonts w:hAnsi="宋体" w:hint="eastAsia"/>
          <w:sz w:val="24"/>
        </w:rPr>
        <w:t>日的投资者收取</w:t>
      </w:r>
      <w:r w:rsidRPr="00B72212">
        <w:rPr>
          <w:rFonts w:hAnsi="宋体" w:hint="eastAsia"/>
          <w:sz w:val="24"/>
        </w:rPr>
        <w:t>1.5%</w:t>
      </w:r>
      <w:r w:rsidRPr="00B72212">
        <w:rPr>
          <w:rFonts w:hAnsi="宋体" w:hint="eastAsia"/>
          <w:sz w:val="24"/>
        </w:rPr>
        <w:t>的赎回费，并全额计入基金财产。</w:t>
      </w:r>
    </w:p>
    <w:p w14:paraId="22D7F310" w14:textId="77777777" w:rsidR="00EE0749" w:rsidRPr="00EE0749" w:rsidRDefault="00EE0749" w:rsidP="00EE0749">
      <w:pPr>
        <w:widowControl/>
        <w:adjustRightInd w:val="0"/>
        <w:snapToGrid w:val="0"/>
        <w:spacing w:line="360" w:lineRule="auto"/>
        <w:ind w:firstLineChars="200" w:firstLine="482"/>
        <w:rPr>
          <w:b/>
          <w:kern w:val="0"/>
          <w:sz w:val="24"/>
        </w:rPr>
      </w:pPr>
      <w:r>
        <w:rPr>
          <w:rFonts w:hAnsi="宋体" w:hint="eastAsia"/>
          <w:b/>
          <w:kern w:val="0"/>
          <w:sz w:val="24"/>
        </w:rPr>
        <w:t>三</w:t>
      </w:r>
      <w:r>
        <w:rPr>
          <w:rFonts w:hAnsi="宋体"/>
          <w:b/>
          <w:kern w:val="0"/>
          <w:sz w:val="24"/>
        </w:rPr>
        <w:t>、</w:t>
      </w:r>
      <w:r w:rsidRPr="00EE0749">
        <w:rPr>
          <w:rFonts w:hAnsi="宋体"/>
          <w:b/>
          <w:kern w:val="0"/>
          <w:sz w:val="24"/>
        </w:rPr>
        <w:t>基金份额持有人须了解并承受以下风险：</w:t>
      </w:r>
    </w:p>
    <w:p w14:paraId="1660CC94" w14:textId="69F6BD3F" w:rsidR="00EE0749" w:rsidRPr="00903B33" w:rsidRDefault="00EE0749" w:rsidP="006957C6">
      <w:pPr>
        <w:widowControl/>
        <w:adjustRightInd w:val="0"/>
        <w:snapToGrid w:val="0"/>
        <w:spacing w:line="360" w:lineRule="auto"/>
        <w:ind w:firstLineChars="200" w:firstLine="482"/>
        <w:rPr>
          <w:rFonts w:hAnsi="宋体"/>
          <w:kern w:val="0"/>
          <w:sz w:val="24"/>
        </w:rPr>
      </w:pPr>
      <w:r w:rsidRPr="005435A1">
        <w:rPr>
          <w:rFonts w:hAnsi="宋体"/>
          <w:b/>
          <w:kern w:val="0"/>
          <w:sz w:val="24"/>
        </w:rPr>
        <w:t>（</w:t>
      </w:r>
      <w:r>
        <w:rPr>
          <w:rFonts w:hAnsi="宋体" w:hint="eastAsia"/>
          <w:b/>
          <w:kern w:val="0"/>
          <w:sz w:val="24"/>
        </w:rPr>
        <w:t>一</w:t>
      </w:r>
      <w:r w:rsidRPr="005435A1">
        <w:rPr>
          <w:rFonts w:hAnsi="宋体"/>
          <w:b/>
          <w:kern w:val="0"/>
          <w:sz w:val="24"/>
        </w:rPr>
        <w:t>）</w:t>
      </w:r>
      <w:r w:rsidRPr="00903B33">
        <w:rPr>
          <w:rFonts w:hAnsi="宋体"/>
          <w:b/>
          <w:kern w:val="0"/>
          <w:sz w:val="24"/>
        </w:rPr>
        <w:t>流动性风险</w:t>
      </w:r>
    </w:p>
    <w:p w14:paraId="05718361" w14:textId="07CCEEE5" w:rsidR="00B72212" w:rsidRDefault="00EE0749" w:rsidP="00EE0749">
      <w:pPr>
        <w:widowControl/>
        <w:adjustRightInd w:val="0"/>
        <w:snapToGrid w:val="0"/>
        <w:spacing w:line="360" w:lineRule="auto"/>
        <w:ind w:firstLineChars="200" w:firstLine="480"/>
        <w:rPr>
          <w:rFonts w:hAnsi="宋体"/>
          <w:kern w:val="0"/>
          <w:sz w:val="24"/>
        </w:rPr>
      </w:pPr>
      <w:r w:rsidRPr="005435A1">
        <w:rPr>
          <w:rFonts w:hAnsi="宋体"/>
          <w:kern w:val="0"/>
          <w:sz w:val="24"/>
        </w:rPr>
        <w:t>本基金属于开放式基金，</w:t>
      </w:r>
      <w:r w:rsidR="00B72212" w:rsidRPr="00B72212">
        <w:rPr>
          <w:rFonts w:hAnsi="宋体" w:hint="eastAsia"/>
          <w:kern w:val="0"/>
          <w:sz w:val="24"/>
        </w:rPr>
        <w:t>但设置最短持有期，基金份额持有人持有的每份基金份额最短持有期限为三年，对于满足持有期限的投资人，基金管理人在每个开放日都有义务接受投资人的赎回。</w:t>
      </w:r>
      <w:r w:rsidRPr="005435A1">
        <w:rPr>
          <w:rFonts w:hAnsi="宋体"/>
          <w:kern w:val="0"/>
          <w:sz w:val="24"/>
        </w:rPr>
        <w:t>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1342026" w14:textId="77777777" w:rsidR="00EE0749" w:rsidRPr="00EA1BE8" w:rsidRDefault="00EE0749" w:rsidP="00EE0749">
      <w:pPr>
        <w:widowControl/>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w:t>
      </w:r>
      <w:r w:rsidRPr="00EA1BE8">
        <w:rPr>
          <w:rFonts w:hAnsi="宋体" w:hint="eastAsia"/>
          <w:kern w:val="0"/>
          <w:sz w:val="24"/>
        </w:rPr>
        <w:t>本基金的申购、赎回安排</w:t>
      </w:r>
    </w:p>
    <w:p w14:paraId="02441427" w14:textId="5DA76BA9" w:rsidR="00B72212" w:rsidRDefault="00B72212" w:rsidP="00B72212">
      <w:pPr>
        <w:widowControl/>
        <w:adjustRightInd w:val="0"/>
        <w:snapToGrid w:val="0"/>
        <w:spacing w:line="360" w:lineRule="auto"/>
        <w:ind w:firstLineChars="200" w:firstLine="480"/>
        <w:rPr>
          <w:rFonts w:hAnsi="宋体"/>
          <w:kern w:val="0"/>
          <w:sz w:val="24"/>
        </w:rPr>
      </w:pPr>
      <w:r>
        <w:rPr>
          <w:rFonts w:hAnsi="宋体" w:hint="eastAsia"/>
          <w:kern w:val="0"/>
          <w:sz w:val="24"/>
        </w:rPr>
        <w:t>本基金采用开放方式运作，基金管理人在开放日办理基金份额的申购和赎回，但对于每份基金份额，基金份额持有人仅可在该基金份额最短持有期限届满后申请赎回，具体办理时间为上海证券交易所、深圳证券交易所的正常交易日的交易时间</w:t>
      </w:r>
      <w:r>
        <w:rPr>
          <w:rFonts w:hint="eastAsia"/>
          <w:bCs/>
          <w:sz w:val="24"/>
        </w:rPr>
        <w:t>（若该工作日为非港股通交易日，则本基金可不开放）</w:t>
      </w:r>
      <w:r>
        <w:rPr>
          <w:rFonts w:hAnsi="宋体" w:hint="eastAsia"/>
          <w:kern w:val="0"/>
          <w:sz w:val="24"/>
        </w:rPr>
        <w:t>，但基金管理人根据法律法规、中国证监会的要求或基金合同的规定公告暂停申购、赎回时除外。基</w:t>
      </w:r>
      <w:r>
        <w:rPr>
          <w:rFonts w:hAnsi="宋体" w:hint="eastAsia"/>
          <w:kern w:val="0"/>
          <w:sz w:val="24"/>
        </w:rPr>
        <w:lastRenderedPageBreak/>
        <w:t>金管理人可根据实际情况依法决定本基金开始办理申购的具体日期，具体业务办理时间在申购开始公告中规定。基金管理人自基金合同生效之日起三年后年度对日（含该日）开始办理赎回，具体业务办理时间在赎回开始公告中规定。</w:t>
      </w:r>
    </w:p>
    <w:p w14:paraId="4AC523F5" w14:textId="08C5D471" w:rsidR="00B72212" w:rsidRDefault="00B72212" w:rsidP="00B72212">
      <w:pPr>
        <w:widowControl/>
        <w:adjustRightInd w:val="0"/>
        <w:snapToGrid w:val="0"/>
        <w:spacing w:line="360" w:lineRule="auto"/>
        <w:ind w:firstLineChars="200" w:firstLine="480"/>
        <w:rPr>
          <w:rFonts w:hAnsi="宋体"/>
          <w:kern w:val="0"/>
          <w:sz w:val="24"/>
        </w:rPr>
      </w:pPr>
      <w:r>
        <w:rPr>
          <w:rFonts w:hAnsi="宋体" w:hint="eastAsia"/>
          <w:kern w:val="0"/>
          <w:sz w:val="24"/>
        </w:rPr>
        <w:t>若基金份额持有人多次认购或申购本基金导致持有多笔不同期限的本基金基金份额时，基金份额持有人在赎回时需特别关注申请赎回的基金份额数量，若申请赎回的基金份额超过了该基金份额持有人持续持有超过三年的基金份额数量，则基金份额持有人的赎回申请将全部被予以拒绝。基金份额持有人需承担赎回申请失败的风险。</w:t>
      </w:r>
    </w:p>
    <w:p w14:paraId="5F1BCFB4" w14:textId="77777777" w:rsidR="00EE0749" w:rsidRPr="00EA1BE8" w:rsidRDefault="00EE0749" w:rsidP="00EE0749">
      <w:pPr>
        <w:widowControl/>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w:t>
      </w:r>
      <w:r w:rsidRPr="00EA1BE8">
        <w:rPr>
          <w:rFonts w:hAnsi="宋体" w:hint="eastAsia"/>
          <w:kern w:val="0"/>
          <w:sz w:val="24"/>
        </w:rPr>
        <w:t>投资市场、行业及资产的流动性风险评估</w:t>
      </w:r>
    </w:p>
    <w:p w14:paraId="48FC20C1" w14:textId="3979D6DF" w:rsidR="00EE0749" w:rsidRPr="00EA1BE8" w:rsidRDefault="000C7165" w:rsidP="00EE0749">
      <w:pPr>
        <w:widowControl/>
        <w:adjustRightInd w:val="0"/>
        <w:snapToGrid w:val="0"/>
        <w:spacing w:line="360" w:lineRule="auto"/>
        <w:ind w:firstLineChars="200" w:firstLine="480"/>
        <w:rPr>
          <w:rFonts w:hAnsi="宋体"/>
          <w:kern w:val="0"/>
          <w:sz w:val="24"/>
        </w:rPr>
      </w:pPr>
      <w:r>
        <w:rPr>
          <w:rFonts w:hAnsi="宋体" w:hint="eastAsia"/>
          <w:kern w:val="0"/>
          <w:sz w:val="24"/>
        </w:rPr>
        <w:t>本基金为基金中基金，投资于公开募集证券投资基金的基金份额的资产不低于基金资产的</w:t>
      </w:r>
      <w:r>
        <w:rPr>
          <w:rFonts w:hAnsi="宋体" w:hint="eastAsia"/>
          <w:kern w:val="0"/>
          <w:sz w:val="24"/>
        </w:rPr>
        <w:t>80%</w:t>
      </w:r>
      <w:r>
        <w:rPr>
          <w:rFonts w:hAnsi="宋体" w:hint="eastAsia"/>
          <w:kern w:val="0"/>
          <w:sz w:val="24"/>
        </w:rPr>
        <w:t>，主要投资对象为具有良好流动性的金融工具，同时本基金基于分散投资的原则在行业和个券方面未有高集中度的特征，综合评估在正常市场环境下本基金的流动性风险适中。</w:t>
      </w:r>
    </w:p>
    <w:p w14:paraId="0B816954" w14:textId="77777777" w:rsidR="00EE0749" w:rsidRPr="00EA1BE8" w:rsidRDefault="00EE0749" w:rsidP="00EE0749">
      <w:pPr>
        <w:widowControl/>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w:t>
      </w:r>
      <w:r w:rsidRPr="00EA1BE8">
        <w:rPr>
          <w:rFonts w:hAnsi="宋体" w:hint="eastAsia"/>
          <w:kern w:val="0"/>
          <w:sz w:val="24"/>
        </w:rPr>
        <w:t>巨额赎回情形下的流动性风险管理措施</w:t>
      </w:r>
    </w:p>
    <w:p w14:paraId="7EB26D7D" w14:textId="77777777" w:rsidR="00EE0749" w:rsidRPr="00EA1BE8" w:rsidRDefault="00EE0749" w:rsidP="00EE0749">
      <w:pPr>
        <w:widowControl/>
        <w:adjustRightInd w:val="0"/>
        <w:snapToGrid w:val="0"/>
        <w:spacing w:line="360" w:lineRule="auto"/>
        <w:ind w:firstLineChars="200" w:firstLine="480"/>
        <w:rPr>
          <w:rFonts w:hAnsi="宋体"/>
          <w:kern w:val="0"/>
          <w:sz w:val="24"/>
        </w:rPr>
      </w:pPr>
      <w:r w:rsidRPr="00EA1BE8">
        <w:rPr>
          <w:rFonts w:hAnsi="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EA1BE8">
        <w:rPr>
          <w:rFonts w:hAnsi="宋体" w:hint="eastAsia"/>
          <w:kern w:val="0"/>
          <w:sz w:val="24"/>
        </w:rPr>
        <w:t>10%</w:t>
      </w:r>
      <w:r w:rsidRPr="00EA1BE8">
        <w:rPr>
          <w:rFonts w:hAnsi="宋体" w:hint="eastAsia"/>
          <w:kern w:val="0"/>
          <w:sz w:val="24"/>
        </w:rPr>
        <w:t>，即认为是发生了巨额赎回。</w:t>
      </w:r>
    </w:p>
    <w:p w14:paraId="1E1F5A89" w14:textId="62BF415E" w:rsidR="00EE0749" w:rsidRPr="00EA1BE8" w:rsidRDefault="00EE0749" w:rsidP="00EE0749">
      <w:pPr>
        <w:widowControl/>
        <w:adjustRightInd w:val="0"/>
        <w:snapToGrid w:val="0"/>
        <w:spacing w:line="360" w:lineRule="auto"/>
        <w:ind w:firstLineChars="200" w:firstLine="480"/>
        <w:rPr>
          <w:rFonts w:hAnsi="宋体"/>
          <w:kern w:val="0"/>
          <w:sz w:val="24"/>
        </w:rPr>
      </w:pPr>
      <w:r w:rsidRPr="00EA1BE8">
        <w:rPr>
          <w:rFonts w:hAnsi="宋体" w:hint="eastAsia"/>
          <w:kern w:val="0"/>
          <w:sz w:val="24"/>
        </w:rPr>
        <w:t>当基金出现巨额赎回时，基金管理人可以根据基金当时的资产组合状况决定全额赎回或部分延期赎回</w:t>
      </w:r>
      <w:r w:rsidR="003871CF">
        <w:rPr>
          <w:rFonts w:hAnsi="宋体" w:hint="eastAsia"/>
          <w:kern w:val="0"/>
          <w:sz w:val="24"/>
        </w:rPr>
        <w:t>，</w:t>
      </w:r>
      <w:r w:rsidR="003871CF">
        <w:rPr>
          <w:kern w:val="0"/>
          <w:sz w:val="24"/>
        </w:rPr>
        <w:t>具体</w:t>
      </w:r>
      <w:r w:rsidR="003871CF" w:rsidRPr="00D31AF4">
        <w:rPr>
          <w:rFonts w:hint="eastAsia"/>
          <w:kern w:val="0"/>
          <w:sz w:val="24"/>
        </w:rPr>
        <w:t>风险管理措施</w:t>
      </w:r>
      <w:r w:rsidR="003871CF">
        <w:rPr>
          <w:rFonts w:hint="eastAsia"/>
          <w:kern w:val="0"/>
          <w:sz w:val="24"/>
        </w:rPr>
        <w:t>详见本基金</w:t>
      </w:r>
      <w:r w:rsidR="00B05DE7">
        <w:rPr>
          <w:rFonts w:hint="eastAsia"/>
          <w:kern w:val="0"/>
          <w:sz w:val="24"/>
        </w:rPr>
        <w:t>《</w:t>
      </w:r>
      <w:r w:rsidR="003871CF">
        <w:rPr>
          <w:kern w:val="0"/>
          <w:sz w:val="24"/>
        </w:rPr>
        <w:t>招募说明书</w:t>
      </w:r>
      <w:r w:rsidR="00B05DE7">
        <w:rPr>
          <w:rFonts w:hint="eastAsia"/>
          <w:kern w:val="0"/>
          <w:sz w:val="24"/>
        </w:rPr>
        <w:t>》</w:t>
      </w:r>
      <w:r w:rsidRPr="00EA1BE8">
        <w:rPr>
          <w:rFonts w:hAnsi="宋体" w:hint="eastAsia"/>
          <w:kern w:val="0"/>
          <w:sz w:val="24"/>
        </w:rPr>
        <w:t>。</w:t>
      </w:r>
    </w:p>
    <w:p w14:paraId="0706EAB4" w14:textId="77777777" w:rsidR="00EE0749" w:rsidRPr="00EA1BE8" w:rsidRDefault="00EE0749" w:rsidP="00EE0749">
      <w:pPr>
        <w:widowControl/>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w:t>
      </w:r>
      <w:r w:rsidRPr="00EA1BE8">
        <w:rPr>
          <w:rFonts w:hAnsi="宋体" w:hint="eastAsia"/>
          <w:kern w:val="0"/>
          <w:sz w:val="24"/>
        </w:rPr>
        <w:t>实施备用的流动性风险管理工具的情形、程序及对投资者的潜在影响</w:t>
      </w:r>
    </w:p>
    <w:p w14:paraId="2F66ADAB" w14:textId="77777777" w:rsidR="00EE0749" w:rsidRPr="00EA1BE8" w:rsidRDefault="00EE0749" w:rsidP="00EE0749">
      <w:pPr>
        <w:widowControl/>
        <w:adjustRightInd w:val="0"/>
        <w:snapToGrid w:val="0"/>
        <w:spacing w:line="360" w:lineRule="auto"/>
        <w:ind w:firstLineChars="200" w:firstLine="480"/>
        <w:rPr>
          <w:rFonts w:hAnsi="宋体"/>
          <w:kern w:val="0"/>
          <w:sz w:val="24"/>
        </w:rPr>
      </w:pPr>
      <w:r w:rsidRPr="00EA1BE8">
        <w:rPr>
          <w:rFonts w:hAnsi="宋体" w:hint="eastAsia"/>
          <w:kern w:val="0"/>
          <w:sz w:val="24"/>
        </w:rPr>
        <w:t>本基金在面临大规模赎回的情况下有可能因为无法变现造成流动性风险。</w:t>
      </w:r>
    </w:p>
    <w:p w14:paraId="3A6190E2" w14:textId="2CF90258" w:rsidR="000C7165" w:rsidRPr="005435A1" w:rsidRDefault="00EE0749" w:rsidP="00EE0749">
      <w:pPr>
        <w:widowControl/>
        <w:adjustRightInd w:val="0"/>
        <w:snapToGrid w:val="0"/>
        <w:spacing w:line="360" w:lineRule="auto"/>
        <w:ind w:firstLineChars="200" w:firstLine="480"/>
        <w:rPr>
          <w:rFonts w:hAnsi="宋体"/>
          <w:kern w:val="0"/>
          <w:sz w:val="24"/>
        </w:rPr>
      </w:pPr>
      <w:r w:rsidRPr="00EA1BE8">
        <w:rPr>
          <w:rFonts w:hAnsi="宋体" w:hint="eastAsia"/>
          <w:kern w:val="0"/>
          <w:sz w:val="24"/>
        </w:rPr>
        <w:t>如果出现流动性风险，基金管理人经与基金托管人协商，在确保投资者得到公平对待的前提下，可实施备用的流动性风险管理工具，包括但不限于</w:t>
      </w:r>
      <w:r w:rsidRPr="004403D5">
        <w:rPr>
          <w:rFonts w:hAnsi="宋体" w:hint="eastAsia"/>
          <w:kern w:val="0"/>
          <w:sz w:val="24"/>
        </w:rPr>
        <w:t>延期办理巨额赎回申请</w:t>
      </w:r>
      <w:r>
        <w:rPr>
          <w:rFonts w:hAnsi="宋体" w:hint="eastAsia"/>
          <w:kern w:val="0"/>
          <w:sz w:val="24"/>
        </w:rPr>
        <w:t>、</w:t>
      </w:r>
      <w:r w:rsidRPr="00EA1BE8">
        <w:rPr>
          <w:rFonts w:hAnsi="宋体" w:hint="eastAsia"/>
          <w:kern w:val="0"/>
          <w:sz w:val="24"/>
        </w:rPr>
        <w:t>暂停接受赎回申请、延缓支付赎回款项、</w:t>
      </w:r>
      <w:r w:rsidR="000C7165">
        <w:rPr>
          <w:rFonts w:hAnsi="宋体" w:hint="eastAsia"/>
          <w:kern w:val="0"/>
          <w:sz w:val="24"/>
        </w:rPr>
        <w:t>收取</w:t>
      </w:r>
      <w:r w:rsidR="000C7165">
        <w:rPr>
          <w:rFonts w:hAnsi="宋体"/>
          <w:kern w:val="0"/>
          <w:sz w:val="24"/>
        </w:rPr>
        <w:t>短期赎回费、</w:t>
      </w:r>
      <w:r w:rsidRPr="00EA1BE8">
        <w:rPr>
          <w:rFonts w:hAnsi="宋体" w:hint="eastAsia"/>
          <w:kern w:val="0"/>
          <w:sz w:val="24"/>
        </w:rPr>
        <w:t>摆动定价、暂停基金估值</w:t>
      </w:r>
      <w:r w:rsidR="000C7165">
        <w:rPr>
          <w:rFonts w:hAnsi="宋体" w:hint="eastAsia"/>
          <w:kern w:val="0"/>
          <w:sz w:val="24"/>
        </w:rPr>
        <w:t>、实施侧袋机制</w:t>
      </w:r>
      <w:r w:rsidRPr="00EA1BE8">
        <w:rPr>
          <w:rFonts w:hAnsi="宋体" w:hint="eastAsia"/>
          <w:kern w:val="0"/>
          <w:sz w:val="24"/>
        </w:rPr>
        <w:t>等，作为特定情形下基金管理人流动性风险管理的辅助措施，同时基金管理人应时刻防范可能产生的流动性风险，对流动性风险进行日常监控，保护</w:t>
      </w:r>
      <w:r w:rsidR="000C7165">
        <w:rPr>
          <w:rFonts w:hAnsi="宋体" w:hint="eastAsia"/>
          <w:kern w:val="0"/>
          <w:sz w:val="24"/>
        </w:rPr>
        <w:t>基金份额</w:t>
      </w:r>
      <w:r w:rsidRPr="00EA1BE8">
        <w:rPr>
          <w:rFonts w:hAnsi="宋体" w:hint="eastAsia"/>
          <w:kern w:val="0"/>
          <w:sz w:val="24"/>
        </w:rPr>
        <w:t>持有人的利益。当实施备用的流动性风险管理工具时，有可能无法按合同约定的时限支付赎回款项。</w:t>
      </w:r>
    </w:p>
    <w:p w14:paraId="63D92F68" w14:textId="2C29B55A" w:rsidR="006957C6" w:rsidRPr="00903B33" w:rsidRDefault="006957C6" w:rsidP="006957C6">
      <w:pPr>
        <w:widowControl/>
        <w:adjustRightInd w:val="0"/>
        <w:snapToGrid w:val="0"/>
        <w:spacing w:line="360" w:lineRule="auto"/>
        <w:ind w:firstLineChars="200" w:firstLine="482"/>
        <w:rPr>
          <w:rFonts w:hAnsi="宋体"/>
          <w:b/>
          <w:kern w:val="0"/>
          <w:sz w:val="24"/>
        </w:rPr>
      </w:pPr>
      <w:r>
        <w:rPr>
          <w:rFonts w:hAnsi="宋体" w:hint="eastAsia"/>
          <w:b/>
          <w:kern w:val="0"/>
          <w:sz w:val="24"/>
        </w:rPr>
        <w:t>（二）</w:t>
      </w:r>
      <w:r w:rsidRPr="005435A1">
        <w:rPr>
          <w:rFonts w:hAnsi="宋体"/>
          <w:b/>
          <w:kern w:val="0"/>
          <w:sz w:val="24"/>
        </w:rPr>
        <w:t>本基金</w:t>
      </w:r>
      <w:r>
        <w:rPr>
          <w:rFonts w:hAnsi="宋体" w:hint="eastAsia"/>
          <w:b/>
          <w:kern w:val="0"/>
          <w:sz w:val="24"/>
        </w:rPr>
        <w:t>特有的</w:t>
      </w:r>
      <w:r w:rsidRPr="005435A1">
        <w:rPr>
          <w:rFonts w:hAnsi="宋体"/>
          <w:b/>
          <w:kern w:val="0"/>
          <w:sz w:val="24"/>
        </w:rPr>
        <w:t>风险</w:t>
      </w:r>
    </w:p>
    <w:p w14:paraId="1DFC9189" w14:textId="77777777" w:rsidR="006957C6" w:rsidRPr="00B72212" w:rsidRDefault="006957C6" w:rsidP="006957C6">
      <w:pPr>
        <w:widowControl/>
        <w:adjustRightInd w:val="0"/>
        <w:snapToGrid w:val="0"/>
        <w:spacing w:line="360" w:lineRule="auto"/>
        <w:ind w:firstLineChars="200" w:firstLine="480"/>
        <w:rPr>
          <w:rFonts w:hAnsi="宋体"/>
          <w:sz w:val="24"/>
        </w:rPr>
      </w:pPr>
      <w:r w:rsidRPr="00B72212">
        <w:rPr>
          <w:rFonts w:hAnsi="宋体" w:hint="eastAsia"/>
          <w:sz w:val="24"/>
        </w:rPr>
        <w:lastRenderedPageBreak/>
        <w:t>1</w:t>
      </w:r>
      <w:r w:rsidRPr="00B72212">
        <w:rPr>
          <w:rFonts w:hAnsi="宋体" w:hint="eastAsia"/>
          <w:sz w:val="24"/>
        </w:rPr>
        <w:t>、本基金为养老目标基金，致力于满足投资者的养老资金理财需求，但养老目标基金并不代表收益保障或其他任何形式的收益承诺。本基金非保本产品，存在投资者承担亏损的可能性。</w:t>
      </w:r>
    </w:p>
    <w:p w14:paraId="7D67E5B2" w14:textId="77777777" w:rsidR="006957C6" w:rsidRPr="00B72212" w:rsidRDefault="006957C6" w:rsidP="006957C6">
      <w:pPr>
        <w:widowControl/>
        <w:adjustRightInd w:val="0"/>
        <w:snapToGrid w:val="0"/>
        <w:spacing w:line="360" w:lineRule="auto"/>
        <w:ind w:firstLineChars="200" w:firstLine="480"/>
        <w:rPr>
          <w:rFonts w:hAnsi="宋体"/>
          <w:sz w:val="24"/>
        </w:rPr>
      </w:pPr>
      <w:r w:rsidRPr="00B72212">
        <w:rPr>
          <w:rFonts w:hAnsi="宋体" w:hint="eastAsia"/>
          <w:sz w:val="24"/>
        </w:rPr>
        <w:t>2</w:t>
      </w:r>
      <w:r w:rsidRPr="00B72212">
        <w:rPr>
          <w:rFonts w:hAnsi="宋体" w:hint="eastAsia"/>
          <w:sz w:val="24"/>
        </w:rPr>
        <w:t>、本基金定位为平衡型目标风险策略基金，本基金投资于经中国证监会依法核准或注册的公开募集证券投资基金的基金份额的资产不低于本基金资产的</w:t>
      </w:r>
      <w:r w:rsidRPr="00B72212">
        <w:rPr>
          <w:rFonts w:hAnsi="宋体" w:hint="eastAsia"/>
          <w:sz w:val="24"/>
        </w:rPr>
        <w:t>80%</w:t>
      </w:r>
      <w:r w:rsidRPr="00B72212">
        <w:rPr>
          <w:rFonts w:hAnsi="宋体" w:hint="eastAsia"/>
          <w:sz w:val="24"/>
        </w:rPr>
        <w:t>；投资于股票（含存托凭证）、股票型基金（包括股票指数基金）、混合型基金和商品基金（含商品期货基金和黄金</w:t>
      </w:r>
      <w:r w:rsidRPr="00B72212">
        <w:rPr>
          <w:rFonts w:hAnsi="宋体" w:hint="eastAsia"/>
          <w:sz w:val="24"/>
        </w:rPr>
        <w:t>ETF</w:t>
      </w:r>
      <w:r w:rsidRPr="00B72212">
        <w:rPr>
          <w:rFonts w:hAnsi="宋体" w:hint="eastAsia"/>
          <w:sz w:val="24"/>
        </w:rPr>
        <w:t>）等品种的比例合计不超过基金资产的</w:t>
      </w:r>
      <w:r w:rsidRPr="00B72212">
        <w:rPr>
          <w:rFonts w:hAnsi="宋体" w:hint="eastAsia"/>
          <w:sz w:val="24"/>
        </w:rPr>
        <w:t>60%</w:t>
      </w:r>
      <w:r w:rsidRPr="00B72212">
        <w:rPr>
          <w:rFonts w:hAnsi="宋体" w:hint="eastAsia"/>
          <w:sz w:val="24"/>
        </w:rPr>
        <w:t>（其中投资于港股通标的股票的比例占股票资产的</w:t>
      </w:r>
      <w:r w:rsidRPr="00B72212">
        <w:rPr>
          <w:rFonts w:hAnsi="宋体" w:hint="eastAsia"/>
          <w:sz w:val="24"/>
        </w:rPr>
        <w:t>0%-50%</w:t>
      </w:r>
      <w:r w:rsidRPr="00B72212">
        <w:rPr>
          <w:rFonts w:hAnsi="宋体" w:hint="eastAsia"/>
          <w:sz w:val="24"/>
        </w:rPr>
        <w:t>）。因此本基金所持有的基金的业绩表现、持有基金的基金管理人水平等因素将影响到本基金的基金业绩表现。</w:t>
      </w:r>
    </w:p>
    <w:p w14:paraId="15E3CEF5" w14:textId="77777777" w:rsidR="006957C6" w:rsidRPr="00B72212" w:rsidRDefault="006957C6" w:rsidP="006957C6">
      <w:pPr>
        <w:widowControl/>
        <w:adjustRightInd w:val="0"/>
        <w:snapToGrid w:val="0"/>
        <w:spacing w:line="360" w:lineRule="auto"/>
        <w:ind w:firstLineChars="200" w:firstLine="480"/>
        <w:rPr>
          <w:rFonts w:hAnsi="宋体"/>
          <w:sz w:val="24"/>
        </w:rPr>
      </w:pPr>
      <w:r w:rsidRPr="00B72212">
        <w:rPr>
          <w:rFonts w:hAnsi="宋体" w:hint="eastAsia"/>
          <w:sz w:val="24"/>
        </w:rPr>
        <w:t>3</w:t>
      </w:r>
      <w:r w:rsidRPr="00B72212">
        <w:rPr>
          <w:rFonts w:hAnsi="宋体" w:hint="eastAsia"/>
          <w:sz w:val="24"/>
        </w:rPr>
        <w:t>、本基金为基金中基金，由于本基金所持有的相当比例的基金暂停估值，导致基金管理人无法计算当日本基金资产净值；或者由于本基金持有的相当比例的基金份额或适合本基金投资的基金份额拒绝或暂停申购、暂停上市或二级市场交易停牌、基金管理人无法找到其他合适的可替代的基金品种，或其他可能对本基金业绩产生负面影响的情形，本基金可能拒绝或暂停申购业务。</w:t>
      </w:r>
    </w:p>
    <w:p w14:paraId="5F87590E" w14:textId="77777777" w:rsidR="006957C6" w:rsidRPr="00B72212" w:rsidRDefault="006957C6" w:rsidP="006957C6">
      <w:pPr>
        <w:widowControl/>
        <w:adjustRightInd w:val="0"/>
        <w:snapToGrid w:val="0"/>
        <w:spacing w:line="360" w:lineRule="auto"/>
        <w:ind w:firstLineChars="200" w:firstLine="480"/>
        <w:rPr>
          <w:rFonts w:hAnsi="宋体"/>
          <w:sz w:val="24"/>
        </w:rPr>
      </w:pPr>
      <w:r w:rsidRPr="00B72212">
        <w:rPr>
          <w:rFonts w:hAnsi="宋体" w:hint="eastAsia"/>
          <w:sz w:val="24"/>
        </w:rPr>
        <w:t>4</w:t>
      </w:r>
      <w:r w:rsidRPr="00B72212">
        <w:rPr>
          <w:rFonts w:hAnsi="宋体" w:hint="eastAsia"/>
          <w:sz w:val="24"/>
        </w:rPr>
        <w:t>、本基金为基金中基金，由于本基金所持有的相当比例的基金暂停估值，导致基金管理人无法计算当日本基金资产净值；或者由于本基金持有的相当比例的基金份额拒绝或暂停赎回、暂停上市或二级市场交易停牌、延期办理赎回、延期支付赎回款项，或其他可能对本基金业绩产生负面影响的情形，本基金可能暂停赎回或延缓支付赎回款项。</w:t>
      </w:r>
    </w:p>
    <w:p w14:paraId="667055EF" w14:textId="77777777" w:rsidR="006957C6" w:rsidRPr="00B72212" w:rsidRDefault="006957C6" w:rsidP="006957C6">
      <w:pPr>
        <w:widowControl/>
        <w:adjustRightInd w:val="0"/>
        <w:snapToGrid w:val="0"/>
        <w:spacing w:line="360" w:lineRule="auto"/>
        <w:ind w:firstLineChars="200" w:firstLine="480"/>
        <w:rPr>
          <w:rFonts w:hAnsi="宋体"/>
          <w:sz w:val="24"/>
        </w:rPr>
      </w:pPr>
      <w:r w:rsidRPr="00B72212">
        <w:rPr>
          <w:rFonts w:hAnsi="宋体" w:hint="eastAsia"/>
          <w:sz w:val="24"/>
        </w:rPr>
        <w:t>5</w:t>
      </w:r>
      <w:r w:rsidRPr="00B72212">
        <w:rPr>
          <w:rFonts w:hAnsi="宋体" w:hint="eastAsia"/>
          <w:sz w:val="24"/>
        </w:rPr>
        <w:t>、本基金为基金中基金，本基金管理人运用本基金的基金财产申购自身管理的基金的（</w:t>
      </w:r>
      <w:r w:rsidRPr="00B72212">
        <w:rPr>
          <w:rFonts w:hAnsi="宋体" w:hint="eastAsia"/>
          <w:sz w:val="24"/>
        </w:rPr>
        <w:t>ETF</w:t>
      </w:r>
      <w:r w:rsidRPr="00B72212">
        <w:rPr>
          <w:rFonts w:hAnsi="宋体" w:hint="eastAsia"/>
          <w:sz w:val="24"/>
        </w:rPr>
        <w:t>除外），应当通过直销渠道申购且不得收取申购费、赎回费（按照相关法规、基金招募说明书约定应当收取，并计入基金财产的赎回费用除外）、销售服务费（如有）等销售费用。但如果本基金管理人运用本基金的基金财产申购非自身管理的基金的，将会承担本基金以及本基金所投资或持有基金份额的相关费用，本基金对上述费用的支付将对收益水平造成影响。</w:t>
      </w:r>
    </w:p>
    <w:p w14:paraId="7E9DA895" w14:textId="77777777" w:rsidR="006957C6" w:rsidRPr="00B72212" w:rsidRDefault="006957C6" w:rsidP="006957C6">
      <w:pPr>
        <w:widowControl/>
        <w:adjustRightInd w:val="0"/>
        <w:snapToGrid w:val="0"/>
        <w:spacing w:line="360" w:lineRule="auto"/>
        <w:ind w:firstLineChars="200" w:firstLine="480"/>
        <w:rPr>
          <w:rFonts w:hAnsi="宋体"/>
          <w:sz w:val="24"/>
        </w:rPr>
      </w:pPr>
      <w:r w:rsidRPr="00B72212">
        <w:rPr>
          <w:rFonts w:hAnsi="宋体" w:hint="eastAsia"/>
          <w:sz w:val="24"/>
        </w:rPr>
        <w:t>6</w:t>
      </w:r>
      <w:r w:rsidRPr="00B72212">
        <w:rPr>
          <w:rFonts w:hAnsi="宋体" w:hint="eastAsia"/>
          <w:sz w:val="24"/>
        </w:rPr>
        <w:t>、本基金为基金中基金，本基金可能投资于封闭运作基金、定期开放基金等流通受限基金。本基金投资流动受限基金将面临所投资基金的流动性风险，因此可能在本基金需要变现资产时，受流动性所限，本基金无法卖出所持有的流通受限基金，由此可能给基金净值带来不利影响或损失。</w:t>
      </w:r>
    </w:p>
    <w:p w14:paraId="01595884" w14:textId="77777777" w:rsidR="006957C6" w:rsidRPr="00B72212" w:rsidRDefault="006957C6" w:rsidP="006957C6">
      <w:pPr>
        <w:widowControl/>
        <w:adjustRightInd w:val="0"/>
        <w:snapToGrid w:val="0"/>
        <w:spacing w:line="360" w:lineRule="auto"/>
        <w:ind w:firstLineChars="200" w:firstLine="480"/>
        <w:rPr>
          <w:rFonts w:hAnsi="宋体"/>
          <w:sz w:val="24"/>
        </w:rPr>
      </w:pPr>
      <w:r w:rsidRPr="00B72212">
        <w:rPr>
          <w:rFonts w:hAnsi="宋体" w:hint="eastAsia"/>
          <w:sz w:val="24"/>
        </w:rPr>
        <w:lastRenderedPageBreak/>
        <w:t>7</w:t>
      </w:r>
      <w:r w:rsidRPr="00B72212">
        <w:rPr>
          <w:rFonts w:hAnsi="宋体" w:hint="eastAsia"/>
          <w:sz w:val="24"/>
        </w:rPr>
        <w:t>、基金份额持有人持有的每份基金份额最短持有期限为三年，在最短持有期限内该份基金份额不可赎回，自最短持有期限届满的下一工作日起（含该日）可赎回。对于每笔认购的基金份额而言，最短持有期限自基金合同生效之日起（含该日）至三年后年度对日的前一日；对于每笔申购的基金份额而言，最短持有期限自该笔申购份额确认日（含该日）至三年后年度对日的前一日。因此，对于基金份额持有人而言，存在投资本基金后三年内无法赎回的风险。</w:t>
      </w:r>
    </w:p>
    <w:p w14:paraId="0CAC1D6F" w14:textId="77777777" w:rsidR="006957C6" w:rsidRDefault="006957C6" w:rsidP="0082745A">
      <w:pPr>
        <w:widowControl/>
        <w:adjustRightInd w:val="0"/>
        <w:snapToGrid w:val="0"/>
        <w:spacing w:line="360" w:lineRule="auto"/>
        <w:ind w:firstLineChars="200" w:firstLine="480"/>
        <w:rPr>
          <w:rFonts w:hAnsi="宋体"/>
          <w:sz w:val="24"/>
        </w:rPr>
      </w:pPr>
      <w:r w:rsidRPr="00B72212">
        <w:rPr>
          <w:rFonts w:hAnsi="宋体" w:hint="eastAsia"/>
          <w:sz w:val="24"/>
        </w:rPr>
        <w:t>8</w:t>
      </w:r>
      <w:r w:rsidRPr="00B72212">
        <w:rPr>
          <w:rFonts w:hAnsi="宋体" w:hint="eastAsia"/>
          <w:sz w:val="24"/>
        </w:rPr>
        <w:t>、本基金可投资创业板股票，创业板个股上市后的前五个交易日不设价格涨跌幅限制，第六个交易日开始涨跌幅限制比例为</w:t>
      </w:r>
      <w:r w:rsidRPr="00B72212">
        <w:rPr>
          <w:rFonts w:hAnsi="宋体" w:hint="eastAsia"/>
          <w:sz w:val="24"/>
        </w:rPr>
        <w:t>20%</w:t>
      </w:r>
      <w:r w:rsidRPr="00B72212">
        <w:rPr>
          <w:rFonts w:hAnsi="宋体" w:hint="eastAsia"/>
          <w:sz w:val="24"/>
        </w:rPr>
        <w:t>。</w:t>
      </w:r>
    </w:p>
    <w:p w14:paraId="060E1FFA" w14:textId="2DB29752" w:rsidR="00665479" w:rsidRDefault="00CD6C1B" w:rsidP="0082745A">
      <w:pPr>
        <w:widowControl/>
        <w:adjustRightInd w:val="0"/>
        <w:snapToGrid w:val="0"/>
        <w:spacing w:line="360" w:lineRule="auto"/>
        <w:ind w:firstLineChars="200" w:firstLine="482"/>
        <w:rPr>
          <w:rFonts w:hAnsi="宋体"/>
          <w:b/>
          <w:kern w:val="0"/>
          <w:sz w:val="24"/>
        </w:rPr>
      </w:pPr>
      <w:r w:rsidRPr="007643E7">
        <w:rPr>
          <w:rFonts w:hAnsi="宋体" w:hint="eastAsia"/>
          <w:b/>
          <w:kern w:val="0"/>
          <w:sz w:val="24"/>
        </w:rPr>
        <w:t>本风险揭示书未尽事宜</w:t>
      </w:r>
      <w:r w:rsidRPr="007643E7">
        <w:rPr>
          <w:rFonts w:hAnsi="宋体"/>
          <w:b/>
          <w:kern w:val="0"/>
          <w:sz w:val="24"/>
        </w:rPr>
        <w:t>，</w:t>
      </w:r>
      <w:r w:rsidRPr="007643E7">
        <w:rPr>
          <w:rFonts w:hAnsi="宋体" w:hint="eastAsia"/>
          <w:b/>
          <w:kern w:val="0"/>
          <w:sz w:val="24"/>
        </w:rPr>
        <w:t>详</w:t>
      </w:r>
      <w:r w:rsidRPr="007643E7">
        <w:rPr>
          <w:rFonts w:hint="eastAsia"/>
          <w:b/>
          <w:kern w:val="0"/>
          <w:sz w:val="24"/>
        </w:rPr>
        <w:t>见</w:t>
      </w:r>
      <w:r w:rsidRPr="007643E7">
        <w:rPr>
          <w:b/>
          <w:kern w:val="0"/>
          <w:sz w:val="24"/>
        </w:rPr>
        <w:t>本基金</w:t>
      </w:r>
      <w:r w:rsidRPr="007643E7">
        <w:rPr>
          <w:rFonts w:hint="eastAsia"/>
          <w:b/>
          <w:kern w:val="0"/>
          <w:sz w:val="24"/>
        </w:rPr>
        <w:t>《</w:t>
      </w:r>
      <w:r w:rsidRPr="007643E7">
        <w:rPr>
          <w:b/>
          <w:kern w:val="0"/>
          <w:sz w:val="24"/>
        </w:rPr>
        <w:t>招募说明书</w:t>
      </w:r>
      <w:r w:rsidRPr="007643E7">
        <w:rPr>
          <w:rFonts w:hint="eastAsia"/>
          <w:b/>
          <w:kern w:val="0"/>
          <w:sz w:val="24"/>
        </w:rPr>
        <w:t>》</w:t>
      </w:r>
      <w:r>
        <w:rPr>
          <w:kern w:val="0"/>
          <w:sz w:val="24"/>
        </w:rPr>
        <w:t>。</w:t>
      </w:r>
      <w:r w:rsidR="0064506F" w:rsidRPr="00A72F92">
        <w:rPr>
          <w:rFonts w:hAnsi="宋体" w:hint="eastAsia"/>
          <w:b/>
          <w:kern w:val="0"/>
          <w:sz w:val="24"/>
        </w:rPr>
        <w:t>本风险揭示书的揭示事项仅为列举性质，未能详尽列明投资者投资本基金所面临的全部风险和可能导致损失的所有因素。</w:t>
      </w:r>
      <w:r w:rsidR="00A72F92" w:rsidRPr="00FA767D">
        <w:rPr>
          <w:rFonts w:hAnsi="宋体" w:hint="eastAsia"/>
          <w:b/>
          <w:kern w:val="0"/>
          <w:sz w:val="24"/>
        </w:rPr>
        <w:t>基金管理人承诺以诚实信用、勤勉尽责的原则管理和运用基金资产，但不保证本基金一定盈利，也不保证最低收益。基金管理人管理的其他基金的业绩不构成对本基金业绩表现的保证。</w:t>
      </w:r>
    </w:p>
    <w:p w14:paraId="257500A7" w14:textId="41CA3989" w:rsidR="00A72F92" w:rsidRDefault="0064506F" w:rsidP="00665479">
      <w:pPr>
        <w:widowControl/>
        <w:adjustRightInd w:val="0"/>
        <w:snapToGrid w:val="0"/>
        <w:spacing w:line="360" w:lineRule="auto"/>
        <w:ind w:firstLineChars="200" w:firstLine="482"/>
        <w:rPr>
          <w:rFonts w:hAnsi="宋体"/>
          <w:b/>
          <w:kern w:val="0"/>
          <w:sz w:val="24"/>
        </w:rPr>
      </w:pPr>
      <w:r w:rsidRPr="0064506F">
        <w:rPr>
          <w:rFonts w:hAnsi="宋体" w:hint="eastAsia"/>
          <w:b/>
          <w:kern w:val="0"/>
          <w:sz w:val="24"/>
        </w:rPr>
        <w:t>投资人</w:t>
      </w:r>
      <w:r>
        <w:rPr>
          <w:rFonts w:hAnsi="宋体" w:hint="eastAsia"/>
          <w:b/>
          <w:kern w:val="0"/>
          <w:sz w:val="24"/>
        </w:rPr>
        <w:t>在投资本基金前，</w:t>
      </w:r>
      <w:r w:rsidRPr="0064506F">
        <w:rPr>
          <w:rFonts w:hAnsi="宋体" w:hint="eastAsia"/>
          <w:b/>
          <w:kern w:val="0"/>
          <w:sz w:val="24"/>
        </w:rPr>
        <w:t>应当认真阅读《基金合同》、《招募说明书》、</w:t>
      </w:r>
      <w:r>
        <w:rPr>
          <w:rFonts w:hAnsi="宋体" w:hint="eastAsia"/>
          <w:b/>
          <w:kern w:val="0"/>
          <w:sz w:val="24"/>
        </w:rPr>
        <w:t>《</w:t>
      </w:r>
      <w:r w:rsidRPr="0064506F">
        <w:rPr>
          <w:rFonts w:hAnsi="宋体" w:hint="eastAsia"/>
          <w:b/>
          <w:kern w:val="0"/>
          <w:sz w:val="24"/>
        </w:rPr>
        <w:t>基金产品资料概要</w:t>
      </w:r>
      <w:r>
        <w:rPr>
          <w:rFonts w:hAnsi="宋体" w:hint="eastAsia"/>
          <w:b/>
          <w:kern w:val="0"/>
          <w:sz w:val="24"/>
        </w:rPr>
        <w:t>》</w:t>
      </w:r>
      <w:r w:rsidRPr="0064506F">
        <w:rPr>
          <w:rFonts w:hAnsi="宋体" w:hint="eastAsia"/>
          <w:b/>
          <w:kern w:val="0"/>
          <w:sz w:val="24"/>
        </w:rPr>
        <w:t>等基金法律文件，了解</w:t>
      </w:r>
      <w:r>
        <w:rPr>
          <w:rFonts w:hAnsi="宋体" w:hint="eastAsia"/>
          <w:b/>
          <w:kern w:val="0"/>
          <w:sz w:val="24"/>
        </w:rPr>
        <w:t>本</w:t>
      </w:r>
      <w:r w:rsidRPr="0064506F">
        <w:rPr>
          <w:rFonts w:hAnsi="宋体" w:hint="eastAsia"/>
          <w:b/>
          <w:kern w:val="0"/>
          <w:sz w:val="24"/>
        </w:rPr>
        <w:t>基金的</w:t>
      </w:r>
      <w:r>
        <w:rPr>
          <w:rFonts w:hAnsi="宋体" w:hint="eastAsia"/>
          <w:b/>
          <w:kern w:val="0"/>
          <w:sz w:val="24"/>
        </w:rPr>
        <w:t>产品</w:t>
      </w:r>
      <w:r w:rsidRPr="0064506F">
        <w:rPr>
          <w:rFonts w:hAnsi="宋体" w:hint="eastAsia"/>
          <w:b/>
          <w:kern w:val="0"/>
          <w:sz w:val="24"/>
        </w:rPr>
        <w:t>特征，并根据自身的投资目的、投资期限、投资经验、资产状况等判断</w:t>
      </w:r>
      <w:r>
        <w:rPr>
          <w:rFonts w:hAnsi="宋体" w:hint="eastAsia"/>
          <w:b/>
          <w:kern w:val="0"/>
          <w:sz w:val="24"/>
        </w:rPr>
        <w:t>本</w:t>
      </w:r>
      <w:r w:rsidRPr="0064506F">
        <w:rPr>
          <w:rFonts w:hAnsi="宋体" w:hint="eastAsia"/>
          <w:b/>
          <w:kern w:val="0"/>
          <w:sz w:val="24"/>
        </w:rPr>
        <w:t>基金是否和投资人的风险承受能力相适应。</w:t>
      </w:r>
      <w:r w:rsidRPr="006220A2">
        <w:rPr>
          <w:rFonts w:hAnsi="宋体" w:hint="eastAsia"/>
          <w:b/>
          <w:kern w:val="0"/>
          <w:sz w:val="24"/>
        </w:rPr>
        <w:t>基金管理人提醒投资人基金投资的“买者自负”原则，在做出投资决策后，基金运营状况与基金净值变化引致的投资风险，由投资人自行负担。</w:t>
      </w:r>
    </w:p>
    <w:p w14:paraId="4EFAC745" w14:textId="77777777" w:rsidR="00665479" w:rsidRDefault="00665479" w:rsidP="00665479">
      <w:pPr>
        <w:widowControl/>
        <w:adjustRightInd w:val="0"/>
        <w:snapToGrid w:val="0"/>
        <w:spacing w:line="360" w:lineRule="auto"/>
        <w:ind w:firstLineChars="200" w:firstLine="482"/>
        <w:rPr>
          <w:rFonts w:hAnsi="宋体"/>
          <w:b/>
          <w:kern w:val="0"/>
          <w:sz w:val="24"/>
        </w:rPr>
      </w:pPr>
    </w:p>
    <w:p w14:paraId="77624D04" w14:textId="77777777" w:rsidR="00665479" w:rsidRDefault="00665479" w:rsidP="00665479">
      <w:pPr>
        <w:widowControl/>
        <w:adjustRightInd w:val="0"/>
        <w:snapToGrid w:val="0"/>
        <w:spacing w:line="360" w:lineRule="auto"/>
        <w:ind w:firstLineChars="200" w:firstLine="482"/>
        <w:rPr>
          <w:rFonts w:hAnsi="宋体"/>
          <w:b/>
          <w:kern w:val="0"/>
          <w:sz w:val="24"/>
        </w:rPr>
      </w:pPr>
    </w:p>
    <w:p w14:paraId="705DBBD6" w14:textId="77777777" w:rsidR="00665479" w:rsidRDefault="00665479" w:rsidP="00665479">
      <w:pPr>
        <w:widowControl/>
        <w:adjustRightInd w:val="0"/>
        <w:snapToGrid w:val="0"/>
        <w:spacing w:line="360" w:lineRule="auto"/>
        <w:ind w:firstLineChars="200" w:firstLine="482"/>
        <w:rPr>
          <w:rFonts w:hAnsi="宋体"/>
          <w:b/>
          <w:kern w:val="0"/>
          <w:sz w:val="24"/>
        </w:rPr>
      </w:pPr>
    </w:p>
    <w:p w14:paraId="7E1CC1C9" w14:textId="651C1468" w:rsidR="0064506F" w:rsidRDefault="0040084E" w:rsidP="00665479">
      <w:pPr>
        <w:widowControl/>
        <w:adjustRightInd w:val="0"/>
        <w:snapToGrid w:val="0"/>
        <w:spacing w:line="360" w:lineRule="auto"/>
        <w:ind w:firstLineChars="200" w:firstLine="482"/>
        <w:rPr>
          <w:rFonts w:hAnsi="宋体"/>
          <w:b/>
          <w:kern w:val="0"/>
          <w:sz w:val="24"/>
        </w:rPr>
      </w:pPr>
      <w:r w:rsidRPr="0040084E">
        <w:rPr>
          <w:rFonts w:hAnsi="宋体" w:hint="eastAsia"/>
          <w:b/>
          <w:kern w:val="0"/>
          <w:sz w:val="24"/>
        </w:rPr>
        <w:t>本人</w:t>
      </w:r>
      <w:r w:rsidRPr="0040084E">
        <w:rPr>
          <w:rFonts w:hAnsi="宋体" w:hint="eastAsia"/>
          <w:b/>
          <w:kern w:val="0"/>
          <w:sz w:val="24"/>
        </w:rPr>
        <w:t>/</w:t>
      </w:r>
      <w:r w:rsidRPr="0040084E">
        <w:rPr>
          <w:rFonts w:hAnsi="宋体" w:hint="eastAsia"/>
          <w:b/>
          <w:kern w:val="0"/>
          <w:sz w:val="24"/>
        </w:rPr>
        <w:t>本机构已经阅读</w:t>
      </w:r>
      <w:r>
        <w:rPr>
          <w:rFonts w:hAnsi="宋体" w:hint="eastAsia"/>
          <w:b/>
          <w:kern w:val="0"/>
          <w:sz w:val="24"/>
        </w:rPr>
        <w:t>《</w:t>
      </w:r>
      <w:r w:rsidR="00B72212">
        <w:rPr>
          <w:rFonts w:hAnsi="宋体" w:hint="eastAsia"/>
          <w:b/>
          <w:kern w:val="0"/>
          <w:sz w:val="24"/>
        </w:rPr>
        <w:t>交银施罗德安悦平衡养老目标三年持有期混合型发起式基金中基金（</w:t>
      </w:r>
      <w:r w:rsidR="00B72212">
        <w:rPr>
          <w:rFonts w:hAnsi="宋体" w:hint="eastAsia"/>
          <w:b/>
          <w:kern w:val="0"/>
          <w:sz w:val="24"/>
        </w:rPr>
        <w:t>FOF</w:t>
      </w:r>
      <w:r w:rsidR="00B72212">
        <w:rPr>
          <w:rFonts w:hAnsi="宋体" w:hint="eastAsia"/>
          <w:b/>
          <w:kern w:val="0"/>
          <w:sz w:val="24"/>
        </w:rPr>
        <w:t>）</w:t>
      </w:r>
      <w:r w:rsidRPr="0040084E">
        <w:rPr>
          <w:rFonts w:hAnsi="宋体" w:hint="eastAsia"/>
          <w:b/>
          <w:kern w:val="0"/>
          <w:sz w:val="24"/>
        </w:rPr>
        <w:t>风险揭示</w:t>
      </w:r>
      <w:r>
        <w:rPr>
          <w:rFonts w:hAnsi="宋体" w:hint="eastAsia"/>
          <w:b/>
          <w:kern w:val="0"/>
          <w:sz w:val="24"/>
        </w:rPr>
        <w:t>书》</w:t>
      </w:r>
      <w:r w:rsidRPr="0040084E">
        <w:rPr>
          <w:rFonts w:hAnsi="宋体" w:hint="eastAsia"/>
          <w:b/>
          <w:kern w:val="0"/>
          <w:sz w:val="24"/>
        </w:rPr>
        <w:t>并完全理解</w:t>
      </w:r>
      <w:r>
        <w:rPr>
          <w:rFonts w:hAnsi="宋体" w:hint="eastAsia"/>
          <w:b/>
          <w:kern w:val="0"/>
          <w:sz w:val="24"/>
        </w:rPr>
        <w:t>其</w:t>
      </w:r>
      <w:r w:rsidRPr="0040084E">
        <w:rPr>
          <w:rFonts w:hAnsi="宋体" w:hint="eastAsia"/>
          <w:b/>
          <w:kern w:val="0"/>
          <w:sz w:val="24"/>
        </w:rPr>
        <w:t>内容，</w:t>
      </w:r>
      <w:r>
        <w:rPr>
          <w:rFonts w:hAnsi="宋体" w:hint="eastAsia"/>
          <w:b/>
          <w:kern w:val="0"/>
          <w:sz w:val="24"/>
        </w:rPr>
        <w:t>已</w:t>
      </w:r>
      <w:r w:rsidRPr="0040084E">
        <w:rPr>
          <w:rFonts w:hAnsi="宋体" w:hint="eastAsia"/>
          <w:b/>
          <w:kern w:val="0"/>
          <w:sz w:val="24"/>
        </w:rPr>
        <w:t>充分了解</w:t>
      </w:r>
      <w:r w:rsidR="00B72212">
        <w:rPr>
          <w:rFonts w:hAnsi="宋体" w:hint="eastAsia"/>
          <w:b/>
          <w:kern w:val="0"/>
          <w:sz w:val="24"/>
        </w:rPr>
        <w:t>交银施罗德安悦平衡养老目标三年持有期混合型发起式基金中基金（</w:t>
      </w:r>
      <w:r w:rsidR="00B72212">
        <w:rPr>
          <w:rFonts w:hAnsi="宋体" w:hint="eastAsia"/>
          <w:b/>
          <w:kern w:val="0"/>
          <w:sz w:val="24"/>
        </w:rPr>
        <w:t>FOF</w:t>
      </w:r>
      <w:r w:rsidR="00B72212">
        <w:rPr>
          <w:rFonts w:hAnsi="宋体" w:hint="eastAsia"/>
          <w:b/>
          <w:kern w:val="0"/>
          <w:sz w:val="24"/>
        </w:rPr>
        <w:t>）</w:t>
      </w:r>
      <w:r>
        <w:rPr>
          <w:rFonts w:hAnsi="宋体" w:hint="eastAsia"/>
          <w:b/>
          <w:kern w:val="0"/>
          <w:sz w:val="24"/>
        </w:rPr>
        <w:t>的产品特征和</w:t>
      </w:r>
      <w:r w:rsidRPr="0040084E">
        <w:rPr>
          <w:rFonts w:hAnsi="宋体" w:hint="eastAsia"/>
          <w:b/>
          <w:kern w:val="0"/>
          <w:sz w:val="24"/>
        </w:rPr>
        <w:t>可能面临的风险。</w:t>
      </w:r>
    </w:p>
    <w:p w14:paraId="0A82A1FA" w14:textId="6BDDA249" w:rsidR="00EB4967" w:rsidRPr="00FA767D" w:rsidRDefault="00EB4967" w:rsidP="00FA767D">
      <w:pPr>
        <w:widowControl/>
        <w:adjustRightInd w:val="0"/>
        <w:snapToGrid w:val="0"/>
        <w:spacing w:line="360" w:lineRule="auto"/>
        <w:ind w:firstLineChars="1500" w:firstLine="3614"/>
        <w:rPr>
          <w:rFonts w:hAnsi="宋体"/>
          <w:b/>
          <w:kern w:val="0"/>
          <w:sz w:val="24"/>
        </w:rPr>
      </w:pPr>
      <w:r>
        <w:rPr>
          <w:rFonts w:hAnsi="宋体" w:hint="eastAsia"/>
          <w:b/>
          <w:kern w:val="0"/>
          <w:sz w:val="24"/>
        </w:rPr>
        <w:t>投资人</w:t>
      </w:r>
      <w:r w:rsidR="00665479">
        <w:rPr>
          <w:rFonts w:hAnsi="宋体" w:hint="eastAsia"/>
          <w:b/>
          <w:kern w:val="0"/>
          <w:sz w:val="24"/>
        </w:rPr>
        <w:t>签字</w:t>
      </w:r>
      <w:r w:rsidR="00665479">
        <w:rPr>
          <w:rFonts w:hAnsi="宋体" w:hint="eastAsia"/>
          <w:b/>
          <w:kern w:val="0"/>
          <w:sz w:val="24"/>
        </w:rPr>
        <w:t>/</w:t>
      </w:r>
      <w:r w:rsidR="00665479">
        <w:rPr>
          <w:rFonts w:hAnsi="宋体" w:hint="eastAsia"/>
          <w:b/>
          <w:kern w:val="0"/>
          <w:sz w:val="24"/>
        </w:rPr>
        <w:t>盖章</w:t>
      </w:r>
      <w:r>
        <w:rPr>
          <w:rFonts w:hAnsi="宋体" w:hint="eastAsia"/>
          <w:b/>
          <w:kern w:val="0"/>
          <w:sz w:val="24"/>
        </w:rPr>
        <w:t>：</w:t>
      </w:r>
      <w:r w:rsidR="00665479">
        <w:rPr>
          <w:rFonts w:hAnsi="宋体" w:hint="eastAsia"/>
          <w:b/>
          <w:kern w:val="0"/>
          <w:sz w:val="24"/>
        </w:rPr>
        <w:t xml:space="preserve"> </w:t>
      </w:r>
      <w:r w:rsidR="00665479">
        <w:rPr>
          <w:rFonts w:hAnsi="宋体"/>
          <w:b/>
          <w:kern w:val="0"/>
          <w:sz w:val="24"/>
        </w:rPr>
        <w:t xml:space="preserve"> </w:t>
      </w:r>
    </w:p>
    <w:sectPr w:rsidR="00EB4967" w:rsidRPr="00FA767D" w:rsidSect="00197EC7">
      <w:headerReference w:type="default" r:id="rId8"/>
      <w:footerReference w:type="default" r:id="rId9"/>
      <w:pgSz w:w="11906" w:h="16838"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43557" w14:textId="77777777" w:rsidR="00A20498" w:rsidRDefault="00A20498">
      <w:r>
        <w:separator/>
      </w:r>
    </w:p>
  </w:endnote>
  <w:endnote w:type="continuationSeparator" w:id="0">
    <w:p w14:paraId="7A0F4CFC" w14:textId="77777777" w:rsidR="00A20498" w:rsidRDefault="00A20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00000000"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37E8F" w14:textId="41C3A975" w:rsidR="0077075D" w:rsidRPr="004E5884" w:rsidRDefault="00637F1F" w:rsidP="004E5884">
    <w:pPr>
      <w:pStyle w:val="a8"/>
      <w:jc w:val="center"/>
    </w:pPr>
    <w:r>
      <w:rPr>
        <w:rStyle w:val="a9"/>
      </w:rPr>
      <w:fldChar w:fldCharType="begin"/>
    </w:r>
    <w:r w:rsidR="0077075D">
      <w:rPr>
        <w:rStyle w:val="a9"/>
      </w:rPr>
      <w:instrText xml:space="preserve"> PAGE </w:instrText>
    </w:r>
    <w:r>
      <w:rPr>
        <w:rStyle w:val="a9"/>
      </w:rPr>
      <w:fldChar w:fldCharType="separate"/>
    </w:r>
    <w:r w:rsidR="00DB53FF">
      <w:rPr>
        <w:rStyle w:val="a9"/>
        <w:noProof/>
      </w:rPr>
      <w:t>2</w:t>
    </w:r>
    <w:r>
      <w:rPr>
        <w:rStyle w:val="a9"/>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5F103" w14:textId="77777777" w:rsidR="00A20498" w:rsidRDefault="00A20498">
      <w:r>
        <w:separator/>
      </w:r>
    </w:p>
  </w:footnote>
  <w:footnote w:type="continuationSeparator" w:id="0">
    <w:p w14:paraId="20C4362E" w14:textId="77777777" w:rsidR="00A20498" w:rsidRDefault="00A204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5F9E2" w14:textId="77777777" w:rsidR="00B72212" w:rsidRDefault="00356C10" w:rsidP="00864181">
    <w:pPr>
      <w:pStyle w:val="aa"/>
      <w:jc w:val="right"/>
      <w:rPr>
        <w:noProof/>
      </w:rPr>
    </w:pPr>
    <w:r>
      <w:rPr>
        <w:rFonts w:hint="eastAsia"/>
        <w:noProof/>
      </w:rPr>
      <w:drawing>
        <wp:anchor distT="0" distB="0" distL="114300" distR="114300" simplePos="0" relativeHeight="251658752" behindDoc="0" locked="0" layoutInCell="1" allowOverlap="1" wp14:anchorId="214F802A" wp14:editId="01F4846F">
          <wp:simplePos x="0" y="0"/>
          <wp:positionH relativeFrom="column">
            <wp:posOffset>11430</wp:posOffset>
          </wp:positionH>
          <wp:positionV relativeFrom="paragraph">
            <wp:posOffset>21590</wp:posOffset>
          </wp:positionV>
          <wp:extent cx="1828800" cy="238125"/>
          <wp:effectExtent l="19050" t="0" r="0" b="0"/>
          <wp:wrapNone/>
          <wp:docPr id="7"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828800" cy="238125"/>
                  </a:xfrm>
                  <a:prstGeom prst="rect">
                    <a:avLst/>
                  </a:prstGeom>
                  <a:noFill/>
                  <a:ln w="9525">
                    <a:noFill/>
                    <a:miter lim="800000"/>
                    <a:headEnd/>
                    <a:tailEnd/>
                  </a:ln>
                </pic:spPr>
              </pic:pic>
            </a:graphicData>
          </a:graphic>
        </wp:anchor>
      </w:drawing>
    </w:r>
    <w:r w:rsidR="00B72212" w:rsidRPr="00B72212">
      <w:rPr>
        <w:rFonts w:hint="eastAsia"/>
        <w:noProof/>
      </w:rPr>
      <w:t>交银施罗德安悦平衡养老目标三年持有期</w:t>
    </w:r>
  </w:p>
  <w:p w14:paraId="28C39010" w14:textId="766C1169" w:rsidR="00356C10" w:rsidRDefault="00B72212" w:rsidP="00B72212">
    <w:pPr>
      <w:pStyle w:val="aa"/>
      <w:jc w:val="right"/>
    </w:pPr>
    <w:r w:rsidRPr="00B72212">
      <w:rPr>
        <w:rFonts w:hint="eastAsia"/>
        <w:noProof/>
      </w:rPr>
      <w:t>混合型发起式基金中基金（</w:t>
    </w:r>
    <w:r w:rsidRPr="00B72212">
      <w:rPr>
        <w:rFonts w:hint="eastAsia"/>
        <w:noProof/>
      </w:rPr>
      <w:t>FOF</w:t>
    </w:r>
    <w:r w:rsidRPr="00B72212">
      <w:rPr>
        <w:rFonts w:hint="eastAsia"/>
        <w:noProof/>
      </w:rPr>
      <w:t>）</w:t>
    </w:r>
    <w:r w:rsidR="00864181" w:rsidRPr="00864181">
      <w:rPr>
        <w:rFonts w:hint="eastAsia"/>
      </w:rPr>
      <w:t>风险揭示书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2AFE"/>
    <w:multiLevelType w:val="hybridMultilevel"/>
    <w:tmpl w:val="CAF00678"/>
    <w:lvl w:ilvl="0" w:tplc="04090017">
      <w:start w:val="1"/>
      <w:numFmt w:val="chineseCountingThousand"/>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0ED3587F"/>
    <w:multiLevelType w:val="singleLevel"/>
    <w:tmpl w:val="43962AF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6F46A3"/>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AAC64A5"/>
    <w:multiLevelType w:val="hybridMultilevel"/>
    <w:tmpl w:val="9C8E9FEA"/>
    <w:lvl w:ilvl="0" w:tplc="5C549A84">
      <w:start w:val="1"/>
      <w:numFmt w:val="chineseCountingThousand"/>
      <w:pStyle w:val="2"/>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F541315"/>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BA4C1D"/>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0EA45B6"/>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AF15D1B"/>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6463390"/>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517F41C8"/>
    <w:multiLevelType w:val="hybridMultilevel"/>
    <w:tmpl w:val="763C38B2"/>
    <w:lvl w:ilvl="0" w:tplc="5818163E">
      <w:start w:val="1"/>
      <w:numFmt w:val="chineseCountingThousand"/>
      <w:lvlText w:val="%1、"/>
      <w:lvlJc w:val="left"/>
      <w:pPr>
        <w:tabs>
          <w:tab w:val="num" w:pos="420"/>
        </w:tabs>
        <w:ind w:left="420" w:hanging="420"/>
      </w:pPr>
    </w:lvl>
    <w:lvl w:ilvl="1" w:tplc="04090017">
      <w:start w:val="1"/>
      <w:numFmt w:val="chineseCountingThousand"/>
      <w:lvlText w:val="(%2)"/>
      <w:lvlJc w:val="left"/>
      <w:pPr>
        <w:tabs>
          <w:tab w:val="num" w:pos="840"/>
        </w:tabs>
        <w:ind w:left="840" w:hanging="420"/>
      </w:pPr>
    </w:lvl>
    <w:lvl w:ilvl="2" w:tplc="EFF06E94">
      <w:start w:val="1"/>
      <w:numFmt w:val="japaneseCounting"/>
      <w:lvlText w:val="（%3）"/>
      <w:lvlJc w:val="left"/>
      <w:pPr>
        <w:tabs>
          <w:tab w:val="num" w:pos="1695"/>
        </w:tabs>
        <w:ind w:left="1695" w:hanging="855"/>
      </w:pPr>
      <w:rPr>
        <w:rFonts w:hint="default"/>
      </w:rPr>
    </w:lvl>
    <w:lvl w:ilvl="3" w:tplc="370C3AB6">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76514F4"/>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5861BF8"/>
    <w:multiLevelType w:val="hybridMultilevel"/>
    <w:tmpl w:val="6F86EDAA"/>
    <w:lvl w:ilvl="0" w:tplc="0409000B">
      <w:start w:val="1"/>
      <w:numFmt w:val="bullet"/>
      <w:lvlText w:val=""/>
      <w:lvlJc w:val="left"/>
      <w:pPr>
        <w:ind w:left="1012" w:hanging="420"/>
      </w:pPr>
      <w:rPr>
        <w:rFonts w:ascii="Wingdings" w:hAnsi="Wingdings" w:hint="default"/>
      </w:r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12" w15:restartNumberingAfterBreak="0">
    <w:nsid w:val="6B7001F6"/>
    <w:multiLevelType w:val="multilevel"/>
    <w:tmpl w:val="6B7001F6"/>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3" w15:restartNumberingAfterBreak="0">
    <w:nsid w:val="702B0290"/>
    <w:multiLevelType w:val="hybridMultilevel"/>
    <w:tmpl w:val="F26E10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705A019E"/>
    <w:multiLevelType w:val="hybridMultilevel"/>
    <w:tmpl w:val="FA1484E0"/>
    <w:lvl w:ilvl="0" w:tplc="327403B0">
      <w:start w:val="1"/>
      <w:numFmt w:val="bullet"/>
      <w:pStyle w:val="InfoBlue"/>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07A5092"/>
    <w:multiLevelType w:val="hybridMultilevel"/>
    <w:tmpl w:val="4F9EF25A"/>
    <w:lvl w:ilvl="0" w:tplc="0409000F">
      <w:start w:val="1"/>
      <w:numFmt w:val="decimal"/>
      <w:lvlText w:val="%1."/>
      <w:lvlJc w:val="left"/>
      <w:pPr>
        <w:ind w:left="1012" w:hanging="420"/>
      </w:pPr>
    </w:lvl>
    <w:lvl w:ilvl="1" w:tplc="04090019" w:tentative="1">
      <w:start w:val="1"/>
      <w:numFmt w:val="lowerLetter"/>
      <w:lvlText w:val="%2)"/>
      <w:lvlJc w:val="left"/>
      <w:pPr>
        <w:ind w:left="1432" w:hanging="420"/>
      </w:pPr>
    </w:lvl>
    <w:lvl w:ilvl="2" w:tplc="0409001B" w:tentative="1">
      <w:start w:val="1"/>
      <w:numFmt w:val="lowerRoman"/>
      <w:lvlText w:val="%3."/>
      <w:lvlJc w:val="right"/>
      <w:pPr>
        <w:ind w:left="1852" w:hanging="420"/>
      </w:pPr>
    </w:lvl>
    <w:lvl w:ilvl="3" w:tplc="0409000F" w:tentative="1">
      <w:start w:val="1"/>
      <w:numFmt w:val="decimal"/>
      <w:lvlText w:val="%4."/>
      <w:lvlJc w:val="left"/>
      <w:pPr>
        <w:ind w:left="2272" w:hanging="420"/>
      </w:pPr>
    </w:lvl>
    <w:lvl w:ilvl="4" w:tplc="04090019" w:tentative="1">
      <w:start w:val="1"/>
      <w:numFmt w:val="lowerLetter"/>
      <w:lvlText w:val="%5)"/>
      <w:lvlJc w:val="left"/>
      <w:pPr>
        <w:ind w:left="2692" w:hanging="420"/>
      </w:pPr>
    </w:lvl>
    <w:lvl w:ilvl="5" w:tplc="0409001B" w:tentative="1">
      <w:start w:val="1"/>
      <w:numFmt w:val="lowerRoman"/>
      <w:lvlText w:val="%6."/>
      <w:lvlJc w:val="right"/>
      <w:pPr>
        <w:ind w:left="3112" w:hanging="420"/>
      </w:pPr>
    </w:lvl>
    <w:lvl w:ilvl="6" w:tplc="0409000F" w:tentative="1">
      <w:start w:val="1"/>
      <w:numFmt w:val="decimal"/>
      <w:lvlText w:val="%7."/>
      <w:lvlJc w:val="left"/>
      <w:pPr>
        <w:ind w:left="3532" w:hanging="420"/>
      </w:pPr>
    </w:lvl>
    <w:lvl w:ilvl="7" w:tplc="04090019" w:tentative="1">
      <w:start w:val="1"/>
      <w:numFmt w:val="lowerLetter"/>
      <w:lvlText w:val="%8)"/>
      <w:lvlJc w:val="left"/>
      <w:pPr>
        <w:ind w:left="3952" w:hanging="420"/>
      </w:pPr>
    </w:lvl>
    <w:lvl w:ilvl="8" w:tplc="0409001B" w:tentative="1">
      <w:start w:val="1"/>
      <w:numFmt w:val="lowerRoman"/>
      <w:lvlText w:val="%9."/>
      <w:lvlJc w:val="right"/>
      <w:pPr>
        <w:ind w:left="4372" w:hanging="420"/>
      </w:pPr>
    </w:lvl>
  </w:abstractNum>
  <w:abstractNum w:abstractNumId="16" w15:restartNumberingAfterBreak="0">
    <w:nsid w:val="742C1615"/>
    <w:multiLevelType w:val="hybridMultilevel"/>
    <w:tmpl w:val="CAF00678"/>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4"/>
  </w:num>
  <w:num w:numId="2">
    <w:abstractNumId w:val="1"/>
  </w:num>
  <w:num w:numId="3">
    <w:abstractNumId w:val="9"/>
  </w:num>
  <w:num w:numId="4">
    <w:abstractNumId w:val="3"/>
  </w:num>
  <w:num w:numId="5">
    <w:abstractNumId w:val="16"/>
  </w:num>
  <w:num w:numId="6">
    <w:abstractNumId w:val="10"/>
  </w:num>
  <w:num w:numId="7">
    <w:abstractNumId w:val="6"/>
  </w:num>
  <w:num w:numId="8">
    <w:abstractNumId w:val="7"/>
  </w:num>
  <w:num w:numId="9">
    <w:abstractNumId w:val="0"/>
  </w:num>
  <w:num w:numId="10">
    <w:abstractNumId w:val="8"/>
  </w:num>
  <w:num w:numId="11">
    <w:abstractNumId w:val="2"/>
  </w:num>
  <w:num w:numId="12">
    <w:abstractNumId w:val="4"/>
  </w:num>
  <w:num w:numId="13">
    <w:abstractNumId w:val="5"/>
  </w:num>
  <w:num w:numId="14">
    <w:abstractNumId w:val="3"/>
    <w:lvlOverride w:ilvl="0">
      <w:startOverride w:val="1"/>
    </w:lvlOverride>
  </w:num>
  <w:num w:numId="15">
    <w:abstractNumId w:val="15"/>
  </w:num>
  <w:num w:numId="16">
    <w:abstractNumId w:val="11"/>
  </w:num>
  <w:num w:numId="17">
    <w:abstractNumId w:val="13"/>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eaeaea">
      <v:fill color="#eaeaea"/>
      <v:shadow on="t"/>
      <o:colormru v:ext="edit" colors="#fcc,#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0C1A"/>
    <w:rsid w:val="0000061C"/>
    <w:rsid w:val="000018CA"/>
    <w:rsid w:val="00001DFD"/>
    <w:rsid w:val="00005EE9"/>
    <w:rsid w:val="00010411"/>
    <w:rsid w:val="00010712"/>
    <w:rsid w:val="000112DA"/>
    <w:rsid w:val="0001130F"/>
    <w:rsid w:val="00011CDF"/>
    <w:rsid w:val="00012808"/>
    <w:rsid w:val="000132A8"/>
    <w:rsid w:val="00013A95"/>
    <w:rsid w:val="000140AF"/>
    <w:rsid w:val="00014968"/>
    <w:rsid w:val="00025EA5"/>
    <w:rsid w:val="00026A33"/>
    <w:rsid w:val="00034544"/>
    <w:rsid w:val="0003783C"/>
    <w:rsid w:val="00041343"/>
    <w:rsid w:val="00042343"/>
    <w:rsid w:val="0004412D"/>
    <w:rsid w:val="000446E8"/>
    <w:rsid w:val="000463C1"/>
    <w:rsid w:val="000467C2"/>
    <w:rsid w:val="00046D4A"/>
    <w:rsid w:val="000478DB"/>
    <w:rsid w:val="00050F65"/>
    <w:rsid w:val="00053841"/>
    <w:rsid w:val="00053F3A"/>
    <w:rsid w:val="00054FEA"/>
    <w:rsid w:val="000553EF"/>
    <w:rsid w:val="00057BA1"/>
    <w:rsid w:val="00060653"/>
    <w:rsid w:val="00063490"/>
    <w:rsid w:val="00064D85"/>
    <w:rsid w:val="000703EA"/>
    <w:rsid w:val="00076F73"/>
    <w:rsid w:val="00080DB1"/>
    <w:rsid w:val="00081A9A"/>
    <w:rsid w:val="00083D9E"/>
    <w:rsid w:val="00084F7F"/>
    <w:rsid w:val="0008538C"/>
    <w:rsid w:val="00085CB9"/>
    <w:rsid w:val="000878A6"/>
    <w:rsid w:val="00087AB6"/>
    <w:rsid w:val="000903D3"/>
    <w:rsid w:val="00091B1F"/>
    <w:rsid w:val="000927F6"/>
    <w:rsid w:val="000928C4"/>
    <w:rsid w:val="00097C24"/>
    <w:rsid w:val="000A07BE"/>
    <w:rsid w:val="000A7DBF"/>
    <w:rsid w:val="000B0FA3"/>
    <w:rsid w:val="000B274A"/>
    <w:rsid w:val="000B3B23"/>
    <w:rsid w:val="000B69B3"/>
    <w:rsid w:val="000C1B20"/>
    <w:rsid w:val="000C47D5"/>
    <w:rsid w:val="000C7165"/>
    <w:rsid w:val="000C7C99"/>
    <w:rsid w:val="000D05BA"/>
    <w:rsid w:val="000D2744"/>
    <w:rsid w:val="000D33B0"/>
    <w:rsid w:val="000D767F"/>
    <w:rsid w:val="000E07CA"/>
    <w:rsid w:val="000E7284"/>
    <w:rsid w:val="000F171D"/>
    <w:rsid w:val="000F343D"/>
    <w:rsid w:val="000F61A5"/>
    <w:rsid w:val="001008E2"/>
    <w:rsid w:val="00105BAE"/>
    <w:rsid w:val="001074A0"/>
    <w:rsid w:val="001078F5"/>
    <w:rsid w:val="00112972"/>
    <w:rsid w:val="00114892"/>
    <w:rsid w:val="00116984"/>
    <w:rsid w:val="00122317"/>
    <w:rsid w:val="00122CB4"/>
    <w:rsid w:val="001254C5"/>
    <w:rsid w:val="00127B1D"/>
    <w:rsid w:val="00142806"/>
    <w:rsid w:val="00150682"/>
    <w:rsid w:val="00151312"/>
    <w:rsid w:val="00151653"/>
    <w:rsid w:val="00152A59"/>
    <w:rsid w:val="001540B8"/>
    <w:rsid w:val="001564CF"/>
    <w:rsid w:val="00160339"/>
    <w:rsid w:val="001603BB"/>
    <w:rsid w:val="00163F93"/>
    <w:rsid w:val="001640D2"/>
    <w:rsid w:val="00165B9C"/>
    <w:rsid w:val="001667BC"/>
    <w:rsid w:val="00167FF2"/>
    <w:rsid w:val="00170563"/>
    <w:rsid w:val="001731A8"/>
    <w:rsid w:val="001739F8"/>
    <w:rsid w:val="00174E42"/>
    <w:rsid w:val="001753C7"/>
    <w:rsid w:val="001758D8"/>
    <w:rsid w:val="00180D8B"/>
    <w:rsid w:val="00181B91"/>
    <w:rsid w:val="00182D95"/>
    <w:rsid w:val="00184375"/>
    <w:rsid w:val="00190204"/>
    <w:rsid w:val="001926EB"/>
    <w:rsid w:val="0019373B"/>
    <w:rsid w:val="00193916"/>
    <w:rsid w:val="00193C3F"/>
    <w:rsid w:val="001965AE"/>
    <w:rsid w:val="00196711"/>
    <w:rsid w:val="00197C82"/>
    <w:rsid w:val="00197EC7"/>
    <w:rsid w:val="001A06E7"/>
    <w:rsid w:val="001A0D33"/>
    <w:rsid w:val="001A20DB"/>
    <w:rsid w:val="001A2E3F"/>
    <w:rsid w:val="001A4894"/>
    <w:rsid w:val="001A5035"/>
    <w:rsid w:val="001B111C"/>
    <w:rsid w:val="001B5F0E"/>
    <w:rsid w:val="001B6A19"/>
    <w:rsid w:val="001B6AE7"/>
    <w:rsid w:val="001C1AA9"/>
    <w:rsid w:val="001C5E55"/>
    <w:rsid w:val="001D1BE0"/>
    <w:rsid w:val="001D1F56"/>
    <w:rsid w:val="001D2B71"/>
    <w:rsid w:val="001D3C03"/>
    <w:rsid w:val="001E16AC"/>
    <w:rsid w:val="001E22FE"/>
    <w:rsid w:val="001E3E4D"/>
    <w:rsid w:val="001E4A75"/>
    <w:rsid w:val="001E4F8A"/>
    <w:rsid w:val="001E5D45"/>
    <w:rsid w:val="001E6160"/>
    <w:rsid w:val="001F083E"/>
    <w:rsid w:val="001F0F0B"/>
    <w:rsid w:val="001F29E5"/>
    <w:rsid w:val="001F2F9E"/>
    <w:rsid w:val="001F330B"/>
    <w:rsid w:val="001F3E38"/>
    <w:rsid w:val="001F40CD"/>
    <w:rsid w:val="0020326C"/>
    <w:rsid w:val="00206425"/>
    <w:rsid w:val="00206D3C"/>
    <w:rsid w:val="00207B64"/>
    <w:rsid w:val="00211B1C"/>
    <w:rsid w:val="0021332B"/>
    <w:rsid w:val="00216BB6"/>
    <w:rsid w:val="00216DE0"/>
    <w:rsid w:val="002176C7"/>
    <w:rsid w:val="002176E8"/>
    <w:rsid w:val="002206BA"/>
    <w:rsid w:val="00222684"/>
    <w:rsid w:val="00224E7D"/>
    <w:rsid w:val="00226400"/>
    <w:rsid w:val="00227A34"/>
    <w:rsid w:val="00230070"/>
    <w:rsid w:val="002307B0"/>
    <w:rsid w:val="00232941"/>
    <w:rsid w:val="002342E2"/>
    <w:rsid w:val="002350C4"/>
    <w:rsid w:val="0023672A"/>
    <w:rsid w:val="00236CDF"/>
    <w:rsid w:val="00240294"/>
    <w:rsid w:val="002403E2"/>
    <w:rsid w:val="002414D7"/>
    <w:rsid w:val="002427A6"/>
    <w:rsid w:val="00242DD9"/>
    <w:rsid w:val="00242E5E"/>
    <w:rsid w:val="00243660"/>
    <w:rsid w:val="00244A4C"/>
    <w:rsid w:val="002457E4"/>
    <w:rsid w:val="00246B9B"/>
    <w:rsid w:val="00246FA8"/>
    <w:rsid w:val="002504F3"/>
    <w:rsid w:val="00253EA4"/>
    <w:rsid w:val="00254CA0"/>
    <w:rsid w:val="00256B96"/>
    <w:rsid w:val="002610E5"/>
    <w:rsid w:val="002624B1"/>
    <w:rsid w:val="00262FE7"/>
    <w:rsid w:val="00263473"/>
    <w:rsid w:val="0026446E"/>
    <w:rsid w:val="002656E0"/>
    <w:rsid w:val="0026613C"/>
    <w:rsid w:val="00266988"/>
    <w:rsid w:val="00271009"/>
    <w:rsid w:val="00274AF6"/>
    <w:rsid w:val="00275977"/>
    <w:rsid w:val="00276E51"/>
    <w:rsid w:val="002777C3"/>
    <w:rsid w:val="002825A9"/>
    <w:rsid w:val="00282BE8"/>
    <w:rsid w:val="00282D22"/>
    <w:rsid w:val="002837D8"/>
    <w:rsid w:val="00284D58"/>
    <w:rsid w:val="00285128"/>
    <w:rsid w:val="00290B86"/>
    <w:rsid w:val="002912CB"/>
    <w:rsid w:val="00292A1B"/>
    <w:rsid w:val="002944B9"/>
    <w:rsid w:val="002946DE"/>
    <w:rsid w:val="002968E6"/>
    <w:rsid w:val="002A44B5"/>
    <w:rsid w:val="002A6657"/>
    <w:rsid w:val="002A704E"/>
    <w:rsid w:val="002B26D7"/>
    <w:rsid w:val="002B48BA"/>
    <w:rsid w:val="002B70A2"/>
    <w:rsid w:val="002B76AC"/>
    <w:rsid w:val="002B7B9B"/>
    <w:rsid w:val="002C0AE6"/>
    <w:rsid w:val="002C531A"/>
    <w:rsid w:val="002D1BDB"/>
    <w:rsid w:val="002D3E24"/>
    <w:rsid w:val="002D552D"/>
    <w:rsid w:val="002D660F"/>
    <w:rsid w:val="002E003D"/>
    <w:rsid w:val="002E3518"/>
    <w:rsid w:val="002E462D"/>
    <w:rsid w:val="002E55A8"/>
    <w:rsid w:val="002E6574"/>
    <w:rsid w:val="002E69A2"/>
    <w:rsid w:val="002E7A16"/>
    <w:rsid w:val="002F158F"/>
    <w:rsid w:val="002F3075"/>
    <w:rsid w:val="002F7609"/>
    <w:rsid w:val="003009A0"/>
    <w:rsid w:val="00302377"/>
    <w:rsid w:val="00303FEC"/>
    <w:rsid w:val="00304A33"/>
    <w:rsid w:val="00305081"/>
    <w:rsid w:val="00305A79"/>
    <w:rsid w:val="00306AE8"/>
    <w:rsid w:val="00306FD0"/>
    <w:rsid w:val="00307FC2"/>
    <w:rsid w:val="00311676"/>
    <w:rsid w:val="00311B0E"/>
    <w:rsid w:val="003121D7"/>
    <w:rsid w:val="00315B8E"/>
    <w:rsid w:val="00321710"/>
    <w:rsid w:val="00326481"/>
    <w:rsid w:val="003309F7"/>
    <w:rsid w:val="00331831"/>
    <w:rsid w:val="0033285C"/>
    <w:rsid w:val="0033429D"/>
    <w:rsid w:val="00335664"/>
    <w:rsid w:val="00342061"/>
    <w:rsid w:val="0034288E"/>
    <w:rsid w:val="00345086"/>
    <w:rsid w:val="00350A96"/>
    <w:rsid w:val="00351745"/>
    <w:rsid w:val="00352C61"/>
    <w:rsid w:val="00355166"/>
    <w:rsid w:val="0035607C"/>
    <w:rsid w:val="00356135"/>
    <w:rsid w:val="0035667F"/>
    <w:rsid w:val="00356C10"/>
    <w:rsid w:val="0035739D"/>
    <w:rsid w:val="00357783"/>
    <w:rsid w:val="00363080"/>
    <w:rsid w:val="00365C9F"/>
    <w:rsid w:val="00366750"/>
    <w:rsid w:val="00370592"/>
    <w:rsid w:val="00372CB2"/>
    <w:rsid w:val="00374EFC"/>
    <w:rsid w:val="00380BFE"/>
    <w:rsid w:val="0038127A"/>
    <w:rsid w:val="00382A0D"/>
    <w:rsid w:val="003836F7"/>
    <w:rsid w:val="003858B4"/>
    <w:rsid w:val="00385F62"/>
    <w:rsid w:val="003871CF"/>
    <w:rsid w:val="00387436"/>
    <w:rsid w:val="003914D1"/>
    <w:rsid w:val="003926B0"/>
    <w:rsid w:val="00393488"/>
    <w:rsid w:val="0039573F"/>
    <w:rsid w:val="003A1098"/>
    <w:rsid w:val="003A3699"/>
    <w:rsid w:val="003A735D"/>
    <w:rsid w:val="003A7BED"/>
    <w:rsid w:val="003A7F08"/>
    <w:rsid w:val="003B4B63"/>
    <w:rsid w:val="003B52CF"/>
    <w:rsid w:val="003B7D50"/>
    <w:rsid w:val="003B7D80"/>
    <w:rsid w:val="003C3811"/>
    <w:rsid w:val="003D1FBB"/>
    <w:rsid w:val="003D334D"/>
    <w:rsid w:val="003D3741"/>
    <w:rsid w:val="003D4313"/>
    <w:rsid w:val="003D47E2"/>
    <w:rsid w:val="003D4A48"/>
    <w:rsid w:val="003D4BDB"/>
    <w:rsid w:val="003D5691"/>
    <w:rsid w:val="003D67B0"/>
    <w:rsid w:val="003D7C42"/>
    <w:rsid w:val="003D7F04"/>
    <w:rsid w:val="003E00DA"/>
    <w:rsid w:val="003E114F"/>
    <w:rsid w:val="003E30FA"/>
    <w:rsid w:val="003E425F"/>
    <w:rsid w:val="003E518C"/>
    <w:rsid w:val="003E6B5C"/>
    <w:rsid w:val="003F0094"/>
    <w:rsid w:val="003F07A9"/>
    <w:rsid w:val="003F25A0"/>
    <w:rsid w:val="003F2781"/>
    <w:rsid w:val="003F4087"/>
    <w:rsid w:val="003F4F0B"/>
    <w:rsid w:val="003F71C6"/>
    <w:rsid w:val="003F7B5E"/>
    <w:rsid w:val="0040084E"/>
    <w:rsid w:val="00400BDE"/>
    <w:rsid w:val="00410035"/>
    <w:rsid w:val="00415433"/>
    <w:rsid w:val="00417212"/>
    <w:rsid w:val="00421DC4"/>
    <w:rsid w:val="00425563"/>
    <w:rsid w:val="004274CC"/>
    <w:rsid w:val="004300F6"/>
    <w:rsid w:val="00435245"/>
    <w:rsid w:val="00435F55"/>
    <w:rsid w:val="00436295"/>
    <w:rsid w:val="00436C7A"/>
    <w:rsid w:val="004379C6"/>
    <w:rsid w:val="00440467"/>
    <w:rsid w:val="00440D05"/>
    <w:rsid w:val="004445F3"/>
    <w:rsid w:val="00445D1D"/>
    <w:rsid w:val="00446755"/>
    <w:rsid w:val="004534E0"/>
    <w:rsid w:val="00456732"/>
    <w:rsid w:val="00456810"/>
    <w:rsid w:val="004568A2"/>
    <w:rsid w:val="00457E7B"/>
    <w:rsid w:val="00460517"/>
    <w:rsid w:val="0046626B"/>
    <w:rsid w:val="00472FA6"/>
    <w:rsid w:val="00474139"/>
    <w:rsid w:val="00475212"/>
    <w:rsid w:val="004800A3"/>
    <w:rsid w:val="00481404"/>
    <w:rsid w:val="00482BA0"/>
    <w:rsid w:val="00494528"/>
    <w:rsid w:val="00496029"/>
    <w:rsid w:val="00496584"/>
    <w:rsid w:val="00496855"/>
    <w:rsid w:val="004A06C3"/>
    <w:rsid w:val="004A34D7"/>
    <w:rsid w:val="004B4868"/>
    <w:rsid w:val="004B7559"/>
    <w:rsid w:val="004C1343"/>
    <w:rsid w:val="004C29E1"/>
    <w:rsid w:val="004C36E5"/>
    <w:rsid w:val="004C635B"/>
    <w:rsid w:val="004D7705"/>
    <w:rsid w:val="004D7B79"/>
    <w:rsid w:val="004E25E2"/>
    <w:rsid w:val="004E40E0"/>
    <w:rsid w:val="004E5884"/>
    <w:rsid w:val="004F0DD9"/>
    <w:rsid w:val="004F493F"/>
    <w:rsid w:val="004F7057"/>
    <w:rsid w:val="0050108C"/>
    <w:rsid w:val="00502C69"/>
    <w:rsid w:val="005041F6"/>
    <w:rsid w:val="00505C9F"/>
    <w:rsid w:val="00506048"/>
    <w:rsid w:val="00510BC2"/>
    <w:rsid w:val="00513826"/>
    <w:rsid w:val="00513DAD"/>
    <w:rsid w:val="00521318"/>
    <w:rsid w:val="00525996"/>
    <w:rsid w:val="00525B1D"/>
    <w:rsid w:val="00526712"/>
    <w:rsid w:val="00526B21"/>
    <w:rsid w:val="005308C5"/>
    <w:rsid w:val="005332E6"/>
    <w:rsid w:val="00534090"/>
    <w:rsid w:val="005448C6"/>
    <w:rsid w:val="00544DE3"/>
    <w:rsid w:val="0055068F"/>
    <w:rsid w:val="00551652"/>
    <w:rsid w:val="00552AB3"/>
    <w:rsid w:val="005558D1"/>
    <w:rsid w:val="005563E3"/>
    <w:rsid w:val="00562190"/>
    <w:rsid w:val="00562D04"/>
    <w:rsid w:val="00563C8D"/>
    <w:rsid w:val="00564E75"/>
    <w:rsid w:val="00566C7E"/>
    <w:rsid w:val="00567430"/>
    <w:rsid w:val="00570C1A"/>
    <w:rsid w:val="005714D7"/>
    <w:rsid w:val="00572A57"/>
    <w:rsid w:val="00580BD2"/>
    <w:rsid w:val="00585FBE"/>
    <w:rsid w:val="00586153"/>
    <w:rsid w:val="005908AD"/>
    <w:rsid w:val="0059427B"/>
    <w:rsid w:val="0059503E"/>
    <w:rsid w:val="00597BDD"/>
    <w:rsid w:val="005A34E3"/>
    <w:rsid w:val="005A5461"/>
    <w:rsid w:val="005B2013"/>
    <w:rsid w:val="005B28B2"/>
    <w:rsid w:val="005B46E4"/>
    <w:rsid w:val="005B5400"/>
    <w:rsid w:val="005B6058"/>
    <w:rsid w:val="005B7102"/>
    <w:rsid w:val="005C0942"/>
    <w:rsid w:val="005C1222"/>
    <w:rsid w:val="005C1F39"/>
    <w:rsid w:val="005C4AE6"/>
    <w:rsid w:val="005C6ECB"/>
    <w:rsid w:val="005D0A41"/>
    <w:rsid w:val="005D0CC2"/>
    <w:rsid w:val="005D126D"/>
    <w:rsid w:val="005D1B8F"/>
    <w:rsid w:val="005D5BF6"/>
    <w:rsid w:val="005D759A"/>
    <w:rsid w:val="005E3404"/>
    <w:rsid w:val="005E3F9A"/>
    <w:rsid w:val="005E4D6C"/>
    <w:rsid w:val="005E61CB"/>
    <w:rsid w:val="005E7446"/>
    <w:rsid w:val="00601D54"/>
    <w:rsid w:val="006033ED"/>
    <w:rsid w:val="00604DE6"/>
    <w:rsid w:val="00604FED"/>
    <w:rsid w:val="00605B80"/>
    <w:rsid w:val="00606150"/>
    <w:rsid w:val="00606511"/>
    <w:rsid w:val="00607183"/>
    <w:rsid w:val="00607E7D"/>
    <w:rsid w:val="00610842"/>
    <w:rsid w:val="006116FF"/>
    <w:rsid w:val="00612DC4"/>
    <w:rsid w:val="0061534F"/>
    <w:rsid w:val="0061539D"/>
    <w:rsid w:val="0061740D"/>
    <w:rsid w:val="00621C4D"/>
    <w:rsid w:val="0062245A"/>
    <w:rsid w:val="00622514"/>
    <w:rsid w:val="00625D40"/>
    <w:rsid w:val="006269FA"/>
    <w:rsid w:val="00626A49"/>
    <w:rsid w:val="00634011"/>
    <w:rsid w:val="00636592"/>
    <w:rsid w:val="00636952"/>
    <w:rsid w:val="00637F1F"/>
    <w:rsid w:val="00640A66"/>
    <w:rsid w:val="00640F0E"/>
    <w:rsid w:val="0064169A"/>
    <w:rsid w:val="006430C7"/>
    <w:rsid w:val="0064506F"/>
    <w:rsid w:val="00646684"/>
    <w:rsid w:val="006475A2"/>
    <w:rsid w:val="0065346A"/>
    <w:rsid w:val="00654F8B"/>
    <w:rsid w:val="00656A7E"/>
    <w:rsid w:val="00661414"/>
    <w:rsid w:val="006619A2"/>
    <w:rsid w:val="00662CD5"/>
    <w:rsid w:val="00663905"/>
    <w:rsid w:val="00664E1F"/>
    <w:rsid w:val="00664E6A"/>
    <w:rsid w:val="00665479"/>
    <w:rsid w:val="00665C3F"/>
    <w:rsid w:val="006743BB"/>
    <w:rsid w:val="006753DB"/>
    <w:rsid w:val="00675D16"/>
    <w:rsid w:val="00676374"/>
    <w:rsid w:val="00676A95"/>
    <w:rsid w:val="00677585"/>
    <w:rsid w:val="00677E48"/>
    <w:rsid w:val="0068305B"/>
    <w:rsid w:val="00683CCD"/>
    <w:rsid w:val="00683FD4"/>
    <w:rsid w:val="00684795"/>
    <w:rsid w:val="00687A11"/>
    <w:rsid w:val="00693520"/>
    <w:rsid w:val="00694037"/>
    <w:rsid w:val="00694092"/>
    <w:rsid w:val="00694870"/>
    <w:rsid w:val="00694E52"/>
    <w:rsid w:val="00695646"/>
    <w:rsid w:val="006957C6"/>
    <w:rsid w:val="006958F2"/>
    <w:rsid w:val="006A152E"/>
    <w:rsid w:val="006B4AAD"/>
    <w:rsid w:val="006B6738"/>
    <w:rsid w:val="006C1876"/>
    <w:rsid w:val="006C1F2E"/>
    <w:rsid w:val="006C728D"/>
    <w:rsid w:val="006D00D3"/>
    <w:rsid w:val="006D4332"/>
    <w:rsid w:val="006D5B04"/>
    <w:rsid w:val="006D75F1"/>
    <w:rsid w:val="006D7F46"/>
    <w:rsid w:val="006E067A"/>
    <w:rsid w:val="006E0EC5"/>
    <w:rsid w:val="006E15F6"/>
    <w:rsid w:val="006E2244"/>
    <w:rsid w:val="006E3110"/>
    <w:rsid w:val="006E5E3C"/>
    <w:rsid w:val="006E68AE"/>
    <w:rsid w:val="006E701B"/>
    <w:rsid w:val="006F2588"/>
    <w:rsid w:val="006F2DEB"/>
    <w:rsid w:val="006F662A"/>
    <w:rsid w:val="007037EE"/>
    <w:rsid w:val="007065D5"/>
    <w:rsid w:val="00717F4E"/>
    <w:rsid w:val="007208AD"/>
    <w:rsid w:val="00722F67"/>
    <w:rsid w:val="00723C46"/>
    <w:rsid w:val="00725AFF"/>
    <w:rsid w:val="007301A8"/>
    <w:rsid w:val="00732CE1"/>
    <w:rsid w:val="00735D72"/>
    <w:rsid w:val="007406D6"/>
    <w:rsid w:val="00740846"/>
    <w:rsid w:val="0074210C"/>
    <w:rsid w:val="00746ADE"/>
    <w:rsid w:val="0074755E"/>
    <w:rsid w:val="007555E9"/>
    <w:rsid w:val="007602EA"/>
    <w:rsid w:val="00762A8A"/>
    <w:rsid w:val="007634CA"/>
    <w:rsid w:val="0076636D"/>
    <w:rsid w:val="00767439"/>
    <w:rsid w:val="0077075D"/>
    <w:rsid w:val="00772CBA"/>
    <w:rsid w:val="00775C9B"/>
    <w:rsid w:val="00777D29"/>
    <w:rsid w:val="00781DEE"/>
    <w:rsid w:val="00781FE3"/>
    <w:rsid w:val="007821A7"/>
    <w:rsid w:val="0078423A"/>
    <w:rsid w:val="00790972"/>
    <w:rsid w:val="00792194"/>
    <w:rsid w:val="00792EFA"/>
    <w:rsid w:val="007941DC"/>
    <w:rsid w:val="00794905"/>
    <w:rsid w:val="00795EDF"/>
    <w:rsid w:val="007A14D7"/>
    <w:rsid w:val="007A3216"/>
    <w:rsid w:val="007A3B49"/>
    <w:rsid w:val="007A3B71"/>
    <w:rsid w:val="007A3F5E"/>
    <w:rsid w:val="007A6A0F"/>
    <w:rsid w:val="007A78A2"/>
    <w:rsid w:val="007A79FF"/>
    <w:rsid w:val="007B0178"/>
    <w:rsid w:val="007B2508"/>
    <w:rsid w:val="007B2B56"/>
    <w:rsid w:val="007B7F42"/>
    <w:rsid w:val="007C0B90"/>
    <w:rsid w:val="007C4BA3"/>
    <w:rsid w:val="007D21C9"/>
    <w:rsid w:val="007D36C5"/>
    <w:rsid w:val="007D3CAF"/>
    <w:rsid w:val="007D5A60"/>
    <w:rsid w:val="007D757F"/>
    <w:rsid w:val="007E0840"/>
    <w:rsid w:val="007E0A90"/>
    <w:rsid w:val="007F0F29"/>
    <w:rsid w:val="007F20DF"/>
    <w:rsid w:val="007F3501"/>
    <w:rsid w:val="007F3ECC"/>
    <w:rsid w:val="007F4CEC"/>
    <w:rsid w:val="007F5165"/>
    <w:rsid w:val="007F739C"/>
    <w:rsid w:val="00800070"/>
    <w:rsid w:val="00802966"/>
    <w:rsid w:val="00806702"/>
    <w:rsid w:val="00810721"/>
    <w:rsid w:val="008141E3"/>
    <w:rsid w:val="00815F09"/>
    <w:rsid w:val="0082141C"/>
    <w:rsid w:val="00822903"/>
    <w:rsid w:val="00823EFA"/>
    <w:rsid w:val="0082745A"/>
    <w:rsid w:val="00827AB0"/>
    <w:rsid w:val="00827C69"/>
    <w:rsid w:val="00834076"/>
    <w:rsid w:val="0083495C"/>
    <w:rsid w:val="00835F45"/>
    <w:rsid w:val="00835FA7"/>
    <w:rsid w:val="008363E3"/>
    <w:rsid w:val="00836C58"/>
    <w:rsid w:val="00837901"/>
    <w:rsid w:val="00843056"/>
    <w:rsid w:val="008432B9"/>
    <w:rsid w:val="0084659A"/>
    <w:rsid w:val="00847693"/>
    <w:rsid w:val="00847CEE"/>
    <w:rsid w:val="008508A4"/>
    <w:rsid w:val="008522DA"/>
    <w:rsid w:val="0085427E"/>
    <w:rsid w:val="00855286"/>
    <w:rsid w:val="00855807"/>
    <w:rsid w:val="00855F93"/>
    <w:rsid w:val="0085734C"/>
    <w:rsid w:val="008579D8"/>
    <w:rsid w:val="00860D97"/>
    <w:rsid w:val="008611D8"/>
    <w:rsid w:val="00863DE4"/>
    <w:rsid w:val="00863E18"/>
    <w:rsid w:val="00864181"/>
    <w:rsid w:val="00866060"/>
    <w:rsid w:val="00867D72"/>
    <w:rsid w:val="00872740"/>
    <w:rsid w:val="00872E76"/>
    <w:rsid w:val="00875E6D"/>
    <w:rsid w:val="00876181"/>
    <w:rsid w:val="0088365F"/>
    <w:rsid w:val="00885126"/>
    <w:rsid w:val="008878E8"/>
    <w:rsid w:val="008911C2"/>
    <w:rsid w:val="0089122A"/>
    <w:rsid w:val="008923B1"/>
    <w:rsid w:val="00892825"/>
    <w:rsid w:val="0089537D"/>
    <w:rsid w:val="00896802"/>
    <w:rsid w:val="008A3756"/>
    <w:rsid w:val="008A74FD"/>
    <w:rsid w:val="008B0A67"/>
    <w:rsid w:val="008B6CAB"/>
    <w:rsid w:val="008C7989"/>
    <w:rsid w:val="008D0993"/>
    <w:rsid w:val="008D26DD"/>
    <w:rsid w:val="008D27FF"/>
    <w:rsid w:val="008D2E07"/>
    <w:rsid w:val="008D4297"/>
    <w:rsid w:val="008D5813"/>
    <w:rsid w:val="008D6736"/>
    <w:rsid w:val="008E26CC"/>
    <w:rsid w:val="008E3F41"/>
    <w:rsid w:val="008E49C1"/>
    <w:rsid w:val="008F19C5"/>
    <w:rsid w:val="008F2F9C"/>
    <w:rsid w:val="00900150"/>
    <w:rsid w:val="00900966"/>
    <w:rsid w:val="009020B9"/>
    <w:rsid w:val="00903B33"/>
    <w:rsid w:val="00906800"/>
    <w:rsid w:val="009068FB"/>
    <w:rsid w:val="00907608"/>
    <w:rsid w:val="00911F3A"/>
    <w:rsid w:val="0091301A"/>
    <w:rsid w:val="00913DD2"/>
    <w:rsid w:val="009147B7"/>
    <w:rsid w:val="00916B07"/>
    <w:rsid w:val="00917ACA"/>
    <w:rsid w:val="00922E0B"/>
    <w:rsid w:val="009264D9"/>
    <w:rsid w:val="009313A0"/>
    <w:rsid w:val="00931786"/>
    <w:rsid w:val="00935269"/>
    <w:rsid w:val="00937B39"/>
    <w:rsid w:val="00940495"/>
    <w:rsid w:val="009405B3"/>
    <w:rsid w:val="0094147E"/>
    <w:rsid w:val="009441CA"/>
    <w:rsid w:val="009471FA"/>
    <w:rsid w:val="009510CB"/>
    <w:rsid w:val="009526ED"/>
    <w:rsid w:val="00953B96"/>
    <w:rsid w:val="00953CC8"/>
    <w:rsid w:val="00954A84"/>
    <w:rsid w:val="009558E5"/>
    <w:rsid w:val="00956EAF"/>
    <w:rsid w:val="00957511"/>
    <w:rsid w:val="00963421"/>
    <w:rsid w:val="00963477"/>
    <w:rsid w:val="009645C2"/>
    <w:rsid w:val="009650BA"/>
    <w:rsid w:val="0096532C"/>
    <w:rsid w:val="009723D0"/>
    <w:rsid w:val="009735B8"/>
    <w:rsid w:val="00973A5E"/>
    <w:rsid w:val="00973F65"/>
    <w:rsid w:val="00974593"/>
    <w:rsid w:val="00975814"/>
    <w:rsid w:val="00975A82"/>
    <w:rsid w:val="00975C99"/>
    <w:rsid w:val="009810B7"/>
    <w:rsid w:val="00981AAA"/>
    <w:rsid w:val="009902F3"/>
    <w:rsid w:val="00991056"/>
    <w:rsid w:val="00991754"/>
    <w:rsid w:val="00993FE4"/>
    <w:rsid w:val="0099513F"/>
    <w:rsid w:val="009A0811"/>
    <w:rsid w:val="009A53AB"/>
    <w:rsid w:val="009A67EF"/>
    <w:rsid w:val="009B0D63"/>
    <w:rsid w:val="009B288A"/>
    <w:rsid w:val="009B3E4F"/>
    <w:rsid w:val="009B3ECC"/>
    <w:rsid w:val="009B68D4"/>
    <w:rsid w:val="009C010C"/>
    <w:rsid w:val="009C1751"/>
    <w:rsid w:val="009C3496"/>
    <w:rsid w:val="009C3FFB"/>
    <w:rsid w:val="009C65A2"/>
    <w:rsid w:val="009D1345"/>
    <w:rsid w:val="009D1836"/>
    <w:rsid w:val="009D1A0B"/>
    <w:rsid w:val="009D5739"/>
    <w:rsid w:val="009D5D03"/>
    <w:rsid w:val="009E31C4"/>
    <w:rsid w:val="009E3B53"/>
    <w:rsid w:val="009F581A"/>
    <w:rsid w:val="009F7A61"/>
    <w:rsid w:val="009F7A8D"/>
    <w:rsid w:val="009F7E59"/>
    <w:rsid w:val="00A008C0"/>
    <w:rsid w:val="00A012CA"/>
    <w:rsid w:val="00A042F4"/>
    <w:rsid w:val="00A05A2B"/>
    <w:rsid w:val="00A07F76"/>
    <w:rsid w:val="00A10834"/>
    <w:rsid w:val="00A133C4"/>
    <w:rsid w:val="00A1594B"/>
    <w:rsid w:val="00A20498"/>
    <w:rsid w:val="00A20EDF"/>
    <w:rsid w:val="00A24F5B"/>
    <w:rsid w:val="00A27287"/>
    <w:rsid w:val="00A31878"/>
    <w:rsid w:val="00A328C2"/>
    <w:rsid w:val="00A34A3A"/>
    <w:rsid w:val="00A3554E"/>
    <w:rsid w:val="00A37C4D"/>
    <w:rsid w:val="00A421B2"/>
    <w:rsid w:val="00A454FF"/>
    <w:rsid w:val="00A45902"/>
    <w:rsid w:val="00A51224"/>
    <w:rsid w:val="00A5135B"/>
    <w:rsid w:val="00A54D6F"/>
    <w:rsid w:val="00A61532"/>
    <w:rsid w:val="00A6356B"/>
    <w:rsid w:val="00A70639"/>
    <w:rsid w:val="00A72F92"/>
    <w:rsid w:val="00A73261"/>
    <w:rsid w:val="00A74C76"/>
    <w:rsid w:val="00A77F11"/>
    <w:rsid w:val="00A77F49"/>
    <w:rsid w:val="00A80A3D"/>
    <w:rsid w:val="00A82AAF"/>
    <w:rsid w:val="00A90B21"/>
    <w:rsid w:val="00A94FC7"/>
    <w:rsid w:val="00A95DD3"/>
    <w:rsid w:val="00A96E22"/>
    <w:rsid w:val="00AA52E2"/>
    <w:rsid w:val="00AA5A3A"/>
    <w:rsid w:val="00AA5AA5"/>
    <w:rsid w:val="00AA5C8B"/>
    <w:rsid w:val="00AA6685"/>
    <w:rsid w:val="00AA6E4C"/>
    <w:rsid w:val="00AA6EB4"/>
    <w:rsid w:val="00AB090E"/>
    <w:rsid w:val="00AB7922"/>
    <w:rsid w:val="00AB7E03"/>
    <w:rsid w:val="00AC0640"/>
    <w:rsid w:val="00AC09E7"/>
    <w:rsid w:val="00AC0C3B"/>
    <w:rsid w:val="00AC19DA"/>
    <w:rsid w:val="00AC4441"/>
    <w:rsid w:val="00AC646D"/>
    <w:rsid w:val="00AD141F"/>
    <w:rsid w:val="00AD1CFC"/>
    <w:rsid w:val="00AD23EF"/>
    <w:rsid w:val="00AD482F"/>
    <w:rsid w:val="00AD7790"/>
    <w:rsid w:val="00AE1717"/>
    <w:rsid w:val="00AE3DD2"/>
    <w:rsid w:val="00AE4E54"/>
    <w:rsid w:val="00AE605B"/>
    <w:rsid w:val="00AF2194"/>
    <w:rsid w:val="00AF51E4"/>
    <w:rsid w:val="00AF55CE"/>
    <w:rsid w:val="00AF6E21"/>
    <w:rsid w:val="00B01624"/>
    <w:rsid w:val="00B02222"/>
    <w:rsid w:val="00B040E8"/>
    <w:rsid w:val="00B05DE7"/>
    <w:rsid w:val="00B068CC"/>
    <w:rsid w:val="00B078EE"/>
    <w:rsid w:val="00B07BE1"/>
    <w:rsid w:val="00B13E6E"/>
    <w:rsid w:val="00B148D2"/>
    <w:rsid w:val="00B172B3"/>
    <w:rsid w:val="00B203E9"/>
    <w:rsid w:val="00B22E36"/>
    <w:rsid w:val="00B233AC"/>
    <w:rsid w:val="00B27117"/>
    <w:rsid w:val="00B311EC"/>
    <w:rsid w:val="00B31550"/>
    <w:rsid w:val="00B3373E"/>
    <w:rsid w:val="00B342E6"/>
    <w:rsid w:val="00B35832"/>
    <w:rsid w:val="00B37E39"/>
    <w:rsid w:val="00B45C3A"/>
    <w:rsid w:val="00B50DD7"/>
    <w:rsid w:val="00B52EAD"/>
    <w:rsid w:val="00B533E1"/>
    <w:rsid w:val="00B53506"/>
    <w:rsid w:val="00B625A8"/>
    <w:rsid w:val="00B628C2"/>
    <w:rsid w:val="00B65FCC"/>
    <w:rsid w:val="00B6605E"/>
    <w:rsid w:val="00B66068"/>
    <w:rsid w:val="00B66948"/>
    <w:rsid w:val="00B679C1"/>
    <w:rsid w:val="00B70A13"/>
    <w:rsid w:val="00B714FC"/>
    <w:rsid w:val="00B72212"/>
    <w:rsid w:val="00B75324"/>
    <w:rsid w:val="00B7730F"/>
    <w:rsid w:val="00B84DD4"/>
    <w:rsid w:val="00B84FCF"/>
    <w:rsid w:val="00B86D8B"/>
    <w:rsid w:val="00B879D2"/>
    <w:rsid w:val="00B907C4"/>
    <w:rsid w:val="00B9206A"/>
    <w:rsid w:val="00B9248E"/>
    <w:rsid w:val="00B92F16"/>
    <w:rsid w:val="00B9507C"/>
    <w:rsid w:val="00B979EB"/>
    <w:rsid w:val="00BA0AAF"/>
    <w:rsid w:val="00BA0CA3"/>
    <w:rsid w:val="00BA2FAF"/>
    <w:rsid w:val="00BA553B"/>
    <w:rsid w:val="00BA66BF"/>
    <w:rsid w:val="00BB19C4"/>
    <w:rsid w:val="00BB238D"/>
    <w:rsid w:val="00BB35EB"/>
    <w:rsid w:val="00BB3E65"/>
    <w:rsid w:val="00BB41E3"/>
    <w:rsid w:val="00BB7F57"/>
    <w:rsid w:val="00BC003E"/>
    <w:rsid w:val="00BC13FA"/>
    <w:rsid w:val="00BC4309"/>
    <w:rsid w:val="00BC49BF"/>
    <w:rsid w:val="00BC4A64"/>
    <w:rsid w:val="00BC6702"/>
    <w:rsid w:val="00BC6BEF"/>
    <w:rsid w:val="00BD286E"/>
    <w:rsid w:val="00BD2A35"/>
    <w:rsid w:val="00BD39D4"/>
    <w:rsid w:val="00BD5EDF"/>
    <w:rsid w:val="00BE04D6"/>
    <w:rsid w:val="00BE26DC"/>
    <w:rsid w:val="00BE30D0"/>
    <w:rsid w:val="00BE5C74"/>
    <w:rsid w:val="00BE7DEE"/>
    <w:rsid w:val="00BE7F0C"/>
    <w:rsid w:val="00BF07BB"/>
    <w:rsid w:val="00BF0936"/>
    <w:rsid w:val="00BF2125"/>
    <w:rsid w:val="00BF44CD"/>
    <w:rsid w:val="00BF755B"/>
    <w:rsid w:val="00C02EC1"/>
    <w:rsid w:val="00C035D7"/>
    <w:rsid w:val="00C04C46"/>
    <w:rsid w:val="00C10C4F"/>
    <w:rsid w:val="00C13851"/>
    <w:rsid w:val="00C14190"/>
    <w:rsid w:val="00C16210"/>
    <w:rsid w:val="00C20022"/>
    <w:rsid w:val="00C20F14"/>
    <w:rsid w:val="00C241A6"/>
    <w:rsid w:val="00C24314"/>
    <w:rsid w:val="00C277A7"/>
    <w:rsid w:val="00C3469A"/>
    <w:rsid w:val="00C36348"/>
    <w:rsid w:val="00C36A33"/>
    <w:rsid w:val="00C420AD"/>
    <w:rsid w:val="00C42234"/>
    <w:rsid w:val="00C466BE"/>
    <w:rsid w:val="00C5051C"/>
    <w:rsid w:val="00C518A0"/>
    <w:rsid w:val="00C51F9E"/>
    <w:rsid w:val="00C55DD2"/>
    <w:rsid w:val="00C640CA"/>
    <w:rsid w:val="00C648AB"/>
    <w:rsid w:val="00C66B53"/>
    <w:rsid w:val="00C67FD0"/>
    <w:rsid w:val="00C84E55"/>
    <w:rsid w:val="00C852D9"/>
    <w:rsid w:val="00C85DE8"/>
    <w:rsid w:val="00C86684"/>
    <w:rsid w:val="00C915E0"/>
    <w:rsid w:val="00C915FF"/>
    <w:rsid w:val="00C93E1B"/>
    <w:rsid w:val="00CA07BE"/>
    <w:rsid w:val="00CA08C8"/>
    <w:rsid w:val="00CA15CB"/>
    <w:rsid w:val="00CA393E"/>
    <w:rsid w:val="00CA4518"/>
    <w:rsid w:val="00CA5FCC"/>
    <w:rsid w:val="00CB0A52"/>
    <w:rsid w:val="00CB1496"/>
    <w:rsid w:val="00CB1CF0"/>
    <w:rsid w:val="00CC0AD9"/>
    <w:rsid w:val="00CC4D9F"/>
    <w:rsid w:val="00CC5465"/>
    <w:rsid w:val="00CC6D7A"/>
    <w:rsid w:val="00CD0E47"/>
    <w:rsid w:val="00CD239B"/>
    <w:rsid w:val="00CD260B"/>
    <w:rsid w:val="00CD5EEF"/>
    <w:rsid w:val="00CD6763"/>
    <w:rsid w:val="00CD6C1B"/>
    <w:rsid w:val="00CD7DBF"/>
    <w:rsid w:val="00CE028E"/>
    <w:rsid w:val="00CE141C"/>
    <w:rsid w:val="00CE15CD"/>
    <w:rsid w:val="00CE4362"/>
    <w:rsid w:val="00CE56BD"/>
    <w:rsid w:val="00CE75BB"/>
    <w:rsid w:val="00CE77FB"/>
    <w:rsid w:val="00CE7D47"/>
    <w:rsid w:val="00CF2DBC"/>
    <w:rsid w:val="00CF56DC"/>
    <w:rsid w:val="00CF7DBD"/>
    <w:rsid w:val="00D00065"/>
    <w:rsid w:val="00D00E44"/>
    <w:rsid w:val="00D01AA4"/>
    <w:rsid w:val="00D030DF"/>
    <w:rsid w:val="00D0750B"/>
    <w:rsid w:val="00D11679"/>
    <w:rsid w:val="00D130F3"/>
    <w:rsid w:val="00D13CBF"/>
    <w:rsid w:val="00D1411D"/>
    <w:rsid w:val="00D141E4"/>
    <w:rsid w:val="00D24462"/>
    <w:rsid w:val="00D26AB8"/>
    <w:rsid w:val="00D327AF"/>
    <w:rsid w:val="00D343BF"/>
    <w:rsid w:val="00D35F46"/>
    <w:rsid w:val="00D400A2"/>
    <w:rsid w:val="00D403B6"/>
    <w:rsid w:val="00D41730"/>
    <w:rsid w:val="00D43371"/>
    <w:rsid w:val="00D43F66"/>
    <w:rsid w:val="00D509F7"/>
    <w:rsid w:val="00D50BCC"/>
    <w:rsid w:val="00D53A34"/>
    <w:rsid w:val="00D551E7"/>
    <w:rsid w:val="00D56154"/>
    <w:rsid w:val="00D613A2"/>
    <w:rsid w:val="00D62EB6"/>
    <w:rsid w:val="00D67F02"/>
    <w:rsid w:val="00D7078F"/>
    <w:rsid w:val="00D711E3"/>
    <w:rsid w:val="00D71540"/>
    <w:rsid w:val="00D71768"/>
    <w:rsid w:val="00D71B6B"/>
    <w:rsid w:val="00D758D1"/>
    <w:rsid w:val="00D76FB6"/>
    <w:rsid w:val="00D80135"/>
    <w:rsid w:val="00D8300B"/>
    <w:rsid w:val="00D83756"/>
    <w:rsid w:val="00D83B24"/>
    <w:rsid w:val="00D871C0"/>
    <w:rsid w:val="00D907AF"/>
    <w:rsid w:val="00D90C96"/>
    <w:rsid w:val="00D916DE"/>
    <w:rsid w:val="00D92498"/>
    <w:rsid w:val="00D959AE"/>
    <w:rsid w:val="00D95D67"/>
    <w:rsid w:val="00DA13A4"/>
    <w:rsid w:val="00DA35A1"/>
    <w:rsid w:val="00DA5AB0"/>
    <w:rsid w:val="00DA5E97"/>
    <w:rsid w:val="00DA6F9E"/>
    <w:rsid w:val="00DA7811"/>
    <w:rsid w:val="00DB2E6F"/>
    <w:rsid w:val="00DB4297"/>
    <w:rsid w:val="00DB535D"/>
    <w:rsid w:val="00DB53FF"/>
    <w:rsid w:val="00DB6D32"/>
    <w:rsid w:val="00DC3DBA"/>
    <w:rsid w:val="00DC4334"/>
    <w:rsid w:val="00DC5E1E"/>
    <w:rsid w:val="00DD41E5"/>
    <w:rsid w:val="00DD4F16"/>
    <w:rsid w:val="00DE25BF"/>
    <w:rsid w:val="00DE3158"/>
    <w:rsid w:val="00DE3798"/>
    <w:rsid w:val="00DE59EB"/>
    <w:rsid w:val="00DF690E"/>
    <w:rsid w:val="00E00282"/>
    <w:rsid w:val="00E025E5"/>
    <w:rsid w:val="00E039EF"/>
    <w:rsid w:val="00E1289F"/>
    <w:rsid w:val="00E15D27"/>
    <w:rsid w:val="00E205AE"/>
    <w:rsid w:val="00E2252E"/>
    <w:rsid w:val="00E22D81"/>
    <w:rsid w:val="00E252C7"/>
    <w:rsid w:val="00E2560E"/>
    <w:rsid w:val="00E256AE"/>
    <w:rsid w:val="00E26608"/>
    <w:rsid w:val="00E30257"/>
    <w:rsid w:val="00E30F05"/>
    <w:rsid w:val="00E320C8"/>
    <w:rsid w:val="00E35A1D"/>
    <w:rsid w:val="00E36474"/>
    <w:rsid w:val="00E36A12"/>
    <w:rsid w:val="00E37F9A"/>
    <w:rsid w:val="00E45146"/>
    <w:rsid w:val="00E458B6"/>
    <w:rsid w:val="00E45E16"/>
    <w:rsid w:val="00E5031E"/>
    <w:rsid w:val="00E511AE"/>
    <w:rsid w:val="00E54467"/>
    <w:rsid w:val="00E562DE"/>
    <w:rsid w:val="00E5756B"/>
    <w:rsid w:val="00E61376"/>
    <w:rsid w:val="00E61D15"/>
    <w:rsid w:val="00E6378E"/>
    <w:rsid w:val="00E63E8C"/>
    <w:rsid w:val="00E655E5"/>
    <w:rsid w:val="00E667B0"/>
    <w:rsid w:val="00E70281"/>
    <w:rsid w:val="00E73051"/>
    <w:rsid w:val="00E738A4"/>
    <w:rsid w:val="00E76ACD"/>
    <w:rsid w:val="00E81652"/>
    <w:rsid w:val="00E8353A"/>
    <w:rsid w:val="00E862E1"/>
    <w:rsid w:val="00E87E67"/>
    <w:rsid w:val="00E91C57"/>
    <w:rsid w:val="00E931B4"/>
    <w:rsid w:val="00E96DA0"/>
    <w:rsid w:val="00EA07CE"/>
    <w:rsid w:val="00EA0FBA"/>
    <w:rsid w:val="00EB15AE"/>
    <w:rsid w:val="00EB35E6"/>
    <w:rsid w:val="00EB4967"/>
    <w:rsid w:val="00EB799E"/>
    <w:rsid w:val="00EC01CD"/>
    <w:rsid w:val="00EC403E"/>
    <w:rsid w:val="00EC47D8"/>
    <w:rsid w:val="00EC5E9D"/>
    <w:rsid w:val="00EC6103"/>
    <w:rsid w:val="00EC6412"/>
    <w:rsid w:val="00ED49AA"/>
    <w:rsid w:val="00ED4E43"/>
    <w:rsid w:val="00ED7652"/>
    <w:rsid w:val="00EE0749"/>
    <w:rsid w:val="00EE0F73"/>
    <w:rsid w:val="00EE0FCA"/>
    <w:rsid w:val="00EE6CAE"/>
    <w:rsid w:val="00EF1202"/>
    <w:rsid w:val="00EF2662"/>
    <w:rsid w:val="00F01E4B"/>
    <w:rsid w:val="00F0505C"/>
    <w:rsid w:val="00F0745A"/>
    <w:rsid w:val="00F108F0"/>
    <w:rsid w:val="00F12B32"/>
    <w:rsid w:val="00F148E0"/>
    <w:rsid w:val="00F14F8F"/>
    <w:rsid w:val="00F16859"/>
    <w:rsid w:val="00F170D7"/>
    <w:rsid w:val="00F208C7"/>
    <w:rsid w:val="00F3003F"/>
    <w:rsid w:val="00F36F37"/>
    <w:rsid w:val="00F37A98"/>
    <w:rsid w:val="00F412BD"/>
    <w:rsid w:val="00F42A40"/>
    <w:rsid w:val="00F47775"/>
    <w:rsid w:val="00F51115"/>
    <w:rsid w:val="00F51DB7"/>
    <w:rsid w:val="00F54995"/>
    <w:rsid w:val="00F57D13"/>
    <w:rsid w:val="00F646A0"/>
    <w:rsid w:val="00F712CA"/>
    <w:rsid w:val="00F7228B"/>
    <w:rsid w:val="00F74F98"/>
    <w:rsid w:val="00F75858"/>
    <w:rsid w:val="00F75E9C"/>
    <w:rsid w:val="00F773FC"/>
    <w:rsid w:val="00F830F3"/>
    <w:rsid w:val="00F851EF"/>
    <w:rsid w:val="00F85B86"/>
    <w:rsid w:val="00F9063D"/>
    <w:rsid w:val="00F91AD8"/>
    <w:rsid w:val="00F935D1"/>
    <w:rsid w:val="00F97762"/>
    <w:rsid w:val="00F97782"/>
    <w:rsid w:val="00F97E6A"/>
    <w:rsid w:val="00FA06F4"/>
    <w:rsid w:val="00FA1FF9"/>
    <w:rsid w:val="00FA21FB"/>
    <w:rsid w:val="00FA3EDE"/>
    <w:rsid w:val="00FA576D"/>
    <w:rsid w:val="00FA74E1"/>
    <w:rsid w:val="00FA767D"/>
    <w:rsid w:val="00FA7F1B"/>
    <w:rsid w:val="00FB0BA7"/>
    <w:rsid w:val="00FB200E"/>
    <w:rsid w:val="00FB3A63"/>
    <w:rsid w:val="00FB3AB9"/>
    <w:rsid w:val="00FB41D5"/>
    <w:rsid w:val="00FB71B8"/>
    <w:rsid w:val="00FC40B1"/>
    <w:rsid w:val="00FC4854"/>
    <w:rsid w:val="00FC4BF1"/>
    <w:rsid w:val="00FC4D61"/>
    <w:rsid w:val="00FC6BB0"/>
    <w:rsid w:val="00FD0273"/>
    <w:rsid w:val="00FD1616"/>
    <w:rsid w:val="00FD3091"/>
    <w:rsid w:val="00FD324F"/>
    <w:rsid w:val="00FE08A7"/>
    <w:rsid w:val="00FE0F06"/>
    <w:rsid w:val="00FE199F"/>
    <w:rsid w:val="00FF18F8"/>
    <w:rsid w:val="00FF26A3"/>
    <w:rsid w:val="00FF3BE1"/>
    <w:rsid w:val="00FF7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aeaea">
      <v:fill color="#eaeaea"/>
      <v:shadow on="t"/>
      <o:colormru v:ext="edit" colors="#fcc,#eaeaea"/>
    </o:shapedefaults>
    <o:shapelayout v:ext="edit">
      <o:idmap v:ext="edit" data="1"/>
    </o:shapelayout>
  </w:shapeDefaults>
  <w:decimalSymbol w:val="."/>
  <w:listSeparator w:val=","/>
  <w14:docId w14:val="57884A2D"/>
  <w15:docId w15:val="{9251E862-484D-476B-B3AE-09C31CE02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652"/>
    <w:pPr>
      <w:widowControl w:val="0"/>
      <w:jc w:val="both"/>
    </w:pPr>
    <w:rPr>
      <w:kern w:val="2"/>
      <w:sz w:val="21"/>
      <w:szCs w:val="24"/>
    </w:rPr>
  </w:style>
  <w:style w:type="paragraph" w:styleId="1">
    <w:name w:val="heading 1"/>
    <w:basedOn w:val="a"/>
    <w:next w:val="a"/>
    <w:qFormat/>
    <w:rsid w:val="00ED7652"/>
    <w:pPr>
      <w:keepNext/>
      <w:keepLines/>
      <w:spacing w:before="340" w:after="330" w:line="578" w:lineRule="auto"/>
      <w:outlineLvl w:val="0"/>
    </w:pPr>
    <w:rPr>
      <w:b/>
      <w:bCs/>
      <w:kern w:val="44"/>
      <w:sz w:val="44"/>
      <w:szCs w:val="44"/>
    </w:rPr>
  </w:style>
  <w:style w:type="paragraph" w:styleId="2">
    <w:name w:val="heading 2"/>
    <w:basedOn w:val="a"/>
    <w:next w:val="a"/>
    <w:link w:val="20"/>
    <w:autoRedefine/>
    <w:qFormat/>
    <w:rsid w:val="004C635B"/>
    <w:pPr>
      <w:keepNext/>
      <w:keepLines/>
      <w:numPr>
        <w:numId w:val="4"/>
      </w:numPr>
      <w:spacing w:line="360" w:lineRule="auto"/>
      <w:ind w:left="0" w:firstLineChars="200" w:firstLine="562"/>
      <w:outlineLvl w:val="1"/>
    </w:pPr>
    <w:rPr>
      <w:rFonts w:ascii="仿宋_GB2312" w:eastAsia="仿宋_GB2312"/>
      <w:b/>
      <w:bCs/>
      <w:sz w:val="28"/>
      <w:szCs w:val="28"/>
    </w:rPr>
  </w:style>
  <w:style w:type="paragraph" w:styleId="3">
    <w:name w:val="heading 3"/>
    <w:aliases w:val="Chapter X.X.X."/>
    <w:basedOn w:val="a"/>
    <w:next w:val="a"/>
    <w:qFormat/>
    <w:rsid w:val="00ED7652"/>
    <w:pPr>
      <w:keepNext/>
      <w:jc w:val="center"/>
      <w:outlineLvl w:val="2"/>
    </w:pPr>
    <w:rPr>
      <w:rFonts w:eastAsia="楷体_GB2312"/>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ED7652"/>
    <w:rPr>
      <w:sz w:val="18"/>
    </w:rPr>
  </w:style>
  <w:style w:type="character" w:styleId="a3">
    <w:name w:val="footnote reference"/>
    <w:basedOn w:val="a0"/>
    <w:semiHidden/>
    <w:rsid w:val="00ED7652"/>
    <w:rPr>
      <w:vertAlign w:val="superscript"/>
    </w:rPr>
  </w:style>
  <w:style w:type="paragraph" w:styleId="a4">
    <w:name w:val="Normal (Web)"/>
    <w:basedOn w:val="a"/>
    <w:rsid w:val="00ED7652"/>
    <w:pPr>
      <w:widowControl/>
      <w:spacing w:before="100" w:beforeAutospacing="1" w:after="100" w:afterAutospacing="1" w:line="288" w:lineRule="auto"/>
      <w:jc w:val="left"/>
    </w:pPr>
    <w:rPr>
      <w:rFonts w:ascii="Arial Unicode MS" w:eastAsia="Arial Unicode MS" w:hAnsi="Arial Unicode MS" w:cs="Arial Unicode MS"/>
      <w:kern w:val="0"/>
      <w:sz w:val="24"/>
    </w:rPr>
  </w:style>
  <w:style w:type="paragraph" w:styleId="10">
    <w:name w:val="toc 1"/>
    <w:basedOn w:val="a"/>
    <w:next w:val="a"/>
    <w:autoRedefine/>
    <w:semiHidden/>
    <w:rsid w:val="00D7078F"/>
    <w:pPr>
      <w:tabs>
        <w:tab w:val="right" w:leader="dot" w:pos="8296"/>
      </w:tabs>
      <w:spacing w:before="120" w:after="120" w:line="360" w:lineRule="auto"/>
      <w:jc w:val="left"/>
    </w:pPr>
    <w:rPr>
      <w:rFonts w:ascii="黑体" w:eastAsia="黑体"/>
      <w:b/>
      <w:noProof/>
      <w:sz w:val="28"/>
    </w:rPr>
  </w:style>
  <w:style w:type="paragraph" w:styleId="21">
    <w:name w:val="Body Text Indent 2"/>
    <w:basedOn w:val="a"/>
    <w:rsid w:val="00ED7652"/>
    <w:pPr>
      <w:widowControl/>
      <w:spacing w:line="288" w:lineRule="auto"/>
      <w:ind w:firstLineChars="200" w:firstLine="480"/>
      <w:jc w:val="left"/>
    </w:pPr>
    <w:rPr>
      <w:rFonts w:eastAsia="楷体_GB2312"/>
      <w:sz w:val="24"/>
    </w:rPr>
  </w:style>
  <w:style w:type="paragraph" w:styleId="a5">
    <w:name w:val="footnote text"/>
    <w:basedOn w:val="a"/>
    <w:semiHidden/>
    <w:rsid w:val="00ED7652"/>
    <w:pPr>
      <w:snapToGrid w:val="0"/>
      <w:jc w:val="left"/>
    </w:pPr>
    <w:rPr>
      <w:sz w:val="18"/>
      <w:szCs w:val="18"/>
    </w:rPr>
  </w:style>
  <w:style w:type="character" w:styleId="a6">
    <w:name w:val="Hyperlink"/>
    <w:basedOn w:val="a0"/>
    <w:uiPriority w:val="99"/>
    <w:rsid w:val="00ED7652"/>
    <w:rPr>
      <w:color w:val="0000FF"/>
      <w:u w:val="single"/>
    </w:rPr>
  </w:style>
  <w:style w:type="paragraph" w:styleId="a7">
    <w:name w:val="Body Text"/>
    <w:basedOn w:val="a"/>
    <w:rsid w:val="00ED7652"/>
    <w:pPr>
      <w:widowControl/>
      <w:spacing w:line="264" w:lineRule="auto"/>
      <w:jc w:val="left"/>
    </w:pPr>
    <w:rPr>
      <w:rFonts w:eastAsia="楷体_GB2312"/>
      <w:kern w:val="0"/>
      <w:sz w:val="24"/>
    </w:rPr>
  </w:style>
  <w:style w:type="paragraph" w:styleId="22">
    <w:name w:val="toc 2"/>
    <w:basedOn w:val="a"/>
    <w:next w:val="a"/>
    <w:autoRedefine/>
    <w:uiPriority w:val="39"/>
    <w:rsid w:val="007F0F29"/>
    <w:pPr>
      <w:tabs>
        <w:tab w:val="right" w:leader="dot" w:pos="8296"/>
      </w:tabs>
      <w:ind w:leftChars="200" w:left="420"/>
    </w:pPr>
    <w:rPr>
      <w:noProof/>
      <w:sz w:val="28"/>
      <w:szCs w:val="28"/>
    </w:rPr>
  </w:style>
  <w:style w:type="paragraph" w:styleId="31">
    <w:name w:val="toc 3"/>
    <w:basedOn w:val="a"/>
    <w:next w:val="a"/>
    <w:autoRedefine/>
    <w:semiHidden/>
    <w:rsid w:val="00ED7652"/>
    <w:pPr>
      <w:ind w:leftChars="400" w:left="840"/>
    </w:pPr>
  </w:style>
  <w:style w:type="paragraph" w:styleId="4">
    <w:name w:val="toc 4"/>
    <w:basedOn w:val="a"/>
    <w:next w:val="a"/>
    <w:autoRedefine/>
    <w:semiHidden/>
    <w:rsid w:val="00ED7652"/>
    <w:pPr>
      <w:ind w:leftChars="600" w:left="1260"/>
    </w:pPr>
  </w:style>
  <w:style w:type="paragraph" w:styleId="5">
    <w:name w:val="toc 5"/>
    <w:basedOn w:val="a"/>
    <w:next w:val="a"/>
    <w:autoRedefine/>
    <w:semiHidden/>
    <w:rsid w:val="00ED7652"/>
    <w:pPr>
      <w:ind w:leftChars="800" w:left="1680"/>
    </w:pPr>
  </w:style>
  <w:style w:type="paragraph" w:styleId="6">
    <w:name w:val="toc 6"/>
    <w:basedOn w:val="a"/>
    <w:next w:val="a"/>
    <w:autoRedefine/>
    <w:semiHidden/>
    <w:rsid w:val="00ED7652"/>
    <w:pPr>
      <w:ind w:leftChars="1000" w:left="2100"/>
    </w:pPr>
  </w:style>
  <w:style w:type="paragraph" w:styleId="7">
    <w:name w:val="toc 7"/>
    <w:basedOn w:val="a"/>
    <w:next w:val="a"/>
    <w:autoRedefine/>
    <w:semiHidden/>
    <w:rsid w:val="00ED7652"/>
    <w:pPr>
      <w:ind w:leftChars="1200" w:left="2520"/>
    </w:pPr>
  </w:style>
  <w:style w:type="paragraph" w:styleId="8">
    <w:name w:val="toc 8"/>
    <w:basedOn w:val="a"/>
    <w:next w:val="a"/>
    <w:autoRedefine/>
    <w:semiHidden/>
    <w:rsid w:val="00ED7652"/>
    <w:pPr>
      <w:ind w:leftChars="1400" w:left="2940"/>
    </w:pPr>
  </w:style>
  <w:style w:type="paragraph" w:styleId="9">
    <w:name w:val="toc 9"/>
    <w:basedOn w:val="a"/>
    <w:next w:val="a"/>
    <w:autoRedefine/>
    <w:semiHidden/>
    <w:rsid w:val="00ED7652"/>
    <w:pPr>
      <w:ind w:leftChars="1600" w:left="3360"/>
    </w:pPr>
  </w:style>
  <w:style w:type="paragraph" w:styleId="a8">
    <w:name w:val="footer"/>
    <w:basedOn w:val="a"/>
    <w:rsid w:val="00ED7652"/>
    <w:pPr>
      <w:tabs>
        <w:tab w:val="center" w:pos="4153"/>
        <w:tab w:val="right" w:pos="8306"/>
      </w:tabs>
      <w:snapToGrid w:val="0"/>
      <w:jc w:val="left"/>
    </w:pPr>
    <w:rPr>
      <w:sz w:val="18"/>
      <w:szCs w:val="18"/>
    </w:rPr>
  </w:style>
  <w:style w:type="character" w:styleId="a9">
    <w:name w:val="page number"/>
    <w:basedOn w:val="a0"/>
    <w:rsid w:val="00ED7652"/>
  </w:style>
  <w:style w:type="paragraph" w:styleId="aa">
    <w:name w:val="header"/>
    <w:basedOn w:val="a"/>
    <w:rsid w:val="00ED7652"/>
    <w:pPr>
      <w:pBdr>
        <w:bottom w:val="single" w:sz="6" w:space="1" w:color="auto"/>
      </w:pBdr>
      <w:tabs>
        <w:tab w:val="center" w:pos="4153"/>
        <w:tab w:val="right" w:pos="8306"/>
      </w:tabs>
      <w:snapToGrid w:val="0"/>
      <w:jc w:val="center"/>
    </w:pPr>
    <w:rPr>
      <w:sz w:val="18"/>
      <w:szCs w:val="18"/>
    </w:rPr>
  </w:style>
  <w:style w:type="character" w:styleId="ab">
    <w:name w:val="FollowedHyperlink"/>
    <w:basedOn w:val="a0"/>
    <w:rsid w:val="00ED7652"/>
    <w:rPr>
      <w:color w:val="800080"/>
      <w:u w:val="single"/>
    </w:rPr>
  </w:style>
  <w:style w:type="paragraph" w:styleId="ac">
    <w:name w:val="Body Text Indent"/>
    <w:basedOn w:val="a"/>
    <w:rsid w:val="007A14D7"/>
    <w:pPr>
      <w:spacing w:after="120"/>
      <w:ind w:leftChars="200" w:left="420"/>
    </w:pPr>
  </w:style>
  <w:style w:type="paragraph" w:styleId="32">
    <w:name w:val="Body Text Indent 3"/>
    <w:basedOn w:val="a"/>
    <w:rsid w:val="007A14D7"/>
    <w:pPr>
      <w:spacing w:after="120"/>
      <w:ind w:leftChars="200" w:left="420"/>
    </w:pPr>
    <w:rPr>
      <w:sz w:val="16"/>
      <w:szCs w:val="16"/>
    </w:rPr>
  </w:style>
  <w:style w:type="paragraph" w:styleId="ad">
    <w:name w:val="Normal Indent"/>
    <w:basedOn w:val="a"/>
    <w:rsid w:val="007A14D7"/>
    <w:pPr>
      <w:ind w:firstLine="420"/>
    </w:pPr>
    <w:rPr>
      <w:szCs w:val="20"/>
    </w:rPr>
  </w:style>
  <w:style w:type="paragraph" w:customStyle="1" w:styleId="InfoBlue">
    <w:name w:val="InfoBlue"/>
    <w:basedOn w:val="a"/>
    <w:next w:val="a7"/>
    <w:autoRedefine/>
    <w:rsid w:val="007A14D7"/>
    <w:pPr>
      <w:numPr>
        <w:numId w:val="1"/>
      </w:numPr>
      <w:spacing w:after="120" w:line="240" w:lineRule="atLeast"/>
      <w:jc w:val="left"/>
    </w:pPr>
    <w:rPr>
      <w:rFonts w:ascii="宋体" w:hAnsi="宋体"/>
      <w:bCs/>
      <w:iCs/>
    </w:rPr>
  </w:style>
  <w:style w:type="paragraph" w:customStyle="1" w:styleId="Listbullet">
    <w:name w:val="List_bullet"/>
    <w:basedOn w:val="a"/>
    <w:rsid w:val="007A14D7"/>
    <w:pPr>
      <w:widowControl/>
      <w:numPr>
        <w:numId w:val="2"/>
      </w:numPr>
      <w:jc w:val="left"/>
    </w:pPr>
    <w:rPr>
      <w:kern w:val="0"/>
      <w:sz w:val="24"/>
    </w:rPr>
  </w:style>
  <w:style w:type="paragraph" w:styleId="ae">
    <w:name w:val="annotation text"/>
    <w:basedOn w:val="a"/>
    <w:link w:val="af"/>
    <w:uiPriority w:val="99"/>
    <w:semiHidden/>
    <w:rsid w:val="007A14D7"/>
    <w:pPr>
      <w:jc w:val="left"/>
    </w:pPr>
  </w:style>
  <w:style w:type="paragraph" w:customStyle="1" w:styleId="af0">
    <w:name w:val="正文所"/>
    <w:basedOn w:val="a"/>
    <w:rsid w:val="007A14D7"/>
    <w:pPr>
      <w:spacing w:line="360" w:lineRule="auto"/>
      <w:ind w:firstLineChars="200" w:firstLine="420"/>
    </w:pPr>
    <w:rPr>
      <w:rFonts w:ascii="宋体"/>
      <w:szCs w:val="20"/>
    </w:rPr>
  </w:style>
  <w:style w:type="paragraph" w:customStyle="1" w:styleId="Char1CharCharCharCharCharChar">
    <w:name w:val="Char1 Char Char Char Char Char Char"/>
    <w:basedOn w:val="a"/>
    <w:rsid w:val="000F171D"/>
  </w:style>
  <w:style w:type="character" w:styleId="af1">
    <w:name w:val="annotation reference"/>
    <w:basedOn w:val="a0"/>
    <w:uiPriority w:val="99"/>
    <w:semiHidden/>
    <w:rsid w:val="000F171D"/>
    <w:rPr>
      <w:sz w:val="21"/>
      <w:szCs w:val="21"/>
    </w:rPr>
  </w:style>
  <w:style w:type="paragraph" w:styleId="af2">
    <w:name w:val="Balloon Text"/>
    <w:basedOn w:val="a"/>
    <w:semiHidden/>
    <w:rsid w:val="000F171D"/>
    <w:rPr>
      <w:sz w:val="18"/>
      <w:szCs w:val="18"/>
    </w:rPr>
  </w:style>
  <w:style w:type="paragraph" w:customStyle="1" w:styleId="ParaCharCharCharCharCharChar">
    <w:name w:val="默认段落字体 Para Char Char Char Char Char Char"/>
    <w:basedOn w:val="a"/>
    <w:autoRedefine/>
    <w:rsid w:val="004C29E1"/>
    <w:pPr>
      <w:tabs>
        <w:tab w:val="num" w:pos="840"/>
      </w:tabs>
      <w:ind w:left="840" w:hanging="360"/>
    </w:pPr>
    <w:rPr>
      <w:sz w:val="24"/>
    </w:rPr>
  </w:style>
  <w:style w:type="paragraph" w:customStyle="1" w:styleId="CharCharCharCharCharCharChar">
    <w:name w:val="Char Char Char Char Char Char Char"/>
    <w:basedOn w:val="a"/>
    <w:rsid w:val="00D67F02"/>
  </w:style>
  <w:style w:type="character" w:customStyle="1" w:styleId="20">
    <w:name w:val="标题 2 字符"/>
    <w:basedOn w:val="a0"/>
    <w:link w:val="2"/>
    <w:rsid w:val="004C635B"/>
    <w:rPr>
      <w:rFonts w:ascii="仿宋_GB2312" w:eastAsia="仿宋_GB2312"/>
      <w:b/>
      <w:bCs/>
      <w:kern w:val="2"/>
      <w:sz w:val="28"/>
      <w:szCs w:val="28"/>
    </w:rPr>
  </w:style>
  <w:style w:type="character" w:customStyle="1" w:styleId="af">
    <w:name w:val="批注文字 字符"/>
    <w:link w:val="ae"/>
    <w:uiPriority w:val="99"/>
    <w:semiHidden/>
    <w:rsid w:val="008D2E07"/>
    <w:rPr>
      <w:kern w:val="2"/>
      <w:sz w:val="21"/>
      <w:szCs w:val="24"/>
    </w:rPr>
  </w:style>
  <w:style w:type="paragraph" w:customStyle="1" w:styleId="Default">
    <w:name w:val="Default"/>
    <w:rsid w:val="00E256AE"/>
    <w:pPr>
      <w:widowControl w:val="0"/>
      <w:autoSpaceDE w:val="0"/>
      <w:autoSpaceDN w:val="0"/>
      <w:adjustRightInd w:val="0"/>
    </w:pPr>
    <w:rPr>
      <w:color w:val="000000"/>
      <w:sz w:val="24"/>
      <w:szCs w:val="24"/>
    </w:rPr>
  </w:style>
  <w:style w:type="paragraph" w:styleId="af3">
    <w:name w:val="annotation subject"/>
    <w:basedOn w:val="ae"/>
    <w:next w:val="ae"/>
    <w:link w:val="af4"/>
    <w:rsid w:val="00510BC2"/>
    <w:rPr>
      <w:b/>
      <w:bCs/>
    </w:rPr>
  </w:style>
  <w:style w:type="character" w:customStyle="1" w:styleId="af4">
    <w:name w:val="批注主题 字符"/>
    <w:basedOn w:val="af"/>
    <w:link w:val="af3"/>
    <w:rsid w:val="00510BC2"/>
    <w:rPr>
      <w:b/>
      <w:bCs/>
      <w:kern w:val="2"/>
      <w:sz w:val="21"/>
      <w:szCs w:val="24"/>
    </w:rPr>
  </w:style>
  <w:style w:type="paragraph" w:styleId="af5">
    <w:name w:val="List Paragraph"/>
    <w:basedOn w:val="a"/>
    <w:qFormat/>
    <w:rsid w:val="00EC403E"/>
    <w:pPr>
      <w:ind w:firstLineChars="200" w:firstLine="420"/>
    </w:pPr>
  </w:style>
  <w:style w:type="paragraph" w:styleId="af6">
    <w:name w:val="Revision"/>
    <w:hidden/>
    <w:uiPriority w:val="99"/>
    <w:semiHidden/>
    <w:rsid w:val="0077075D"/>
    <w:rPr>
      <w:kern w:val="2"/>
      <w:sz w:val="21"/>
      <w:szCs w:val="24"/>
    </w:rPr>
  </w:style>
  <w:style w:type="character" w:styleId="af7">
    <w:name w:val="Placeholder Text"/>
    <w:basedOn w:val="a0"/>
    <w:uiPriority w:val="99"/>
    <w:semiHidden/>
    <w:rsid w:val="00D141E4"/>
    <w:rPr>
      <w:color w:val="808080"/>
    </w:rPr>
  </w:style>
  <w:style w:type="paragraph" w:styleId="af8">
    <w:name w:val="Title"/>
    <w:basedOn w:val="a"/>
    <w:next w:val="a"/>
    <w:link w:val="af9"/>
    <w:qFormat/>
    <w:rsid w:val="008141E3"/>
    <w:pPr>
      <w:spacing w:before="240" w:after="60"/>
      <w:jc w:val="center"/>
      <w:outlineLvl w:val="0"/>
    </w:pPr>
    <w:rPr>
      <w:rFonts w:asciiTheme="majorHAnsi" w:hAnsiTheme="majorHAnsi" w:cstheme="majorBidi"/>
      <w:b/>
      <w:bCs/>
      <w:sz w:val="32"/>
      <w:szCs w:val="32"/>
    </w:rPr>
  </w:style>
  <w:style w:type="character" w:customStyle="1" w:styleId="af9">
    <w:name w:val="标题 字符"/>
    <w:basedOn w:val="a0"/>
    <w:link w:val="af8"/>
    <w:rsid w:val="008141E3"/>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8501">
      <w:bodyDiv w:val="1"/>
      <w:marLeft w:val="0"/>
      <w:marRight w:val="0"/>
      <w:marTop w:val="0"/>
      <w:marBottom w:val="0"/>
      <w:divBdr>
        <w:top w:val="none" w:sz="0" w:space="0" w:color="auto"/>
        <w:left w:val="none" w:sz="0" w:space="0" w:color="auto"/>
        <w:bottom w:val="none" w:sz="0" w:space="0" w:color="auto"/>
        <w:right w:val="none" w:sz="0" w:space="0" w:color="auto"/>
      </w:divBdr>
      <w:divsChild>
        <w:div w:id="1074473984">
          <w:marLeft w:val="0"/>
          <w:marRight w:val="0"/>
          <w:marTop w:val="0"/>
          <w:marBottom w:val="0"/>
          <w:divBdr>
            <w:top w:val="none" w:sz="0" w:space="0" w:color="auto"/>
            <w:left w:val="none" w:sz="0" w:space="0" w:color="auto"/>
            <w:bottom w:val="none" w:sz="0" w:space="0" w:color="auto"/>
            <w:right w:val="none" w:sz="0" w:space="0" w:color="auto"/>
          </w:divBdr>
          <w:divsChild>
            <w:div w:id="801575499">
              <w:marLeft w:val="0"/>
              <w:marRight w:val="0"/>
              <w:marTop w:val="0"/>
              <w:marBottom w:val="0"/>
              <w:divBdr>
                <w:top w:val="none" w:sz="0" w:space="0" w:color="auto"/>
                <w:left w:val="none" w:sz="0" w:space="0" w:color="auto"/>
                <w:bottom w:val="none" w:sz="0" w:space="0" w:color="auto"/>
                <w:right w:val="none" w:sz="0" w:space="0" w:color="auto"/>
              </w:divBdr>
            </w:div>
            <w:div w:id="1349336841">
              <w:marLeft w:val="0"/>
              <w:marRight w:val="0"/>
              <w:marTop w:val="0"/>
              <w:marBottom w:val="0"/>
              <w:divBdr>
                <w:top w:val="none" w:sz="0" w:space="0" w:color="auto"/>
                <w:left w:val="none" w:sz="0" w:space="0" w:color="auto"/>
                <w:bottom w:val="none" w:sz="0" w:space="0" w:color="auto"/>
                <w:right w:val="none" w:sz="0" w:space="0" w:color="auto"/>
              </w:divBdr>
            </w:div>
            <w:div w:id="1420370399">
              <w:marLeft w:val="0"/>
              <w:marRight w:val="0"/>
              <w:marTop w:val="0"/>
              <w:marBottom w:val="0"/>
              <w:divBdr>
                <w:top w:val="none" w:sz="0" w:space="0" w:color="auto"/>
                <w:left w:val="none" w:sz="0" w:space="0" w:color="auto"/>
                <w:bottom w:val="none" w:sz="0" w:space="0" w:color="auto"/>
                <w:right w:val="none" w:sz="0" w:space="0" w:color="auto"/>
              </w:divBdr>
            </w:div>
            <w:div w:id="1437292359">
              <w:marLeft w:val="0"/>
              <w:marRight w:val="0"/>
              <w:marTop w:val="0"/>
              <w:marBottom w:val="0"/>
              <w:divBdr>
                <w:top w:val="none" w:sz="0" w:space="0" w:color="auto"/>
                <w:left w:val="none" w:sz="0" w:space="0" w:color="auto"/>
                <w:bottom w:val="none" w:sz="0" w:space="0" w:color="auto"/>
                <w:right w:val="none" w:sz="0" w:space="0" w:color="auto"/>
              </w:divBdr>
            </w:div>
            <w:div w:id="1801072668">
              <w:marLeft w:val="0"/>
              <w:marRight w:val="0"/>
              <w:marTop w:val="0"/>
              <w:marBottom w:val="0"/>
              <w:divBdr>
                <w:top w:val="none" w:sz="0" w:space="0" w:color="auto"/>
                <w:left w:val="none" w:sz="0" w:space="0" w:color="auto"/>
                <w:bottom w:val="none" w:sz="0" w:space="0" w:color="auto"/>
                <w:right w:val="none" w:sz="0" w:space="0" w:color="auto"/>
              </w:divBdr>
            </w:div>
            <w:div w:id="21391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6439">
      <w:bodyDiv w:val="1"/>
      <w:marLeft w:val="0"/>
      <w:marRight w:val="0"/>
      <w:marTop w:val="0"/>
      <w:marBottom w:val="0"/>
      <w:divBdr>
        <w:top w:val="none" w:sz="0" w:space="0" w:color="auto"/>
        <w:left w:val="none" w:sz="0" w:space="0" w:color="auto"/>
        <w:bottom w:val="none" w:sz="0" w:space="0" w:color="auto"/>
        <w:right w:val="none" w:sz="0" w:space="0" w:color="auto"/>
      </w:divBdr>
      <w:divsChild>
        <w:div w:id="512453829">
          <w:marLeft w:val="0"/>
          <w:marRight w:val="0"/>
          <w:marTop w:val="0"/>
          <w:marBottom w:val="0"/>
          <w:divBdr>
            <w:top w:val="none" w:sz="0" w:space="0" w:color="auto"/>
            <w:left w:val="none" w:sz="0" w:space="0" w:color="auto"/>
            <w:bottom w:val="none" w:sz="0" w:space="0" w:color="auto"/>
            <w:right w:val="none" w:sz="0" w:space="0" w:color="auto"/>
          </w:divBdr>
        </w:div>
        <w:div w:id="1263605045">
          <w:marLeft w:val="0"/>
          <w:marRight w:val="0"/>
          <w:marTop w:val="0"/>
          <w:marBottom w:val="0"/>
          <w:divBdr>
            <w:top w:val="none" w:sz="0" w:space="0" w:color="auto"/>
            <w:left w:val="none" w:sz="0" w:space="0" w:color="auto"/>
            <w:bottom w:val="none" w:sz="0" w:space="0" w:color="auto"/>
            <w:right w:val="none" w:sz="0" w:space="0" w:color="auto"/>
          </w:divBdr>
        </w:div>
        <w:div w:id="1862278593">
          <w:marLeft w:val="0"/>
          <w:marRight w:val="0"/>
          <w:marTop w:val="0"/>
          <w:marBottom w:val="0"/>
          <w:divBdr>
            <w:top w:val="none" w:sz="0" w:space="0" w:color="auto"/>
            <w:left w:val="none" w:sz="0" w:space="0" w:color="auto"/>
            <w:bottom w:val="none" w:sz="0" w:space="0" w:color="auto"/>
            <w:right w:val="none" w:sz="0" w:space="0" w:color="auto"/>
          </w:divBdr>
        </w:div>
      </w:divsChild>
    </w:div>
    <w:div w:id="595554436">
      <w:bodyDiv w:val="1"/>
      <w:marLeft w:val="0"/>
      <w:marRight w:val="0"/>
      <w:marTop w:val="0"/>
      <w:marBottom w:val="0"/>
      <w:divBdr>
        <w:top w:val="none" w:sz="0" w:space="0" w:color="auto"/>
        <w:left w:val="none" w:sz="0" w:space="0" w:color="auto"/>
        <w:bottom w:val="none" w:sz="0" w:space="0" w:color="auto"/>
        <w:right w:val="none" w:sz="0" w:space="0" w:color="auto"/>
      </w:divBdr>
    </w:div>
    <w:div w:id="1002009301">
      <w:bodyDiv w:val="1"/>
      <w:marLeft w:val="0"/>
      <w:marRight w:val="0"/>
      <w:marTop w:val="0"/>
      <w:marBottom w:val="0"/>
      <w:divBdr>
        <w:top w:val="none" w:sz="0" w:space="0" w:color="auto"/>
        <w:left w:val="none" w:sz="0" w:space="0" w:color="auto"/>
        <w:bottom w:val="none" w:sz="0" w:space="0" w:color="auto"/>
        <w:right w:val="none" w:sz="0" w:space="0" w:color="auto"/>
      </w:divBdr>
    </w:div>
    <w:div w:id="1021586409">
      <w:bodyDiv w:val="1"/>
      <w:marLeft w:val="0"/>
      <w:marRight w:val="0"/>
      <w:marTop w:val="0"/>
      <w:marBottom w:val="0"/>
      <w:divBdr>
        <w:top w:val="none" w:sz="0" w:space="0" w:color="auto"/>
        <w:left w:val="none" w:sz="0" w:space="0" w:color="auto"/>
        <w:bottom w:val="none" w:sz="0" w:space="0" w:color="auto"/>
        <w:right w:val="none" w:sz="0" w:space="0" w:color="auto"/>
      </w:divBdr>
      <w:divsChild>
        <w:div w:id="527833762">
          <w:marLeft w:val="1224"/>
          <w:marRight w:val="0"/>
          <w:marTop w:val="96"/>
          <w:marBottom w:val="0"/>
          <w:divBdr>
            <w:top w:val="none" w:sz="0" w:space="0" w:color="auto"/>
            <w:left w:val="none" w:sz="0" w:space="0" w:color="auto"/>
            <w:bottom w:val="none" w:sz="0" w:space="0" w:color="auto"/>
            <w:right w:val="none" w:sz="0" w:space="0" w:color="auto"/>
          </w:divBdr>
        </w:div>
        <w:div w:id="1557350741">
          <w:marLeft w:val="1224"/>
          <w:marRight w:val="0"/>
          <w:marTop w:val="96"/>
          <w:marBottom w:val="0"/>
          <w:divBdr>
            <w:top w:val="none" w:sz="0" w:space="0" w:color="auto"/>
            <w:left w:val="none" w:sz="0" w:space="0" w:color="auto"/>
            <w:bottom w:val="none" w:sz="0" w:space="0" w:color="auto"/>
            <w:right w:val="none" w:sz="0" w:space="0" w:color="auto"/>
          </w:divBdr>
        </w:div>
      </w:divsChild>
    </w:div>
    <w:div w:id="1144615493">
      <w:bodyDiv w:val="1"/>
      <w:marLeft w:val="0"/>
      <w:marRight w:val="0"/>
      <w:marTop w:val="0"/>
      <w:marBottom w:val="0"/>
      <w:divBdr>
        <w:top w:val="none" w:sz="0" w:space="0" w:color="auto"/>
        <w:left w:val="none" w:sz="0" w:space="0" w:color="auto"/>
        <w:bottom w:val="none" w:sz="0" w:space="0" w:color="auto"/>
        <w:right w:val="none" w:sz="0" w:space="0" w:color="auto"/>
      </w:divBdr>
      <w:divsChild>
        <w:div w:id="792751060">
          <w:marLeft w:val="0"/>
          <w:marRight w:val="0"/>
          <w:marTop w:val="0"/>
          <w:marBottom w:val="0"/>
          <w:divBdr>
            <w:top w:val="none" w:sz="0" w:space="0" w:color="auto"/>
            <w:left w:val="none" w:sz="0" w:space="0" w:color="auto"/>
            <w:bottom w:val="none" w:sz="0" w:space="0" w:color="auto"/>
            <w:right w:val="none" w:sz="0" w:space="0" w:color="auto"/>
          </w:divBdr>
          <w:divsChild>
            <w:div w:id="930435836">
              <w:marLeft w:val="0"/>
              <w:marRight w:val="0"/>
              <w:marTop w:val="0"/>
              <w:marBottom w:val="0"/>
              <w:divBdr>
                <w:top w:val="none" w:sz="0" w:space="0" w:color="auto"/>
                <w:left w:val="none" w:sz="0" w:space="0" w:color="auto"/>
                <w:bottom w:val="none" w:sz="0" w:space="0" w:color="auto"/>
                <w:right w:val="none" w:sz="0" w:space="0" w:color="auto"/>
              </w:divBdr>
            </w:div>
            <w:div w:id="17445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0152">
      <w:bodyDiv w:val="1"/>
      <w:marLeft w:val="0"/>
      <w:marRight w:val="0"/>
      <w:marTop w:val="0"/>
      <w:marBottom w:val="0"/>
      <w:divBdr>
        <w:top w:val="none" w:sz="0" w:space="0" w:color="auto"/>
        <w:left w:val="none" w:sz="0" w:space="0" w:color="auto"/>
        <w:bottom w:val="none" w:sz="0" w:space="0" w:color="auto"/>
        <w:right w:val="none" w:sz="0" w:space="0" w:color="auto"/>
      </w:divBdr>
      <w:divsChild>
        <w:div w:id="1793353864">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0"/>
              <w:divBdr>
                <w:top w:val="none" w:sz="0" w:space="0" w:color="auto"/>
                <w:left w:val="none" w:sz="0" w:space="0" w:color="auto"/>
                <w:bottom w:val="none" w:sz="0" w:space="0" w:color="auto"/>
                <w:right w:val="none" w:sz="0" w:space="0" w:color="auto"/>
              </w:divBdr>
            </w:div>
            <w:div w:id="949704035">
              <w:marLeft w:val="0"/>
              <w:marRight w:val="0"/>
              <w:marTop w:val="0"/>
              <w:marBottom w:val="0"/>
              <w:divBdr>
                <w:top w:val="none" w:sz="0" w:space="0" w:color="auto"/>
                <w:left w:val="none" w:sz="0" w:space="0" w:color="auto"/>
                <w:bottom w:val="none" w:sz="0" w:space="0" w:color="auto"/>
                <w:right w:val="none" w:sz="0" w:space="0" w:color="auto"/>
              </w:divBdr>
            </w:div>
            <w:div w:id="1018048210">
              <w:marLeft w:val="0"/>
              <w:marRight w:val="0"/>
              <w:marTop w:val="0"/>
              <w:marBottom w:val="0"/>
              <w:divBdr>
                <w:top w:val="none" w:sz="0" w:space="0" w:color="auto"/>
                <w:left w:val="none" w:sz="0" w:space="0" w:color="auto"/>
                <w:bottom w:val="none" w:sz="0" w:space="0" w:color="auto"/>
                <w:right w:val="none" w:sz="0" w:space="0" w:color="auto"/>
              </w:divBdr>
            </w:div>
            <w:div w:id="1283997006">
              <w:marLeft w:val="0"/>
              <w:marRight w:val="0"/>
              <w:marTop w:val="0"/>
              <w:marBottom w:val="0"/>
              <w:divBdr>
                <w:top w:val="none" w:sz="0" w:space="0" w:color="auto"/>
                <w:left w:val="none" w:sz="0" w:space="0" w:color="auto"/>
                <w:bottom w:val="none" w:sz="0" w:space="0" w:color="auto"/>
                <w:right w:val="none" w:sz="0" w:space="0" w:color="auto"/>
              </w:divBdr>
            </w:div>
            <w:div w:id="1410880523">
              <w:marLeft w:val="0"/>
              <w:marRight w:val="0"/>
              <w:marTop w:val="0"/>
              <w:marBottom w:val="0"/>
              <w:divBdr>
                <w:top w:val="none" w:sz="0" w:space="0" w:color="auto"/>
                <w:left w:val="none" w:sz="0" w:space="0" w:color="auto"/>
                <w:bottom w:val="none" w:sz="0" w:space="0" w:color="auto"/>
                <w:right w:val="none" w:sz="0" w:space="0" w:color="auto"/>
              </w:divBdr>
            </w:div>
            <w:div w:id="17280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605">
      <w:bodyDiv w:val="1"/>
      <w:marLeft w:val="0"/>
      <w:marRight w:val="0"/>
      <w:marTop w:val="0"/>
      <w:marBottom w:val="0"/>
      <w:divBdr>
        <w:top w:val="none" w:sz="0" w:space="0" w:color="auto"/>
        <w:left w:val="none" w:sz="0" w:space="0" w:color="auto"/>
        <w:bottom w:val="none" w:sz="0" w:space="0" w:color="auto"/>
        <w:right w:val="none" w:sz="0" w:space="0" w:color="auto"/>
      </w:divBdr>
    </w:div>
    <w:div w:id="1504469957">
      <w:bodyDiv w:val="1"/>
      <w:marLeft w:val="0"/>
      <w:marRight w:val="0"/>
      <w:marTop w:val="0"/>
      <w:marBottom w:val="0"/>
      <w:divBdr>
        <w:top w:val="none" w:sz="0" w:space="0" w:color="auto"/>
        <w:left w:val="none" w:sz="0" w:space="0" w:color="auto"/>
        <w:bottom w:val="none" w:sz="0" w:space="0" w:color="auto"/>
        <w:right w:val="none" w:sz="0" w:space="0" w:color="auto"/>
      </w:divBdr>
    </w:div>
    <w:div w:id="1570114320">
      <w:bodyDiv w:val="1"/>
      <w:marLeft w:val="0"/>
      <w:marRight w:val="0"/>
      <w:marTop w:val="0"/>
      <w:marBottom w:val="0"/>
      <w:divBdr>
        <w:top w:val="none" w:sz="0" w:space="0" w:color="auto"/>
        <w:left w:val="none" w:sz="0" w:space="0" w:color="auto"/>
        <w:bottom w:val="none" w:sz="0" w:space="0" w:color="auto"/>
        <w:right w:val="none" w:sz="0" w:space="0" w:color="auto"/>
      </w:divBdr>
    </w:div>
    <w:div w:id="1707484328">
      <w:bodyDiv w:val="1"/>
      <w:marLeft w:val="0"/>
      <w:marRight w:val="0"/>
      <w:marTop w:val="0"/>
      <w:marBottom w:val="0"/>
      <w:divBdr>
        <w:top w:val="none" w:sz="0" w:space="0" w:color="auto"/>
        <w:left w:val="none" w:sz="0" w:space="0" w:color="auto"/>
        <w:bottom w:val="none" w:sz="0" w:space="0" w:color="auto"/>
        <w:right w:val="none" w:sz="0" w:space="0" w:color="auto"/>
      </w:divBdr>
    </w:div>
    <w:div w:id="1881891737">
      <w:bodyDiv w:val="1"/>
      <w:marLeft w:val="0"/>
      <w:marRight w:val="0"/>
      <w:marTop w:val="0"/>
      <w:marBottom w:val="0"/>
      <w:divBdr>
        <w:top w:val="none" w:sz="0" w:space="0" w:color="auto"/>
        <w:left w:val="none" w:sz="0" w:space="0" w:color="auto"/>
        <w:bottom w:val="none" w:sz="0" w:space="0" w:color="auto"/>
        <w:right w:val="none" w:sz="0" w:space="0" w:color="auto"/>
      </w:divBdr>
      <w:divsChild>
        <w:div w:id="1060322318">
          <w:marLeft w:val="0"/>
          <w:marRight w:val="0"/>
          <w:marTop w:val="0"/>
          <w:marBottom w:val="0"/>
          <w:divBdr>
            <w:top w:val="none" w:sz="0" w:space="0" w:color="auto"/>
            <w:left w:val="none" w:sz="0" w:space="0" w:color="auto"/>
            <w:bottom w:val="none" w:sz="0" w:space="0" w:color="auto"/>
            <w:right w:val="none" w:sz="0" w:space="0" w:color="auto"/>
          </w:divBdr>
          <w:divsChild>
            <w:div w:id="1122266213">
              <w:marLeft w:val="0"/>
              <w:marRight w:val="0"/>
              <w:marTop w:val="0"/>
              <w:marBottom w:val="0"/>
              <w:divBdr>
                <w:top w:val="none" w:sz="0" w:space="0" w:color="auto"/>
                <w:left w:val="none" w:sz="0" w:space="0" w:color="auto"/>
                <w:bottom w:val="none" w:sz="0" w:space="0" w:color="auto"/>
                <w:right w:val="none" w:sz="0" w:space="0" w:color="auto"/>
              </w:divBdr>
            </w:div>
            <w:div w:id="1178034692">
              <w:marLeft w:val="0"/>
              <w:marRight w:val="0"/>
              <w:marTop w:val="0"/>
              <w:marBottom w:val="0"/>
              <w:divBdr>
                <w:top w:val="none" w:sz="0" w:space="0" w:color="auto"/>
                <w:left w:val="none" w:sz="0" w:space="0" w:color="auto"/>
                <w:bottom w:val="none" w:sz="0" w:space="0" w:color="auto"/>
                <w:right w:val="none" w:sz="0" w:space="0" w:color="auto"/>
              </w:divBdr>
            </w:div>
            <w:div w:id="1438409057">
              <w:marLeft w:val="0"/>
              <w:marRight w:val="0"/>
              <w:marTop w:val="0"/>
              <w:marBottom w:val="0"/>
              <w:divBdr>
                <w:top w:val="none" w:sz="0" w:space="0" w:color="auto"/>
                <w:left w:val="none" w:sz="0" w:space="0" w:color="auto"/>
                <w:bottom w:val="none" w:sz="0" w:space="0" w:color="auto"/>
                <w:right w:val="none" w:sz="0" w:space="0" w:color="auto"/>
              </w:divBdr>
            </w:div>
            <w:div w:id="1745838302">
              <w:marLeft w:val="0"/>
              <w:marRight w:val="0"/>
              <w:marTop w:val="0"/>
              <w:marBottom w:val="0"/>
              <w:divBdr>
                <w:top w:val="none" w:sz="0" w:space="0" w:color="auto"/>
                <w:left w:val="none" w:sz="0" w:space="0" w:color="auto"/>
                <w:bottom w:val="none" w:sz="0" w:space="0" w:color="auto"/>
                <w:right w:val="none" w:sz="0" w:space="0" w:color="auto"/>
              </w:divBdr>
            </w:div>
            <w:div w:id="1835993194">
              <w:marLeft w:val="0"/>
              <w:marRight w:val="0"/>
              <w:marTop w:val="0"/>
              <w:marBottom w:val="0"/>
              <w:divBdr>
                <w:top w:val="none" w:sz="0" w:space="0" w:color="auto"/>
                <w:left w:val="none" w:sz="0" w:space="0" w:color="auto"/>
                <w:bottom w:val="none" w:sz="0" w:space="0" w:color="auto"/>
                <w:right w:val="none" w:sz="0" w:space="0" w:color="auto"/>
              </w:divBdr>
            </w:div>
            <w:div w:id="21016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82F01-8DEE-4ABA-AC7D-A05C4FFA0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849</Words>
  <Characters>4843</Characters>
  <Application>Microsoft Office Word</Application>
  <DocSecurity>0</DocSecurity>
  <Lines>40</Lines>
  <Paragraphs>11</Paragraphs>
  <ScaleCrop>false</ScaleCrop>
  <Company>chinaamc</Company>
  <LinksUpToDate>false</LinksUpToDate>
  <CharactersWithSpaces>5681</CharactersWithSpaces>
  <SharedDoc>false</SharedDoc>
  <HLinks>
    <vt:vector size="66" baseType="variant">
      <vt:variant>
        <vt:i4>1048638</vt:i4>
      </vt:variant>
      <vt:variant>
        <vt:i4>62</vt:i4>
      </vt:variant>
      <vt:variant>
        <vt:i4>0</vt:i4>
      </vt:variant>
      <vt:variant>
        <vt:i4>5</vt:i4>
      </vt:variant>
      <vt:variant>
        <vt:lpwstr/>
      </vt:variant>
      <vt:variant>
        <vt:lpwstr>_Toc355215951</vt:lpwstr>
      </vt:variant>
      <vt:variant>
        <vt:i4>1048638</vt:i4>
      </vt:variant>
      <vt:variant>
        <vt:i4>56</vt:i4>
      </vt:variant>
      <vt:variant>
        <vt:i4>0</vt:i4>
      </vt:variant>
      <vt:variant>
        <vt:i4>5</vt:i4>
      </vt:variant>
      <vt:variant>
        <vt:lpwstr/>
      </vt:variant>
      <vt:variant>
        <vt:lpwstr>_Toc355215950</vt:lpwstr>
      </vt:variant>
      <vt:variant>
        <vt:i4>1114174</vt:i4>
      </vt:variant>
      <vt:variant>
        <vt:i4>50</vt:i4>
      </vt:variant>
      <vt:variant>
        <vt:i4>0</vt:i4>
      </vt:variant>
      <vt:variant>
        <vt:i4>5</vt:i4>
      </vt:variant>
      <vt:variant>
        <vt:lpwstr/>
      </vt:variant>
      <vt:variant>
        <vt:lpwstr>_Toc355215949</vt:lpwstr>
      </vt:variant>
      <vt:variant>
        <vt:i4>1114174</vt:i4>
      </vt:variant>
      <vt:variant>
        <vt:i4>44</vt:i4>
      </vt:variant>
      <vt:variant>
        <vt:i4>0</vt:i4>
      </vt:variant>
      <vt:variant>
        <vt:i4>5</vt:i4>
      </vt:variant>
      <vt:variant>
        <vt:lpwstr/>
      </vt:variant>
      <vt:variant>
        <vt:lpwstr>_Toc355215948</vt:lpwstr>
      </vt:variant>
      <vt:variant>
        <vt:i4>1114174</vt:i4>
      </vt:variant>
      <vt:variant>
        <vt:i4>38</vt:i4>
      </vt:variant>
      <vt:variant>
        <vt:i4>0</vt:i4>
      </vt:variant>
      <vt:variant>
        <vt:i4>5</vt:i4>
      </vt:variant>
      <vt:variant>
        <vt:lpwstr/>
      </vt:variant>
      <vt:variant>
        <vt:lpwstr>_Toc355215947</vt:lpwstr>
      </vt:variant>
      <vt:variant>
        <vt:i4>1114174</vt:i4>
      </vt:variant>
      <vt:variant>
        <vt:i4>32</vt:i4>
      </vt:variant>
      <vt:variant>
        <vt:i4>0</vt:i4>
      </vt:variant>
      <vt:variant>
        <vt:i4>5</vt:i4>
      </vt:variant>
      <vt:variant>
        <vt:lpwstr/>
      </vt:variant>
      <vt:variant>
        <vt:lpwstr>_Toc355215946</vt:lpwstr>
      </vt:variant>
      <vt:variant>
        <vt:i4>1114174</vt:i4>
      </vt:variant>
      <vt:variant>
        <vt:i4>26</vt:i4>
      </vt:variant>
      <vt:variant>
        <vt:i4>0</vt:i4>
      </vt:variant>
      <vt:variant>
        <vt:i4>5</vt:i4>
      </vt:variant>
      <vt:variant>
        <vt:lpwstr/>
      </vt:variant>
      <vt:variant>
        <vt:lpwstr>_Toc355215945</vt:lpwstr>
      </vt:variant>
      <vt:variant>
        <vt:i4>1114174</vt:i4>
      </vt:variant>
      <vt:variant>
        <vt:i4>20</vt:i4>
      </vt:variant>
      <vt:variant>
        <vt:i4>0</vt:i4>
      </vt:variant>
      <vt:variant>
        <vt:i4>5</vt:i4>
      </vt:variant>
      <vt:variant>
        <vt:lpwstr/>
      </vt:variant>
      <vt:variant>
        <vt:lpwstr>_Toc355215944</vt:lpwstr>
      </vt:variant>
      <vt:variant>
        <vt:i4>1114174</vt:i4>
      </vt:variant>
      <vt:variant>
        <vt:i4>14</vt:i4>
      </vt:variant>
      <vt:variant>
        <vt:i4>0</vt:i4>
      </vt:variant>
      <vt:variant>
        <vt:i4>5</vt:i4>
      </vt:variant>
      <vt:variant>
        <vt:lpwstr/>
      </vt:variant>
      <vt:variant>
        <vt:lpwstr>_Toc355215943</vt:lpwstr>
      </vt:variant>
      <vt:variant>
        <vt:i4>1114174</vt:i4>
      </vt:variant>
      <vt:variant>
        <vt:i4>8</vt:i4>
      </vt:variant>
      <vt:variant>
        <vt:i4>0</vt:i4>
      </vt:variant>
      <vt:variant>
        <vt:i4>5</vt:i4>
      </vt:variant>
      <vt:variant>
        <vt:lpwstr/>
      </vt:variant>
      <vt:variant>
        <vt:lpwstr>_Toc355215942</vt:lpwstr>
      </vt:variant>
      <vt:variant>
        <vt:i4>1114174</vt:i4>
      </vt:variant>
      <vt:variant>
        <vt:i4>2</vt:i4>
      </vt:variant>
      <vt:variant>
        <vt:i4>0</vt:i4>
      </vt:variant>
      <vt:variant>
        <vt:i4>5</vt:i4>
      </vt:variant>
      <vt:variant>
        <vt:lpwstr/>
      </vt:variant>
      <vt:variant>
        <vt:lpwstr>_Toc355215941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产品说明书(文字稿)</dc:title>
  <dc:creator>zhanght</dc:creator>
  <cp:lastModifiedBy>刘晨晨</cp:lastModifiedBy>
  <cp:revision>106</cp:revision>
  <cp:lastPrinted>2023-09-27T01:34:00Z</cp:lastPrinted>
  <dcterms:created xsi:type="dcterms:W3CDTF">2015-08-05T02:01:00Z</dcterms:created>
  <dcterms:modified xsi:type="dcterms:W3CDTF">2023-11-30T03:29:00Z</dcterms:modified>
</cp:coreProperties>
</file>