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DF3E" w14:textId="18BFA1DF" w:rsidR="00012CCB" w:rsidRDefault="001F1C45">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交银施罗德安</w:t>
      </w:r>
      <w:proofErr w:type="gramStart"/>
      <w:r>
        <w:rPr>
          <w:rFonts w:ascii="宋体" w:hAnsi="宋体" w:cs="宋体" w:hint="eastAsia"/>
          <w:b/>
          <w:bCs/>
          <w:sz w:val="28"/>
          <w:szCs w:val="28"/>
        </w:rPr>
        <w:t>悦</w:t>
      </w:r>
      <w:proofErr w:type="gramEnd"/>
      <w:r>
        <w:rPr>
          <w:rFonts w:ascii="宋体" w:hAnsi="宋体" w:cs="宋体" w:hint="eastAsia"/>
          <w:b/>
          <w:bCs/>
          <w:sz w:val="28"/>
          <w:szCs w:val="28"/>
        </w:rPr>
        <w:t>平衡养老目标三年持有期混合型发起</w:t>
      </w:r>
      <w:proofErr w:type="gramStart"/>
      <w:r>
        <w:rPr>
          <w:rFonts w:ascii="宋体" w:hAnsi="宋体" w:cs="宋体" w:hint="eastAsia"/>
          <w:b/>
          <w:bCs/>
          <w:sz w:val="28"/>
          <w:szCs w:val="28"/>
        </w:rPr>
        <w:t>式基金</w:t>
      </w:r>
      <w:proofErr w:type="gramEnd"/>
      <w:r>
        <w:rPr>
          <w:rFonts w:ascii="宋体" w:hAnsi="宋体" w:cs="宋体" w:hint="eastAsia"/>
          <w:b/>
          <w:bCs/>
          <w:sz w:val="28"/>
          <w:szCs w:val="28"/>
        </w:rPr>
        <w:t>中基金（FOF）</w:t>
      </w:r>
      <w:r w:rsidR="009279C5">
        <w:rPr>
          <w:rFonts w:ascii="宋体" w:hAnsi="宋体" w:cs="宋体" w:hint="eastAsia"/>
          <w:b/>
          <w:bCs/>
          <w:sz w:val="28"/>
          <w:szCs w:val="28"/>
        </w:rPr>
        <w:t>基金份额发售公告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Default="009279C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22219DFA" w14:textId="3E9C7BA4"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sidR="001F1C45">
        <w:rPr>
          <w:rFonts w:hAnsi="宋体" w:hint="eastAsia"/>
          <w:sz w:val="24"/>
        </w:rPr>
        <w:t>交银施罗德安</w:t>
      </w:r>
      <w:proofErr w:type="gramStart"/>
      <w:r w:rsidR="001F1C45">
        <w:rPr>
          <w:rFonts w:hAnsi="宋体" w:hint="eastAsia"/>
          <w:sz w:val="24"/>
        </w:rPr>
        <w:t>悦</w:t>
      </w:r>
      <w:proofErr w:type="gramEnd"/>
      <w:r w:rsidR="001F1C45">
        <w:rPr>
          <w:rFonts w:hAnsi="宋体" w:hint="eastAsia"/>
          <w:sz w:val="24"/>
        </w:rPr>
        <w:t>平衡养老目标三年持有期混合型发起</w:t>
      </w:r>
      <w:proofErr w:type="gramStart"/>
      <w:r w:rsidR="001F1C45">
        <w:rPr>
          <w:rFonts w:hAnsi="宋体" w:hint="eastAsia"/>
          <w:sz w:val="24"/>
        </w:rPr>
        <w:t>式基金</w:t>
      </w:r>
      <w:proofErr w:type="gramEnd"/>
      <w:r w:rsidR="001F1C45">
        <w:rPr>
          <w:rFonts w:hAnsi="宋体" w:hint="eastAsia"/>
          <w:sz w:val="24"/>
        </w:rPr>
        <w:t>中基金（</w:t>
      </w:r>
      <w:r w:rsidR="001F1C45">
        <w:rPr>
          <w:rFonts w:hAnsi="宋体" w:hint="eastAsia"/>
          <w:sz w:val="24"/>
        </w:rPr>
        <w:t>FOF</w:t>
      </w:r>
      <w:r w:rsidR="001F1C45">
        <w:rPr>
          <w:rFonts w:hAnsi="宋体" w:hint="eastAsia"/>
          <w:sz w:val="24"/>
        </w:rPr>
        <w:t>）</w:t>
      </w:r>
      <w:r>
        <w:rPr>
          <w:rFonts w:hAnsi="宋体"/>
          <w:sz w:val="24"/>
        </w:rPr>
        <w:t>（以下简称“本基金”）的募集已获中国证券监督管理委员会（以下简称“中国证监会”）证监许可【</w:t>
      </w:r>
      <w:r>
        <w:rPr>
          <w:rFonts w:hAnsi="宋体"/>
          <w:sz w:val="24"/>
        </w:rPr>
        <w:t>202</w:t>
      </w:r>
      <w:r w:rsidR="009544FD">
        <w:rPr>
          <w:rFonts w:hAnsi="宋体"/>
          <w:sz w:val="24"/>
        </w:rPr>
        <w:t>3</w:t>
      </w:r>
      <w:r w:rsidR="00E558B2">
        <w:rPr>
          <w:rFonts w:hAnsi="宋体"/>
          <w:sz w:val="24"/>
        </w:rPr>
        <w:t>】</w:t>
      </w:r>
      <w:r w:rsidR="002D2045">
        <w:rPr>
          <w:rFonts w:hAnsi="宋体"/>
          <w:sz w:val="24"/>
        </w:rPr>
        <w:t>2731</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14:paraId="7EB64593" w14:textId="009EB0CF" w:rsidR="00012CCB" w:rsidRPr="00611D00" w:rsidRDefault="009279C5" w:rsidP="00611D00">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sidR="005571C9" w:rsidRPr="005571C9">
        <w:rPr>
          <w:rFonts w:hAnsi="宋体" w:hint="eastAsia"/>
          <w:sz w:val="24"/>
        </w:rPr>
        <w:t>混合型基金中基金（</w:t>
      </w:r>
      <w:r w:rsidR="005571C9" w:rsidRPr="005571C9">
        <w:rPr>
          <w:rFonts w:hAnsi="宋体" w:hint="eastAsia"/>
          <w:sz w:val="24"/>
        </w:rPr>
        <w:t>FOF</w:t>
      </w:r>
      <w:r w:rsidR="005571C9" w:rsidRPr="005571C9">
        <w:rPr>
          <w:rFonts w:hAnsi="宋体" w:hint="eastAsia"/>
          <w:sz w:val="24"/>
        </w:rPr>
        <w:t>）</w:t>
      </w:r>
      <w:r>
        <w:rPr>
          <w:rFonts w:hAnsi="宋体"/>
          <w:sz w:val="24"/>
        </w:rPr>
        <w:t>。</w:t>
      </w:r>
      <w:r w:rsidR="00611D00" w:rsidRPr="00104638">
        <w:rPr>
          <w:rFonts w:hint="eastAsia"/>
          <w:bCs/>
          <w:sz w:val="24"/>
        </w:rPr>
        <w:t>本基金为发起式基金，其中，发起资金提供方认购本基金的总金额不少于</w:t>
      </w:r>
      <w:r w:rsidR="00611D00" w:rsidRPr="00104638">
        <w:rPr>
          <w:rFonts w:hint="eastAsia"/>
          <w:bCs/>
          <w:sz w:val="24"/>
        </w:rPr>
        <w:t>1000</w:t>
      </w:r>
      <w:r w:rsidR="00611D00" w:rsidRPr="00104638">
        <w:rPr>
          <w:rFonts w:hint="eastAsia"/>
          <w:bCs/>
          <w:sz w:val="24"/>
        </w:rPr>
        <w:t>万元人民币，且持有期限</w:t>
      </w:r>
      <w:r w:rsidR="00F70170">
        <w:rPr>
          <w:rFonts w:hint="eastAsia"/>
          <w:sz w:val="24"/>
        </w:rPr>
        <w:t>自基金合同生效之日起</w:t>
      </w:r>
      <w:r w:rsidR="00611D00" w:rsidRPr="00104638">
        <w:rPr>
          <w:rFonts w:hint="eastAsia"/>
          <w:bCs/>
          <w:sz w:val="24"/>
        </w:rPr>
        <w:t>不少于</w:t>
      </w:r>
      <w:r w:rsidR="00611D00" w:rsidRPr="00104638">
        <w:rPr>
          <w:rFonts w:hint="eastAsia"/>
          <w:bCs/>
          <w:sz w:val="24"/>
        </w:rPr>
        <w:t>3</w:t>
      </w:r>
      <w:r w:rsidR="00611D00" w:rsidRPr="00104638">
        <w:rPr>
          <w:rFonts w:hint="eastAsia"/>
          <w:bCs/>
          <w:sz w:val="24"/>
        </w:rPr>
        <w:t>年，法律法规和监管机构另有规定的除外。</w:t>
      </w:r>
    </w:p>
    <w:p w14:paraId="3392DD05" w14:textId="14401D52"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433B74">
        <w:rPr>
          <w:rFonts w:hAnsi="宋体" w:hint="eastAsia"/>
          <w:sz w:val="24"/>
        </w:rPr>
        <w:t>招商银行股份有限公司</w:t>
      </w:r>
      <w:r>
        <w:rPr>
          <w:rFonts w:hAnsi="宋体"/>
          <w:sz w:val="24"/>
        </w:rPr>
        <w:t>，登记机构为中国证券登记结算有限责任公司（以下使用全称或其简称“中登”）。</w:t>
      </w:r>
    </w:p>
    <w:p w14:paraId="3F11DD90" w14:textId="5BFA0C5C" w:rsidR="00012CCB" w:rsidRDefault="009279C5" w:rsidP="001F1C45">
      <w:pPr>
        <w:adjustRightInd w:val="0"/>
        <w:snapToGrid w:val="0"/>
        <w:spacing w:line="360" w:lineRule="auto"/>
        <w:ind w:firstLineChars="200" w:firstLine="480"/>
        <w:rPr>
          <w:rFonts w:ascii="宋体" w:hAnsi="宋体"/>
          <w:sz w:val="24"/>
        </w:rPr>
      </w:pPr>
      <w:r>
        <w:rPr>
          <w:rFonts w:hAnsi="宋体" w:hint="eastAsia"/>
          <w:sz w:val="24"/>
        </w:rPr>
        <w:t>4</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28D09F18" w14:textId="2F330338" w:rsidR="00012CCB" w:rsidRDefault="001F1C45">
      <w:pPr>
        <w:adjustRightInd w:val="0"/>
        <w:snapToGrid w:val="0"/>
        <w:spacing w:line="360" w:lineRule="auto"/>
        <w:ind w:firstLineChars="200" w:firstLine="480"/>
        <w:rPr>
          <w:sz w:val="24"/>
        </w:rPr>
      </w:pPr>
      <w:r>
        <w:rPr>
          <w:sz w:val="24"/>
        </w:rPr>
        <w:t>5</w:t>
      </w:r>
      <w:r w:rsidR="009279C5">
        <w:rPr>
          <w:rFonts w:hAnsi="宋体"/>
          <w:sz w:val="24"/>
        </w:rPr>
        <w:t>、基金募集期：本基金自</w:t>
      </w:r>
      <w:r w:rsidR="00792F5C">
        <w:rPr>
          <w:sz w:val="24"/>
        </w:rPr>
        <w:t>2023</w:t>
      </w:r>
      <w:r w:rsidR="00792F5C">
        <w:rPr>
          <w:sz w:val="24"/>
        </w:rPr>
        <w:t>年</w:t>
      </w:r>
      <w:r w:rsidR="00792F5C">
        <w:rPr>
          <w:rFonts w:hint="eastAsia"/>
          <w:sz w:val="24"/>
        </w:rPr>
        <w:t>1</w:t>
      </w:r>
      <w:r w:rsidR="00792F5C">
        <w:rPr>
          <w:sz w:val="24"/>
        </w:rPr>
        <w:t>2</w:t>
      </w:r>
      <w:r w:rsidR="00792F5C">
        <w:rPr>
          <w:rFonts w:hint="eastAsia"/>
          <w:sz w:val="24"/>
        </w:rPr>
        <w:t>月</w:t>
      </w:r>
      <w:r w:rsidR="001C3519">
        <w:rPr>
          <w:sz w:val="24"/>
        </w:rPr>
        <w:t>20</w:t>
      </w:r>
      <w:r w:rsidR="00792F5C">
        <w:rPr>
          <w:rFonts w:hint="eastAsia"/>
          <w:sz w:val="24"/>
        </w:rPr>
        <w:t>日起至</w:t>
      </w:r>
      <w:r w:rsidR="00792F5C">
        <w:rPr>
          <w:sz w:val="24"/>
        </w:rPr>
        <w:t>2024</w:t>
      </w:r>
      <w:r w:rsidR="00792F5C">
        <w:rPr>
          <w:sz w:val="24"/>
        </w:rPr>
        <w:t>年</w:t>
      </w:r>
      <w:r w:rsidR="00792F5C">
        <w:rPr>
          <w:rFonts w:hint="eastAsia"/>
          <w:sz w:val="24"/>
        </w:rPr>
        <w:t>1</w:t>
      </w:r>
      <w:r w:rsidR="00792F5C">
        <w:rPr>
          <w:rFonts w:hint="eastAsia"/>
          <w:sz w:val="24"/>
        </w:rPr>
        <w:t>月</w:t>
      </w:r>
      <w:r w:rsidR="001C3519">
        <w:rPr>
          <w:sz w:val="24"/>
        </w:rPr>
        <w:t>12</w:t>
      </w:r>
      <w:r w:rsidR="00792F5C">
        <w:rPr>
          <w:rFonts w:hint="eastAsia"/>
          <w:sz w:val="24"/>
        </w:rPr>
        <w:t>日</w:t>
      </w:r>
      <w:proofErr w:type="gramStart"/>
      <w:r w:rsidR="009279C5">
        <w:rPr>
          <w:rFonts w:hAnsi="宋体"/>
          <w:sz w:val="24"/>
        </w:rPr>
        <w:t>止</w:t>
      </w:r>
      <w:proofErr w:type="gramEnd"/>
      <w:r w:rsidR="009279C5">
        <w:rPr>
          <w:rFonts w:hAnsi="宋体"/>
          <w:sz w:val="24"/>
        </w:rPr>
        <w:t>通过销售机构公开发售</w:t>
      </w:r>
      <w:r w:rsidR="009279C5">
        <w:rPr>
          <w:rFonts w:hint="eastAsia"/>
          <w:sz w:val="24"/>
        </w:rPr>
        <w:t>（</w:t>
      </w:r>
      <w:r w:rsidR="009279C5">
        <w:rPr>
          <w:rFonts w:hAnsi="宋体"/>
          <w:sz w:val="24"/>
        </w:rPr>
        <w:t>具体业务办理时间见各销售机构的相关业务公告或拨打客户服务电话咨询</w:t>
      </w:r>
      <w:r w:rsidR="009279C5">
        <w:rPr>
          <w:rFonts w:hint="eastAsia"/>
          <w:sz w:val="24"/>
        </w:rPr>
        <w:t>）</w:t>
      </w:r>
      <w:r w:rsidR="009279C5">
        <w:rPr>
          <w:rFonts w:hAnsi="宋体"/>
          <w:sz w:val="24"/>
        </w:rPr>
        <w:t>。本基金的募集期限不超过</w:t>
      </w:r>
      <w:r w:rsidR="009279C5">
        <w:rPr>
          <w:sz w:val="24"/>
        </w:rPr>
        <w:t>3</w:t>
      </w:r>
      <w:r w:rsidR="009279C5">
        <w:rPr>
          <w:rFonts w:hAnsi="宋体"/>
          <w:sz w:val="24"/>
        </w:rPr>
        <w:t>个月，自基金份额开始发售之日起</w:t>
      </w:r>
      <w:r w:rsidR="009279C5">
        <w:rPr>
          <w:rFonts w:hAnsi="宋体"/>
          <w:sz w:val="24"/>
        </w:rPr>
        <w:lastRenderedPageBreak/>
        <w:t>计算。本公司也可根据基金销售情况在募集期限内适当延长或缩短基金发售时间，并及时公告。</w:t>
      </w:r>
    </w:p>
    <w:p w14:paraId="66742DB0" w14:textId="530F3C28" w:rsidR="00012CCB" w:rsidRDefault="001F1C45">
      <w:pPr>
        <w:autoSpaceDE w:val="0"/>
        <w:autoSpaceDN w:val="0"/>
        <w:adjustRightInd w:val="0"/>
        <w:snapToGrid w:val="0"/>
        <w:spacing w:line="360" w:lineRule="auto"/>
        <w:ind w:firstLineChars="200" w:firstLine="480"/>
        <w:rPr>
          <w:sz w:val="24"/>
        </w:rPr>
      </w:pPr>
      <w:r>
        <w:rPr>
          <w:sz w:val="24"/>
        </w:rPr>
        <w:t>6</w:t>
      </w:r>
      <w:r w:rsidR="009279C5">
        <w:rPr>
          <w:rFonts w:hAnsi="宋体"/>
          <w:sz w:val="24"/>
        </w:rPr>
        <w:t>、本基金募集对象为</w:t>
      </w:r>
      <w:r w:rsidR="009279C5">
        <w:rPr>
          <w:rFonts w:hAnsi="宋体"/>
          <w:bCs/>
          <w:sz w:val="24"/>
        </w:rPr>
        <w:t>符合法律法规规定的可投资于证券投资基金的</w:t>
      </w:r>
      <w:r w:rsidR="009279C5">
        <w:rPr>
          <w:rFonts w:hAnsi="宋体"/>
          <w:sz w:val="24"/>
        </w:rPr>
        <w:t>个人投资者、机构投资者</w:t>
      </w:r>
      <w:r w:rsidR="009279C5">
        <w:rPr>
          <w:rFonts w:hAnsi="宋体" w:hint="eastAsia"/>
          <w:sz w:val="24"/>
        </w:rPr>
        <w:t>、</w:t>
      </w:r>
      <w:r w:rsidR="009279C5">
        <w:rPr>
          <w:rFonts w:hAnsi="宋体"/>
          <w:sz w:val="24"/>
        </w:rPr>
        <w:t>合格境外</w:t>
      </w:r>
      <w:r w:rsidR="009279C5">
        <w:rPr>
          <w:rFonts w:hint="eastAsia"/>
          <w:color w:val="000000"/>
          <w:kern w:val="0"/>
          <w:sz w:val="24"/>
        </w:rPr>
        <w:t>投资者</w:t>
      </w:r>
      <w:r w:rsidR="005C2117" w:rsidRPr="005C2117">
        <w:rPr>
          <w:rFonts w:hint="eastAsia"/>
          <w:color w:val="000000"/>
          <w:kern w:val="0"/>
          <w:sz w:val="24"/>
        </w:rPr>
        <w:t>、发起资金提供方</w:t>
      </w:r>
      <w:r w:rsidR="009279C5">
        <w:rPr>
          <w:rFonts w:hAnsi="宋体"/>
          <w:sz w:val="24"/>
        </w:rPr>
        <w:t>以及法律法规或中国证监会允许购买证券投资基金的其他投资人</w:t>
      </w:r>
      <w:r w:rsidR="009279C5">
        <w:rPr>
          <w:rFonts w:hint="eastAsia"/>
          <w:color w:val="000000"/>
          <w:kern w:val="0"/>
          <w:sz w:val="24"/>
        </w:rPr>
        <w:t>（以下合称“投资人”或“投资者”）</w:t>
      </w:r>
      <w:r w:rsidR="009279C5">
        <w:rPr>
          <w:rFonts w:hAnsi="宋体"/>
          <w:sz w:val="24"/>
        </w:rPr>
        <w:t>。</w:t>
      </w:r>
    </w:p>
    <w:p w14:paraId="186CBEA2" w14:textId="0A83A8F2" w:rsidR="00012CCB" w:rsidRDefault="001F1C45" w:rsidP="00315E2F">
      <w:pPr>
        <w:adjustRightInd w:val="0"/>
        <w:snapToGrid w:val="0"/>
        <w:spacing w:line="360" w:lineRule="auto"/>
        <w:ind w:firstLineChars="200" w:firstLine="480"/>
        <w:rPr>
          <w:rFonts w:hAnsi="宋体"/>
          <w:kern w:val="0"/>
          <w:sz w:val="24"/>
        </w:rPr>
      </w:pPr>
      <w:r>
        <w:rPr>
          <w:sz w:val="24"/>
        </w:rPr>
        <w:t>7</w:t>
      </w:r>
      <w:r w:rsidR="009279C5">
        <w:rPr>
          <w:rFonts w:hAnsi="宋体"/>
          <w:sz w:val="24"/>
        </w:rPr>
        <w:t>、</w:t>
      </w:r>
      <w:r w:rsidR="009279C5">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77F4FA4B" w:rsidR="00012CCB" w:rsidRDefault="001F1C45">
      <w:pPr>
        <w:adjustRightInd w:val="0"/>
        <w:snapToGrid w:val="0"/>
        <w:spacing w:line="360" w:lineRule="auto"/>
        <w:ind w:firstLineChars="200" w:firstLine="480"/>
        <w:rPr>
          <w:sz w:val="24"/>
        </w:rPr>
      </w:pPr>
      <w:r>
        <w:rPr>
          <w:rFonts w:hAnsi="宋体"/>
          <w:kern w:val="0"/>
          <w:sz w:val="24"/>
        </w:rPr>
        <w:t>8</w:t>
      </w:r>
      <w:r w:rsidR="009279C5">
        <w:rPr>
          <w:rFonts w:hAnsi="宋体" w:hint="eastAsia"/>
          <w:kern w:val="0"/>
          <w:sz w:val="24"/>
        </w:rPr>
        <w:t>、</w:t>
      </w:r>
      <w:r w:rsidR="009279C5">
        <w:rPr>
          <w:rFonts w:hAnsi="宋体"/>
          <w:sz w:val="24"/>
        </w:rPr>
        <w:t>认购限额：</w:t>
      </w:r>
      <w:r w:rsidR="009279C5">
        <w:rPr>
          <w:rFonts w:hint="eastAsia"/>
          <w:color w:val="000000"/>
          <w:kern w:val="0"/>
          <w:sz w:val="24"/>
        </w:rPr>
        <w:t>直销机构接受首次认购申请的最低金额为单笔</w:t>
      </w:r>
      <w:r w:rsidR="009279C5">
        <w:rPr>
          <w:color w:val="000000"/>
          <w:kern w:val="0"/>
          <w:sz w:val="24"/>
        </w:rPr>
        <w:t>100</w:t>
      </w:r>
      <w:r w:rsidR="00E558B2">
        <w:rPr>
          <w:rFonts w:hint="eastAsia"/>
          <w:color w:val="000000"/>
          <w:kern w:val="0"/>
          <w:sz w:val="24"/>
        </w:rPr>
        <w:t>万</w:t>
      </w:r>
      <w:r w:rsidR="009279C5">
        <w:rPr>
          <w:rFonts w:hint="eastAsia"/>
          <w:color w:val="000000"/>
          <w:kern w:val="0"/>
          <w:sz w:val="24"/>
        </w:rPr>
        <w:t>元，追加认购的最低金额为单笔</w:t>
      </w:r>
      <w:r w:rsidR="009279C5">
        <w:rPr>
          <w:color w:val="000000"/>
          <w:kern w:val="0"/>
          <w:sz w:val="24"/>
        </w:rPr>
        <w:t>10</w:t>
      </w:r>
      <w:r w:rsidR="00E558B2">
        <w:rPr>
          <w:rFonts w:hint="eastAsia"/>
          <w:color w:val="000000"/>
          <w:kern w:val="0"/>
          <w:sz w:val="24"/>
        </w:rPr>
        <w:t>万</w:t>
      </w:r>
      <w:r w:rsidR="009279C5">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9279C5">
        <w:rPr>
          <w:color w:val="000000"/>
          <w:kern w:val="0"/>
          <w:sz w:val="24"/>
        </w:rPr>
        <w:t>1</w:t>
      </w:r>
      <w:r w:rsidR="009279C5">
        <w:rPr>
          <w:rFonts w:hint="eastAsia"/>
          <w:color w:val="000000"/>
          <w:kern w:val="0"/>
          <w:sz w:val="24"/>
        </w:rPr>
        <w:t>元。本基金直销机构单笔认购最低金额可由基金管理人酌情调整。其他销售机构接受认购申请的最低金额为单笔</w:t>
      </w:r>
      <w:r w:rsidR="009279C5">
        <w:rPr>
          <w:color w:val="000000"/>
          <w:kern w:val="0"/>
          <w:sz w:val="24"/>
        </w:rPr>
        <w:t>1</w:t>
      </w:r>
      <w:r w:rsidR="009279C5">
        <w:rPr>
          <w:rFonts w:hint="eastAsia"/>
          <w:color w:val="000000"/>
          <w:kern w:val="0"/>
          <w:sz w:val="24"/>
        </w:rPr>
        <w:t>元，如果销售机构业务规则规定的最低单笔认购金额高于</w:t>
      </w:r>
      <w:r w:rsidR="009279C5">
        <w:rPr>
          <w:color w:val="000000"/>
          <w:kern w:val="0"/>
          <w:sz w:val="24"/>
        </w:rPr>
        <w:t>1</w:t>
      </w:r>
      <w:r w:rsidR="009279C5">
        <w:rPr>
          <w:rFonts w:hint="eastAsia"/>
          <w:color w:val="000000"/>
          <w:kern w:val="0"/>
          <w:sz w:val="24"/>
        </w:rPr>
        <w:t>元，以该销售机构的规定为准。</w:t>
      </w:r>
      <w:r w:rsidR="009279C5">
        <w:rPr>
          <w:rFonts w:hAnsi="宋体"/>
          <w:sz w:val="24"/>
        </w:rPr>
        <w:t>投资人在募集期内可多次认购基金份额，认购费</w:t>
      </w:r>
      <w:r w:rsidR="009279C5">
        <w:rPr>
          <w:rFonts w:hAnsi="宋体" w:hint="eastAsia"/>
          <w:sz w:val="24"/>
        </w:rPr>
        <w:t>用</w:t>
      </w:r>
      <w:r w:rsidR="009279C5">
        <w:rPr>
          <w:rFonts w:hAnsi="宋体"/>
          <w:sz w:val="24"/>
        </w:rPr>
        <w:t>按每笔认购申请单独计算，</w:t>
      </w:r>
      <w:r w:rsidR="009279C5">
        <w:rPr>
          <w:rFonts w:hAnsi="宋体"/>
          <w:kern w:val="0"/>
          <w:sz w:val="24"/>
        </w:rPr>
        <w:t>认购申请一经</w:t>
      </w:r>
      <w:r w:rsidR="009279C5">
        <w:rPr>
          <w:rFonts w:hAnsi="宋体" w:hint="eastAsia"/>
          <w:kern w:val="0"/>
          <w:sz w:val="24"/>
        </w:rPr>
        <w:t>登记</w:t>
      </w:r>
      <w:r w:rsidR="009279C5">
        <w:rPr>
          <w:rFonts w:hAnsi="宋体"/>
          <w:kern w:val="0"/>
          <w:sz w:val="24"/>
        </w:rPr>
        <w:t>机构受理不得撤销</w:t>
      </w:r>
      <w:r w:rsidR="009279C5">
        <w:rPr>
          <w:rFonts w:hAnsi="宋体"/>
          <w:sz w:val="24"/>
        </w:rPr>
        <w:t>。</w:t>
      </w:r>
      <w:r w:rsidR="00611D00" w:rsidRPr="0011678B">
        <w:rPr>
          <w:rFonts w:hint="eastAsia"/>
          <w:sz w:val="24"/>
        </w:rPr>
        <w:t>发起资金提供方认购本基金的总金额不少于</w:t>
      </w:r>
      <w:r w:rsidR="00611D00" w:rsidRPr="0011678B">
        <w:rPr>
          <w:rFonts w:hint="eastAsia"/>
          <w:sz w:val="24"/>
        </w:rPr>
        <w:t>1000</w:t>
      </w:r>
      <w:r w:rsidR="00611D00" w:rsidRPr="0011678B">
        <w:rPr>
          <w:rFonts w:hint="eastAsia"/>
          <w:sz w:val="24"/>
        </w:rPr>
        <w:t>万元人民币，且持有期限</w:t>
      </w:r>
      <w:r w:rsidR="00DD5289">
        <w:rPr>
          <w:rFonts w:hint="eastAsia"/>
          <w:sz w:val="24"/>
        </w:rPr>
        <w:t>自基金合同生效之日起</w:t>
      </w:r>
      <w:r w:rsidR="00611D00" w:rsidRPr="0011678B">
        <w:rPr>
          <w:rFonts w:hint="eastAsia"/>
          <w:sz w:val="24"/>
        </w:rPr>
        <w:t>不少于</w:t>
      </w:r>
      <w:r w:rsidR="00611D00" w:rsidRPr="0011678B">
        <w:rPr>
          <w:rFonts w:hint="eastAsia"/>
          <w:sz w:val="24"/>
        </w:rPr>
        <w:t>3</w:t>
      </w:r>
      <w:r w:rsidR="00611D00" w:rsidRPr="0011678B">
        <w:rPr>
          <w:rFonts w:hint="eastAsia"/>
          <w:sz w:val="24"/>
        </w:rPr>
        <w:t>年，法律法规和监管机构另有规</w:t>
      </w:r>
      <w:r w:rsidR="00611D00" w:rsidRPr="0011678B">
        <w:rPr>
          <w:rFonts w:hint="eastAsia"/>
          <w:sz w:val="24"/>
        </w:rPr>
        <w:lastRenderedPageBreak/>
        <w:t>定的除外。</w:t>
      </w:r>
    </w:p>
    <w:p w14:paraId="0311C637" w14:textId="1AA5C5FA" w:rsidR="00012CCB" w:rsidRDefault="001F1C45">
      <w:pPr>
        <w:adjustRightInd w:val="0"/>
        <w:snapToGrid w:val="0"/>
        <w:spacing w:line="360" w:lineRule="auto"/>
        <w:ind w:firstLineChars="200" w:firstLine="480"/>
        <w:rPr>
          <w:sz w:val="24"/>
        </w:rPr>
      </w:pPr>
      <w:r>
        <w:rPr>
          <w:sz w:val="24"/>
        </w:rPr>
        <w:t>9</w:t>
      </w:r>
      <w:r w:rsidR="009279C5">
        <w:rPr>
          <w:rFonts w:hAnsi="宋体"/>
          <w:sz w:val="24"/>
        </w:rPr>
        <w:t>、销售网点（指直销机构和</w:t>
      </w:r>
      <w:r w:rsidR="009279C5">
        <w:rPr>
          <w:sz w:val="24"/>
        </w:rPr>
        <w:t>/</w:t>
      </w:r>
      <w:r w:rsidR="009279C5">
        <w:rPr>
          <w:rFonts w:hAnsi="宋体"/>
          <w:sz w:val="24"/>
        </w:rPr>
        <w:t>或</w:t>
      </w:r>
      <w:r w:rsidR="009279C5">
        <w:rPr>
          <w:rFonts w:hAnsi="宋体" w:hint="eastAsia"/>
          <w:sz w:val="24"/>
        </w:rPr>
        <w:t>其他</w:t>
      </w:r>
      <w:r w:rsidR="009279C5">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9279C5">
        <w:rPr>
          <w:rFonts w:hAnsi="宋体"/>
          <w:kern w:val="0"/>
          <w:sz w:val="24"/>
        </w:rPr>
        <w:t>本基金管理人将向</w:t>
      </w:r>
      <w:r w:rsidR="009279C5">
        <w:rPr>
          <w:rFonts w:hAnsi="宋体" w:hint="eastAsia"/>
          <w:kern w:val="0"/>
          <w:sz w:val="24"/>
        </w:rPr>
        <w:t>投资人</w:t>
      </w:r>
      <w:r w:rsidR="009279C5">
        <w:rPr>
          <w:rFonts w:hAnsi="宋体"/>
          <w:kern w:val="0"/>
          <w:sz w:val="24"/>
        </w:rPr>
        <w:t>提供电子或纸质对账单，需要订阅或取消的客户可与本基金管理</w:t>
      </w:r>
      <w:proofErr w:type="gramStart"/>
      <w:r w:rsidR="009279C5">
        <w:rPr>
          <w:rFonts w:hAnsi="宋体"/>
          <w:kern w:val="0"/>
          <w:sz w:val="24"/>
        </w:rPr>
        <w:t>人客户</w:t>
      </w:r>
      <w:proofErr w:type="gramEnd"/>
      <w:r w:rsidR="009279C5">
        <w:rPr>
          <w:rFonts w:hAnsi="宋体"/>
          <w:kern w:val="0"/>
          <w:sz w:val="24"/>
        </w:rPr>
        <w:t>服务中心（</w:t>
      </w:r>
      <w:r w:rsidR="009279C5">
        <w:rPr>
          <w:kern w:val="0"/>
          <w:sz w:val="24"/>
        </w:rPr>
        <w:t>400-700-5000</w:t>
      </w:r>
      <w:r w:rsidR="009279C5">
        <w:rPr>
          <w:rFonts w:hAnsi="宋体"/>
          <w:kern w:val="0"/>
          <w:sz w:val="24"/>
        </w:rPr>
        <w:t>，</w:t>
      </w:r>
      <w:r w:rsidR="009279C5">
        <w:rPr>
          <w:kern w:val="0"/>
          <w:sz w:val="24"/>
        </w:rPr>
        <w:t>021-61055000</w:t>
      </w:r>
      <w:r w:rsidR="009279C5">
        <w:rPr>
          <w:rFonts w:hAnsi="宋体"/>
          <w:kern w:val="0"/>
          <w:sz w:val="24"/>
        </w:rPr>
        <w:t>）联系</w:t>
      </w:r>
      <w:r w:rsidR="009279C5">
        <w:rPr>
          <w:rFonts w:hAnsi="宋体"/>
          <w:sz w:val="24"/>
        </w:rPr>
        <w:t>。</w:t>
      </w:r>
    </w:p>
    <w:p w14:paraId="5BEDDA96" w14:textId="47C91ED1" w:rsidR="00012CCB" w:rsidRDefault="009279C5">
      <w:pPr>
        <w:adjustRightInd w:val="0"/>
        <w:snapToGrid w:val="0"/>
        <w:spacing w:line="360" w:lineRule="auto"/>
        <w:ind w:firstLineChars="200" w:firstLine="480"/>
        <w:rPr>
          <w:sz w:val="24"/>
        </w:rPr>
      </w:pPr>
      <w:r>
        <w:rPr>
          <w:sz w:val="24"/>
        </w:rPr>
        <w:t>1</w:t>
      </w:r>
      <w:r w:rsidR="001F1C45">
        <w:rPr>
          <w:sz w:val="24"/>
        </w:rPr>
        <w:t>0</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w:t>
      </w:r>
      <w:r w:rsidR="00476FF2">
        <w:rPr>
          <w:rFonts w:hAnsi="宋体"/>
          <w:sz w:val="24"/>
        </w:rPr>
        <w:t>2023</w:t>
      </w:r>
      <w:r w:rsidR="00476FF2">
        <w:rPr>
          <w:rFonts w:hAnsi="宋体"/>
          <w:sz w:val="24"/>
        </w:rPr>
        <w:t>年</w:t>
      </w:r>
      <w:r w:rsidR="001F1C45">
        <w:rPr>
          <w:rFonts w:hAnsi="宋体" w:hint="eastAsia"/>
          <w:sz w:val="24"/>
        </w:rPr>
        <w:t>1</w:t>
      </w:r>
      <w:r w:rsidR="001F1C45">
        <w:rPr>
          <w:rFonts w:hAnsi="宋体"/>
          <w:sz w:val="24"/>
        </w:rPr>
        <w:t>2</w:t>
      </w:r>
      <w:r w:rsidR="001F1C45">
        <w:rPr>
          <w:rFonts w:hAnsi="宋体" w:hint="eastAsia"/>
          <w:sz w:val="24"/>
        </w:rPr>
        <w:t>月</w:t>
      </w:r>
      <w:r w:rsidR="004E4E7E">
        <w:rPr>
          <w:rFonts w:hAnsi="宋体"/>
          <w:sz w:val="24"/>
        </w:rPr>
        <w:t>1</w:t>
      </w:r>
      <w:r w:rsidR="00474DC0">
        <w:rPr>
          <w:rFonts w:hAnsi="宋体"/>
          <w:sz w:val="24"/>
        </w:rPr>
        <w:t>4</w:t>
      </w:r>
      <w:r w:rsidR="001F1C45">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1F1C45">
        <w:rPr>
          <w:rFonts w:hAnsi="宋体" w:hint="eastAsia"/>
          <w:sz w:val="24"/>
        </w:rPr>
        <w:t>交银施罗德安</w:t>
      </w:r>
      <w:proofErr w:type="gramStart"/>
      <w:r w:rsidR="001F1C45">
        <w:rPr>
          <w:rFonts w:hAnsi="宋体" w:hint="eastAsia"/>
          <w:sz w:val="24"/>
        </w:rPr>
        <w:t>悦</w:t>
      </w:r>
      <w:proofErr w:type="gramEnd"/>
      <w:r w:rsidR="001F1C45">
        <w:rPr>
          <w:rFonts w:hAnsi="宋体" w:hint="eastAsia"/>
          <w:sz w:val="24"/>
        </w:rPr>
        <w:t>平衡养老目标三年持有期混合型发起</w:t>
      </w:r>
      <w:proofErr w:type="gramStart"/>
      <w:r w:rsidR="001F1C45">
        <w:rPr>
          <w:rFonts w:hAnsi="宋体" w:hint="eastAsia"/>
          <w:sz w:val="24"/>
        </w:rPr>
        <w:t>式基金</w:t>
      </w:r>
      <w:proofErr w:type="gramEnd"/>
      <w:r w:rsidR="001F1C45">
        <w:rPr>
          <w:rFonts w:hAnsi="宋体" w:hint="eastAsia"/>
          <w:sz w:val="24"/>
        </w:rPr>
        <w:t>中基金（</w:t>
      </w:r>
      <w:r w:rsidR="001F1C45">
        <w:rPr>
          <w:rFonts w:hAnsi="宋体" w:hint="eastAsia"/>
          <w:sz w:val="24"/>
        </w:rPr>
        <w:t>FOF</w:t>
      </w:r>
      <w:r w:rsidR="001F1C45">
        <w:rPr>
          <w:rFonts w:hAnsi="宋体" w:hint="eastAsia"/>
          <w:sz w:val="24"/>
        </w:rPr>
        <w:t>）</w:t>
      </w:r>
      <w:r>
        <w:rPr>
          <w:rFonts w:hAnsi="宋体" w:hint="eastAsia"/>
          <w:sz w:val="24"/>
        </w:rPr>
        <w:t>基金合同</w:t>
      </w:r>
      <w:r>
        <w:rPr>
          <w:rFonts w:hAnsi="宋体"/>
          <w:sz w:val="24"/>
        </w:rPr>
        <w:t>和招募说明书。</w:t>
      </w:r>
    </w:p>
    <w:p w14:paraId="4EE78595" w14:textId="64460D4B" w:rsidR="00012CCB" w:rsidRDefault="009279C5">
      <w:pPr>
        <w:adjustRightInd w:val="0"/>
        <w:snapToGrid w:val="0"/>
        <w:spacing w:line="360" w:lineRule="auto"/>
        <w:ind w:firstLineChars="200" w:firstLine="480"/>
        <w:rPr>
          <w:sz w:val="24"/>
        </w:rPr>
      </w:pPr>
      <w:r>
        <w:rPr>
          <w:sz w:val="24"/>
        </w:rPr>
        <w:t>1</w:t>
      </w:r>
      <w:r w:rsidR="001F1C45">
        <w:rPr>
          <w:sz w:val="24"/>
        </w:rPr>
        <w:t>1</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22FC94D9" w14:textId="6E78D541" w:rsidR="00012CCB" w:rsidRDefault="009279C5">
      <w:pPr>
        <w:adjustRightInd w:val="0"/>
        <w:snapToGrid w:val="0"/>
        <w:spacing w:line="360" w:lineRule="auto"/>
        <w:ind w:firstLineChars="200" w:firstLine="480"/>
        <w:rPr>
          <w:sz w:val="24"/>
        </w:rPr>
      </w:pPr>
      <w:r>
        <w:rPr>
          <w:sz w:val="24"/>
        </w:rPr>
        <w:t>1</w:t>
      </w:r>
      <w:r w:rsidR="001F1C45">
        <w:rPr>
          <w:sz w:val="24"/>
        </w:rPr>
        <w:t>2</w:t>
      </w:r>
      <w:r>
        <w:rPr>
          <w:rFonts w:hAnsi="宋体"/>
          <w:sz w:val="24"/>
        </w:rPr>
        <w:t>、销售机构的销售网点以及开户认购等事项的详细情况请向各销售机构咨询。</w:t>
      </w:r>
    </w:p>
    <w:p w14:paraId="4EE71C00" w14:textId="2C9A04BE" w:rsidR="00012CCB" w:rsidRDefault="009279C5">
      <w:pPr>
        <w:adjustRightInd w:val="0"/>
        <w:snapToGrid w:val="0"/>
        <w:spacing w:line="360" w:lineRule="auto"/>
        <w:ind w:firstLineChars="200" w:firstLine="480"/>
        <w:rPr>
          <w:sz w:val="24"/>
        </w:rPr>
      </w:pPr>
      <w:r>
        <w:rPr>
          <w:sz w:val="24"/>
        </w:rPr>
        <w:t>1</w:t>
      </w:r>
      <w:r w:rsidR="001F1C45">
        <w:rPr>
          <w:sz w:val="24"/>
        </w:rPr>
        <w:t>3</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132A1DAB" w14:textId="2BB4B6AE" w:rsidR="00012CCB" w:rsidRDefault="009279C5">
      <w:pPr>
        <w:widowControl/>
        <w:adjustRightInd w:val="0"/>
        <w:snapToGrid w:val="0"/>
        <w:spacing w:line="360" w:lineRule="auto"/>
        <w:ind w:firstLineChars="200" w:firstLine="480"/>
        <w:rPr>
          <w:kern w:val="0"/>
          <w:sz w:val="24"/>
        </w:rPr>
      </w:pPr>
      <w:r>
        <w:rPr>
          <w:sz w:val="24"/>
        </w:rPr>
        <w:t>1</w:t>
      </w:r>
      <w:r w:rsidR="001F1C45">
        <w:rPr>
          <w:sz w:val="24"/>
        </w:rPr>
        <w:t>4</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51C0F1A7" w14:textId="4ED0F9E4" w:rsidR="00012CCB" w:rsidRDefault="009279C5">
      <w:pPr>
        <w:adjustRightInd w:val="0"/>
        <w:snapToGrid w:val="0"/>
        <w:spacing w:line="360" w:lineRule="auto"/>
        <w:ind w:firstLineChars="200" w:firstLine="480"/>
        <w:rPr>
          <w:rFonts w:hAnsi="宋体"/>
          <w:sz w:val="24"/>
        </w:rPr>
      </w:pPr>
      <w:r>
        <w:rPr>
          <w:sz w:val="24"/>
        </w:rPr>
        <w:t>1</w:t>
      </w:r>
      <w:r w:rsidR="001F1C45">
        <w:rPr>
          <w:sz w:val="24"/>
        </w:rPr>
        <w:t>5</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20366E9" w14:textId="420F8103" w:rsidR="00012CCB" w:rsidRDefault="009279C5">
      <w:pPr>
        <w:adjustRightInd w:val="0"/>
        <w:snapToGrid w:val="0"/>
        <w:spacing w:line="360" w:lineRule="auto"/>
        <w:ind w:firstLineChars="200" w:firstLine="480"/>
        <w:rPr>
          <w:sz w:val="24"/>
        </w:rPr>
      </w:pPr>
      <w:r>
        <w:rPr>
          <w:sz w:val="24"/>
        </w:rPr>
        <w:t>1</w:t>
      </w:r>
      <w:r w:rsidR="001F1C45">
        <w:rPr>
          <w:sz w:val="24"/>
        </w:rPr>
        <w:t>6</w:t>
      </w:r>
      <w:r>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lastRenderedPageBreak/>
        <w:t>基金在投资运作过程中可能面临各种风险，既包括市场风险，也包括基金自身的管理风险、技术风险和合</w:t>
      </w:r>
      <w:proofErr w:type="gramStart"/>
      <w:r>
        <w:rPr>
          <w:rFonts w:hAnsi="宋体" w:hint="eastAsia"/>
          <w:sz w:val="24"/>
        </w:rPr>
        <w:t>规</w:t>
      </w:r>
      <w:proofErr w:type="gramEnd"/>
      <w:r>
        <w:rPr>
          <w:rFonts w:hAnsi="宋体" w:hint="eastAsia"/>
          <w:sz w:val="24"/>
        </w:rPr>
        <w:t>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56BCA31E" w14:textId="704F2AF1" w:rsidR="00B30BC4" w:rsidRDefault="00B30BC4">
      <w:pPr>
        <w:widowControl/>
        <w:adjustRightInd w:val="0"/>
        <w:snapToGrid w:val="0"/>
        <w:spacing w:line="360" w:lineRule="auto"/>
        <w:ind w:firstLineChars="200" w:firstLine="480"/>
        <w:rPr>
          <w:rFonts w:hAnsi="宋体"/>
          <w:kern w:val="0"/>
          <w:sz w:val="24"/>
        </w:rPr>
      </w:pPr>
      <w:r w:rsidRPr="00B30BC4">
        <w:rPr>
          <w:rFonts w:hAnsi="宋体" w:hint="eastAsia"/>
          <w:kern w:val="0"/>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p>
    <w:p w14:paraId="310DB054" w14:textId="18F22CBE" w:rsidR="003931D6" w:rsidRDefault="00B30BC4">
      <w:pPr>
        <w:widowControl/>
        <w:adjustRightInd w:val="0"/>
        <w:snapToGrid w:val="0"/>
        <w:spacing w:line="360" w:lineRule="auto"/>
        <w:ind w:firstLineChars="200" w:firstLine="480"/>
        <w:rPr>
          <w:rFonts w:hAnsi="宋体"/>
          <w:kern w:val="0"/>
          <w:sz w:val="24"/>
        </w:rPr>
      </w:pPr>
      <w:r w:rsidRPr="00B30BC4">
        <w:rPr>
          <w:rFonts w:hAnsi="宋体" w:hint="eastAsia"/>
          <w:kern w:val="0"/>
          <w:sz w:val="24"/>
        </w:rPr>
        <w:t>本基金为混合型基金中基金，其预期风险与预期收益理论上高于债券型基金、债券型基金中基金、货币市场基金和货币型基金中基金，低于股票型基金和股票型基金中基金。</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rPr>
        <w:t>请基金</w:t>
      </w:r>
      <w:proofErr w:type="gramEnd"/>
      <w:r>
        <w:rPr>
          <w:rFonts w:hAnsi="宋体" w:hint="eastAsia"/>
          <w:kern w:val="0"/>
          <w:sz w:val="24"/>
        </w:rPr>
        <w:t>份额持有人关注包括投资资产支持证券可能导致的基金净值波动在内的各项风险。</w:t>
      </w:r>
    </w:p>
    <w:p w14:paraId="70513C7C" w14:textId="05054589"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w:t>
      </w:r>
      <w:proofErr w:type="gramStart"/>
      <w:r>
        <w:rPr>
          <w:rFonts w:hAnsi="宋体" w:hint="eastAsia"/>
          <w:kern w:val="0"/>
          <w:sz w:val="24"/>
        </w:rPr>
        <w:t>通机制</w:t>
      </w:r>
      <w:proofErr w:type="gramEnd"/>
      <w:r>
        <w:rPr>
          <w:rFonts w:hAnsi="宋体" w:hint="eastAsia"/>
          <w:kern w:val="0"/>
          <w:sz w:val="24"/>
        </w:rPr>
        <w:t>下因投资环境、投资标的、市场制度以及交易规则等差异带来的特有风险，包括</w:t>
      </w:r>
      <w:r w:rsidR="00D97CCB">
        <w:rPr>
          <w:rFonts w:hAnsi="宋体" w:hint="eastAsia"/>
          <w:kern w:val="0"/>
          <w:sz w:val="24"/>
        </w:rPr>
        <w:t>但不限于</w:t>
      </w:r>
      <w:r>
        <w:rPr>
          <w:rFonts w:hAnsi="宋体" w:hint="eastAsia"/>
          <w:kern w:val="0"/>
          <w:sz w:val="24"/>
        </w:rPr>
        <w:t>港股市场股价波动较大的风险（港股市</w:t>
      </w:r>
      <w:proofErr w:type="gramStart"/>
      <w:r>
        <w:rPr>
          <w:rFonts w:hAnsi="宋体" w:hint="eastAsia"/>
          <w:kern w:val="0"/>
          <w:sz w:val="24"/>
        </w:rPr>
        <w:t>场实行</w:t>
      </w:r>
      <w:proofErr w:type="gramEnd"/>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w:t>
      </w:r>
      <w:proofErr w:type="gramStart"/>
      <w:r>
        <w:rPr>
          <w:rFonts w:hAnsi="宋体" w:hint="eastAsia"/>
          <w:kern w:val="0"/>
          <w:sz w:val="24"/>
        </w:rPr>
        <w:t>通机制</w:t>
      </w:r>
      <w:proofErr w:type="gramEnd"/>
      <w:r>
        <w:rPr>
          <w:rFonts w:hAnsi="宋体" w:hint="eastAsia"/>
          <w:kern w:val="0"/>
          <w:sz w:val="24"/>
        </w:rPr>
        <w:t>下交易日不连贯可能带来的风险（在内地开市香港休市的情形下，港股</w:t>
      </w:r>
      <w:proofErr w:type="gramStart"/>
      <w:r>
        <w:rPr>
          <w:rFonts w:hAnsi="宋体" w:hint="eastAsia"/>
          <w:kern w:val="0"/>
          <w:sz w:val="24"/>
        </w:rPr>
        <w:t>通不能</w:t>
      </w:r>
      <w:proofErr w:type="gramEnd"/>
      <w:r>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629AD89D" w14:textId="250C4001" w:rsidR="003931D6" w:rsidRDefault="003931D6" w:rsidP="003931D6">
      <w:pPr>
        <w:widowControl/>
        <w:adjustRightInd w:val="0"/>
        <w:snapToGrid w:val="0"/>
        <w:spacing w:line="360" w:lineRule="auto"/>
        <w:ind w:firstLineChars="200" w:firstLine="480"/>
        <w:rPr>
          <w:rFonts w:hAnsi="宋体"/>
          <w:kern w:val="0"/>
          <w:sz w:val="24"/>
        </w:rPr>
      </w:pPr>
      <w:r w:rsidRPr="003931D6">
        <w:rPr>
          <w:rFonts w:hAnsi="宋体" w:hint="eastAsia"/>
          <w:kern w:val="0"/>
          <w:sz w:val="24"/>
        </w:rPr>
        <w:lastRenderedPageBreak/>
        <w:t>本基金可投资</w:t>
      </w:r>
      <w:proofErr w:type="gramStart"/>
      <w:r w:rsidRPr="003931D6">
        <w:rPr>
          <w:rFonts w:hAnsi="宋体" w:hint="eastAsia"/>
          <w:kern w:val="0"/>
          <w:sz w:val="24"/>
        </w:rPr>
        <w:t>科创板</w:t>
      </w:r>
      <w:proofErr w:type="gramEnd"/>
      <w:r w:rsidRPr="003931D6">
        <w:rPr>
          <w:rFonts w:hAnsi="宋体" w:hint="eastAsia"/>
          <w:kern w:val="0"/>
          <w:sz w:val="24"/>
        </w:rPr>
        <w:t>股票，会</w:t>
      </w:r>
      <w:proofErr w:type="gramStart"/>
      <w:r w:rsidRPr="003931D6">
        <w:rPr>
          <w:rFonts w:hAnsi="宋体" w:hint="eastAsia"/>
          <w:kern w:val="0"/>
          <w:sz w:val="24"/>
        </w:rPr>
        <w:t>面临科创板机制</w:t>
      </w:r>
      <w:proofErr w:type="gramEnd"/>
      <w:r w:rsidRPr="003931D6">
        <w:rPr>
          <w:rFonts w:hAnsi="宋体" w:hint="eastAsia"/>
          <w:kern w:val="0"/>
          <w:sz w:val="24"/>
        </w:rPr>
        <w:t>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w:t>
      </w:r>
      <w:proofErr w:type="gramStart"/>
      <w:r w:rsidRPr="003931D6">
        <w:rPr>
          <w:rFonts w:hAnsi="宋体" w:hint="eastAsia"/>
          <w:kern w:val="0"/>
          <w:sz w:val="24"/>
        </w:rPr>
        <w:t>科创板股票</w:t>
      </w:r>
      <w:proofErr w:type="gramEnd"/>
      <w:r w:rsidRPr="003931D6">
        <w:rPr>
          <w:rFonts w:hAnsi="宋体" w:hint="eastAsia"/>
          <w:kern w:val="0"/>
          <w:sz w:val="24"/>
        </w:rPr>
        <w:t>或选择不将基金资产投资于</w:t>
      </w:r>
      <w:proofErr w:type="gramStart"/>
      <w:r w:rsidRPr="003931D6">
        <w:rPr>
          <w:rFonts w:hAnsi="宋体" w:hint="eastAsia"/>
          <w:kern w:val="0"/>
          <w:sz w:val="24"/>
        </w:rPr>
        <w:t>科创板</w:t>
      </w:r>
      <w:proofErr w:type="gramEnd"/>
      <w:r w:rsidRPr="003931D6">
        <w:rPr>
          <w:rFonts w:hAnsi="宋体" w:hint="eastAsia"/>
          <w:kern w:val="0"/>
          <w:sz w:val="24"/>
        </w:rPr>
        <w:t>股票，基金资产并非必然投资于</w:t>
      </w:r>
      <w:proofErr w:type="gramStart"/>
      <w:r w:rsidRPr="003931D6">
        <w:rPr>
          <w:rFonts w:hAnsi="宋体" w:hint="eastAsia"/>
          <w:kern w:val="0"/>
          <w:sz w:val="24"/>
        </w:rPr>
        <w:t>科创板</w:t>
      </w:r>
      <w:proofErr w:type="gramEnd"/>
      <w:r w:rsidRPr="003931D6">
        <w:rPr>
          <w:rFonts w:hAnsi="宋体" w:hint="eastAsia"/>
          <w:kern w:val="0"/>
          <w:sz w:val="24"/>
        </w:rPr>
        <w:t>股票。</w:t>
      </w:r>
    </w:p>
    <w:p w14:paraId="5D81703E" w14:textId="77777777" w:rsidR="00792F5C" w:rsidRPr="00792F5C" w:rsidRDefault="00792F5C" w:rsidP="00792F5C">
      <w:pPr>
        <w:widowControl/>
        <w:adjustRightInd w:val="0"/>
        <w:snapToGrid w:val="0"/>
        <w:spacing w:line="360" w:lineRule="auto"/>
        <w:ind w:firstLineChars="200" w:firstLine="480"/>
        <w:rPr>
          <w:kern w:val="0"/>
          <w:sz w:val="24"/>
        </w:rPr>
      </w:pPr>
      <w:r w:rsidRPr="00792F5C">
        <w:rPr>
          <w:rFonts w:hint="eastAsia"/>
          <w:kern w:val="0"/>
          <w:sz w:val="24"/>
        </w:rPr>
        <w:t>本基金为养老目标基金，致力于满足投资者的养老资金理财需求，但养老目标基金并不代表收益保障或其他任何形式的收益承诺。本基金非保本产品，存在投资者承担亏损的可能性。</w:t>
      </w:r>
    </w:p>
    <w:p w14:paraId="01671118" w14:textId="77777777" w:rsidR="00792F5C" w:rsidRDefault="00792F5C" w:rsidP="00792F5C">
      <w:pPr>
        <w:widowControl/>
        <w:adjustRightInd w:val="0"/>
        <w:snapToGrid w:val="0"/>
        <w:spacing w:line="360" w:lineRule="auto"/>
        <w:ind w:firstLineChars="200" w:firstLine="480"/>
        <w:rPr>
          <w:kern w:val="0"/>
          <w:sz w:val="24"/>
        </w:rPr>
      </w:pPr>
      <w:r w:rsidRPr="00792F5C">
        <w:rPr>
          <w:rFonts w:hint="eastAsia"/>
          <w:kern w:val="0"/>
          <w:sz w:val="24"/>
        </w:rPr>
        <w:t>本基金定位为平衡</w:t>
      </w:r>
      <w:proofErr w:type="gramStart"/>
      <w:r w:rsidRPr="00792F5C">
        <w:rPr>
          <w:rFonts w:hint="eastAsia"/>
          <w:kern w:val="0"/>
          <w:sz w:val="24"/>
        </w:rPr>
        <w:t>型目标</w:t>
      </w:r>
      <w:proofErr w:type="gramEnd"/>
      <w:r w:rsidRPr="00792F5C">
        <w:rPr>
          <w:rFonts w:hint="eastAsia"/>
          <w:kern w:val="0"/>
          <w:sz w:val="24"/>
        </w:rPr>
        <w:t>风险策略基金，本基金投资于股票（</w:t>
      </w:r>
      <w:proofErr w:type="gramStart"/>
      <w:r w:rsidRPr="00792F5C">
        <w:rPr>
          <w:rFonts w:hint="eastAsia"/>
          <w:kern w:val="0"/>
          <w:sz w:val="24"/>
        </w:rPr>
        <w:t>含存托</w:t>
      </w:r>
      <w:proofErr w:type="gramEnd"/>
      <w:r w:rsidRPr="00792F5C">
        <w:rPr>
          <w:rFonts w:hint="eastAsia"/>
          <w:kern w:val="0"/>
          <w:sz w:val="24"/>
        </w:rPr>
        <w:t>凭证）、股票型基金（包括股票指数基金）、混合型基金和商品基金（</w:t>
      </w:r>
      <w:proofErr w:type="gramStart"/>
      <w:r w:rsidRPr="00792F5C">
        <w:rPr>
          <w:rFonts w:hint="eastAsia"/>
          <w:kern w:val="0"/>
          <w:sz w:val="24"/>
        </w:rPr>
        <w:t>含商品</w:t>
      </w:r>
      <w:proofErr w:type="gramEnd"/>
      <w:r w:rsidRPr="00792F5C">
        <w:rPr>
          <w:rFonts w:hint="eastAsia"/>
          <w:kern w:val="0"/>
          <w:sz w:val="24"/>
        </w:rPr>
        <w:t>期货基金和黄金</w:t>
      </w:r>
      <w:r w:rsidRPr="00792F5C">
        <w:rPr>
          <w:rFonts w:hint="eastAsia"/>
          <w:kern w:val="0"/>
          <w:sz w:val="24"/>
        </w:rPr>
        <w:t>ETF</w:t>
      </w:r>
      <w:r w:rsidRPr="00792F5C">
        <w:rPr>
          <w:rFonts w:hint="eastAsia"/>
          <w:kern w:val="0"/>
          <w:sz w:val="24"/>
        </w:rPr>
        <w:t>）等品种的比例合计不超过基金资产的</w:t>
      </w:r>
      <w:r w:rsidRPr="00792F5C">
        <w:rPr>
          <w:rFonts w:hint="eastAsia"/>
          <w:kern w:val="0"/>
          <w:sz w:val="24"/>
        </w:rPr>
        <w:t>60%</w:t>
      </w:r>
      <w:r w:rsidRPr="00792F5C">
        <w:rPr>
          <w:rFonts w:hint="eastAsia"/>
          <w:kern w:val="0"/>
          <w:sz w:val="24"/>
        </w:rPr>
        <w:t>；投资于港股通标的股票的比例占股票资产的</w:t>
      </w:r>
      <w:r w:rsidRPr="00792F5C">
        <w:rPr>
          <w:rFonts w:hint="eastAsia"/>
          <w:kern w:val="0"/>
          <w:sz w:val="24"/>
        </w:rPr>
        <w:t>0%-50%</w:t>
      </w:r>
      <w:r w:rsidRPr="00792F5C">
        <w:rPr>
          <w:rFonts w:hint="eastAsia"/>
          <w:kern w:val="0"/>
          <w:sz w:val="24"/>
        </w:rPr>
        <w:t>。其中投资于权益类资产包括股票（</w:t>
      </w:r>
      <w:proofErr w:type="gramStart"/>
      <w:r w:rsidRPr="00792F5C">
        <w:rPr>
          <w:rFonts w:hint="eastAsia"/>
          <w:kern w:val="0"/>
          <w:sz w:val="24"/>
        </w:rPr>
        <w:t>含存托</w:t>
      </w:r>
      <w:proofErr w:type="gramEnd"/>
      <w:r w:rsidRPr="00792F5C">
        <w:rPr>
          <w:rFonts w:hint="eastAsia"/>
          <w:kern w:val="0"/>
          <w:sz w:val="24"/>
        </w:rPr>
        <w:t>凭证）、股票型基金（包括股票指数基金）、混合型基金的战略配置目标比例为</w:t>
      </w:r>
      <w:r w:rsidRPr="00792F5C">
        <w:rPr>
          <w:rFonts w:hint="eastAsia"/>
          <w:kern w:val="0"/>
          <w:sz w:val="24"/>
        </w:rPr>
        <w:t>50%</w:t>
      </w:r>
      <w:r w:rsidRPr="00792F5C">
        <w:rPr>
          <w:rFonts w:hint="eastAsia"/>
          <w:kern w:val="0"/>
          <w:sz w:val="24"/>
        </w:rPr>
        <w:t>，投资比例为基金资产的</w:t>
      </w:r>
      <w:r w:rsidRPr="00792F5C">
        <w:rPr>
          <w:rFonts w:hint="eastAsia"/>
          <w:kern w:val="0"/>
          <w:sz w:val="24"/>
        </w:rPr>
        <w:t>35%-60%</w:t>
      </w:r>
      <w:r w:rsidRPr="00792F5C">
        <w:rPr>
          <w:rFonts w:hint="eastAsia"/>
          <w:kern w:val="0"/>
          <w:sz w:val="24"/>
        </w:rPr>
        <w:t>。</w:t>
      </w:r>
    </w:p>
    <w:p w14:paraId="5BFE52BE" w14:textId="7701214A" w:rsidR="00792F5C" w:rsidRPr="00792F5C" w:rsidRDefault="00792F5C" w:rsidP="00792F5C">
      <w:pPr>
        <w:widowControl/>
        <w:adjustRightInd w:val="0"/>
        <w:snapToGrid w:val="0"/>
        <w:spacing w:line="360" w:lineRule="auto"/>
        <w:ind w:firstLineChars="200" w:firstLine="480"/>
        <w:rPr>
          <w:kern w:val="0"/>
          <w:sz w:val="24"/>
        </w:rPr>
      </w:pPr>
      <w:r w:rsidRPr="00792F5C">
        <w:rPr>
          <w:rFonts w:hint="eastAsia"/>
          <w:kern w:val="0"/>
          <w:sz w:val="24"/>
        </w:rPr>
        <w:t>基金份额持有人持有的每份基金份额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因此，对于基金份额持有人而言，存在投资本基金后三年内无法赎回的风险。</w:t>
      </w:r>
    </w:p>
    <w:p w14:paraId="0104CA5E" w14:textId="729B610A" w:rsidR="004B56F4" w:rsidRDefault="00792F5C" w:rsidP="004B56F4">
      <w:pPr>
        <w:widowControl/>
        <w:adjustRightInd w:val="0"/>
        <w:snapToGrid w:val="0"/>
        <w:spacing w:line="360" w:lineRule="auto"/>
        <w:ind w:firstLineChars="200" w:firstLine="480"/>
        <w:rPr>
          <w:kern w:val="0"/>
          <w:sz w:val="24"/>
        </w:rPr>
      </w:pPr>
      <w:proofErr w:type="gramStart"/>
      <w:r w:rsidRPr="00792F5C">
        <w:rPr>
          <w:rFonts w:hint="eastAsia"/>
          <w:kern w:val="0"/>
          <w:sz w:val="24"/>
        </w:rPr>
        <w:t>若基金</w:t>
      </w:r>
      <w:proofErr w:type="gramEnd"/>
      <w:r w:rsidRPr="00792F5C">
        <w:rPr>
          <w:rFonts w:hint="eastAsia"/>
          <w:kern w:val="0"/>
          <w:sz w:val="24"/>
        </w:rPr>
        <w:t>份额持有人多次认购或申购本基金导致持有多笔不同期限的本</w:t>
      </w:r>
      <w:proofErr w:type="gramStart"/>
      <w:r w:rsidRPr="00792F5C">
        <w:rPr>
          <w:rFonts w:hint="eastAsia"/>
          <w:kern w:val="0"/>
          <w:sz w:val="24"/>
        </w:rPr>
        <w:t>基金基金</w:t>
      </w:r>
      <w:proofErr w:type="gramEnd"/>
      <w:r w:rsidRPr="00792F5C">
        <w:rPr>
          <w:rFonts w:hint="eastAsia"/>
          <w:kern w:val="0"/>
          <w:sz w:val="24"/>
        </w:rPr>
        <w:t>份额时，基金份额持有人在赎回时需特别关注申请赎回的基金份额数量，</w:t>
      </w:r>
      <w:proofErr w:type="gramStart"/>
      <w:r w:rsidRPr="00792F5C">
        <w:rPr>
          <w:rFonts w:hint="eastAsia"/>
          <w:kern w:val="0"/>
          <w:sz w:val="24"/>
        </w:rPr>
        <w:t>若申请</w:t>
      </w:r>
      <w:proofErr w:type="gramEnd"/>
      <w:r w:rsidRPr="00792F5C">
        <w:rPr>
          <w:rFonts w:hint="eastAsia"/>
          <w:kern w:val="0"/>
          <w:sz w:val="24"/>
        </w:rPr>
        <w:t>赎回的基金份额超过了该基金份额持有人持续持有超过三年的基金份额数量，</w:t>
      </w:r>
      <w:proofErr w:type="gramStart"/>
      <w:r w:rsidRPr="00792F5C">
        <w:rPr>
          <w:rFonts w:hint="eastAsia"/>
          <w:kern w:val="0"/>
          <w:sz w:val="24"/>
        </w:rPr>
        <w:t>则基金</w:t>
      </w:r>
      <w:proofErr w:type="gramEnd"/>
      <w:r w:rsidRPr="00792F5C">
        <w:rPr>
          <w:rFonts w:hint="eastAsia"/>
          <w:kern w:val="0"/>
          <w:sz w:val="24"/>
        </w:rPr>
        <w:t>份额持有人的赎回申请将全部被予以拒绝。基金份额持有人需承担赎回申请失败的风险。</w:t>
      </w:r>
    </w:p>
    <w:p w14:paraId="778A5CD3" w14:textId="0320348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w:t>
      </w:r>
      <w:r>
        <w:rPr>
          <w:rFonts w:hAnsi="宋体" w:hint="eastAsia"/>
          <w:kern w:val="0"/>
          <w:sz w:val="24"/>
        </w:rPr>
        <w:lastRenderedPageBreak/>
        <w:t>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408D5FFC" w:rsidR="00012CCB" w:rsidRPr="00BC6018" w:rsidRDefault="004B56F4" w:rsidP="009D0721">
      <w:pPr>
        <w:widowControl/>
        <w:adjustRightInd w:val="0"/>
        <w:snapToGrid w:val="0"/>
        <w:spacing w:line="360" w:lineRule="auto"/>
        <w:ind w:firstLineChars="200" w:firstLine="480"/>
        <w:rPr>
          <w:rFonts w:hAnsi="宋体"/>
          <w:kern w:val="0"/>
          <w:sz w:val="24"/>
          <w:szCs w:val="24"/>
        </w:rPr>
      </w:pPr>
      <w:r w:rsidRPr="001F3280">
        <w:rPr>
          <w:rFonts w:hAnsi="宋体" w:hint="eastAsia"/>
          <w:kern w:val="0"/>
          <w:sz w:val="24"/>
          <w:szCs w:val="24"/>
        </w:rPr>
        <w:t>本基金为发起式基金，《基金合同》生效之日起三年后的对应日，基金资产净值低于</w:t>
      </w:r>
      <w:r w:rsidRPr="001F3280">
        <w:rPr>
          <w:rFonts w:hAnsi="宋体" w:hint="eastAsia"/>
          <w:kern w:val="0"/>
          <w:sz w:val="24"/>
          <w:szCs w:val="24"/>
        </w:rPr>
        <w:t>2</w:t>
      </w:r>
      <w:r w:rsidRPr="001F3280">
        <w:rPr>
          <w:rFonts w:hAnsi="宋体" w:hint="eastAsia"/>
          <w:kern w:val="0"/>
          <w:sz w:val="24"/>
          <w:szCs w:val="24"/>
        </w:rPr>
        <w:t>亿元，或《基金合同》生效三年后继续存续的，基金存续期内，</w:t>
      </w:r>
      <w:r w:rsidRPr="00316C82">
        <w:rPr>
          <w:rFonts w:hAnsi="宋体" w:hint="eastAsia"/>
          <w:kern w:val="0"/>
          <w:sz w:val="24"/>
          <w:szCs w:val="24"/>
        </w:rPr>
        <w:t>连续</w:t>
      </w:r>
      <w:r>
        <w:rPr>
          <w:rFonts w:hAnsi="宋体" w:hint="eastAsia"/>
          <w:kern w:val="0"/>
          <w:sz w:val="24"/>
          <w:szCs w:val="24"/>
        </w:rPr>
        <w:t>5</w:t>
      </w:r>
      <w:r>
        <w:rPr>
          <w:rFonts w:hAnsi="宋体"/>
          <w:kern w:val="0"/>
          <w:sz w:val="24"/>
          <w:szCs w:val="24"/>
        </w:rPr>
        <w:t>0</w:t>
      </w:r>
      <w:r w:rsidRPr="00316C82">
        <w:rPr>
          <w:rFonts w:hAnsi="宋体" w:hint="eastAsia"/>
          <w:kern w:val="0"/>
          <w:sz w:val="24"/>
          <w:szCs w:val="24"/>
        </w:rPr>
        <w:t>个工作日出现基金份额持有人数量不满</w:t>
      </w:r>
      <w:r w:rsidRPr="00316C82">
        <w:rPr>
          <w:rFonts w:hAnsi="宋体" w:hint="eastAsia"/>
          <w:kern w:val="0"/>
          <w:sz w:val="24"/>
          <w:szCs w:val="24"/>
        </w:rPr>
        <w:t>200</w:t>
      </w:r>
      <w:r w:rsidRPr="00316C82">
        <w:rPr>
          <w:rFonts w:hAnsi="宋体" w:hint="eastAsia"/>
          <w:kern w:val="0"/>
          <w:sz w:val="24"/>
          <w:szCs w:val="24"/>
        </w:rPr>
        <w:t>人或基金资产净值低于</w:t>
      </w:r>
      <w:r w:rsidRPr="00316C82">
        <w:rPr>
          <w:rFonts w:hAnsi="宋体" w:hint="eastAsia"/>
          <w:kern w:val="0"/>
          <w:sz w:val="24"/>
          <w:szCs w:val="24"/>
        </w:rPr>
        <w:t>5000</w:t>
      </w:r>
      <w:r w:rsidRPr="00316C82">
        <w:rPr>
          <w:rFonts w:hAnsi="宋体" w:hint="eastAsia"/>
          <w:kern w:val="0"/>
          <w:sz w:val="24"/>
          <w:szCs w:val="24"/>
        </w:rPr>
        <w:t>万元情形时</w:t>
      </w:r>
      <w:r>
        <w:rPr>
          <w:rFonts w:hAnsi="宋体" w:hint="eastAsia"/>
          <w:kern w:val="0"/>
          <w:sz w:val="24"/>
          <w:szCs w:val="24"/>
        </w:rPr>
        <w:t>，</w:t>
      </w:r>
      <w:r w:rsidRPr="00B748FC">
        <w:rPr>
          <w:rFonts w:ascii="宋体" w:hAnsi="宋体" w:hint="eastAsia"/>
          <w:kern w:val="0"/>
          <w:sz w:val="24"/>
          <w:szCs w:val="24"/>
        </w:rPr>
        <w:t>基金合同</w:t>
      </w:r>
      <w:r>
        <w:rPr>
          <w:rFonts w:ascii="宋体" w:hAnsi="宋体" w:hint="eastAsia"/>
          <w:kern w:val="0"/>
          <w:sz w:val="24"/>
          <w:szCs w:val="24"/>
        </w:rPr>
        <w:t>终止</w:t>
      </w:r>
      <w:r w:rsidRPr="00316C82">
        <w:rPr>
          <w:rFonts w:hAnsi="宋体" w:hint="eastAsia"/>
          <w:kern w:val="0"/>
          <w:sz w:val="24"/>
          <w:szCs w:val="24"/>
        </w:rPr>
        <w:t>，不需召开基金份额持有人大会</w:t>
      </w:r>
      <w:r>
        <w:rPr>
          <w:rFonts w:hAnsi="宋体" w:hint="eastAsia"/>
          <w:kern w:val="0"/>
          <w:sz w:val="24"/>
          <w:szCs w:val="24"/>
        </w:rPr>
        <w:t>。投资者可能面临基金合同提前终止的风险。</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lastRenderedPageBreak/>
        <w:t>一、本次募集基本情况</w:t>
      </w:r>
    </w:p>
    <w:p w14:paraId="1B9B1D8B" w14:textId="77777777" w:rsidR="00012CCB" w:rsidRDefault="009279C5">
      <w:pPr>
        <w:adjustRightInd w:val="0"/>
        <w:snapToGrid w:val="0"/>
        <w:spacing w:line="360" w:lineRule="auto"/>
        <w:ind w:firstLineChars="200" w:firstLine="480"/>
        <w:outlineLvl w:val="1"/>
        <w:rPr>
          <w:sz w:val="24"/>
        </w:rPr>
      </w:pPr>
      <w:r>
        <w:rPr>
          <w:sz w:val="24"/>
        </w:rPr>
        <w:t>1</w:t>
      </w:r>
      <w:r>
        <w:rPr>
          <w:rFonts w:hAnsi="宋体"/>
          <w:sz w:val="24"/>
        </w:rPr>
        <w:t>、基金名称</w:t>
      </w:r>
    </w:p>
    <w:p w14:paraId="28C9244E" w14:textId="01389E8B" w:rsidR="00012CCB" w:rsidRDefault="001F1C45">
      <w:pPr>
        <w:adjustRightInd w:val="0"/>
        <w:snapToGrid w:val="0"/>
        <w:spacing w:line="360" w:lineRule="auto"/>
        <w:ind w:firstLineChars="200" w:firstLine="480"/>
        <w:rPr>
          <w:sz w:val="24"/>
        </w:rPr>
      </w:pPr>
      <w:r>
        <w:rPr>
          <w:rFonts w:hAnsi="宋体" w:hint="eastAsia"/>
          <w:sz w:val="24"/>
        </w:rPr>
        <w:t>交银施罗德安</w:t>
      </w:r>
      <w:proofErr w:type="gramStart"/>
      <w:r>
        <w:rPr>
          <w:rFonts w:hAnsi="宋体" w:hint="eastAsia"/>
          <w:sz w:val="24"/>
        </w:rPr>
        <w:t>悦</w:t>
      </w:r>
      <w:proofErr w:type="gramEnd"/>
      <w:r>
        <w:rPr>
          <w:rFonts w:hAnsi="宋体" w:hint="eastAsia"/>
          <w:sz w:val="24"/>
        </w:rPr>
        <w:t>平衡养老目标三年持有期混合型发起</w:t>
      </w:r>
      <w:proofErr w:type="gramStart"/>
      <w:r>
        <w:rPr>
          <w:rFonts w:hAnsi="宋体" w:hint="eastAsia"/>
          <w:sz w:val="24"/>
        </w:rPr>
        <w:t>式基金</w:t>
      </w:r>
      <w:proofErr w:type="gramEnd"/>
      <w:r>
        <w:rPr>
          <w:rFonts w:hAnsi="宋体" w:hint="eastAsia"/>
          <w:sz w:val="24"/>
        </w:rPr>
        <w:t>中基金（</w:t>
      </w:r>
      <w:r>
        <w:rPr>
          <w:rFonts w:hAnsi="宋体" w:hint="eastAsia"/>
          <w:sz w:val="24"/>
        </w:rPr>
        <w:t>FOF</w:t>
      </w:r>
      <w:r>
        <w:rPr>
          <w:rFonts w:hAnsi="宋体" w:hint="eastAsia"/>
          <w:sz w:val="24"/>
        </w:rPr>
        <w:t>）</w:t>
      </w:r>
    </w:p>
    <w:p w14:paraId="478290C3" w14:textId="77777777" w:rsidR="00012CCB" w:rsidRDefault="009279C5">
      <w:pPr>
        <w:adjustRightInd w:val="0"/>
        <w:snapToGrid w:val="0"/>
        <w:spacing w:line="360" w:lineRule="auto"/>
        <w:ind w:firstLineChars="200" w:firstLine="480"/>
        <w:outlineLvl w:val="1"/>
        <w:rPr>
          <w:sz w:val="24"/>
        </w:rPr>
      </w:pPr>
      <w:r>
        <w:rPr>
          <w:sz w:val="24"/>
        </w:rPr>
        <w:t>2</w:t>
      </w:r>
      <w:r>
        <w:rPr>
          <w:rFonts w:hAnsi="宋体"/>
          <w:sz w:val="24"/>
        </w:rPr>
        <w:t>、基金类型</w:t>
      </w:r>
    </w:p>
    <w:p w14:paraId="76F86D2A" w14:textId="12C8732E" w:rsidR="00012CCB" w:rsidRDefault="005571C9">
      <w:pPr>
        <w:adjustRightInd w:val="0"/>
        <w:snapToGrid w:val="0"/>
        <w:spacing w:line="360" w:lineRule="auto"/>
        <w:ind w:firstLineChars="200" w:firstLine="480"/>
        <w:rPr>
          <w:sz w:val="24"/>
        </w:rPr>
      </w:pPr>
      <w:r w:rsidRPr="005571C9">
        <w:rPr>
          <w:rFonts w:hint="eastAsia"/>
          <w:color w:val="000000"/>
          <w:kern w:val="0"/>
          <w:sz w:val="24"/>
        </w:rPr>
        <w:t>混合型基金中基金（</w:t>
      </w:r>
      <w:r w:rsidRPr="005571C9">
        <w:rPr>
          <w:rFonts w:hint="eastAsia"/>
          <w:color w:val="000000"/>
          <w:kern w:val="0"/>
          <w:sz w:val="24"/>
        </w:rPr>
        <w:t>FOF</w:t>
      </w:r>
      <w:r w:rsidRPr="005571C9">
        <w:rPr>
          <w:rFonts w:hint="eastAsia"/>
          <w:color w:val="000000"/>
          <w:kern w:val="0"/>
          <w:sz w:val="24"/>
        </w:rPr>
        <w:t>）</w:t>
      </w:r>
    </w:p>
    <w:p w14:paraId="3380ECC7" w14:textId="77777777" w:rsidR="00012CCB" w:rsidRDefault="009279C5">
      <w:pPr>
        <w:adjustRightInd w:val="0"/>
        <w:snapToGrid w:val="0"/>
        <w:spacing w:line="360" w:lineRule="auto"/>
        <w:ind w:firstLineChars="200" w:firstLine="480"/>
        <w:outlineLvl w:val="1"/>
        <w:rPr>
          <w:sz w:val="24"/>
        </w:rPr>
      </w:pPr>
      <w:r>
        <w:rPr>
          <w:sz w:val="24"/>
        </w:rPr>
        <w:t>3</w:t>
      </w:r>
      <w:r>
        <w:rPr>
          <w:rFonts w:hAnsi="宋体"/>
          <w:sz w:val="24"/>
        </w:rPr>
        <w:t>、运作方式</w:t>
      </w:r>
    </w:p>
    <w:p w14:paraId="74086655"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契约型开放式</w:t>
      </w:r>
    </w:p>
    <w:p w14:paraId="2A137C58" w14:textId="77777777" w:rsidR="00012CCB" w:rsidRDefault="009279C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48960F24" w14:textId="77777777" w:rsidR="00012CCB" w:rsidRDefault="009279C5">
      <w:pPr>
        <w:adjustRightInd w:val="0"/>
        <w:snapToGrid w:val="0"/>
        <w:spacing w:line="360" w:lineRule="auto"/>
        <w:ind w:firstLineChars="200" w:firstLine="480"/>
        <w:rPr>
          <w:sz w:val="24"/>
        </w:rPr>
      </w:pPr>
      <w:r>
        <w:rPr>
          <w:rFonts w:hAnsi="宋体"/>
          <w:sz w:val="24"/>
        </w:rPr>
        <w:t>不定期</w:t>
      </w:r>
    </w:p>
    <w:p w14:paraId="3FCFAEE2" w14:textId="77777777" w:rsidR="00012CCB" w:rsidRDefault="009279C5">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1D74EB52" w14:textId="77777777" w:rsidR="00012CCB" w:rsidRDefault="009279C5">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Pr>
          <w:sz w:val="24"/>
        </w:rPr>
        <w:t>1.00</w:t>
      </w:r>
      <w:r>
        <w:rPr>
          <w:rFonts w:hAnsi="宋体"/>
          <w:sz w:val="24"/>
        </w:rPr>
        <w:t>元。</w:t>
      </w:r>
    </w:p>
    <w:p w14:paraId="398E3236" w14:textId="7A74CA7F" w:rsidR="00012CCB" w:rsidRDefault="009279C5" w:rsidP="001F1C45">
      <w:pPr>
        <w:adjustRightInd w:val="0"/>
        <w:snapToGrid w:val="0"/>
        <w:spacing w:line="360" w:lineRule="auto"/>
        <w:ind w:firstLineChars="200" w:firstLine="480"/>
        <w:outlineLvl w:val="1"/>
        <w:rPr>
          <w:sz w:val="24"/>
        </w:rPr>
      </w:pPr>
      <w:r>
        <w:rPr>
          <w:rFonts w:hAnsi="宋体" w:hint="eastAsia"/>
          <w:sz w:val="24"/>
        </w:rPr>
        <w:t>6</w:t>
      </w:r>
      <w:r>
        <w:rPr>
          <w:rFonts w:hAnsi="宋体" w:hint="eastAsia"/>
          <w:sz w:val="24"/>
        </w:rPr>
        <w:t>、</w:t>
      </w:r>
      <w:r>
        <w:rPr>
          <w:sz w:val="24"/>
        </w:rPr>
        <w:t>基金代码及基金简称</w:t>
      </w:r>
    </w:p>
    <w:p w14:paraId="1F29159D" w14:textId="02484246" w:rsidR="00012CCB" w:rsidRDefault="009279C5">
      <w:pPr>
        <w:adjustRightInd w:val="0"/>
        <w:snapToGrid w:val="0"/>
        <w:spacing w:line="360" w:lineRule="auto"/>
        <w:ind w:firstLineChars="200" w:firstLine="480"/>
        <w:rPr>
          <w:sz w:val="24"/>
        </w:rPr>
      </w:pPr>
      <w:r>
        <w:rPr>
          <w:rFonts w:hint="eastAsia"/>
          <w:sz w:val="24"/>
        </w:rPr>
        <w:t>基金代码：</w:t>
      </w:r>
      <w:r w:rsidR="002B1CCA">
        <w:rPr>
          <w:rFonts w:hAnsi="宋体"/>
          <w:sz w:val="24"/>
        </w:rPr>
        <w:t>010910</w:t>
      </w:r>
      <w:r>
        <w:rPr>
          <w:rFonts w:hint="eastAsia"/>
          <w:sz w:val="24"/>
        </w:rPr>
        <w:t>；基金简称：</w:t>
      </w:r>
      <w:r w:rsidR="001F1C45" w:rsidRPr="001F1C45">
        <w:rPr>
          <w:rFonts w:hint="eastAsia"/>
          <w:sz w:val="24"/>
        </w:rPr>
        <w:t>交银</w:t>
      </w:r>
      <w:proofErr w:type="gramStart"/>
      <w:r w:rsidR="001F1C45" w:rsidRPr="001F1C45">
        <w:rPr>
          <w:rFonts w:hint="eastAsia"/>
          <w:sz w:val="24"/>
        </w:rPr>
        <w:t>安悦平衡</w:t>
      </w:r>
      <w:proofErr w:type="gramEnd"/>
      <w:r w:rsidR="001F1C45" w:rsidRPr="001F1C45">
        <w:rPr>
          <w:rFonts w:hint="eastAsia"/>
          <w:sz w:val="24"/>
        </w:rPr>
        <w:t>养老三年持有期混合发起（</w:t>
      </w:r>
      <w:r w:rsidR="001F1C45" w:rsidRPr="001F1C45">
        <w:rPr>
          <w:rFonts w:hint="eastAsia"/>
          <w:sz w:val="24"/>
        </w:rPr>
        <w:t>FOF</w:t>
      </w:r>
      <w:r w:rsidR="001F1C45" w:rsidRPr="001F1C45">
        <w:rPr>
          <w:rFonts w:hint="eastAsia"/>
          <w:sz w:val="24"/>
        </w:rPr>
        <w:t>）</w:t>
      </w:r>
    </w:p>
    <w:p w14:paraId="52373944" w14:textId="0566F9C2" w:rsidR="00012CCB" w:rsidRDefault="001F1C45">
      <w:pPr>
        <w:adjustRightInd w:val="0"/>
        <w:snapToGrid w:val="0"/>
        <w:spacing w:line="360" w:lineRule="auto"/>
        <w:ind w:firstLineChars="200" w:firstLine="480"/>
        <w:outlineLvl w:val="1"/>
        <w:rPr>
          <w:sz w:val="24"/>
        </w:rPr>
      </w:pPr>
      <w:r>
        <w:rPr>
          <w:rFonts w:hint="eastAsia"/>
          <w:sz w:val="24"/>
        </w:rPr>
        <w:t>7</w:t>
      </w:r>
      <w:r w:rsidR="009279C5">
        <w:rPr>
          <w:rFonts w:hAnsi="宋体"/>
          <w:sz w:val="24"/>
        </w:rPr>
        <w:t>、发售对象</w:t>
      </w:r>
    </w:p>
    <w:p w14:paraId="2B9CBD12" w14:textId="6E439B90" w:rsidR="00012CCB" w:rsidRDefault="009279C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w:t>
      </w:r>
      <w:r w:rsidR="000657F1" w:rsidRPr="005C2117">
        <w:rPr>
          <w:rFonts w:hint="eastAsia"/>
          <w:color w:val="000000"/>
          <w:kern w:val="0"/>
          <w:sz w:val="24"/>
        </w:rPr>
        <w:t>、发起资金提供方</w:t>
      </w:r>
      <w:r>
        <w:rPr>
          <w:rFonts w:hint="eastAsia"/>
          <w:color w:val="000000"/>
          <w:kern w:val="0"/>
          <w:sz w:val="24"/>
        </w:rPr>
        <w:t>以及法律法规或中国证监会允许购买证券投资基金的其他投资人。</w:t>
      </w:r>
    </w:p>
    <w:p w14:paraId="370E2D70" w14:textId="5A883375" w:rsidR="00012CCB" w:rsidRDefault="001F1C45">
      <w:pPr>
        <w:adjustRightInd w:val="0"/>
        <w:snapToGrid w:val="0"/>
        <w:spacing w:line="360" w:lineRule="auto"/>
        <w:ind w:firstLineChars="200" w:firstLine="480"/>
        <w:outlineLvl w:val="1"/>
        <w:rPr>
          <w:sz w:val="24"/>
        </w:rPr>
      </w:pPr>
      <w:r>
        <w:rPr>
          <w:sz w:val="24"/>
        </w:rPr>
        <w:t>8</w:t>
      </w:r>
      <w:r w:rsidR="009279C5">
        <w:rPr>
          <w:rFonts w:hAnsi="宋体"/>
          <w:sz w:val="24"/>
        </w:rPr>
        <w:t>、销售机构</w:t>
      </w:r>
    </w:p>
    <w:p w14:paraId="35F1E99F" w14:textId="77777777" w:rsidR="00012CCB" w:rsidRPr="00C0430E"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1</w:t>
      </w:r>
      <w:r>
        <w:rPr>
          <w:rFonts w:hAnsi="宋体"/>
          <w:sz w:val="24"/>
        </w:rPr>
        <w:t>）直销机构：</w:t>
      </w:r>
    </w:p>
    <w:p w14:paraId="1C9C3AA0" w14:textId="77777777" w:rsidR="00012CCB" w:rsidRDefault="009279C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3081D901" w14:textId="77777777" w:rsidR="00012CCB"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2</w:t>
      </w:r>
      <w:r>
        <w:rPr>
          <w:rFonts w:hAnsi="宋体"/>
          <w:sz w:val="24"/>
        </w:rPr>
        <w:t>）</w:t>
      </w:r>
      <w:r>
        <w:rPr>
          <w:rFonts w:hAnsi="宋体" w:hint="eastAsia"/>
          <w:sz w:val="24"/>
        </w:rPr>
        <w:t>除基金管理人之外的其他</w:t>
      </w:r>
      <w:r w:rsidRPr="00C0430E">
        <w:rPr>
          <w:rFonts w:hAnsi="宋体" w:hint="eastAsia"/>
          <w:sz w:val="24"/>
        </w:rPr>
        <w:t>销售机构</w:t>
      </w:r>
      <w:r>
        <w:rPr>
          <w:rFonts w:hAnsi="宋体" w:hint="eastAsia"/>
          <w:sz w:val="24"/>
        </w:rPr>
        <w:t>：</w:t>
      </w:r>
    </w:p>
    <w:p w14:paraId="006EBCC8" w14:textId="77777777" w:rsidR="00012CCB" w:rsidRDefault="009279C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334CE7B9" w14:textId="77777777" w:rsidR="00012CCB" w:rsidRDefault="009279C5">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28627E59" w14:textId="362B013F" w:rsidR="00012CCB" w:rsidRDefault="001F1C45">
      <w:pPr>
        <w:adjustRightInd w:val="0"/>
        <w:snapToGrid w:val="0"/>
        <w:spacing w:line="360" w:lineRule="auto"/>
        <w:ind w:firstLineChars="200" w:firstLine="480"/>
        <w:outlineLvl w:val="1"/>
        <w:rPr>
          <w:sz w:val="24"/>
        </w:rPr>
      </w:pPr>
      <w:r>
        <w:rPr>
          <w:sz w:val="24"/>
        </w:rPr>
        <w:t>9</w:t>
      </w:r>
      <w:r w:rsidR="009279C5">
        <w:rPr>
          <w:rFonts w:hAnsi="宋体"/>
          <w:sz w:val="24"/>
        </w:rPr>
        <w:t>、募集时间安排与基金合同生效</w:t>
      </w:r>
    </w:p>
    <w:p w14:paraId="6595EF03" w14:textId="602E1C89" w:rsidR="00012CCB" w:rsidRDefault="009279C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lastRenderedPageBreak/>
        <w:t>个月。本基金募集期自</w:t>
      </w:r>
      <w:r w:rsidR="001F1C45">
        <w:rPr>
          <w:sz w:val="24"/>
        </w:rPr>
        <w:t>2023</w:t>
      </w:r>
      <w:r w:rsidR="001F1C45">
        <w:rPr>
          <w:sz w:val="24"/>
        </w:rPr>
        <w:t>年</w:t>
      </w:r>
      <w:r w:rsidR="001F1C45">
        <w:rPr>
          <w:rFonts w:hint="eastAsia"/>
          <w:sz w:val="24"/>
        </w:rPr>
        <w:t>1</w:t>
      </w:r>
      <w:r w:rsidR="001F1C45">
        <w:rPr>
          <w:sz w:val="24"/>
        </w:rPr>
        <w:t>2</w:t>
      </w:r>
      <w:r w:rsidR="001F1C45">
        <w:rPr>
          <w:rFonts w:hint="eastAsia"/>
          <w:sz w:val="24"/>
        </w:rPr>
        <w:t>月</w:t>
      </w:r>
      <w:r w:rsidR="002B1CCA">
        <w:rPr>
          <w:sz w:val="24"/>
        </w:rPr>
        <w:t>20</w:t>
      </w:r>
      <w:r w:rsidR="001F1C45">
        <w:rPr>
          <w:rFonts w:hint="eastAsia"/>
          <w:sz w:val="24"/>
        </w:rPr>
        <w:t>日起至</w:t>
      </w:r>
      <w:r w:rsidR="001F1C45">
        <w:rPr>
          <w:sz w:val="24"/>
        </w:rPr>
        <w:t>2024</w:t>
      </w:r>
      <w:r w:rsidR="001F1C45">
        <w:rPr>
          <w:sz w:val="24"/>
        </w:rPr>
        <w:t>年</w:t>
      </w:r>
      <w:r w:rsidR="001F1C45">
        <w:rPr>
          <w:rFonts w:hint="eastAsia"/>
          <w:sz w:val="24"/>
        </w:rPr>
        <w:t>1</w:t>
      </w:r>
      <w:r w:rsidR="001F1C45">
        <w:rPr>
          <w:rFonts w:hint="eastAsia"/>
          <w:sz w:val="24"/>
        </w:rPr>
        <w:t>月</w:t>
      </w:r>
      <w:r w:rsidR="002B1CCA">
        <w:rPr>
          <w:sz w:val="24"/>
        </w:rPr>
        <w:t>12</w:t>
      </w:r>
      <w:r w:rsidR="001F1C45">
        <w:rPr>
          <w:rFonts w:hint="eastAsia"/>
          <w:sz w:val="24"/>
        </w:rPr>
        <w:t>日</w:t>
      </w:r>
      <w:r>
        <w:rPr>
          <w:rFonts w:hAnsi="宋体"/>
          <w:sz w:val="24"/>
        </w:rPr>
        <w:t>止，期间面向个人投资者、机构投资者、合格境外</w:t>
      </w:r>
      <w:r>
        <w:rPr>
          <w:rFonts w:hint="eastAsia"/>
          <w:color w:val="000000"/>
          <w:kern w:val="0"/>
          <w:sz w:val="24"/>
        </w:rPr>
        <w:t>投资者</w:t>
      </w:r>
      <w:r w:rsidR="000657F1" w:rsidRPr="005C2117">
        <w:rPr>
          <w:rFonts w:hint="eastAsia"/>
          <w:color w:val="000000"/>
          <w:kern w:val="0"/>
          <w:sz w:val="24"/>
        </w:rPr>
        <w:t>、发起资金提供方</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5BAEF07" w14:textId="64099C4B" w:rsidR="00012CCB" w:rsidRDefault="009279C5">
      <w:pPr>
        <w:adjustRightInd w:val="0"/>
        <w:snapToGrid w:val="0"/>
        <w:spacing w:line="360" w:lineRule="auto"/>
        <w:ind w:firstLineChars="200" w:firstLine="480"/>
        <w:outlineLvl w:val="1"/>
        <w:rPr>
          <w:sz w:val="24"/>
        </w:rPr>
      </w:pPr>
      <w:r>
        <w:rPr>
          <w:sz w:val="24"/>
        </w:rPr>
        <w:t>1</w:t>
      </w:r>
      <w:r w:rsidR="001F1C45">
        <w:rPr>
          <w:sz w:val="24"/>
        </w:rPr>
        <w:t>0</w:t>
      </w:r>
      <w:r>
        <w:rPr>
          <w:rFonts w:hAnsi="宋体"/>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本</w:t>
      </w:r>
      <w:proofErr w:type="gramStart"/>
      <w:r>
        <w:rPr>
          <w:rFonts w:hAnsi="宋体" w:hint="eastAsia"/>
          <w:color w:val="000000"/>
          <w:sz w:val="24"/>
        </w:rPr>
        <w:t>基金基金</w:t>
      </w:r>
      <w:proofErr w:type="gramEnd"/>
      <w:r>
        <w:rPr>
          <w:rFonts w:hAnsi="宋体" w:hint="eastAsia"/>
          <w:color w:val="000000"/>
          <w:sz w:val="24"/>
        </w:rPr>
        <w:t>合同生效前，投资人的有效认购款项只能存入专门账户，任何人不得动用。有效认购款项在募集期间产生的利息将折算为基金份额</w:t>
      </w:r>
      <w:proofErr w:type="gramStart"/>
      <w:r>
        <w:rPr>
          <w:rFonts w:hAnsi="宋体" w:hint="eastAsia"/>
          <w:color w:val="000000"/>
          <w:sz w:val="24"/>
        </w:rPr>
        <w:t>归基金</w:t>
      </w:r>
      <w:proofErr w:type="gramEnd"/>
      <w:r>
        <w:rPr>
          <w:rFonts w:hAnsi="宋体" w:hint="eastAsia"/>
          <w:color w:val="000000"/>
          <w:sz w:val="24"/>
        </w:rPr>
        <w:t>份额持有人所有。</w:t>
      </w:r>
      <w:bookmarkStart w:id="0" w:name="_Hlt91264042"/>
      <w:bookmarkStart w:id="1" w:name="_Hlt90801570"/>
      <w:bookmarkStart w:id="2" w:name="_Hlt90455312"/>
      <w:bookmarkStart w:id="3" w:name="_Hlt91264078"/>
      <w:bookmarkStart w:id="4" w:name="_Hlt91148053"/>
      <w:bookmarkEnd w:id="0"/>
      <w:bookmarkEnd w:id="1"/>
      <w:bookmarkEnd w:id="2"/>
      <w:bookmarkEnd w:id="3"/>
      <w:bookmarkEnd w:id="4"/>
    </w:p>
    <w:p w14:paraId="47615E46" w14:textId="5FBDD1FF"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认购利息折算的基金份额精确到小数点后两位，小数点两位以后的部分截位，由此产生的收益或损失由基金财产承担，其中有效认购资金的利息及利息折算的基金份额以登记机构的记录为准。</w:t>
      </w:r>
    </w:p>
    <w:p w14:paraId="7D6A8F79" w14:textId="102DFAEE" w:rsidR="00012CCB" w:rsidRDefault="009279C5">
      <w:pPr>
        <w:adjustRightInd w:val="0"/>
        <w:snapToGrid w:val="0"/>
        <w:spacing w:line="360" w:lineRule="auto"/>
        <w:ind w:firstLineChars="200" w:firstLine="480"/>
        <w:outlineLvl w:val="1"/>
        <w:rPr>
          <w:sz w:val="24"/>
        </w:rPr>
      </w:pPr>
      <w:r>
        <w:rPr>
          <w:sz w:val="24"/>
        </w:rPr>
        <w:t>1</w:t>
      </w:r>
      <w:r w:rsidR="001F1C45">
        <w:rPr>
          <w:sz w:val="24"/>
        </w:rPr>
        <w:t>1</w:t>
      </w:r>
      <w:r>
        <w:rPr>
          <w:rFonts w:hAnsi="宋体"/>
          <w:sz w:val="24"/>
        </w:rPr>
        <w:t>、</w:t>
      </w:r>
      <w:r>
        <w:rPr>
          <w:rFonts w:hAnsi="宋体"/>
          <w:kern w:val="0"/>
          <w:sz w:val="24"/>
        </w:rPr>
        <w:t>基金份额的</w:t>
      </w:r>
      <w:r w:rsidR="00792F5C">
        <w:rPr>
          <w:rFonts w:hint="eastAsia"/>
          <w:sz w:val="24"/>
        </w:rPr>
        <w:t>面值、</w:t>
      </w:r>
      <w:r>
        <w:rPr>
          <w:rFonts w:hAnsi="宋体"/>
          <w:kern w:val="0"/>
          <w:sz w:val="24"/>
        </w:rPr>
        <w:t>认购费用、认购价格及认购份额的计算公式</w:t>
      </w:r>
    </w:p>
    <w:p w14:paraId="7F0553A0" w14:textId="77777777" w:rsidR="00792F5C" w:rsidRPr="00145585" w:rsidRDefault="00792F5C" w:rsidP="00792F5C">
      <w:pPr>
        <w:adjustRightInd w:val="0"/>
        <w:snapToGrid w:val="0"/>
        <w:spacing w:line="360" w:lineRule="auto"/>
        <w:ind w:firstLineChars="200" w:firstLine="480"/>
        <w:rPr>
          <w:sz w:val="24"/>
        </w:rPr>
      </w:pPr>
      <w:r w:rsidRPr="00145585">
        <w:rPr>
          <w:sz w:val="24"/>
        </w:rPr>
        <w:t>（</w:t>
      </w:r>
      <w:r w:rsidRPr="00145585">
        <w:rPr>
          <w:sz w:val="24"/>
        </w:rPr>
        <w:t>1</w:t>
      </w:r>
      <w:r w:rsidRPr="00145585">
        <w:rPr>
          <w:sz w:val="24"/>
        </w:rPr>
        <w:t>）</w:t>
      </w:r>
      <w:r>
        <w:rPr>
          <w:rFonts w:hint="eastAsia"/>
          <w:sz w:val="24"/>
        </w:rPr>
        <w:t>面值、</w:t>
      </w:r>
      <w:r w:rsidRPr="00145585">
        <w:rPr>
          <w:sz w:val="24"/>
        </w:rPr>
        <w:t>认购价格：本</w:t>
      </w:r>
      <w:proofErr w:type="gramStart"/>
      <w:r w:rsidRPr="00145585">
        <w:rPr>
          <w:sz w:val="24"/>
        </w:rPr>
        <w:t>基金</w:t>
      </w:r>
      <w:r>
        <w:rPr>
          <w:rFonts w:hint="eastAsia"/>
          <w:sz w:val="24"/>
        </w:rPr>
        <w:t>基金</w:t>
      </w:r>
      <w:proofErr w:type="gramEnd"/>
      <w:r w:rsidRPr="00145585">
        <w:rPr>
          <w:sz w:val="24"/>
        </w:rPr>
        <w:t>份额的</w:t>
      </w:r>
      <w:r>
        <w:rPr>
          <w:rFonts w:hint="eastAsia"/>
          <w:sz w:val="24"/>
        </w:rPr>
        <w:t>初始面值</w:t>
      </w:r>
      <w:r w:rsidRPr="00145585">
        <w:rPr>
          <w:sz w:val="24"/>
        </w:rPr>
        <w:t>认购价</w:t>
      </w:r>
      <w:r>
        <w:rPr>
          <w:sz w:val="24"/>
        </w:rPr>
        <w:t>格为</w:t>
      </w:r>
      <w:r>
        <w:rPr>
          <w:sz w:val="24"/>
        </w:rPr>
        <w:t>1.00</w:t>
      </w:r>
      <w:r>
        <w:rPr>
          <w:sz w:val="24"/>
        </w:rPr>
        <w:t>元</w:t>
      </w:r>
      <w:r>
        <w:rPr>
          <w:sz w:val="24"/>
        </w:rPr>
        <w:t>/</w:t>
      </w:r>
      <w:r w:rsidRPr="00145585">
        <w:rPr>
          <w:sz w:val="24"/>
        </w:rPr>
        <w:t>份。</w:t>
      </w:r>
    </w:p>
    <w:p w14:paraId="0A662860" w14:textId="77777777" w:rsidR="00792F5C" w:rsidRPr="00145585" w:rsidRDefault="00792F5C" w:rsidP="00792F5C">
      <w:pPr>
        <w:adjustRightInd w:val="0"/>
        <w:snapToGrid w:val="0"/>
        <w:spacing w:line="360" w:lineRule="auto"/>
        <w:ind w:firstLineChars="200" w:firstLine="480"/>
        <w:rPr>
          <w:sz w:val="24"/>
        </w:rPr>
      </w:pPr>
      <w:r w:rsidRPr="00145585">
        <w:rPr>
          <w:sz w:val="24"/>
        </w:rPr>
        <w:t>（</w:t>
      </w:r>
      <w:r w:rsidRPr="00145585">
        <w:rPr>
          <w:sz w:val="24"/>
        </w:rPr>
        <w:t>2</w:t>
      </w:r>
      <w:r w:rsidRPr="00145585">
        <w:rPr>
          <w:sz w:val="24"/>
        </w:rPr>
        <w:t>）认购费率</w:t>
      </w:r>
      <w:r w:rsidRPr="00145585">
        <w:rPr>
          <w:rFonts w:hint="eastAsia"/>
          <w:sz w:val="24"/>
        </w:rPr>
        <w:t>：</w:t>
      </w:r>
      <w:r w:rsidRPr="00145585">
        <w:rPr>
          <w:sz w:val="24"/>
        </w:rPr>
        <w:t>募集期投资人可以多次认购本基金，认购费</w:t>
      </w:r>
      <w:r w:rsidRPr="00145585">
        <w:rPr>
          <w:rFonts w:hint="eastAsia"/>
          <w:sz w:val="24"/>
        </w:rPr>
        <w:t>用</w:t>
      </w:r>
      <w:r w:rsidRPr="00145585">
        <w:rPr>
          <w:sz w:val="24"/>
        </w:rPr>
        <w:t>按每笔认购申请单独计算。</w:t>
      </w:r>
    </w:p>
    <w:p w14:paraId="0C27991C" w14:textId="77777777" w:rsidR="00792F5C" w:rsidRPr="00145585" w:rsidRDefault="00792F5C" w:rsidP="00792F5C">
      <w:pPr>
        <w:adjustRightInd w:val="0"/>
        <w:snapToGrid w:val="0"/>
        <w:spacing w:line="360" w:lineRule="auto"/>
        <w:ind w:firstLineChars="200" w:firstLine="480"/>
        <w:rPr>
          <w:sz w:val="24"/>
        </w:rPr>
      </w:pPr>
      <w:r w:rsidRPr="00145585">
        <w:rPr>
          <w:sz w:val="24"/>
        </w:rPr>
        <w:t>本基金</w:t>
      </w:r>
      <w:r w:rsidRPr="00145585">
        <w:rPr>
          <w:rFonts w:hint="eastAsia"/>
          <w:sz w:val="24"/>
        </w:rPr>
        <w:t>（非养老金客户）的</w:t>
      </w:r>
      <w:r w:rsidRPr="00145585">
        <w:rPr>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14"/>
        <w:gridCol w:w="3002"/>
      </w:tblGrid>
      <w:tr w:rsidR="00792F5C" w14:paraId="5BF9B52A" w14:textId="77777777" w:rsidTr="007401DE">
        <w:trPr>
          <w:cantSplit/>
          <w:trHeight w:val="132"/>
          <w:jc w:val="center"/>
        </w:trPr>
        <w:tc>
          <w:tcPr>
            <w:tcW w:w="4414" w:type="dxa"/>
            <w:shd w:val="clear" w:color="auto" w:fill="FFFFFF"/>
            <w:vAlign w:val="center"/>
          </w:tcPr>
          <w:p w14:paraId="66297D6B" w14:textId="77777777" w:rsidR="00792F5C" w:rsidRDefault="00792F5C" w:rsidP="007401DE">
            <w:pPr>
              <w:adjustRightInd w:val="0"/>
              <w:snapToGrid w:val="0"/>
              <w:jc w:val="center"/>
              <w:rPr>
                <w:b/>
                <w:sz w:val="24"/>
              </w:rPr>
            </w:pPr>
            <w:r>
              <w:rPr>
                <w:b/>
                <w:sz w:val="24"/>
              </w:rPr>
              <w:t>认购金额（含认购费）</w:t>
            </w:r>
          </w:p>
        </w:tc>
        <w:tc>
          <w:tcPr>
            <w:tcW w:w="3002" w:type="dxa"/>
            <w:shd w:val="clear" w:color="auto" w:fill="FFFFFF"/>
            <w:vAlign w:val="center"/>
          </w:tcPr>
          <w:p w14:paraId="60BD5F31" w14:textId="77777777" w:rsidR="00792F5C" w:rsidRDefault="00792F5C" w:rsidP="007401DE">
            <w:pPr>
              <w:adjustRightInd w:val="0"/>
              <w:snapToGrid w:val="0"/>
              <w:jc w:val="center"/>
              <w:rPr>
                <w:b/>
                <w:sz w:val="24"/>
              </w:rPr>
            </w:pPr>
            <w:r>
              <w:rPr>
                <w:b/>
                <w:sz w:val="24"/>
              </w:rPr>
              <w:t>认购费率</w:t>
            </w:r>
          </w:p>
        </w:tc>
      </w:tr>
      <w:tr w:rsidR="00792F5C" w14:paraId="61701439" w14:textId="77777777" w:rsidTr="007401DE">
        <w:trPr>
          <w:cantSplit/>
          <w:trHeight w:val="131"/>
          <w:jc w:val="center"/>
        </w:trPr>
        <w:tc>
          <w:tcPr>
            <w:tcW w:w="4414" w:type="dxa"/>
          </w:tcPr>
          <w:p w14:paraId="15A7E859" w14:textId="77777777" w:rsidR="00792F5C" w:rsidRDefault="00792F5C" w:rsidP="007401DE">
            <w:pPr>
              <w:adjustRightInd w:val="0"/>
              <w:snapToGrid w:val="0"/>
              <w:rPr>
                <w:sz w:val="24"/>
              </w:rPr>
            </w:pPr>
            <w:r>
              <w:rPr>
                <w:sz w:val="24"/>
              </w:rPr>
              <w:t>500</w:t>
            </w:r>
            <w:r>
              <w:rPr>
                <w:sz w:val="24"/>
              </w:rPr>
              <w:t>万元以下</w:t>
            </w:r>
          </w:p>
        </w:tc>
        <w:tc>
          <w:tcPr>
            <w:tcW w:w="3002" w:type="dxa"/>
          </w:tcPr>
          <w:p w14:paraId="65895ADF" w14:textId="77777777" w:rsidR="00792F5C" w:rsidRDefault="00792F5C" w:rsidP="007401DE">
            <w:pPr>
              <w:adjustRightInd w:val="0"/>
              <w:snapToGrid w:val="0"/>
              <w:jc w:val="center"/>
              <w:rPr>
                <w:sz w:val="24"/>
              </w:rPr>
            </w:pPr>
            <w:r>
              <w:rPr>
                <w:sz w:val="24"/>
              </w:rPr>
              <w:t>1.0%</w:t>
            </w:r>
          </w:p>
        </w:tc>
      </w:tr>
      <w:tr w:rsidR="00792F5C" w14:paraId="70C02D57" w14:textId="77777777" w:rsidTr="007401DE">
        <w:trPr>
          <w:cantSplit/>
          <w:trHeight w:val="131"/>
          <w:jc w:val="center"/>
        </w:trPr>
        <w:tc>
          <w:tcPr>
            <w:tcW w:w="4414" w:type="dxa"/>
          </w:tcPr>
          <w:p w14:paraId="23C4A82C" w14:textId="77777777" w:rsidR="00792F5C" w:rsidRDefault="00792F5C" w:rsidP="007401DE">
            <w:pPr>
              <w:adjustRightInd w:val="0"/>
              <w:snapToGrid w:val="0"/>
              <w:rPr>
                <w:sz w:val="24"/>
              </w:rPr>
            </w:pPr>
            <w:r>
              <w:rPr>
                <w:sz w:val="24"/>
              </w:rPr>
              <w:t>500</w:t>
            </w:r>
            <w:r>
              <w:rPr>
                <w:sz w:val="24"/>
              </w:rPr>
              <w:t>万元（含）至</w:t>
            </w:r>
            <w:r>
              <w:rPr>
                <w:sz w:val="24"/>
              </w:rPr>
              <w:t>1000</w:t>
            </w:r>
            <w:r>
              <w:rPr>
                <w:sz w:val="24"/>
              </w:rPr>
              <w:t>万元</w:t>
            </w:r>
          </w:p>
        </w:tc>
        <w:tc>
          <w:tcPr>
            <w:tcW w:w="3002" w:type="dxa"/>
          </w:tcPr>
          <w:p w14:paraId="4A74752D" w14:textId="77777777" w:rsidR="00792F5C" w:rsidRDefault="00792F5C" w:rsidP="007401DE">
            <w:pPr>
              <w:adjustRightInd w:val="0"/>
              <w:snapToGrid w:val="0"/>
              <w:jc w:val="center"/>
              <w:rPr>
                <w:sz w:val="24"/>
              </w:rPr>
            </w:pPr>
            <w:r>
              <w:rPr>
                <w:sz w:val="24"/>
              </w:rPr>
              <w:t>0.8%</w:t>
            </w:r>
          </w:p>
        </w:tc>
      </w:tr>
      <w:tr w:rsidR="00792F5C" w14:paraId="175E5FF5" w14:textId="77777777" w:rsidTr="007401DE">
        <w:trPr>
          <w:cantSplit/>
          <w:trHeight w:val="131"/>
          <w:jc w:val="center"/>
        </w:trPr>
        <w:tc>
          <w:tcPr>
            <w:tcW w:w="4414" w:type="dxa"/>
          </w:tcPr>
          <w:p w14:paraId="17985553" w14:textId="77777777" w:rsidR="00792F5C" w:rsidRDefault="00792F5C" w:rsidP="007401DE">
            <w:pPr>
              <w:adjustRightInd w:val="0"/>
              <w:snapToGrid w:val="0"/>
              <w:rPr>
                <w:sz w:val="24"/>
              </w:rPr>
            </w:pPr>
            <w:r>
              <w:rPr>
                <w:sz w:val="24"/>
              </w:rPr>
              <w:t>1000</w:t>
            </w:r>
            <w:r>
              <w:rPr>
                <w:sz w:val="24"/>
              </w:rPr>
              <w:t>万元以上（含</w:t>
            </w:r>
            <w:r>
              <w:rPr>
                <w:sz w:val="24"/>
              </w:rPr>
              <w:t>1000</w:t>
            </w:r>
            <w:r>
              <w:rPr>
                <w:sz w:val="24"/>
              </w:rPr>
              <w:t>万元）</w:t>
            </w:r>
          </w:p>
        </w:tc>
        <w:tc>
          <w:tcPr>
            <w:tcW w:w="3002" w:type="dxa"/>
          </w:tcPr>
          <w:p w14:paraId="4A0E0839" w14:textId="77777777" w:rsidR="00792F5C" w:rsidRDefault="00792F5C" w:rsidP="007401DE">
            <w:pPr>
              <w:adjustRightInd w:val="0"/>
              <w:snapToGrid w:val="0"/>
              <w:jc w:val="center"/>
              <w:rPr>
                <w:sz w:val="24"/>
              </w:rPr>
            </w:pPr>
            <w:r>
              <w:rPr>
                <w:sz w:val="24"/>
              </w:rPr>
              <w:t>每笔交易</w:t>
            </w:r>
            <w:r>
              <w:rPr>
                <w:sz w:val="24"/>
              </w:rPr>
              <w:t>1000</w:t>
            </w:r>
            <w:r>
              <w:rPr>
                <w:sz w:val="24"/>
              </w:rPr>
              <w:t>元</w:t>
            </w:r>
          </w:p>
        </w:tc>
      </w:tr>
    </w:tbl>
    <w:p w14:paraId="1A93E70A" w14:textId="77777777" w:rsidR="00792F5C" w:rsidRPr="00145585" w:rsidRDefault="00792F5C" w:rsidP="00792F5C">
      <w:pPr>
        <w:adjustRightInd w:val="0"/>
        <w:snapToGrid w:val="0"/>
        <w:spacing w:line="360" w:lineRule="auto"/>
        <w:ind w:firstLineChars="200" w:firstLine="480"/>
        <w:rPr>
          <w:sz w:val="24"/>
        </w:rPr>
      </w:pPr>
    </w:p>
    <w:p w14:paraId="3713247A" w14:textId="77777777" w:rsidR="00792F5C" w:rsidRPr="00145585" w:rsidRDefault="00792F5C" w:rsidP="00792F5C">
      <w:pPr>
        <w:adjustRightInd w:val="0"/>
        <w:snapToGrid w:val="0"/>
        <w:spacing w:line="360" w:lineRule="auto"/>
        <w:ind w:firstLineChars="200" w:firstLine="480"/>
        <w:rPr>
          <w:sz w:val="24"/>
        </w:rPr>
      </w:pPr>
      <w:r w:rsidRPr="00145585">
        <w:rPr>
          <w:sz w:val="24"/>
        </w:rPr>
        <w:t>本基金对通过基金管理人直销柜台</w:t>
      </w:r>
      <w:r w:rsidRPr="00145585">
        <w:rPr>
          <w:rFonts w:hint="eastAsia"/>
          <w:sz w:val="24"/>
        </w:rPr>
        <w:t>认</w:t>
      </w:r>
      <w:r w:rsidRPr="00145585">
        <w:rPr>
          <w:sz w:val="24"/>
        </w:rPr>
        <w:t>购的养老金客户</w:t>
      </w:r>
      <w:r w:rsidRPr="00145585">
        <w:rPr>
          <w:rFonts w:hint="eastAsia"/>
          <w:sz w:val="24"/>
        </w:rPr>
        <w:t>与除此之外的其他投资者</w:t>
      </w:r>
      <w:r w:rsidRPr="00145585">
        <w:rPr>
          <w:sz w:val="24"/>
        </w:rPr>
        <w:t>实施</w:t>
      </w:r>
      <w:r w:rsidRPr="00145585">
        <w:rPr>
          <w:rFonts w:hint="eastAsia"/>
          <w:sz w:val="24"/>
        </w:rPr>
        <w:t>差别的认购费率。</w:t>
      </w:r>
      <w:r w:rsidRPr="00145585">
        <w:rPr>
          <w:sz w:val="24"/>
        </w:rPr>
        <w:t>养老金客户包括基本养老基金与依法成立的养老计划筹集的资金及其投资运营收益形成的补充养老基金等，具体包括：</w:t>
      </w:r>
    </w:p>
    <w:p w14:paraId="746B3ED9" w14:textId="77777777" w:rsidR="00792F5C" w:rsidRPr="00145585" w:rsidRDefault="00792F5C" w:rsidP="00792F5C">
      <w:pPr>
        <w:adjustRightInd w:val="0"/>
        <w:snapToGrid w:val="0"/>
        <w:spacing w:line="360" w:lineRule="auto"/>
        <w:ind w:firstLineChars="200" w:firstLine="480"/>
        <w:rPr>
          <w:sz w:val="24"/>
        </w:rPr>
      </w:pPr>
      <w:r w:rsidRPr="00145585">
        <w:rPr>
          <w:sz w:val="24"/>
        </w:rPr>
        <w:t>1</w:t>
      </w:r>
      <w:r w:rsidRPr="00145585">
        <w:rPr>
          <w:rFonts w:hint="eastAsia"/>
          <w:sz w:val="24"/>
        </w:rPr>
        <w:t>）</w:t>
      </w:r>
      <w:r w:rsidRPr="00145585">
        <w:rPr>
          <w:sz w:val="24"/>
        </w:rPr>
        <w:t>全国社会保障基金；</w:t>
      </w:r>
    </w:p>
    <w:p w14:paraId="51570590" w14:textId="77777777" w:rsidR="00792F5C" w:rsidRPr="00145585" w:rsidRDefault="00792F5C" w:rsidP="00792F5C">
      <w:pPr>
        <w:adjustRightInd w:val="0"/>
        <w:snapToGrid w:val="0"/>
        <w:spacing w:line="360" w:lineRule="auto"/>
        <w:ind w:firstLineChars="200" w:firstLine="480"/>
        <w:rPr>
          <w:sz w:val="24"/>
        </w:rPr>
      </w:pPr>
      <w:r w:rsidRPr="00145585">
        <w:rPr>
          <w:sz w:val="24"/>
        </w:rPr>
        <w:t>2</w:t>
      </w:r>
      <w:r w:rsidRPr="00145585">
        <w:rPr>
          <w:rFonts w:hint="eastAsia"/>
          <w:sz w:val="24"/>
        </w:rPr>
        <w:t>）</w:t>
      </w:r>
      <w:r w:rsidRPr="00145585">
        <w:rPr>
          <w:sz w:val="24"/>
        </w:rPr>
        <w:t>可以投资基金的地方社会保障基金；</w:t>
      </w:r>
    </w:p>
    <w:p w14:paraId="127D5389" w14:textId="77777777" w:rsidR="00792F5C" w:rsidRPr="00145585" w:rsidRDefault="00792F5C" w:rsidP="00792F5C">
      <w:pPr>
        <w:adjustRightInd w:val="0"/>
        <w:snapToGrid w:val="0"/>
        <w:spacing w:line="360" w:lineRule="auto"/>
        <w:ind w:firstLineChars="200" w:firstLine="480"/>
        <w:rPr>
          <w:sz w:val="24"/>
        </w:rPr>
      </w:pPr>
      <w:r w:rsidRPr="00145585">
        <w:rPr>
          <w:sz w:val="24"/>
        </w:rPr>
        <w:t>3</w:t>
      </w:r>
      <w:r w:rsidRPr="00145585">
        <w:rPr>
          <w:rFonts w:hint="eastAsia"/>
          <w:sz w:val="24"/>
        </w:rPr>
        <w:t>）</w:t>
      </w:r>
      <w:r w:rsidRPr="00145585">
        <w:rPr>
          <w:sz w:val="24"/>
        </w:rPr>
        <w:t>企业年金单一计划以及集合计划</w:t>
      </w:r>
      <w:r w:rsidRPr="00145585">
        <w:rPr>
          <w:rFonts w:hint="eastAsia"/>
          <w:sz w:val="24"/>
        </w:rPr>
        <w:t>；</w:t>
      </w:r>
    </w:p>
    <w:p w14:paraId="6CFA69A9" w14:textId="77777777" w:rsidR="00792F5C" w:rsidRPr="00145585" w:rsidRDefault="00792F5C" w:rsidP="00792F5C">
      <w:pPr>
        <w:adjustRightInd w:val="0"/>
        <w:snapToGrid w:val="0"/>
        <w:spacing w:line="360" w:lineRule="auto"/>
        <w:ind w:firstLineChars="200" w:firstLine="480"/>
        <w:rPr>
          <w:sz w:val="24"/>
        </w:rPr>
      </w:pPr>
      <w:r w:rsidRPr="00145585">
        <w:rPr>
          <w:sz w:val="24"/>
        </w:rPr>
        <w:t>4</w:t>
      </w:r>
      <w:r w:rsidRPr="00145585">
        <w:rPr>
          <w:rFonts w:hint="eastAsia"/>
          <w:sz w:val="24"/>
        </w:rPr>
        <w:t>）企业年金理事会委托的特定客户资产管理计划；</w:t>
      </w:r>
    </w:p>
    <w:p w14:paraId="5DB46FC1" w14:textId="77777777" w:rsidR="00792F5C" w:rsidRPr="00145585" w:rsidRDefault="00792F5C" w:rsidP="00792F5C">
      <w:pPr>
        <w:adjustRightInd w:val="0"/>
        <w:snapToGrid w:val="0"/>
        <w:spacing w:line="360" w:lineRule="auto"/>
        <w:ind w:firstLineChars="200" w:firstLine="480"/>
        <w:rPr>
          <w:sz w:val="24"/>
        </w:rPr>
      </w:pPr>
      <w:r w:rsidRPr="00145585">
        <w:rPr>
          <w:sz w:val="24"/>
        </w:rPr>
        <w:t>5</w:t>
      </w:r>
      <w:r w:rsidRPr="00145585">
        <w:rPr>
          <w:rFonts w:hint="eastAsia"/>
          <w:sz w:val="24"/>
        </w:rPr>
        <w:t>）企业年金养老金产品</w:t>
      </w:r>
      <w:r w:rsidRPr="00145585">
        <w:rPr>
          <w:sz w:val="24"/>
        </w:rPr>
        <w:t>。</w:t>
      </w:r>
    </w:p>
    <w:p w14:paraId="6E302696" w14:textId="77777777" w:rsidR="00792F5C" w:rsidRPr="00145585" w:rsidRDefault="00792F5C" w:rsidP="00792F5C">
      <w:pPr>
        <w:adjustRightInd w:val="0"/>
        <w:snapToGrid w:val="0"/>
        <w:spacing w:line="360" w:lineRule="auto"/>
        <w:ind w:firstLineChars="200" w:firstLine="480"/>
        <w:rPr>
          <w:sz w:val="24"/>
        </w:rPr>
      </w:pPr>
      <w:r w:rsidRPr="00145585">
        <w:rPr>
          <w:sz w:val="24"/>
        </w:rPr>
        <w:t>如将来出现经养老基金监管部门认可的新的养老基金类型，</w:t>
      </w:r>
      <w:r w:rsidRPr="00145585">
        <w:rPr>
          <w:rFonts w:hint="eastAsia"/>
          <w:sz w:val="24"/>
        </w:rPr>
        <w:t>基金管理人可在招募说明书更新或</w:t>
      </w:r>
      <w:r w:rsidRPr="00145585">
        <w:rPr>
          <w:sz w:val="24"/>
        </w:rPr>
        <w:t>发布临时公告将其纳入养老金客户范围。</w:t>
      </w:r>
    </w:p>
    <w:p w14:paraId="484542C6" w14:textId="77777777" w:rsidR="00792F5C" w:rsidRDefault="00792F5C" w:rsidP="00792F5C">
      <w:pPr>
        <w:adjustRightInd w:val="0"/>
        <w:snapToGrid w:val="0"/>
        <w:spacing w:line="360" w:lineRule="auto"/>
        <w:ind w:firstLineChars="200" w:firstLine="480"/>
        <w:rPr>
          <w:sz w:val="24"/>
        </w:rPr>
      </w:pPr>
      <w:r>
        <w:rPr>
          <w:rFonts w:hint="eastAsia"/>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792F5C" w14:paraId="1E7BF70F" w14:textId="77777777" w:rsidTr="007401DE">
        <w:trPr>
          <w:cantSplit/>
          <w:trHeight w:val="132"/>
          <w:jc w:val="center"/>
        </w:trPr>
        <w:tc>
          <w:tcPr>
            <w:tcW w:w="3260" w:type="dxa"/>
            <w:shd w:val="clear" w:color="auto" w:fill="FFFFFF"/>
            <w:vAlign w:val="center"/>
          </w:tcPr>
          <w:p w14:paraId="241F908E" w14:textId="77777777" w:rsidR="00792F5C" w:rsidRDefault="00792F5C" w:rsidP="007401DE">
            <w:pPr>
              <w:adjustRightInd w:val="0"/>
              <w:snapToGrid w:val="0"/>
              <w:jc w:val="center"/>
              <w:rPr>
                <w:b/>
                <w:sz w:val="24"/>
              </w:rPr>
            </w:pPr>
            <w:r>
              <w:rPr>
                <w:rFonts w:hint="eastAsia"/>
                <w:b/>
                <w:sz w:val="24"/>
              </w:rPr>
              <w:t>认</w:t>
            </w:r>
            <w:r>
              <w:rPr>
                <w:b/>
                <w:sz w:val="24"/>
              </w:rPr>
              <w:t>购金额（含</w:t>
            </w:r>
            <w:r>
              <w:rPr>
                <w:rFonts w:hint="eastAsia"/>
                <w:b/>
                <w:sz w:val="24"/>
              </w:rPr>
              <w:t>认</w:t>
            </w:r>
            <w:r>
              <w:rPr>
                <w:b/>
                <w:sz w:val="24"/>
              </w:rPr>
              <w:t>购费）</w:t>
            </w:r>
          </w:p>
        </w:tc>
        <w:tc>
          <w:tcPr>
            <w:tcW w:w="3767" w:type="dxa"/>
            <w:shd w:val="clear" w:color="auto" w:fill="FFFFFF"/>
            <w:vAlign w:val="center"/>
          </w:tcPr>
          <w:p w14:paraId="69F95D44" w14:textId="77777777" w:rsidR="00792F5C" w:rsidRDefault="00792F5C" w:rsidP="007401DE">
            <w:pPr>
              <w:adjustRightInd w:val="0"/>
              <w:snapToGrid w:val="0"/>
              <w:jc w:val="center"/>
              <w:rPr>
                <w:b/>
                <w:sz w:val="24"/>
              </w:rPr>
            </w:pPr>
            <w:r>
              <w:rPr>
                <w:rFonts w:hint="eastAsia"/>
                <w:b/>
                <w:sz w:val="24"/>
              </w:rPr>
              <w:t>特定认</w:t>
            </w:r>
            <w:r>
              <w:rPr>
                <w:b/>
                <w:sz w:val="24"/>
              </w:rPr>
              <w:t>购费率</w:t>
            </w:r>
          </w:p>
        </w:tc>
      </w:tr>
      <w:tr w:rsidR="00792F5C" w14:paraId="26BA756E" w14:textId="77777777" w:rsidTr="007401DE">
        <w:trPr>
          <w:cantSplit/>
          <w:trHeight w:val="131"/>
          <w:jc w:val="center"/>
        </w:trPr>
        <w:tc>
          <w:tcPr>
            <w:tcW w:w="3260" w:type="dxa"/>
          </w:tcPr>
          <w:p w14:paraId="14C1CFDF" w14:textId="77777777" w:rsidR="00792F5C" w:rsidRDefault="00792F5C" w:rsidP="007401DE">
            <w:pPr>
              <w:adjustRightInd w:val="0"/>
              <w:snapToGrid w:val="0"/>
              <w:rPr>
                <w:sz w:val="24"/>
              </w:rPr>
            </w:pPr>
            <w:r>
              <w:rPr>
                <w:sz w:val="24"/>
              </w:rPr>
              <w:t>500</w:t>
            </w:r>
            <w:r>
              <w:rPr>
                <w:rFonts w:hAnsi="宋体"/>
                <w:sz w:val="24"/>
              </w:rPr>
              <w:t>万元以下</w:t>
            </w:r>
          </w:p>
        </w:tc>
        <w:tc>
          <w:tcPr>
            <w:tcW w:w="3767" w:type="dxa"/>
            <w:vAlign w:val="center"/>
          </w:tcPr>
          <w:p w14:paraId="6A50542F" w14:textId="77777777" w:rsidR="00792F5C" w:rsidRDefault="00792F5C" w:rsidP="007401DE">
            <w:pPr>
              <w:adjustRightInd w:val="0"/>
              <w:snapToGrid w:val="0"/>
              <w:jc w:val="center"/>
              <w:rPr>
                <w:sz w:val="24"/>
              </w:rPr>
            </w:pPr>
            <w:r>
              <w:rPr>
                <w:rFonts w:hint="eastAsia"/>
                <w:sz w:val="24"/>
              </w:rPr>
              <w:t>0.</w:t>
            </w:r>
            <w:r>
              <w:rPr>
                <w:sz w:val="24"/>
              </w:rPr>
              <w:t>40</w:t>
            </w:r>
            <w:r>
              <w:rPr>
                <w:rFonts w:hint="eastAsia"/>
                <w:sz w:val="24"/>
              </w:rPr>
              <w:t>%</w:t>
            </w:r>
          </w:p>
        </w:tc>
      </w:tr>
      <w:tr w:rsidR="00792F5C" w14:paraId="516E6A08" w14:textId="77777777" w:rsidTr="007401DE">
        <w:trPr>
          <w:cantSplit/>
          <w:trHeight w:val="131"/>
          <w:jc w:val="center"/>
        </w:trPr>
        <w:tc>
          <w:tcPr>
            <w:tcW w:w="3260" w:type="dxa"/>
          </w:tcPr>
          <w:p w14:paraId="5A37B515" w14:textId="77777777" w:rsidR="00792F5C" w:rsidRDefault="00792F5C" w:rsidP="007401DE">
            <w:pPr>
              <w:adjustRightInd w:val="0"/>
              <w:snapToGrid w:val="0"/>
              <w:rPr>
                <w:sz w:val="24"/>
              </w:rPr>
            </w:pPr>
            <w:r>
              <w:rPr>
                <w:sz w:val="24"/>
              </w:rPr>
              <w:t>500</w:t>
            </w:r>
            <w:r>
              <w:rPr>
                <w:sz w:val="24"/>
              </w:rPr>
              <w:t>万元（含）至</w:t>
            </w:r>
            <w:r>
              <w:rPr>
                <w:sz w:val="24"/>
              </w:rPr>
              <w:t>1000</w:t>
            </w:r>
            <w:r>
              <w:rPr>
                <w:sz w:val="24"/>
              </w:rPr>
              <w:t>万元</w:t>
            </w:r>
          </w:p>
        </w:tc>
        <w:tc>
          <w:tcPr>
            <w:tcW w:w="3767" w:type="dxa"/>
          </w:tcPr>
          <w:p w14:paraId="262AC258" w14:textId="77777777" w:rsidR="00792F5C" w:rsidRDefault="00792F5C" w:rsidP="007401DE">
            <w:pPr>
              <w:adjustRightInd w:val="0"/>
              <w:snapToGrid w:val="0"/>
              <w:jc w:val="center"/>
              <w:rPr>
                <w:rFonts w:hAnsi="宋体"/>
                <w:sz w:val="24"/>
              </w:rPr>
            </w:pPr>
            <w:r>
              <w:rPr>
                <w:rFonts w:hint="eastAsia"/>
                <w:sz w:val="24"/>
              </w:rPr>
              <w:t>0.</w:t>
            </w:r>
            <w:r>
              <w:rPr>
                <w:sz w:val="24"/>
              </w:rPr>
              <w:t>24%</w:t>
            </w:r>
          </w:p>
        </w:tc>
      </w:tr>
      <w:tr w:rsidR="00792F5C" w14:paraId="2D60C0E5" w14:textId="77777777" w:rsidTr="007401DE">
        <w:trPr>
          <w:cantSplit/>
          <w:trHeight w:val="131"/>
          <w:jc w:val="center"/>
        </w:trPr>
        <w:tc>
          <w:tcPr>
            <w:tcW w:w="3260" w:type="dxa"/>
          </w:tcPr>
          <w:p w14:paraId="13E69A5D" w14:textId="77777777" w:rsidR="00792F5C" w:rsidRDefault="00792F5C" w:rsidP="007401DE">
            <w:pPr>
              <w:adjustRightInd w:val="0"/>
              <w:snapToGrid w:val="0"/>
              <w:rPr>
                <w:sz w:val="24"/>
              </w:rPr>
            </w:pPr>
            <w:r>
              <w:rPr>
                <w:sz w:val="24"/>
              </w:rPr>
              <w:t>1000</w:t>
            </w:r>
            <w:r>
              <w:rPr>
                <w:rFonts w:hAnsi="宋体"/>
                <w:sz w:val="24"/>
              </w:rPr>
              <w:t>万元以上（含</w:t>
            </w:r>
            <w:r>
              <w:rPr>
                <w:rFonts w:hAnsi="宋体" w:hint="eastAsia"/>
                <w:sz w:val="24"/>
              </w:rPr>
              <w:t>1</w:t>
            </w:r>
            <w:r>
              <w:rPr>
                <w:rFonts w:hAnsi="宋体"/>
                <w:sz w:val="24"/>
              </w:rPr>
              <w:t>0</w:t>
            </w:r>
            <w:r>
              <w:rPr>
                <w:sz w:val="24"/>
              </w:rPr>
              <w:t>00</w:t>
            </w:r>
            <w:r>
              <w:rPr>
                <w:rFonts w:hAnsi="宋体"/>
                <w:sz w:val="24"/>
              </w:rPr>
              <w:t>万</w:t>
            </w:r>
            <w:r>
              <w:rPr>
                <w:rFonts w:hAnsi="宋体" w:hint="eastAsia"/>
                <w:sz w:val="24"/>
              </w:rPr>
              <w:t>元</w:t>
            </w:r>
            <w:r>
              <w:rPr>
                <w:rFonts w:hAnsi="宋体"/>
                <w:sz w:val="24"/>
              </w:rPr>
              <w:t>）</w:t>
            </w:r>
          </w:p>
        </w:tc>
        <w:tc>
          <w:tcPr>
            <w:tcW w:w="3767" w:type="dxa"/>
          </w:tcPr>
          <w:p w14:paraId="10BC9304" w14:textId="77777777" w:rsidR="00792F5C" w:rsidRDefault="00792F5C" w:rsidP="007401DE">
            <w:pPr>
              <w:adjustRightInd w:val="0"/>
              <w:snapToGrid w:val="0"/>
              <w:jc w:val="center"/>
              <w:rPr>
                <w:sz w:val="24"/>
              </w:rPr>
            </w:pPr>
            <w:r>
              <w:rPr>
                <w:rFonts w:hAnsi="宋体"/>
                <w:sz w:val="24"/>
              </w:rPr>
              <w:t>每笔交易</w:t>
            </w:r>
            <w:r>
              <w:rPr>
                <w:sz w:val="24"/>
              </w:rPr>
              <w:t>1000</w:t>
            </w:r>
            <w:r>
              <w:rPr>
                <w:rFonts w:hAnsi="宋体"/>
                <w:sz w:val="24"/>
              </w:rPr>
              <w:t>元</w:t>
            </w:r>
          </w:p>
        </w:tc>
      </w:tr>
    </w:tbl>
    <w:p w14:paraId="73D4CCC2" w14:textId="77777777" w:rsidR="00792F5C" w:rsidRPr="00145585" w:rsidRDefault="00792F5C" w:rsidP="00792F5C">
      <w:pPr>
        <w:adjustRightInd w:val="0"/>
        <w:snapToGrid w:val="0"/>
        <w:spacing w:line="360" w:lineRule="auto"/>
        <w:ind w:firstLineChars="200" w:firstLine="480"/>
        <w:rPr>
          <w:sz w:val="24"/>
        </w:rPr>
      </w:pPr>
    </w:p>
    <w:p w14:paraId="45C017D3" w14:textId="77777777" w:rsidR="00792F5C" w:rsidRPr="00145585" w:rsidRDefault="00792F5C" w:rsidP="00792F5C">
      <w:pPr>
        <w:adjustRightInd w:val="0"/>
        <w:snapToGrid w:val="0"/>
        <w:spacing w:line="360" w:lineRule="auto"/>
        <w:ind w:firstLineChars="200" w:firstLine="480"/>
        <w:rPr>
          <w:sz w:val="24"/>
        </w:rPr>
      </w:pPr>
      <w:r w:rsidRPr="00145585">
        <w:rPr>
          <w:rFonts w:hint="eastAsia"/>
          <w:sz w:val="24"/>
        </w:rPr>
        <w:t>本基金的认购费用由认购</w:t>
      </w:r>
      <w:r>
        <w:rPr>
          <w:rFonts w:hint="eastAsia"/>
          <w:sz w:val="24"/>
        </w:rPr>
        <w:t>本基金</w:t>
      </w:r>
      <w:r w:rsidRPr="00145585">
        <w:rPr>
          <w:rFonts w:hint="eastAsia"/>
          <w:sz w:val="24"/>
        </w:rPr>
        <w:t>的投资人承担，</w:t>
      </w:r>
      <w:r w:rsidRPr="00145585">
        <w:rPr>
          <w:sz w:val="24"/>
        </w:rPr>
        <w:t>认购费用不列入基金财产，主要用于基金的市场推广、销售、登记等募集期间发生的各项费用。</w:t>
      </w:r>
    </w:p>
    <w:p w14:paraId="755EE279" w14:textId="77777777" w:rsidR="00792F5C" w:rsidRPr="00145585" w:rsidRDefault="00792F5C" w:rsidP="00792F5C">
      <w:pPr>
        <w:adjustRightInd w:val="0"/>
        <w:snapToGrid w:val="0"/>
        <w:spacing w:line="360" w:lineRule="auto"/>
        <w:ind w:firstLineChars="200" w:firstLine="480"/>
        <w:rPr>
          <w:sz w:val="24"/>
        </w:rPr>
      </w:pPr>
      <w:r w:rsidRPr="00145585">
        <w:rPr>
          <w:sz w:val="24"/>
        </w:rPr>
        <w:t>（</w:t>
      </w:r>
      <w:r w:rsidRPr="00145585">
        <w:rPr>
          <w:sz w:val="24"/>
        </w:rPr>
        <w:t>3</w:t>
      </w:r>
      <w:r w:rsidRPr="00145585">
        <w:rPr>
          <w:sz w:val="24"/>
        </w:rPr>
        <w:t>）认购份额的计算</w:t>
      </w:r>
    </w:p>
    <w:p w14:paraId="54234094" w14:textId="77777777" w:rsidR="00792F5C" w:rsidRDefault="00792F5C" w:rsidP="00792F5C">
      <w:pPr>
        <w:adjustRightInd w:val="0"/>
        <w:snapToGrid w:val="0"/>
        <w:spacing w:line="360" w:lineRule="auto"/>
        <w:ind w:firstLineChars="200" w:firstLine="480"/>
        <w:rPr>
          <w:sz w:val="24"/>
        </w:rPr>
      </w:pPr>
      <w:r w:rsidRPr="00145585">
        <w:rPr>
          <w:rFonts w:hint="eastAsia"/>
          <w:sz w:val="24"/>
        </w:rPr>
        <w:t>基金认购采用</w:t>
      </w:r>
      <w:r>
        <w:rPr>
          <w:sz w:val="24"/>
        </w:rPr>
        <w:t>金额</w:t>
      </w:r>
      <w:r w:rsidRPr="00145585">
        <w:rPr>
          <w:rFonts w:hint="eastAsia"/>
          <w:sz w:val="24"/>
        </w:rPr>
        <w:t>认购的方式。基金的认购</w:t>
      </w:r>
      <w:r>
        <w:rPr>
          <w:sz w:val="24"/>
        </w:rPr>
        <w:t>金额</w:t>
      </w:r>
      <w:r w:rsidRPr="00145585">
        <w:rPr>
          <w:rFonts w:hint="eastAsia"/>
          <w:sz w:val="24"/>
        </w:rPr>
        <w:t>包括认购费用和净认购金额。计算公式为：</w:t>
      </w:r>
    </w:p>
    <w:p w14:paraId="67715B15" w14:textId="77777777" w:rsidR="00792F5C" w:rsidRDefault="00792F5C" w:rsidP="00792F5C">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14:paraId="02C0355C" w14:textId="77777777" w:rsidR="00792F5C" w:rsidRDefault="00792F5C" w:rsidP="00792F5C">
      <w:pPr>
        <w:adjustRightInd w:val="0"/>
        <w:snapToGrid w:val="0"/>
        <w:spacing w:line="360" w:lineRule="auto"/>
        <w:ind w:firstLineChars="200" w:firstLine="480"/>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14:paraId="22CBC026" w14:textId="77777777" w:rsidR="00792F5C" w:rsidRDefault="00792F5C" w:rsidP="00792F5C">
      <w:pPr>
        <w:adjustRightInd w:val="0"/>
        <w:snapToGrid w:val="0"/>
        <w:spacing w:line="360" w:lineRule="auto"/>
        <w:ind w:firstLineChars="200" w:firstLine="480"/>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14:paraId="7D972E58" w14:textId="77777777" w:rsidR="00792F5C" w:rsidRDefault="00792F5C" w:rsidP="00792F5C">
      <w:pPr>
        <w:adjustRightInd w:val="0"/>
        <w:snapToGrid w:val="0"/>
        <w:spacing w:line="360" w:lineRule="auto"/>
        <w:ind w:firstLineChars="200" w:firstLine="480"/>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14:paraId="2BD9F42F" w14:textId="77777777" w:rsidR="00792F5C" w:rsidRDefault="00792F5C" w:rsidP="00792F5C">
      <w:pPr>
        <w:adjustRightInd w:val="0"/>
        <w:snapToGrid w:val="0"/>
        <w:spacing w:line="360" w:lineRule="auto"/>
        <w:ind w:firstLineChars="200" w:firstLine="480"/>
        <w:rPr>
          <w:sz w:val="24"/>
        </w:rPr>
      </w:pPr>
      <w:r>
        <w:rPr>
          <w:sz w:val="24"/>
        </w:rPr>
        <w:t>（注：对于适用固定金额认购费用的认购，认购费用＝固定认购费用金额）</w:t>
      </w:r>
    </w:p>
    <w:p w14:paraId="63797F9F" w14:textId="77777777" w:rsidR="00792F5C" w:rsidRDefault="00792F5C" w:rsidP="00792F5C">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4721DAB7" w14:textId="77777777" w:rsidR="00792F5C" w:rsidRDefault="00792F5C" w:rsidP="00792F5C">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w:t>
      </w:r>
      <w:r>
        <w:rPr>
          <w:sz w:val="24"/>
        </w:rPr>
        <w:lastRenderedPageBreak/>
        <w:t>此误差产生的收益或损失由基金财产承担。</w:t>
      </w:r>
    </w:p>
    <w:p w14:paraId="78D08428" w14:textId="77777777" w:rsidR="00792F5C" w:rsidRDefault="00792F5C" w:rsidP="00792F5C">
      <w:pPr>
        <w:adjustRightInd w:val="0"/>
        <w:snapToGrid w:val="0"/>
        <w:spacing w:line="360" w:lineRule="auto"/>
        <w:ind w:firstLineChars="200" w:firstLine="480"/>
        <w:rPr>
          <w:sz w:val="24"/>
        </w:rPr>
      </w:pPr>
      <w:r>
        <w:rPr>
          <w:rFonts w:hint="eastAsia"/>
          <w:sz w:val="24"/>
        </w:rPr>
        <w:t>例</w:t>
      </w:r>
      <w:proofErr w:type="gramStart"/>
      <w:r>
        <w:rPr>
          <w:rFonts w:hint="eastAsia"/>
          <w:sz w:val="24"/>
        </w:rPr>
        <w:t>一</w:t>
      </w:r>
      <w:proofErr w:type="gramEnd"/>
      <w:r>
        <w:rPr>
          <w:rFonts w:hint="eastAsia"/>
          <w:sz w:val="24"/>
        </w:rPr>
        <w:t>：某投资者（非养老金客户）认购本基金</w:t>
      </w:r>
      <w:r>
        <w:rPr>
          <w:rFonts w:hint="eastAsia"/>
          <w:sz w:val="24"/>
        </w:rPr>
        <w:t>100,000</w:t>
      </w:r>
      <w:r>
        <w:rPr>
          <w:sz w:val="24"/>
        </w:rPr>
        <w:t>.00</w:t>
      </w:r>
      <w:r>
        <w:rPr>
          <w:rFonts w:hint="eastAsia"/>
          <w:sz w:val="24"/>
        </w:rPr>
        <w:t>元，且该认购申请被全额确认，所对应的认购费率为</w:t>
      </w:r>
      <w:r>
        <w:rPr>
          <w:rFonts w:hint="eastAsia"/>
          <w:sz w:val="24"/>
        </w:rPr>
        <w:t>1.0%</w:t>
      </w:r>
      <w:r>
        <w:rPr>
          <w:rFonts w:hint="eastAsia"/>
          <w:sz w:val="24"/>
        </w:rPr>
        <w:t>。假定该笔认购金额产生利息</w:t>
      </w:r>
      <w:r>
        <w:rPr>
          <w:rFonts w:hint="eastAsia"/>
          <w:sz w:val="24"/>
        </w:rPr>
        <w:t>50.00</w:t>
      </w:r>
      <w:r>
        <w:rPr>
          <w:rFonts w:hint="eastAsia"/>
          <w:sz w:val="24"/>
        </w:rPr>
        <w:t>元。则认购份额为：</w:t>
      </w:r>
    </w:p>
    <w:p w14:paraId="726ADF06" w14:textId="77777777" w:rsidR="00792F5C" w:rsidRDefault="00792F5C" w:rsidP="00792F5C">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w:t>
      </w:r>
      <w:r>
        <w:rPr>
          <w:sz w:val="24"/>
        </w:rPr>
        <w:t>.00</w:t>
      </w:r>
      <w:r>
        <w:rPr>
          <w:rFonts w:hint="eastAsia"/>
          <w:sz w:val="24"/>
        </w:rPr>
        <w:t>元</w:t>
      </w:r>
    </w:p>
    <w:p w14:paraId="08FAE9FC" w14:textId="77777777" w:rsidR="00792F5C" w:rsidRDefault="00792F5C" w:rsidP="00792F5C">
      <w:pPr>
        <w:adjustRightInd w:val="0"/>
        <w:snapToGrid w:val="0"/>
        <w:spacing w:line="360" w:lineRule="auto"/>
        <w:ind w:firstLineChars="200" w:firstLine="480"/>
        <w:rPr>
          <w:sz w:val="24"/>
        </w:rPr>
      </w:pPr>
      <w:r>
        <w:rPr>
          <w:rFonts w:hint="eastAsia"/>
          <w:sz w:val="24"/>
        </w:rPr>
        <w:t>净认购金额＝</w:t>
      </w:r>
      <w:r>
        <w:rPr>
          <w:rFonts w:hint="eastAsia"/>
          <w:sz w:val="24"/>
        </w:rPr>
        <w:t>100,000</w:t>
      </w:r>
      <w:r>
        <w:rPr>
          <w:sz w:val="24"/>
        </w:rPr>
        <w:t>.00</w:t>
      </w:r>
      <w:r>
        <w:rPr>
          <w:rFonts w:hint="eastAsia"/>
          <w:sz w:val="24"/>
        </w:rPr>
        <w:t>/</w:t>
      </w:r>
      <w:r>
        <w:rPr>
          <w:rFonts w:hint="eastAsia"/>
          <w:sz w:val="24"/>
        </w:rPr>
        <w:t>（</w:t>
      </w:r>
      <w:r>
        <w:rPr>
          <w:rFonts w:hint="eastAsia"/>
          <w:sz w:val="24"/>
        </w:rPr>
        <w:t>1</w:t>
      </w:r>
      <w:r>
        <w:rPr>
          <w:rFonts w:hint="eastAsia"/>
          <w:sz w:val="24"/>
        </w:rPr>
        <w:t>＋</w:t>
      </w:r>
      <w:r>
        <w:rPr>
          <w:rFonts w:hint="eastAsia"/>
          <w:sz w:val="24"/>
        </w:rPr>
        <w:t>1.0%</w:t>
      </w:r>
      <w:r>
        <w:rPr>
          <w:rFonts w:hint="eastAsia"/>
          <w:sz w:val="24"/>
        </w:rPr>
        <w:t>）＝</w:t>
      </w:r>
      <w:r>
        <w:rPr>
          <w:rFonts w:hint="eastAsia"/>
          <w:sz w:val="24"/>
        </w:rPr>
        <w:t>99,009.90</w:t>
      </w:r>
      <w:r>
        <w:rPr>
          <w:rFonts w:hint="eastAsia"/>
          <w:sz w:val="24"/>
        </w:rPr>
        <w:t>元</w:t>
      </w:r>
    </w:p>
    <w:p w14:paraId="1CEF2551" w14:textId="77777777" w:rsidR="00792F5C" w:rsidRDefault="00792F5C" w:rsidP="00792F5C">
      <w:pPr>
        <w:adjustRightInd w:val="0"/>
        <w:snapToGrid w:val="0"/>
        <w:spacing w:line="360" w:lineRule="auto"/>
        <w:ind w:firstLineChars="200" w:firstLine="480"/>
        <w:rPr>
          <w:sz w:val="24"/>
        </w:rPr>
      </w:pPr>
      <w:r>
        <w:rPr>
          <w:rFonts w:hint="eastAsia"/>
          <w:sz w:val="24"/>
        </w:rPr>
        <w:t>认购费用＝</w:t>
      </w:r>
      <w:r>
        <w:rPr>
          <w:rFonts w:hint="eastAsia"/>
          <w:sz w:val="24"/>
        </w:rPr>
        <w:t>100,000</w:t>
      </w:r>
      <w:r>
        <w:rPr>
          <w:sz w:val="24"/>
        </w:rPr>
        <w:t>.00</w:t>
      </w:r>
      <w:r>
        <w:rPr>
          <w:rFonts w:hint="eastAsia"/>
          <w:sz w:val="24"/>
        </w:rPr>
        <w:t>－</w:t>
      </w:r>
      <w:r>
        <w:rPr>
          <w:rFonts w:hint="eastAsia"/>
          <w:sz w:val="24"/>
        </w:rPr>
        <w:t>99,009.90</w:t>
      </w:r>
      <w:r>
        <w:rPr>
          <w:rFonts w:hint="eastAsia"/>
          <w:sz w:val="24"/>
        </w:rPr>
        <w:t>＝</w:t>
      </w:r>
      <w:r>
        <w:rPr>
          <w:rFonts w:hint="eastAsia"/>
          <w:sz w:val="24"/>
        </w:rPr>
        <w:t>990.10</w:t>
      </w:r>
      <w:r>
        <w:rPr>
          <w:rFonts w:hint="eastAsia"/>
          <w:sz w:val="24"/>
        </w:rPr>
        <w:t>元</w:t>
      </w:r>
    </w:p>
    <w:p w14:paraId="1D7753D1" w14:textId="77777777" w:rsidR="00792F5C" w:rsidRDefault="00792F5C" w:rsidP="00792F5C">
      <w:pPr>
        <w:adjustRightInd w:val="0"/>
        <w:snapToGrid w:val="0"/>
        <w:spacing w:line="360" w:lineRule="auto"/>
        <w:ind w:firstLineChars="200" w:firstLine="480"/>
        <w:rPr>
          <w:sz w:val="24"/>
        </w:rPr>
      </w:pPr>
      <w:r>
        <w:rPr>
          <w:rFonts w:hint="eastAsia"/>
          <w:sz w:val="24"/>
        </w:rPr>
        <w:t>认购份额＝</w:t>
      </w:r>
      <w:r>
        <w:rPr>
          <w:rFonts w:hint="eastAsia"/>
          <w:sz w:val="24"/>
        </w:rPr>
        <w:t>99,009.90/1.00</w:t>
      </w:r>
      <w:r>
        <w:rPr>
          <w:rFonts w:hint="eastAsia"/>
          <w:sz w:val="24"/>
        </w:rPr>
        <w:t>＋</w:t>
      </w:r>
      <w:r>
        <w:rPr>
          <w:rFonts w:hint="eastAsia"/>
          <w:sz w:val="24"/>
        </w:rPr>
        <w:t>50.00/1.00</w:t>
      </w:r>
      <w:r>
        <w:rPr>
          <w:rFonts w:hint="eastAsia"/>
          <w:sz w:val="24"/>
        </w:rPr>
        <w:t>＝</w:t>
      </w:r>
      <w:r>
        <w:rPr>
          <w:rFonts w:hint="eastAsia"/>
          <w:sz w:val="24"/>
        </w:rPr>
        <w:t>99,059.90</w:t>
      </w:r>
      <w:r>
        <w:rPr>
          <w:rFonts w:hint="eastAsia"/>
          <w:sz w:val="24"/>
        </w:rPr>
        <w:t>份</w:t>
      </w:r>
    </w:p>
    <w:p w14:paraId="05D74608" w14:textId="77777777" w:rsidR="00792F5C" w:rsidRDefault="00792F5C" w:rsidP="00792F5C">
      <w:pPr>
        <w:adjustRightInd w:val="0"/>
        <w:snapToGrid w:val="0"/>
        <w:spacing w:line="360" w:lineRule="auto"/>
        <w:ind w:firstLineChars="200" w:firstLine="480"/>
        <w:rPr>
          <w:sz w:val="24"/>
        </w:rPr>
      </w:pPr>
      <w:r>
        <w:rPr>
          <w:rFonts w:hint="eastAsia"/>
          <w:sz w:val="24"/>
        </w:rPr>
        <w:t>即：若该投资者（非养老金客户）认购本基金</w:t>
      </w:r>
      <w:r>
        <w:rPr>
          <w:rFonts w:hint="eastAsia"/>
          <w:sz w:val="24"/>
        </w:rPr>
        <w:t>100,000</w:t>
      </w:r>
      <w:r>
        <w:rPr>
          <w:sz w:val="24"/>
        </w:rPr>
        <w:t>.00</w:t>
      </w:r>
      <w:r>
        <w:rPr>
          <w:rFonts w:hint="eastAsia"/>
          <w:sz w:val="24"/>
        </w:rPr>
        <w:t>元，假定该笔认购金额产生利息</w:t>
      </w:r>
      <w:r>
        <w:rPr>
          <w:rFonts w:hint="eastAsia"/>
          <w:sz w:val="24"/>
        </w:rPr>
        <w:t>50.00</w:t>
      </w:r>
      <w:r>
        <w:rPr>
          <w:rFonts w:hint="eastAsia"/>
          <w:sz w:val="24"/>
        </w:rPr>
        <w:t>元，可得到</w:t>
      </w:r>
      <w:r>
        <w:rPr>
          <w:rFonts w:hint="eastAsia"/>
          <w:sz w:val="24"/>
        </w:rPr>
        <w:t>99,059.90</w:t>
      </w:r>
      <w:r>
        <w:rPr>
          <w:rFonts w:hint="eastAsia"/>
          <w:sz w:val="24"/>
        </w:rPr>
        <w:t>份基金份额。</w:t>
      </w:r>
    </w:p>
    <w:p w14:paraId="2EA650DD" w14:textId="77777777" w:rsidR="00792F5C" w:rsidRDefault="00792F5C" w:rsidP="00792F5C">
      <w:pPr>
        <w:adjustRightInd w:val="0"/>
        <w:snapToGrid w:val="0"/>
        <w:spacing w:line="360" w:lineRule="auto"/>
        <w:ind w:firstLineChars="200" w:firstLine="480"/>
        <w:rPr>
          <w:sz w:val="24"/>
        </w:rPr>
      </w:pPr>
      <w:r>
        <w:rPr>
          <w:rFonts w:hint="eastAsia"/>
          <w:sz w:val="24"/>
        </w:rPr>
        <w:t>例二：某养老金客户通过基金管理人的直销柜台认购本基金</w:t>
      </w:r>
      <w:r>
        <w:rPr>
          <w:rFonts w:hint="eastAsia"/>
          <w:sz w:val="24"/>
        </w:rPr>
        <w:t>1</w:t>
      </w:r>
      <w:r>
        <w:rPr>
          <w:sz w:val="24"/>
        </w:rPr>
        <w:t>,0</w:t>
      </w:r>
      <w:r>
        <w:rPr>
          <w:rFonts w:hint="eastAsia"/>
          <w:sz w:val="24"/>
        </w:rPr>
        <w:t>00,000</w:t>
      </w:r>
      <w:r>
        <w:rPr>
          <w:sz w:val="24"/>
        </w:rPr>
        <w:t>.00</w:t>
      </w:r>
      <w:r>
        <w:rPr>
          <w:rFonts w:hint="eastAsia"/>
          <w:sz w:val="24"/>
        </w:rPr>
        <w:t>元，且该认购申请被全额确认，所对应的认购费率为</w:t>
      </w:r>
      <w:r>
        <w:rPr>
          <w:rFonts w:hint="eastAsia"/>
          <w:sz w:val="24"/>
        </w:rPr>
        <w:t>0.</w:t>
      </w:r>
      <w:r>
        <w:rPr>
          <w:sz w:val="24"/>
        </w:rPr>
        <w:t>40</w:t>
      </w:r>
      <w:r>
        <w:rPr>
          <w:rFonts w:hint="eastAsia"/>
          <w:sz w:val="24"/>
        </w:rPr>
        <w:t>%</w:t>
      </w:r>
      <w:r>
        <w:rPr>
          <w:rFonts w:hint="eastAsia"/>
          <w:sz w:val="24"/>
        </w:rPr>
        <w:t>。假定该笔认购金额产生利息</w:t>
      </w:r>
      <w:r>
        <w:rPr>
          <w:rFonts w:hint="eastAsia"/>
          <w:sz w:val="24"/>
        </w:rPr>
        <w:t>50.00</w:t>
      </w:r>
      <w:r>
        <w:rPr>
          <w:rFonts w:hint="eastAsia"/>
          <w:sz w:val="24"/>
        </w:rPr>
        <w:t>元。则认购份额为：</w:t>
      </w:r>
    </w:p>
    <w:p w14:paraId="3D78EB5A" w14:textId="77777777" w:rsidR="00792F5C" w:rsidRDefault="00792F5C" w:rsidP="00792F5C">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w:t>
      </w:r>
      <w:r>
        <w:rPr>
          <w:sz w:val="24"/>
        </w:rPr>
        <w:t>,0</w:t>
      </w:r>
      <w:r>
        <w:rPr>
          <w:rFonts w:hint="eastAsia"/>
          <w:sz w:val="24"/>
        </w:rPr>
        <w:t>00,000</w:t>
      </w:r>
      <w:r>
        <w:rPr>
          <w:sz w:val="24"/>
        </w:rPr>
        <w:t>.00</w:t>
      </w:r>
      <w:r>
        <w:rPr>
          <w:rFonts w:hint="eastAsia"/>
          <w:sz w:val="24"/>
        </w:rPr>
        <w:t>元</w:t>
      </w:r>
    </w:p>
    <w:p w14:paraId="62E9B6F5" w14:textId="77777777" w:rsidR="00792F5C" w:rsidRDefault="00792F5C" w:rsidP="00792F5C">
      <w:pPr>
        <w:adjustRightInd w:val="0"/>
        <w:snapToGrid w:val="0"/>
        <w:spacing w:line="360" w:lineRule="auto"/>
        <w:ind w:firstLineChars="200" w:firstLine="480"/>
        <w:rPr>
          <w:sz w:val="24"/>
        </w:rPr>
      </w:pPr>
      <w:r>
        <w:rPr>
          <w:rFonts w:hint="eastAsia"/>
          <w:sz w:val="24"/>
        </w:rPr>
        <w:t>净认购金额＝</w:t>
      </w:r>
      <w:r>
        <w:rPr>
          <w:rFonts w:hint="eastAsia"/>
          <w:sz w:val="24"/>
        </w:rPr>
        <w:t>1</w:t>
      </w:r>
      <w:r>
        <w:rPr>
          <w:sz w:val="24"/>
        </w:rPr>
        <w:t>,0</w:t>
      </w:r>
      <w:r>
        <w:rPr>
          <w:rFonts w:hint="eastAsia"/>
          <w:sz w:val="24"/>
        </w:rPr>
        <w:t>00,000</w:t>
      </w:r>
      <w:r>
        <w:rPr>
          <w:sz w:val="24"/>
        </w:rPr>
        <w:t>.00</w:t>
      </w:r>
      <w:r>
        <w:rPr>
          <w:rFonts w:hint="eastAsia"/>
          <w:sz w:val="24"/>
        </w:rPr>
        <w:t>/</w:t>
      </w:r>
      <w:r>
        <w:rPr>
          <w:rFonts w:hint="eastAsia"/>
          <w:sz w:val="24"/>
        </w:rPr>
        <w:t>（</w:t>
      </w:r>
      <w:r>
        <w:rPr>
          <w:rFonts w:hint="eastAsia"/>
          <w:sz w:val="24"/>
        </w:rPr>
        <w:t>1</w:t>
      </w:r>
      <w:r>
        <w:rPr>
          <w:rFonts w:hint="eastAsia"/>
          <w:sz w:val="24"/>
        </w:rPr>
        <w:t>＋</w:t>
      </w:r>
      <w:r>
        <w:rPr>
          <w:rFonts w:hint="eastAsia"/>
          <w:sz w:val="24"/>
        </w:rPr>
        <w:t>0.</w:t>
      </w:r>
      <w:r>
        <w:rPr>
          <w:sz w:val="24"/>
        </w:rPr>
        <w:t>40</w:t>
      </w:r>
      <w:r>
        <w:rPr>
          <w:rFonts w:hint="eastAsia"/>
          <w:sz w:val="24"/>
        </w:rPr>
        <w:t>%</w:t>
      </w:r>
      <w:r>
        <w:rPr>
          <w:rFonts w:hint="eastAsia"/>
          <w:sz w:val="24"/>
        </w:rPr>
        <w:t>）＝</w:t>
      </w:r>
      <w:r>
        <w:rPr>
          <w:sz w:val="24"/>
        </w:rPr>
        <w:t>996,015.94</w:t>
      </w:r>
      <w:r>
        <w:rPr>
          <w:rFonts w:hint="eastAsia"/>
          <w:sz w:val="24"/>
        </w:rPr>
        <w:t>元</w:t>
      </w:r>
    </w:p>
    <w:p w14:paraId="3B1CB7FC" w14:textId="77777777" w:rsidR="00792F5C" w:rsidRDefault="00792F5C" w:rsidP="00792F5C">
      <w:pPr>
        <w:adjustRightInd w:val="0"/>
        <w:snapToGrid w:val="0"/>
        <w:spacing w:line="360" w:lineRule="auto"/>
        <w:ind w:firstLineChars="200" w:firstLine="480"/>
        <w:rPr>
          <w:sz w:val="24"/>
        </w:rPr>
      </w:pPr>
      <w:r>
        <w:rPr>
          <w:rFonts w:hint="eastAsia"/>
          <w:sz w:val="24"/>
        </w:rPr>
        <w:t>认购费用＝</w:t>
      </w:r>
      <w:r>
        <w:rPr>
          <w:rFonts w:hint="eastAsia"/>
          <w:sz w:val="24"/>
        </w:rPr>
        <w:t>1</w:t>
      </w:r>
      <w:r>
        <w:rPr>
          <w:sz w:val="24"/>
        </w:rPr>
        <w:t>,0</w:t>
      </w:r>
      <w:r>
        <w:rPr>
          <w:rFonts w:hint="eastAsia"/>
          <w:sz w:val="24"/>
        </w:rPr>
        <w:t>00,000</w:t>
      </w:r>
      <w:r>
        <w:rPr>
          <w:sz w:val="24"/>
        </w:rPr>
        <w:t>.00</w:t>
      </w:r>
      <w:r>
        <w:rPr>
          <w:rFonts w:hint="eastAsia"/>
          <w:sz w:val="24"/>
        </w:rPr>
        <w:t>－</w:t>
      </w:r>
      <w:r>
        <w:rPr>
          <w:sz w:val="24"/>
        </w:rPr>
        <w:t>996,015.94</w:t>
      </w:r>
      <w:r>
        <w:rPr>
          <w:rFonts w:hint="eastAsia"/>
          <w:sz w:val="24"/>
        </w:rPr>
        <w:t>＝</w:t>
      </w:r>
      <w:r>
        <w:rPr>
          <w:rFonts w:hint="eastAsia"/>
          <w:sz w:val="24"/>
        </w:rPr>
        <w:t>3</w:t>
      </w:r>
      <w:r>
        <w:rPr>
          <w:sz w:val="24"/>
        </w:rPr>
        <w:t>,984.06</w:t>
      </w:r>
      <w:r>
        <w:rPr>
          <w:rFonts w:hint="eastAsia"/>
          <w:sz w:val="24"/>
        </w:rPr>
        <w:t>元</w:t>
      </w:r>
    </w:p>
    <w:p w14:paraId="57CB165D" w14:textId="77777777" w:rsidR="00792F5C" w:rsidRDefault="00792F5C" w:rsidP="00792F5C">
      <w:pPr>
        <w:adjustRightInd w:val="0"/>
        <w:snapToGrid w:val="0"/>
        <w:spacing w:line="360" w:lineRule="auto"/>
        <w:ind w:firstLineChars="200" w:firstLine="480"/>
        <w:rPr>
          <w:sz w:val="24"/>
        </w:rPr>
      </w:pPr>
      <w:r>
        <w:rPr>
          <w:rFonts w:hint="eastAsia"/>
          <w:sz w:val="24"/>
        </w:rPr>
        <w:t>认购份额＝</w:t>
      </w:r>
      <w:r>
        <w:rPr>
          <w:sz w:val="24"/>
        </w:rPr>
        <w:t>996,015.94</w:t>
      </w:r>
      <w:r>
        <w:rPr>
          <w:rFonts w:hint="eastAsia"/>
          <w:sz w:val="24"/>
        </w:rPr>
        <w:t>/1.00</w:t>
      </w:r>
      <w:r>
        <w:rPr>
          <w:rFonts w:hint="eastAsia"/>
          <w:sz w:val="24"/>
        </w:rPr>
        <w:t>＋</w:t>
      </w:r>
      <w:r>
        <w:rPr>
          <w:rFonts w:hint="eastAsia"/>
          <w:sz w:val="24"/>
        </w:rPr>
        <w:t>50.00/1.00</w:t>
      </w:r>
      <w:r>
        <w:rPr>
          <w:rFonts w:hint="eastAsia"/>
          <w:sz w:val="24"/>
        </w:rPr>
        <w:t>＝</w:t>
      </w:r>
      <w:r>
        <w:rPr>
          <w:sz w:val="24"/>
        </w:rPr>
        <w:t>996,065.94</w:t>
      </w:r>
      <w:r>
        <w:rPr>
          <w:rFonts w:hint="eastAsia"/>
          <w:sz w:val="24"/>
        </w:rPr>
        <w:t>份</w:t>
      </w:r>
    </w:p>
    <w:p w14:paraId="48ABFA61" w14:textId="7066F176" w:rsidR="00B30BC4" w:rsidRDefault="00792F5C" w:rsidP="00B30BC4">
      <w:pPr>
        <w:adjustRightInd w:val="0"/>
        <w:snapToGrid w:val="0"/>
        <w:spacing w:line="360" w:lineRule="auto"/>
        <w:ind w:firstLineChars="200" w:firstLine="480"/>
        <w:rPr>
          <w:sz w:val="24"/>
        </w:rPr>
      </w:pPr>
      <w:r>
        <w:rPr>
          <w:rFonts w:hint="eastAsia"/>
          <w:sz w:val="24"/>
        </w:rPr>
        <w:t>即：若该养老金客户通过基金管理人的直销柜台认购本基金</w:t>
      </w:r>
      <w:r>
        <w:rPr>
          <w:rFonts w:hint="eastAsia"/>
          <w:sz w:val="24"/>
        </w:rPr>
        <w:t>1</w:t>
      </w:r>
      <w:r>
        <w:rPr>
          <w:sz w:val="24"/>
        </w:rPr>
        <w:t>,0</w:t>
      </w:r>
      <w:r>
        <w:rPr>
          <w:rFonts w:hint="eastAsia"/>
          <w:sz w:val="24"/>
        </w:rPr>
        <w:t>00,000</w:t>
      </w:r>
      <w:r>
        <w:rPr>
          <w:sz w:val="24"/>
        </w:rPr>
        <w:t>.00</w:t>
      </w:r>
      <w:r>
        <w:rPr>
          <w:rFonts w:hint="eastAsia"/>
          <w:sz w:val="24"/>
        </w:rPr>
        <w:t>元，假定该笔认购金额产生利息</w:t>
      </w:r>
      <w:r>
        <w:rPr>
          <w:rFonts w:hint="eastAsia"/>
          <w:sz w:val="24"/>
        </w:rPr>
        <w:t>50.00</w:t>
      </w:r>
      <w:r>
        <w:rPr>
          <w:rFonts w:hint="eastAsia"/>
          <w:sz w:val="24"/>
        </w:rPr>
        <w:t>元，可得到</w:t>
      </w:r>
      <w:r>
        <w:rPr>
          <w:sz w:val="24"/>
        </w:rPr>
        <w:t>996,065.94</w:t>
      </w:r>
      <w:r>
        <w:rPr>
          <w:rFonts w:hint="eastAsia"/>
          <w:sz w:val="24"/>
        </w:rPr>
        <w:t>份基金份额。</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17C40646"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sidR="00B21CA3">
        <w:rPr>
          <w:rFonts w:hint="eastAsia"/>
          <w:kern w:val="0"/>
          <w:sz w:val="24"/>
        </w:rPr>
        <w:t>万</w:t>
      </w:r>
      <w:r>
        <w:rPr>
          <w:rFonts w:hint="eastAsia"/>
          <w:kern w:val="0"/>
          <w:sz w:val="24"/>
        </w:rPr>
        <w:t>元（含</w:t>
      </w:r>
      <w:r>
        <w:rPr>
          <w:kern w:val="0"/>
          <w:sz w:val="24"/>
        </w:rPr>
        <w:t>100</w:t>
      </w:r>
      <w:r w:rsidR="00B21CA3">
        <w:rPr>
          <w:rFonts w:hint="eastAsia"/>
          <w:kern w:val="0"/>
          <w:sz w:val="24"/>
        </w:rPr>
        <w:t>万</w:t>
      </w:r>
      <w:r>
        <w:rPr>
          <w:rFonts w:hint="eastAsia"/>
          <w:kern w:val="0"/>
          <w:sz w:val="24"/>
        </w:rPr>
        <w:t>元），追加认购的最低金额为单笔</w:t>
      </w:r>
      <w:r>
        <w:rPr>
          <w:kern w:val="0"/>
          <w:sz w:val="24"/>
        </w:rPr>
        <w:t>10</w:t>
      </w:r>
      <w:r w:rsidR="00B21CA3">
        <w:rPr>
          <w:rFonts w:hint="eastAsia"/>
          <w:kern w:val="0"/>
          <w:sz w:val="24"/>
        </w:rPr>
        <w:t>万</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lastRenderedPageBreak/>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5423CF47" w14:textId="64808E29" w:rsidR="00B521F9" w:rsidRDefault="00B521F9">
      <w:pPr>
        <w:adjustRightInd w:val="0"/>
        <w:snapToGrid w:val="0"/>
        <w:spacing w:line="360" w:lineRule="auto"/>
        <w:ind w:firstLineChars="200" w:firstLine="480"/>
        <w:rPr>
          <w:rFonts w:hAnsi="宋体"/>
          <w:kern w:val="0"/>
          <w:sz w:val="24"/>
        </w:rPr>
      </w:pPr>
      <w:r w:rsidRPr="00B521F9">
        <w:rPr>
          <w:rFonts w:hAnsi="宋体" w:hint="eastAsia"/>
          <w:kern w:val="0"/>
          <w:sz w:val="24"/>
        </w:rPr>
        <w:t>6</w:t>
      </w:r>
      <w:r w:rsidRPr="00B521F9">
        <w:rPr>
          <w:rFonts w:hAnsi="宋体" w:hint="eastAsia"/>
          <w:kern w:val="0"/>
          <w:sz w:val="24"/>
        </w:rPr>
        <w:t>、发起资金提供方认购本基金的总金额不少于</w:t>
      </w:r>
      <w:r w:rsidRPr="00B521F9">
        <w:rPr>
          <w:rFonts w:hAnsi="宋体" w:hint="eastAsia"/>
          <w:kern w:val="0"/>
          <w:sz w:val="24"/>
        </w:rPr>
        <w:t>1000</w:t>
      </w:r>
      <w:r w:rsidRPr="00B521F9">
        <w:rPr>
          <w:rFonts w:hAnsi="宋体" w:hint="eastAsia"/>
          <w:kern w:val="0"/>
          <w:sz w:val="24"/>
        </w:rPr>
        <w:t>万元人民币，且持有期限</w:t>
      </w:r>
      <w:r w:rsidR="00DB7F69">
        <w:rPr>
          <w:rFonts w:hint="eastAsia"/>
          <w:bCs/>
          <w:sz w:val="24"/>
        </w:rPr>
        <w:t>自基金合同生效之日起</w:t>
      </w:r>
      <w:r w:rsidRPr="00B521F9">
        <w:rPr>
          <w:rFonts w:hAnsi="宋体" w:hint="eastAsia"/>
          <w:kern w:val="0"/>
          <w:sz w:val="24"/>
        </w:rPr>
        <w:t>不少于</w:t>
      </w:r>
      <w:r w:rsidRPr="00B521F9">
        <w:rPr>
          <w:rFonts w:hAnsi="宋体" w:hint="eastAsia"/>
          <w:kern w:val="0"/>
          <w:sz w:val="24"/>
        </w:rPr>
        <w:t>3</w:t>
      </w:r>
      <w:r w:rsidRPr="00B521F9">
        <w:rPr>
          <w:rFonts w:hAnsi="宋体" w:hint="eastAsia"/>
          <w:kern w:val="0"/>
          <w:sz w:val="24"/>
        </w:rPr>
        <w:t>年，法律法规和监管机构另有规定的除外。</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Default="009279C5">
      <w:pPr>
        <w:adjustRightInd w:val="0"/>
        <w:snapToGrid w:val="0"/>
        <w:spacing w:line="360" w:lineRule="auto"/>
        <w:ind w:firstLineChars="200" w:firstLine="482"/>
        <w:outlineLvl w:val="1"/>
        <w:rPr>
          <w:b/>
          <w:sz w:val="24"/>
        </w:rPr>
      </w:pPr>
      <w:r>
        <w:rPr>
          <w:rFonts w:hint="eastAsia"/>
          <w:b/>
          <w:sz w:val="24"/>
        </w:rPr>
        <w:t>（一）直销机构</w:t>
      </w:r>
    </w:p>
    <w:p w14:paraId="59437D3D" w14:textId="56316F9D" w:rsidR="00012CCB" w:rsidRPr="00C0430E" w:rsidRDefault="009279C5" w:rsidP="00C0430E">
      <w:pPr>
        <w:adjustRightInd w:val="0"/>
        <w:snapToGrid w:val="0"/>
        <w:spacing w:line="360" w:lineRule="auto"/>
        <w:ind w:firstLineChars="200" w:firstLine="482"/>
        <w:rPr>
          <w:b/>
          <w:sz w:val="24"/>
        </w:rPr>
      </w:pPr>
      <w:r w:rsidRPr="00C0430E">
        <w:rPr>
          <w:b/>
          <w:sz w:val="24"/>
        </w:rPr>
        <w:t>1</w:t>
      </w:r>
      <w:r w:rsidRPr="00C0430E">
        <w:rPr>
          <w:rFonts w:hint="eastAsia"/>
          <w:b/>
          <w:sz w:val="24"/>
        </w:rPr>
        <w:t>、直销</w:t>
      </w:r>
      <w:r w:rsidR="004C188D">
        <w:rPr>
          <w:rFonts w:hint="eastAsia"/>
          <w:b/>
          <w:sz w:val="24"/>
        </w:rPr>
        <w:t>柜台</w:t>
      </w:r>
    </w:p>
    <w:p w14:paraId="0D28711E" w14:textId="0FFB335A"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4C188D">
        <w:rPr>
          <w:rFonts w:hint="eastAsia"/>
          <w:sz w:val="24"/>
        </w:rPr>
        <w:t>柜台</w:t>
      </w:r>
      <w:r>
        <w:rPr>
          <w:rFonts w:hint="eastAsia"/>
          <w:sz w:val="24"/>
        </w:rPr>
        <w:t>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w:t>
      </w:r>
      <w:proofErr w:type="gramStart"/>
      <w:r>
        <w:rPr>
          <w:rFonts w:hint="eastAsia"/>
          <w:sz w:val="24"/>
        </w:rPr>
        <w:t>签名栏需有</w:t>
      </w:r>
      <w:proofErr w:type="gramEnd"/>
      <w:r>
        <w:rPr>
          <w:rFonts w:hint="eastAsia"/>
          <w:sz w:val="24"/>
        </w:rPr>
        <w:t>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lastRenderedPageBreak/>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t>12</w:t>
      </w:r>
      <w:r>
        <w:rPr>
          <w:rFonts w:hint="eastAsia"/>
          <w:sz w:val="24"/>
        </w:rPr>
        <w:t>）以上表格复印有效，但</w:t>
      </w:r>
      <w:proofErr w:type="gramStart"/>
      <w:r>
        <w:rPr>
          <w:rFonts w:hint="eastAsia"/>
          <w:sz w:val="24"/>
        </w:rPr>
        <w:t>需客户</w:t>
      </w:r>
      <w:proofErr w:type="gramEnd"/>
      <w:r>
        <w:rPr>
          <w:rFonts w:hint="eastAsia"/>
          <w:sz w:val="24"/>
        </w:rPr>
        <w:t>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2D7311C8"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433B74" w:rsidRPr="00433B74">
        <w:rPr>
          <w:rFonts w:hint="eastAsia"/>
          <w:sz w:val="24"/>
        </w:rPr>
        <w:t>交银安悦平衡养老三年持有期混合发起（</w:t>
      </w:r>
      <w:r w:rsidR="00433B74" w:rsidRPr="00433B74">
        <w:rPr>
          <w:rFonts w:hint="eastAsia"/>
          <w:sz w:val="24"/>
        </w:rPr>
        <w:t>FOF</w:t>
      </w:r>
      <w:r w:rsidR="00433B74" w:rsidRPr="00433B74">
        <w:rPr>
          <w:rFonts w:hint="eastAsia"/>
          <w:sz w:val="24"/>
        </w:rPr>
        <w:t>）</w:t>
      </w:r>
      <w:r>
        <w:rPr>
          <w:sz w:val="24"/>
        </w:rPr>
        <w:t>”</w:t>
      </w:r>
      <w:r>
        <w:rPr>
          <w:rFonts w:hint="eastAsia"/>
          <w:sz w:val="24"/>
        </w:rPr>
        <w:t>；</w:t>
      </w:r>
    </w:p>
    <w:p w14:paraId="64A181A8" w14:textId="658779EC" w:rsidR="00012CCB" w:rsidRDefault="009279C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w:t>
      </w:r>
      <w:r>
        <w:rPr>
          <w:rFonts w:hint="eastAsia"/>
          <w:sz w:val="24"/>
        </w:rPr>
        <w:lastRenderedPageBreak/>
        <w:t>章的汇款单据传真至交银施罗德直销</w:t>
      </w:r>
      <w:r w:rsidR="004C188D">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22F7F089" w14:textId="77777777" w:rsidR="00012CCB" w:rsidRPr="00C0430E" w:rsidRDefault="009279C5" w:rsidP="00C0430E">
      <w:pPr>
        <w:adjustRightInd w:val="0"/>
        <w:snapToGrid w:val="0"/>
        <w:spacing w:line="360" w:lineRule="auto"/>
        <w:ind w:firstLineChars="200" w:firstLine="482"/>
        <w:rPr>
          <w:rFonts w:hAnsi="宋体"/>
          <w:b/>
          <w:sz w:val="24"/>
          <w:szCs w:val="24"/>
        </w:rPr>
      </w:pPr>
      <w:r w:rsidRPr="00C0430E">
        <w:rPr>
          <w:rFonts w:hAnsi="宋体"/>
          <w:b/>
          <w:sz w:val="24"/>
          <w:szCs w:val="24"/>
        </w:rPr>
        <w:t>2</w:t>
      </w:r>
      <w:r w:rsidRPr="00C0430E">
        <w:rPr>
          <w:rFonts w:hAnsi="宋体" w:hint="eastAsia"/>
          <w:b/>
          <w:sz w:val="24"/>
          <w:szCs w:val="24"/>
        </w:rPr>
        <w:t>、网上直销交易平台</w:t>
      </w:r>
    </w:p>
    <w:p w14:paraId="1CD37DD4" w14:textId="77777777"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000EABF4" w14:textId="77D47E82" w:rsidR="00212661" w:rsidRDefault="003931D6" w:rsidP="00212661">
      <w:pPr>
        <w:adjustRightInd w:val="0"/>
        <w:snapToGrid w:val="0"/>
        <w:spacing w:line="360" w:lineRule="auto"/>
        <w:ind w:firstLineChars="200" w:firstLine="480"/>
        <w:rPr>
          <w:sz w:val="24"/>
          <w:szCs w:val="24"/>
        </w:rPr>
      </w:pPr>
      <w:r w:rsidRPr="003931D6">
        <w:rPr>
          <w:rFonts w:hint="eastAsia"/>
          <w:sz w:val="24"/>
          <w:szCs w:val="24"/>
        </w:rPr>
        <w:t>本基金在募集期内参加基金管理人网上直销交易平台的交易费率优惠活动，如有变动本公司将另行公告。</w:t>
      </w:r>
    </w:p>
    <w:p w14:paraId="788F017C"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195D2F59" w:rsidR="00012CCB" w:rsidRDefault="009279C5">
      <w:pPr>
        <w:adjustRightInd w:val="0"/>
        <w:snapToGrid w:val="0"/>
        <w:spacing w:line="360" w:lineRule="auto"/>
        <w:ind w:firstLineChars="200" w:firstLine="482"/>
        <w:outlineLvl w:val="1"/>
        <w:rPr>
          <w:b/>
          <w:sz w:val="24"/>
        </w:rPr>
      </w:pPr>
      <w:r>
        <w:rPr>
          <w:rFonts w:hint="eastAsia"/>
          <w:b/>
          <w:sz w:val="24"/>
        </w:rPr>
        <w:t>（一）直销</w:t>
      </w:r>
      <w:r w:rsidR="001A68BE">
        <w:rPr>
          <w:rFonts w:hint="eastAsia"/>
          <w:b/>
          <w:sz w:val="24"/>
        </w:rPr>
        <w:t>柜台</w:t>
      </w:r>
    </w:p>
    <w:p w14:paraId="1301D05E" w14:textId="3B0289F9"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1A68BE">
        <w:rPr>
          <w:rFonts w:hint="eastAsia"/>
          <w:sz w:val="24"/>
        </w:rPr>
        <w:t>柜台</w:t>
      </w:r>
      <w:r>
        <w:rPr>
          <w:rFonts w:hint="eastAsia"/>
          <w:sz w:val="24"/>
        </w:rPr>
        <w:t>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2E929A8C"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w:t>
      </w:r>
      <w:r>
        <w:rPr>
          <w:rFonts w:hint="eastAsia"/>
          <w:sz w:val="24"/>
        </w:rPr>
        <w:lastRenderedPageBreak/>
        <w:t>社会团体或其他组织请提供民政部门或主管部门颁发的加盖单位公章的注册登记证书复印件（需有最新的年检记录）；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32C666" w14:textId="6B73F85C"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w:t>
      </w:r>
      <w:r w:rsidR="00631071">
        <w:rPr>
          <w:rFonts w:hint="eastAsia"/>
          <w:sz w:val="24"/>
        </w:rPr>
        <w:t>柜台</w:t>
      </w:r>
      <w:r>
        <w:rPr>
          <w:rFonts w:hint="eastAsia"/>
          <w:sz w:val="24"/>
        </w:rPr>
        <w:t>留存，预留印鉴盖章人的盖公章证件需要提供）；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lastRenderedPageBreak/>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0BECCA15"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433B74" w:rsidRPr="00433B74">
        <w:rPr>
          <w:rFonts w:hint="eastAsia"/>
          <w:sz w:val="24"/>
        </w:rPr>
        <w:t>交银安悦平衡养老三年持有期混合发起（</w:t>
      </w:r>
      <w:r w:rsidR="00433B74" w:rsidRPr="00433B74">
        <w:rPr>
          <w:rFonts w:hint="eastAsia"/>
          <w:sz w:val="24"/>
        </w:rPr>
        <w:t>FOF</w:t>
      </w:r>
      <w:r w:rsidR="00433B74" w:rsidRPr="00433B74">
        <w:rPr>
          <w:rFonts w:hint="eastAsia"/>
          <w:sz w:val="24"/>
        </w:rPr>
        <w:t>）</w:t>
      </w:r>
      <w:r>
        <w:rPr>
          <w:sz w:val="24"/>
        </w:rPr>
        <w:t>”</w:t>
      </w:r>
      <w:r>
        <w:rPr>
          <w:rFonts w:hint="eastAsia"/>
          <w:sz w:val="24"/>
        </w:rPr>
        <w:t>；</w:t>
      </w:r>
    </w:p>
    <w:p w14:paraId="0D45F604" w14:textId="70829863"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w:t>
      </w:r>
      <w:r w:rsidR="0063107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0CF3681"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lastRenderedPageBreak/>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08C7E35C"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r w:rsidR="00B521F9" w:rsidRPr="00B521F9">
        <w:rPr>
          <w:rFonts w:hint="eastAsia"/>
          <w:sz w:val="24"/>
        </w:rPr>
        <w:t>在发起资金提供方使用发起资金认购本基金的金额不少于</w:t>
      </w:r>
      <w:r w:rsidR="00B521F9" w:rsidRPr="00B521F9">
        <w:rPr>
          <w:rFonts w:hint="eastAsia"/>
          <w:sz w:val="24"/>
        </w:rPr>
        <w:t>1000</w:t>
      </w:r>
      <w:r w:rsidR="00B521F9" w:rsidRPr="00B521F9">
        <w:rPr>
          <w:rFonts w:hint="eastAsia"/>
          <w:sz w:val="24"/>
        </w:rPr>
        <w:t>万元人民币且承诺其认购的基金份额持有期限</w:t>
      </w:r>
      <w:r w:rsidR="007A0B68" w:rsidRPr="007A0B68">
        <w:rPr>
          <w:rFonts w:hint="eastAsia"/>
          <w:sz w:val="24"/>
        </w:rPr>
        <w:t>自基金合同生效之日起</w:t>
      </w:r>
      <w:r w:rsidR="00B521F9" w:rsidRPr="00B521F9">
        <w:rPr>
          <w:rFonts w:hint="eastAsia"/>
          <w:sz w:val="24"/>
        </w:rPr>
        <w:t>不少于</w:t>
      </w:r>
      <w:r w:rsidR="00B521F9" w:rsidRPr="00B521F9">
        <w:rPr>
          <w:rFonts w:hint="eastAsia"/>
          <w:sz w:val="24"/>
        </w:rPr>
        <w:t>3</w:t>
      </w:r>
      <w:r w:rsidR="00B521F9" w:rsidRPr="00B521F9">
        <w:rPr>
          <w:rFonts w:hint="eastAsia"/>
          <w:sz w:val="24"/>
        </w:rPr>
        <w:t>年的条件下，基金募集期届满或基金管理人依据法律法规及招募说明书可以决定停止基金发售，并在</w:t>
      </w:r>
      <w:r w:rsidR="00B521F9" w:rsidRPr="00B521F9">
        <w:rPr>
          <w:rFonts w:hint="eastAsia"/>
          <w:sz w:val="24"/>
        </w:rPr>
        <w:t>10</w:t>
      </w:r>
      <w:r w:rsidR="00B521F9">
        <w:rPr>
          <w:rFonts w:hint="eastAsia"/>
          <w:sz w:val="24"/>
        </w:rPr>
        <w:t>日内聘请法定验资机构验资</w:t>
      </w:r>
      <w:r>
        <w:rPr>
          <w:rFonts w:hint="eastAsia"/>
          <w:sz w:val="24"/>
        </w:rPr>
        <w:t>，自收到验资报告之日起</w:t>
      </w:r>
      <w:r>
        <w:rPr>
          <w:sz w:val="24"/>
        </w:rPr>
        <w:t>10</w:t>
      </w:r>
      <w:r>
        <w:rPr>
          <w:rFonts w:hint="eastAsia"/>
          <w:sz w:val="24"/>
        </w:rPr>
        <w:t>日内，向中国证监会提交验资报告，办理基金备案手续。自中国证监会书面确认之日起，基金备案手续办理完毕，基金合同生</w:t>
      </w:r>
      <w:r>
        <w:rPr>
          <w:rFonts w:hint="eastAsia"/>
          <w:sz w:val="24"/>
        </w:rPr>
        <w:lastRenderedPageBreak/>
        <w:t>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17DA8AA6" w14:textId="77777777" w:rsidR="00012CCB" w:rsidRDefault="009279C5">
      <w:pPr>
        <w:adjustRightInd w:val="0"/>
        <w:snapToGrid w:val="0"/>
        <w:spacing w:line="360" w:lineRule="auto"/>
        <w:ind w:firstLineChars="200" w:firstLine="482"/>
        <w:outlineLvl w:val="1"/>
        <w:rPr>
          <w:b/>
          <w:sz w:val="24"/>
        </w:rPr>
      </w:pPr>
      <w:r>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pPr>
        <w:adjustRightInd w:val="0"/>
        <w:snapToGrid w:val="0"/>
        <w:spacing w:line="360" w:lineRule="auto"/>
        <w:ind w:firstLineChars="200" w:firstLine="482"/>
        <w:outlineLvl w:val="1"/>
        <w:rPr>
          <w:b/>
          <w:sz w:val="24"/>
        </w:rPr>
      </w:pPr>
      <w:r>
        <w:rPr>
          <w:rFonts w:hint="eastAsia"/>
          <w:b/>
          <w:sz w:val="24"/>
        </w:rPr>
        <w:t>（二）基金托管人</w:t>
      </w:r>
    </w:p>
    <w:p w14:paraId="4227AB72" w14:textId="77777777" w:rsidR="00792F5C" w:rsidRPr="00792F5C" w:rsidRDefault="00792F5C" w:rsidP="00792F5C">
      <w:pPr>
        <w:adjustRightInd w:val="0"/>
        <w:snapToGrid w:val="0"/>
        <w:spacing w:line="360" w:lineRule="auto"/>
        <w:ind w:firstLineChars="200" w:firstLine="480"/>
        <w:rPr>
          <w:sz w:val="24"/>
        </w:rPr>
      </w:pPr>
      <w:r w:rsidRPr="00792F5C">
        <w:rPr>
          <w:rFonts w:hint="eastAsia"/>
          <w:sz w:val="24"/>
        </w:rPr>
        <w:t>名称：招商银行股份有限公司</w:t>
      </w:r>
    </w:p>
    <w:p w14:paraId="06E904BE" w14:textId="77777777" w:rsidR="00792F5C" w:rsidRPr="00792F5C" w:rsidRDefault="00792F5C" w:rsidP="00792F5C">
      <w:pPr>
        <w:adjustRightInd w:val="0"/>
        <w:snapToGrid w:val="0"/>
        <w:spacing w:line="360" w:lineRule="auto"/>
        <w:ind w:firstLineChars="200" w:firstLine="480"/>
        <w:rPr>
          <w:sz w:val="24"/>
        </w:rPr>
      </w:pPr>
      <w:r w:rsidRPr="00792F5C">
        <w:rPr>
          <w:rFonts w:hint="eastAsia"/>
          <w:sz w:val="24"/>
        </w:rPr>
        <w:t>设立日期：</w:t>
      </w:r>
      <w:r w:rsidRPr="00792F5C">
        <w:rPr>
          <w:rFonts w:hint="eastAsia"/>
          <w:sz w:val="24"/>
        </w:rPr>
        <w:t>1987</w:t>
      </w:r>
      <w:r w:rsidRPr="00792F5C">
        <w:rPr>
          <w:rFonts w:hint="eastAsia"/>
          <w:sz w:val="24"/>
        </w:rPr>
        <w:t>年</w:t>
      </w:r>
      <w:r w:rsidRPr="00792F5C">
        <w:rPr>
          <w:rFonts w:hint="eastAsia"/>
          <w:sz w:val="24"/>
        </w:rPr>
        <w:t>4</w:t>
      </w:r>
      <w:r w:rsidRPr="00792F5C">
        <w:rPr>
          <w:rFonts w:hint="eastAsia"/>
          <w:sz w:val="24"/>
        </w:rPr>
        <w:t>月</w:t>
      </w:r>
      <w:r w:rsidRPr="00792F5C">
        <w:rPr>
          <w:rFonts w:hint="eastAsia"/>
          <w:sz w:val="24"/>
        </w:rPr>
        <w:t>8</w:t>
      </w:r>
      <w:r w:rsidRPr="00792F5C">
        <w:rPr>
          <w:rFonts w:hint="eastAsia"/>
          <w:sz w:val="24"/>
        </w:rPr>
        <w:t>日</w:t>
      </w:r>
    </w:p>
    <w:p w14:paraId="346795B6" w14:textId="77777777" w:rsidR="00792F5C" w:rsidRPr="00792F5C" w:rsidRDefault="00792F5C" w:rsidP="00792F5C">
      <w:pPr>
        <w:adjustRightInd w:val="0"/>
        <w:snapToGrid w:val="0"/>
        <w:spacing w:line="360" w:lineRule="auto"/>
        <w:ind w:firstLineChars="200" w:firstLine="480"/>
        <w:rPr>
          <w:sz w:val="24"/>
        </w:rPr>
      </w:pPr>
      <w:r w:rsidRPr="00792F5C">
        <w:rPr>
          <w:rFonts w:hint="eastAsia"/>
          <w:sz w:val="24"/>
        </w:rPr>
        <w:t>注册地址：深圳市深南大道</w:t>
      </w:r>
      <w:r w:rsidRPr="00792F5C">
        <w:rPr>
          <w:rFonts w:hint="eastAsia"/>
          <w:sz w:val="24"/>
        </w:rPr>
        <w:t>7088</w:t>
      </w:r>
      <w:r w:rsidRPr="00792F5C">
        <w:rPr>
          <w:rFonts w:hint="eastAsia"/>
          <w:sz w:val="24"/>
        </w:rPr>
        <w:t>号招商银行大厦</w:t>
      </w:r>
    </w:p>
    <w:p w14:paraId="04E732CC" w14:textId="77777777" w:rsidR="00792F5C" w:rsidRPr="00792F5C" w:rsidRDefault="00792F5C" w:rsidP="00792F5C">
      <w:pPr>
        <w:adjustRightInd w:val="0"/>
        <w:snapToGrid w:val="0"/>
        <w:spacing w:line="360" w:lineRule="auto"/>
        <w:ind w:firstLineChars="200" w:firstLine="480"/>
        <w:rPr>
          <w:sz w:val="24"/>
        </w:rPr>
      </w:pPr>
      <w:r w:rsidRPr="00792F5C">
        <w:rPr>
          <w:rFonts w:hint="eastAsia"/>
          <w:sz w:val="24"/>
        </w:rPr>
        <w:t>办公地址：深圳市深南大道</w:t>
      </w:r>
      <w:r w:rsidRPr="00792F5C">
        <w:rPr>
          <w:rFonts w:hint="eastAsia"/>
          <w:sz w:val="24"/>
        </w:rPr>
        <w:t>7088</w:t>
      </w:r>
      <w:r w:rsidRPr="00792F5C">
        <w:rPr>
          <w:rFonts w:hint="eastAsia"/>
          <w:sz w:val="24"/>
        </w:rPr>
        <w:t>号招商银行大厦</w:t>
      </w:r>
    </w:p>
    <w:p w14:paraId="3494811F" w14:textId="77777777" w:rsidR="00792F5C" w:rsidRPr="00792F5C" w:rsidRDefault="00792F5C" w:rsidP="00792F5C">
      <w:pPr>
        <w:adjustRightInd w:val="0"/>
        <w:snapToGrid w:val="0"/>
        <w:spacing w:line="360" w:lineRule="auto"/>
        <w:ind w:firstLineChars="200" w:firstLine="480"/>
        <w:rPr>
          <w:sz w:val="24"/>
        </w:rPr>
      </w:pPr>
      <w:r w:rsidRPr="00792F5C">
        <w:rPr>
          <w:rFonts w:hint="eastAsia"/>
          <w:sz w:val="24"/>
        </w:rPr>
        <w:t>注册资本：</w:t>
      </w:r>
      <w:r w:rsidRPr="00792F5C">
        <w:rPr>
          <w:rFonts w:hint="eastAsia"/>
          <w:sz w:val="24"/>
        </w:rPr>
        <w:t>252.20</w:t>
      </w:r>
      <w:r w:rsidRPr="00792F5C">
        <w:rPr>
          <w:rFonts w:hint="eastAsia"/>
          <w:sz w:val="24"/>
        </w:rPr>
        <w:t>亿元</w:t>
      </w:r>
    </w:p>
    <w:p w14:paraId="402A40E7" w14:textId="77777777" w:rsidR="00792F5C" w:rsidRPr="00792F5C" w:rsidRDefault="00792F5C" w:rsidP="00792F5C">
      <w:pPr>
        <w:adjustRightInd w:val="0"/>
        <w:snapToGrid w:val="0"/>
        <w:spacing w:line="360" w:lineRule="auto"/>
        <w:ind w:firstLineChars="200" w:firstLine="480"/>
        <w:rPr>
          <w:sz w:val="24"/>
        </w:rPr>
      </w:pPr>
      <w:r w:rsidRPr="00792F5C">
        <w:rPr>
          <w:rFonts w:hint="eastAsia"/>
          <w:sz w:val="24"/>
        </w:rPr>
        <w:t>法定代表人：缪建民</w:t>
      </w:r>
    </w:p>
    <w:p w14:paraId="3008B210" w14:textId="77777777" w:rsidR="00792F5C" w:rsidRPr="00792F5C" w:rsidRDefault="00792F5C" w:rsidP="00792F5C">
      <w:pPr>
        <w:adjustRightInd w:val="0"/>
        <w:snapToGrid w:val="0"/>
        <w:spacing w:line="360" w:lineRule="auto"/>
        <w:ind w:firstLineChars="200" w:firstLine="480"/>
        <w:rPr>
          <w:sz w:val="24"/>
        </w:rPr>
      </w:pPr>
      <w:r w:rsidRPr="00792F5C">
        <w:rPr>
          <w:rFonts w:hint="eastAsia"/>
          <w:sz w:val="24"/>
        </w:rPr>
        <w:t>行长：王良</w:t>
      </w:r>
    </w:p>
    <w:p w14:paraId="58A3E8FA" w14:textId="77777777" w:rsidR="00792F5C" w:rsidRPr="00792F5C" w:rsidRDefault="00792F5C" w:rsidP="00792F5C">
      <w:pPr>
        <w:adjustRightInd w:val="0"/>
        <w:snapToGrid w:val="0"/>
        <w:spacing w:line="360" w:lineRule="auto"/>
        <w:ind w:firstLineChars="200" w:firstLine="480"/>
        <w:rPr>
          <w:sz w:val="24"/>
        </w:rPr>
      </w:pPr>
      <w:r w:rsidRPr="00792F5C">
        <w:rPr>
          <w:rFonts w:hint="eastAsia"/>
          <w:sz w:val="24"/>
        </w:rPr>
        <w:t>资产托管业务批准文号：证</w:t>
      </w:r>
      <w:proofErr w:type="gramStart"/>
      <w:r w:rsidRPr="00792F5C">
        <w:rPr>
          <w:rFonts w:hint="eastAsia"/>
          <w:sz w:val="24"/>
        </w:rPr>
        <w:t>监基金字</w:t>
      </w:r>
      <w:proofErr w:type="gramEnd"/>
      <w:r w:rsidRPr="00792F5C">
        <w:rPr>
          <w:rFonts w:hint="eastAsia"/>
          <w:sz w:val="24"/>
        </w:rPr>
        <w:t>[2002]83</w:t>
      </w:r>
      <w:r w:rsidRPr="00792F5C">
        <w:rPr>
          <w:rFonts w:hint="eastAsia"/>
          <w:sz w:val="24"/>
        </w:rPr>
        <w:t>号</w:t>
      </w:r>
    </w:p>
    <w:p w14:paraId="4A2D6207" w14:textId="77777777" w:rsidR="00CB50F3" w:rsidRDefault="00CB50F3" w:rsidP="00CB50F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电话：0755-83077987</w:t>
      </w:r>
    </w:p>
    <w:p w14:paraId="4A167C43" w14:textId="77777777" w:rsidR="00CB50F3" w:rsidRDefault="00CB50F3" w:rsidP="00CB50F3">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42D7A17B" w14:textId="02E23FF0" w:rsidR="00012CCB" w:rsidRPr="00217948" w:rsidRDefault="00CB50F3" w:rsidP="0053729C">
      <w:pPr>
        <w:adjustRightInd w:val="0"/>
        <w:snapToGrid w:val="0"/>
        <w:spacing w:line="360" w:lineRule="auto"/>
        <w:ind w:firstLineChars="200" w:firstLine="480"/>
        <w:rPr>
          <w:sz w:val="24"/>
        </w:rPr>
      </w:pPr>
      <w:r>
        <w:rPr>
          <w:rFonts w:ascii="宋体" w:hAnsi="宋体"/>
          <w:sz w:val="24"/>
        </w:rPr>
        <w:t>资产托管部信息披露负责人：张姗</w:t>
      </w:r>
    </w:p>
    <w:p w14:paraId="655ACD9D"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（三）销售机构</w:t>
      </w:r>
    </w:p>
    <w:p w14:paraId="678EE962"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1</w:t>
      </w:r>
      <w:r w:rsidRPr="00C0430E">
        <w:rPr>
          <w:rFonts w:ascii="宋体" w:hAnsi="宋体" w:hint="eastAsia"/>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521E1E8"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2</w:t>
      </w:r>
      <w:r w:rsidRPr="00C0430E">
        <w:rPr>
          <w:rFonts w:ascii="宋体" w:hAnsi="宋体" w:hint="eastAsia"/>
          <w:sz w:val="24"/>
        </w:rPr>
        <w:t>、</w:t>
      </w:r>
      <w:r>
        <w:rPr>
          <w:rFonts w:ascii="宋体" w:hAnsi="宋体" w:hint="eastAsia"/>
          <w:sz w:val="24"/>
        </w:rPr>
        <w:t>除基金管理人之外的其他销售机构</w:t>
      </w:r>
    </w:p>
    <w:p w14:paraId="6578131E" w14:textId="77777777" w:rsidR="00507415" w:rsidRDefault="00644B4A" w:rsidP="00507415">
      <w:pPr>
        <w:widowControl/>
        <w:adjustRightInd w:val="0"/>
        <w:snapToGrid w:val="0"/>
        <w:spacing w:line="360" w:lineRule="auto"/>
        <w:ind w:firstLineChars="200" w:firstLine="480"/>
        <w:rPr>
          <w:kern w:val="0"/>
          <w:sz w:val="24"/>
        </w:rPr>
      </w:pPr>
      <w:r w:rsidRPr="00644B4A">
        <w:rPr>
          <w:rFonts w:hAnsi="宋体" w:hint="eastAsia"/>
          <w:sz w:val="24"/>
        </w:rPr>
        <w:t>（</w:t>
      </w:r>
      <w:r w:rsidRPr="00644B4A">
        <w:rPr>
          <w:rFonts w:hAnsi="宋体" w:hint="eastAsia"/>
          <w:sz w:val="24"/>
        </w:rPr>
        <w:t>1</w:t>
      </w:r>
      <w:r w:rsidRPr="00644B4A">
        <w:rPr>
          <w:rFonts w:hAnsi="宋体" w:hint="eastAsia"/>
          <w:sz w:val="24"/>
        </w:rPr>
        <w:t>）</w:t>
      </w:r>
      <w:r w:rsidR="00507415">
        <w:rPr>
          <w:rFonts w:hint="eastAsia"/>
          <w:kern w:val="0"/>
          <w:sz w:val="24"/>
        </w:rPr>
        <w:t>招商银行股份有限公司</w:t>
      </w:r>
    </w:p>
    <w:p w14:paraId="4A82523F" w14:textId="77777777" w:rsidR="00507415" w:rsidRDefault="00507415" w:rsidP="00507415">
      <w:pPr>
        <w:widowControl/>
        <w:adjustRightInd w:val="0"/>
        <w:snapToGrid w:val="0"/>
        <w:spacing w:line="360" w:lineRule="auto"/>
        <w:ind w:firstLineChars="200" w:firstLine="480"/>
        <w:rPr>
          <w:kern w:val="0"/>
          <w:sz w:val="24"/>
        </w:rPr>
      </w:pPr>
      <w:r>
        <w:rPr>
          <w:rFonts w:hint="eastAsia"/>
          <w:kern w:val="0"/>
          <w:sz w:val="24"/>
        </w:rPr>
        <w:t>住所：深圳市福田区深南大道</w:t>
      </w:r>
      <w:r>
        <w:rPr>
          <w:rFonts w:hint="eastAsia"/>
          <w:kern w:val="0"/>
          <w:sz w:val="24"/>
        </w:rPr>
        <w:t>7088</w:t>
      </w:r>
      <w:r>
        <w:rPr>
          <w:rFonts w:hint="eastAsia"/>
          <w:kern w:val="0"/>
          <w:sz w:val="24"/>
        </w:rPr>
        <w:t>号</w:t>
      </w:r>
    </w:p>
    <w:p w14:paraId="049A0764" w14:textId="77777777" w:rsidR="00507415" w:rsidRDefault="00507415" w:rsidP="00507415">
      <w:pPr>
        <w:widowControl/>
        <w:adjustRightInd w:val="0"/>
        <w:snapToGrid w:val="0"/>
        <w:spacing w:line="360" w:lineRule="auto"/>
        <w:ind w:firstLineChars="200" w:firstLine="480"/>
        <w:rPr>
          <w:kern w:val="0"/>
          <w:sz w:val="24"/>
        </w:rPr>
      </w:pPr>
      <w:r>
        <w:rPr>
          <w:rFonts w:hint="eastAsia"/>
          <w:kern w:val="0"/>
          <w:sz w:val="24"/>
        </w:rPr>
        <w:t>办公地址：深圳市福田区深南大道</w:t>
      </w:r>
      <w:r>
        <w:rPr>
          <w:rFonts w:hint="eastAsia"/>
          <w:kern w:val="0"/>
          <w:sz w:val="24"/>
        </w:rPr>
        <w:t>7088</w:t>
      </w:r>
      <w:r>
        <w:rPr>
          <w:rFonts w:hint="eastAsia"/>
          <w:kern w:val="0"/>
          <w:sz w:val="24"/>
        </w:rPr>
        <w:t>号</w:t>
      </w:r>
    </w:p>
    <w:p w14:paraId="241A4C44" w14:textId="77777777" w:rsidR="00507415" w:rsidRDefault="00507415" w:rsidP="00507415">
      <w:pPr>
        <w:widowControl/>
        <w:adjustRightInd w:val="0"/>
        <w:snapToGrid w:val="0"/>
        <w:spacing w:line="360" w:lineRule="auto"/>
        <w:ind w:firstLineChars="200" w:firstLine="480"/>
        <w:rPr>
          <w:kern w:val="0"/>
          <w:sz w:val="24"/>
        </w:rPr>
      </w:pPr>
      <w:r>
        <w:rPr>
          <w:rFonts w:hint="eastAsia"/>
          <w:kern w:val="0"/>
          <w:sz w:val="24"/>
        </w:rPr>
        <w:t>法定代表人：缪建民</w:t>
      </w:r>
    </w:p>
    <w:p w14:paraId="1FEC8461" w14:textId="77777777" w:rsidR="00507415" w:rsidRDefault="00507415" w:rsidP="0050741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0755</w:t>
      </w:r>
      <w:r>
        <w:rPr>
          <w:rFonts w:hint="eastAsia"/>
          <w:kern w:val="0"/>
          <w:sz w:val="24"/>
        </w:rPr>
        <w:t>）</w:t>
      </w:r>
      <w:r>
        <w:rPr>
          <w:rFonts w:hint="eastAsia"/>
          <w:kern w:val="0"/>
          <w:sz w:val="24"/>
        </w:rPr>
        <w:t>83198888</w:t>
      </w:r>
    </w:p>
    <w:p w14:paraId="4F9F2F24" w14:textId="77777777" w:rsidR="00507415" w:rsidRDefault="00507415" w:rsidP="0050741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0755</w:t>
      </w:r>
      <w:r>
        <w:rPr>
          <w:rFonts w:hint="eastAsia"/>
          <w:kern w:val="0"/>
          <w:sz w:val="24"/>
        </w:rPr>
        <w:t>）</w:t>
      </w:r>
      <w:r>
        <w:rPr>
          <w:rFonts w:hint="eastAsia"/>
          <w:kern w:val="0"/>
          <w:sz w:val="24"/>
        </w:rPr>
        <w:t>83195109</w:t>
      </w:r>
    </w:p>
    <w:p w14:paraId="28E050DF" w14:textId="77777777" w:rsidR="00507415" w:rsidRDefault="00507415" w:rsidP="00507415">
      <w:pPr>
        <w:widowControl/>
        <w:adjustRightInd w:val="0"/>
        <w:snapToGrid w:val="0"/>
        <w:spacing w:line="360" w:lineRule="auto"/>
        <w:ind w:firstLineChars="200" w:firstLine="480"/>
        <w:rPr>
          <w:kern w:val="0"/>
          <w:sz w:val="24"/>
        </w:rPr>
      </w:pPr>
      <w:r>
        <w:rPr>
          <w:rFonts w:hint="eastAsia"/>
          <w:kern w:val="0"/>
          <w:sz w:val="24"/>
        </w:rPr>
        <w:t>联系人：季平伟</w:t>
      </w:r>
    </w:p>
    <w:p w14:paraId="408B37DB" w14:textId="77777777" w:rsidR="00507415" w:rsidRDefault="00507415" w:rsidP="00507415">
      <w:pPr>
        <w:widowControl/>
        <w:adjustRightInd w:val="0"/>
        <w:snapToGrid w:val="0"/>
        <w:spacing w:line="360" w:lineRule="auto"/>
        <w:ind w:firstLineChars="200" w:firstLine="480"/>
        <w:rPr>
          <w:kern w:val="0"/>
          <w:sz w:val="24"/>
        </w:rPr>
      </w:pPr>
      <w:r>
        <w:rPr>
          <w:rFonts w:hint="eastAsia"/>
          <w:kern w:val="0"/>
          <w:sz w:val="24"/>
        </w:rPr>
        <w:t>客户服务电话：</w:t>
      </w:r>
      <w:r>
        <w:rPr>
          <w:rFonts w:hint="eastAsia"/>
          <w:kern w:val="0"/>
          <w:sz w:val="24"/>
        </w:rPr>
        <w:t>95555</w:t>
      </w:r>
    </w:p>
    <w:p w14:paraId="078D5682" w14:textId="1227951A" w:rsidR="00AC58AC" w:rsidRDefault="00507415" w:rsidP="00507415">
      <w:pPr>
        <w:widowControl/>
        <w:adjustRightInd w:val="0"/>
        <w:snapToGrid w:val="0"/>
        <w:spacing w:line="360" w:lineRule="auto"/>
        <w:ind w:firstLineChars="200" w:firstLine="480"/>
        <w:rPr>
          <w:rFonts w:hAnsi="宋体"/>
          <w:sz w:val="24"/>
        </w:rPr>
      </w:pPr>
      <w:r>
        <w:rPr>
          <w:rFonts w:hint="eastAsia"/>
          <w:kern w:val="0"/>
          <w:sz w:val="24"/>
        </w:rPr>
        <w:t>网址：</w:t>
      </w:r>
      <w:r>
        <w:rPr>
          <w:rFonts w:hint="eastAsia"/>
          <w:kern w:val="0"/>
          <w:sz w:val="24"/>
        </w:rPr>
        <w:t>www.cmbchina.com</w:t>
      </w:r>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w:t>
      </w:r>
      <w:r>
        <w:rPr>
          <w:rFonts w:hAnsi="宋体"/>
          <w:kern w:val="0"/>
          <w:sz w:val="24"/>
        </w:rPr>
        <w:lastRenderedPageBreak/>
        <w:t>金，</w:t>
      </w:r>
      <w:r>
        <w:rPr>
          <w:rFonts w:hAnsi="宋体" w:hint="eastAsia"/>
          <w:kern w:val="0"/>
          <w:sz w:val="24"/>
        </w:rPr>
        <w:t>并在基金管理人网站公示</w:t>
      </w:r>
      <w:r>
        <w:rPr>
          <w:rFonts w:hAnsi="宋体"/>
          <w:kern w:val="0"/>
          <w:sz w:val="24"/>
        </w:rPr>
        <w:t>。</w:t>
      </w:r>
    </w:p>
    <w:p w14:paraId="1BECF92E"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4F0BA482"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sidR="00B21CA3" w:rsidRPr="00503FFA">
        <w:rPr>
          <w:rFonts w:hAnsi="宋体" w:hint="eastAsia"/>
          <w:kern w:val="0"/>
          <w:sz w:val="24"/>
        </w:rPr>
        <w:t>于文强</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t>联系人：赵亦清</w:t>
      </w:r>
    </w:p>
    <w:p w14:paraId="557BDF65" w14:textId="77777777" w:rsidR="00012CCB" w:rsidRDefault="009279C5">
      <w:pPr>
        <w:adjustRightInd w:val="0"/>
        <w:snapToGrid w:val="0"/>
        <w:spacing w:line="360" w:lineRule="auto"/>
        <w:ind w:firstLineChars="200" w:firstLine="482"/>
        <w:outlineLvl w:val="1"/>
        <w:rPr>
          <w:b/>
          <w:sz w:val="24"/>
        </w:rPr>
      </w:pPr>
      <w:r>
        <w:rPr>
          <w:rFonts w:hint="eastAsia"/>
          <w:b/>
          <w:sz w:val="24"/>
        </w:rPr>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11772562"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sidR="007C7C33">
        <w:rPr>
          <w:rFonts w:hint="eastAsia"/>
          <w:kern w:val="0"/>
          <w:sz w:val="24"/>
        </w:rPr>
        <w:t>1</w:t>
      </w:r>
      <w:r w:rsidR="007C7C33">
        <w:rPr>
          <w:kern w:val="0"/>
          <w:sz w:val="24"/>
        </w:rPr>
        <w:t>8</w:t>
      </w:r>
      <w:r w:rsidR="007C7C33">
        <w:rPr>
          <w:rFonts w:hint="eastAsia"/>
          <w:kern w:val="0"/>
          <w:sz w:val="24"/>
        </w:rPr>
        <w:t>-</w:t>
      </w:r>
      <w:r w:rsidR="007C7C33">
        <w:rPr>
          <w:kern w:val="0"/>
          <w:sz w:val="24"/>
        </w:rPr>
        <w:t>20</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5" w:name="OLE_LINK3"/>
      <w:bookmarkStart w:id="6" w:name="OLE_LINK4"/>
      <w:r>
        <w:rPr>
          <w:rFonts w:hint="eastAsia"/>
          <w:kern w:val="0"/>
          <w:sz w:val="24"/>
        </w:rPr>
        <w:t>经办律师</w:t>
      </w:r>
      <w:bookmarkEnd w:id="5"/>
      <w:bookmarkEnd w:id="6"/>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w:t>
      </w:r>
      <w:proofErr w:type="gramStart"/>
      <w:r w:rsidRPr="00512982">
        <w:rPr>
          <w:rFonts w:hint="eastAsia"/>
          <w:kern w:val="0"/>
          <w:sz w:val="24"/>
        </w:rPr>
        <w:t>星展银行</w:t>
      </w:r>
      <w:proofErr w:type="gramEnd"/>
      <w:r w:rsidRPr="00512982">
        <w:rPr>
          <w:rFonts w:hint="eastAsia"/>
          <w:kern w:val="0"/>
          <w:sz w:val="24"/>
        </w:rPr>
        <w:t>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2C97231F"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w:t>
      </w:r>
      <w:r w:rsidR="008137F7" w:rsidRPr="008137F7">
        <w:rPr>
          <w:rFonts w:hint="eastAsia"/>
          <w:kern w:val="0"/>
          <w:sz w:val="24"/>
        </w:rPr>
        <w:t>中国上海市浦东</w:t>
      </w:r>
      <w:proofErr w:type="gramStart"/>
      <w:r w:rsidR="008137F7" w:rsidRPr="008137F7">
        <w:rPr>
          <w:rFonts w:hint="eastAsia"/>
          <w:kern w:val="0"/>
          <w:sz w:val="24"/>
        </w:rPr>
        <w:t>新区东育路</w:t>
      </w:r>
      <w:proofErr w:type="gramEnd"/>
      <w:r w:rsidR="008137F7" w:rsidRPr="008137F7">
        <w:rPr>
          <w:rFonts w:hint="eastAsia"/>
          <w:kern w:val="0"/>
          <w:sz w:val="24"/>
        </w:rPr>
        <w:t>588</w:t>
      </w:r>
      <w:r w:rsidR="008137F7" w:rsidRPr="008137F7">
        <w:rPr>
          <w:rFonts w:hint="eastAsia"/>
          <w:kern w:val="0"/>
          <w:sz w:val="24"/>
        </w:rPr>
        <w:t>号前</w:t>
      </w:r>
      <w:proofErr w:type="gramStart"/>
      <w:r w:rsidR="008137F7" w:rsidRPr="008137F7">
        <w:rPr>
          <w:rFonts w:hint="eastAsia"/>
          <w:kern w:val="0"/>
          <w:sz w:val="24"/>
        </w:rPr>
        <w:t>滩中心</w:t>
      </w:r>
      <w:proofErr w:type="gramEnd"/>
      <w:r w:rsidR="008137F7" w:rsidRPr="008137F7">
        <w:rPr>
          <w:rFonts w:hint="eastAsia"/>
          <w:kern w:val="0"/>
          <w:sz w:val="24"/>
        </w:rPr>
        <w:t>42</w:t>
      </w:r>
      <w:r w:rsidR="008137F7" w:rsidRPr="008137F7">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联系人：</w:t>
      </w:r>
      <w:proofErr w:type="gramStart"/>
      <w:r w:rsidRPr="00512982">
        <w:rPr>
          <w:rFonts w:hint="eastAsia"/>
          <w:kern w:val="0"/>
          <w:sz w:val="24"/>
        </w:rPr>
        <w:t>金诗涛</w:t>
      </w:r>
      <w:proofErr w:type="gramEnd"/>
    </w:p>
    <w:p w14:paraId="6B2F3054" w14:textId="722B48B2"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w:t>
      </w:r>
      <w:r w:rsidR="00B22CBF">
        <w:rPr>
          <w:rFonts w:hAnsi="宋体" w:hint="eastAsia"/>
          <w:kern w:val="0"/>
          <w:sz w:val="24"/>
        </w:rPr>
        <w:t>沈兆杰</w:t>
      </w:r>
      <w:r w:rsidRPr="00512982">
        <w:rPr>
          <w:rFonts w:hint="eastAsia"/>
          <w:kern w:val="0"/>
          <w:sz w:val="24"/>
        </w:rPr>
        <w:t>、</w:t>
      </w:r>
      <w:proofErr w:type="gramStart"/>
      <w:r w:rsidRPr="00512982">
        <w:rPr>
          <w:rFonts w:hint="eastAsia"/>
          <w:kern w:val="0"/>
          <w:sz w:val="24"/>
        </w:rPr>
        <w:t>金诗涛</w:t>
      </w:r>
      <w:proofErr w:type="gramEnd"/>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09B01092" w:rsidR="00012CCB" w:rsidRDefault="00476FF2">
      <w:pPr>
        <w:widowControl/>
        <w:adjustRightInd w:val="0"/>
        <w:snapToGrid w:val="0"/>
        <w:spacing w:line="360" w:lineRule="auto"/>
        <w:ind w:firstLineChars="200" w:firstLine="480"/>
        <w:jc w:val="right"/>
        <w:rPr>
          <w:kern w:val="0"/>
          <w:sz w:val="24"/>
        </w:rPr>
      </w:pPr>
      <w:r>
        <w:rPr>
          <w:rFonts w:hint="eastAsia"/>
          <w:kern w:val="0"/>
          <w:sz w:val="24"/>
        </w:rPr>
        <w:t>二〇二三年</w:t>
      </w:r>
      <w:r w:rsidR="001F1C45">
        <w:rPr>
          <w:rFonts w:hint="eastAsia"/>
          <w:kern w:val="0"/>
          <w:sz w:val="24"/>
        </w:rPr>
        <w:t>十二月</w:t>
      </w:r>
      <w:r w:rsidR="004E4E7E">
        <w:rPr>
          <w:rFonts w:hint="eastAsia"/>
          <w:kern w:val="0"/>
          <w:sz w:val="24"/>
        </w:rPr>
        <w:t>十</w:t>
      </w:r>
      <w:bookmarkStart w:id="7" w:name="_GoBack"/>
      <w:r w:rsidR="00474DC0">
        <w:rPr>
          <w:rFonts w:hint="eastAsia"/>
          <w:kern w:val="0"/>
          <w:sz w:val="24"/>
        </w:rPr>
        <w:t>四</w:t>
      </w:r>
      <w:bookmarkEnd w:id="7"/>
      <w:r w:rsidR="001F1C45">
        <w:rPr>
          <w:rFonts w:hint="eastAsia"/>
          <w:kern w:val="0"/>
          <w:sz w:val="24"/>
        </w:rPr>
        <w:t>日</w:t>
      </w:r>
    </w:p>
    <w:sectPr w:rsidR="00012CCB">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9C867" w14:textId="77777777" w:rsidR="00987342" w:rsidRDefault="00987342">
      <w:r>
        <w:separator/>
      </w:r>
    </w:p>
  </w:endnote>
  <w:endnote w:type="continuationSeparator" w:id="0">
    <w:p w14:paraId="388F384E" w14:textId="77777777" w:rsidR="00987342" w:rsidRDefault="00987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58EA" w14:textId="1F66D7DF" w:rsidR="009279C5" w:rsidRDefault="009279C5">
    <w:pPr>
      <w:pStyle w:val="af3"/>
      <w:jc w:val="center"/>
    </w:pPr>
    <w:r>
      <w:fldChar w:fldCharType="begin"/>
    </w:r>
    <w:r>
      <w:instrText xml:space="preserve"> PAGE   \* MERGEFORMAT </w:instrText>
    </w:r>
    <w:r>
      <w:fldChar w:fldCharType="separate"/>
    </w:r>
    <w:r w:rsidR="007B5845" w:rsidRPr="007B5845">
      <w:rPr>
        <w:noProof/>
        <w:lang w:val="zh-CN"/>
      </w:rPr>
      <w:t>20</w:t>
    </w:r>
    <w:r>
      <w:rPr>
        <w:lang w:val="zh-CN"/>
      </w:rPr>
      <w:fldChar w:fldCharType="end"/>
    </w:r>
  </w:p>
  <w:p w14:paraId="48F1CD1E" w14:textId="77777777" w:rsidR="009279C5" w:rsidRDefault="009279C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076FB" w14:textId="77777777" w:rsidR="00987342" w:rsidRDefault="00987342">
      <w:r>
        <w:separator/>
      </w:r>
    </w:p>
  </w:footnote>
  <w:footnote w:type="continuationSeparator" w:id="0">
    <w:p w14:paraId="24427259" w14:textId="77777777" w:rsidR="00987342" w:rsidRDefault="009873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9FEB" w14:textId="2124B140" w:rsidR="009279C5" w:rsidRDefault="009279C5">
    <w:pPr>
      <w:pStyle w:val="af5"/>
      <w:pBdr>
        <w:bottom w:val="none" w:sz="0" w:space="0" w:color="auto"/>
      </w:pBdr>
      <w:tabs>
        <w:tab w:val="right" w:pos="8280"/>
      </w:tabs>
      <w:spacing w:line="160" w:lineRule="exact"/>
      <w:jc w:val="right"/>
    </w:pPr>
  </w:p>
  <w:p w14:paraId="5299DD2A" w14:textId="77777777" w:rsidR="001F1C45" w:rsidRDefault="00E131A8">
    <w:pPr>
      <w:pStyle w:val="af5"/>
      <w:pBdr>
        <w:bottom w:val="none" w:sz="0" w:space="0" w:color="auto"/>
      </w:pBdr>
      <w:tabs>
        <w:tab w:val="right" w:pos="8280"/>
      </w:tabs>
      <w:jc w:val="right"/>
      <w:rPr>
        <w:noProof/>
      </w:rPr>
    </w:pPr>
    <w:r>
      <w:rPr>
        <w:noProof/>
      </w:rPr>
      <w:drawing>
        <wp:anchor distT="0" distB="0" distL="114300" distR="114300" simplePos="0" relativeHeight="251660288" behindDoc="0" locked="0" layoutInCell="1" allowOverlap="1" wp14:anchorId="2488571D" wp14:editId="1D1D0796">
          <wp:simplePos x="0" y="0"/>
          <wp:positionH relativeFrom="column">
            <wp:posOffset>0</wp:posOffset>
          </wp:positionH>
          <wp:positionV relativeFrom="paragraph">
            <wp:posOffset>1270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r w:rsidR="001F1C45" w:rsidRPr="001F1C45">
      <w:rPr>
        <w:rFonts w:hint="eastAsia"/>
        <w:noProof/>
      </w:rPr>
      <w:t>交银施罗德安悦平衡养老目标三年持有期</w:t>
    </w:r>
  </w:p>
  <w:p w14:paraId="4E3B0F60" w14:textId="5D0517FD" w:rsidR="009279C5" w:rsidRDefault="001F1C45" w:rsidP="001F1C45">
    <w:pPr>
      <w:pStyle w:val="af5"/>
      <w:pBdr>
        <w:bottom w:val="none" w:sz="0" w:space="0" w:color="auto"/>
      </w:pBdr>
      <w:tabs>
        <w:tab w:val="right" w:pos="8280"/>
      </w:tabs>
      <w:jc w:val="right"/>
      <w:rPr>
        <w:rFonts w:ascii="宋体"/>
      </w:rPr>
    </w:pPr>
    <w:r w:rsidRPr="001F1C45">
      <w:rPr>
        <w:rFonts w:hint="eastAsia"/>
        <w:noProof/>
      </w:rPr>
      <w:t>混合型发起式基金中基金（</w:t>
    </w:r>
    <w:r w:rsidRPr="001F1C45">
      <w:rPr>
        <w:rFonts w:hint="eastAsia"/>
        <w:noProof/>
      </w:rPr>
      <w:t>FOF</w:t>
    </w:r>
    <w:r w:rsidRPr="001F1C45">
      <w:rPr>
        <w:rFonts w:hint="eastAsia"/>
        <w:noProof/>
      </w:rPr>
      <w:t>）</w:t>
    </w:r>
    <w:r w:rsidR="009279C5">
      <w:rPr>
        <w:rFonts w:cs="宋体" w:hint="eastAsia"/>
      </w:rPr>
      <w:t>基金份额发售公告</w:t>
    </w:r>
    <w:r w:rsidR="009279C5">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37DD6"/>
    <w:rsid w:val="00040C9D"/>
    <w:rsid w:val="0004329A"/>
    <w:rsid w:val="0004367B"/>
    <w:rsid w:val="00043A2B"/>
    <w:rsid w:val="00043C21"/>
    <w:rsid w:val="000448AD"/>
    <w:rsid w:val="00045253"/>
    <w:rsid w:val="00046BCB"/>
    <w:rsid w:val="00046DE0"/>
    <w:rsid w:val="00046F16"/>
    <w:rsid w:val="000530AF"/>
    <w:rsid w:val="000543DA"/>
    <w:rsid w:val="00054729"/>
    <w:rsid w:val="00054A43"/>
    <w:rsid w:val="00056A64"/>
    <w:rsid w:val="00056EAB"/>
    <w:rsid w:val="00057391"/>
    <w:rsid w:val="00057871"/>
    <w:rsid w:val="000608AF"/>
    <w:rsid w:val="000613A0"/>
    <w:rsid w:val="00061407"/>
    <w:rsid w:val="000625B0"/>
    <w:rsid w:val="000629CB"/>
    <w:rsid w:val="000643A1"/>
    <w:rsid w:val="00064F3C"/>
    <w:rsid w:val="000657F1"/>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38E"/>
    <w:rsid w:val="0008646D"/>
    <w:rsid w:val="00087BC7"/>
    <w:rsid w:val="0009062F"/>
    <w:rsid w:val="000918B4"/>
    <w:rsid w:val="00091FE1"/>
    <w:rsid w:val="0009228A"/>
    <w:rsid w:val="00093020"/>
    <w:rsid w:val="00093828"/>
    <w:rsid w:val="00094DCF"/>
    <w:rsid w:val="000952EA"/>
    <w:rsid w:val="0009613B"/>
    <w:rsid w:val="0009791D"/>
    <w:rsid w:val="000A0C30"/>
    <w:rsid w:val="000A0CF9"/>
    <w:rsid w:val="000A1EA6"/>
    <w:rsid w:val="000A44BB"/>
    <w:rsid w:val="000A4A0F"/>
    <w:rsid w:val="000A4C7D"/>
    <w:rsid w:val="000A602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E7FC0"/>
    <w:rsid w:val="000F0C1D"/>
    <w:rsid w:val="000F2255"/>
    <w:rsid w:val="000F2CCD"/>
    <w:rsid w:val="000F43D2"/>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704"/>
    <w:rsid w:val="00122894"/>
    <w:rsid w:val="00122BE0"/>
    <w:rsid w:val="001245A1"/>
    <w:rsid w:val="0012527F"/>
    <w:rsid w:val="0012560F"/>
    <w:rsid w:val="00126895"/>
    <w:rsid w:val="00126F01"/>
    <w:rsid w:val="00127CD7"/>
    <w:rsid w:val="00131CEF"/>
    <w:rsid w:val="00132488"/>
    <w:rsid w:val="001356AE"/>
    <w:rsid w:val="00136B1B"/>
    <w:rsid w:val="00136B50"/>
    <w:rsid w:val="001400D2"/>
    <w:rsid w:val="001406F8"/>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59C"/>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3DF1"/>
    <w:rsid w:val="001B69C4"/>
    <w:rsid w:val="001B6FA6"/>
    <w:rsid w:val="001B7FAE"/>
    <w:rsid w:val="001C0B2F"/>
    <w:rsid w:val="001C0F4A"/>
    <w:rsid w:val="001C11F5"/>
    <w:rsid w:val="001C168C"/>
    <w:rsid w:val="001C19A9"/>
    <w:rsid w:val="001C1AEF"/>
    <w:rsid w:val="001C1D02"/>
    <w:rsid w:val="001C2695"/>
    <w:rsid w:val="001C3519"/>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1C45"/>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2661"/>
    <w:rsid w:val="00213CA3"/>
    <w:rsid w:val="0021457F"/>
    <w:rsid w:val="00214FD0"/>
    <w:rsid w:val="00215DE7"/>
    <w:rsid w:val="00216403"/>
    <w:rsid w:val="00217948"/>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5A5"/>
    <w:rsid w:val="00253F24"/>
    <w:rsid w:val="002542CA"/>
    <w:rsid w:val="00254542"/>
    <w:rsid w:val="0025461F"/>
    <w:rsid w:val="0025510E"/>
    <w:rsid w:val="00255190"/>
    <w:rsid w:val="00255B6C"/>
    <w:rsid w:val="0025673D"/>
    <w:rsid w:val="00256FA0"/>
    <w:rsid w:val="00257074"/>
    <w:rsid w:val="002570A7"/>
    <w:rsid w:val="00257137"/>
    <w:rsid w:val="00257CC3"/>
    <w:rsid w:val="002601C5"/>
    <w:rsid w:val="00261CDF"/>
    <w:rsid w:val="002633A1"/>
    <w:rsid w:val="00263A85"/>
    <w:rsid w:val="00263E94"/>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4519"/>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1CCA"/>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2C3C"/>
    <w:rsid w:val="002C5140"/>
    <w:rsid w:val="002C5E8D"/>
    <w:rsid w:val="002C6D73"/>
    <w:rsid w:val="002C7583"/>
    <w:rsid w:val="002D0B9F"/>
    <w:rsid w:val="002D1F25"/>
    <w:rsid w:val="002D2045"/>
    <w:rsid w:val="002D2B2F"/>
    <w:rsid w:val="002D3B95"/>
    <w:rsid w:val="002D3D64"/>
    <w:rsid w:val="002D4317"/>
    <w:rsid w:val="002D4711"/>
    <w:rsid w:val="002D4C00"/>
    <w:rsid w:val="002D55F6"/>
    <w:rsid w:val="002D5EC4"/>
    <w:rsid w:val="002D65AF"/>
    <w:rsid w:val="002D6D77"/>
    <w:rsid w:val="002D76A2"/>
    <w:rsid w:val="002E15E7"/>
    <w:rsid w:val="002E1A7E"/>
    <w:rsid w:val="002E28AD"/>
    <w:rsid w:val="002E3B8E"/>
    <w:rsid w:val="002E418E"/>
    <w:rsid w:val="002E550F"/>
    <w:rsid w:val="002E5FA6"/>
    <w:rsid w:val="002F024D"/>
    <w:rsid w:val="002F1127"/>
    <w:rsid w:val="002F156B"/>
    <w:rsid w:val="002F16CF"/>
    <w:rsid w:val="002F1839"/>
    <w:rsid w:val="002F2482"/>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16ED"/>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67092"/>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1D6"/>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C90"/>
    <w:rsid w:val="003A4DD9"/>
    <w:rsid w:val="003A5E2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1275"/>
    <w:rsid w:val="003E2872"/>
    <w:rsid w:val="003E2ADA"/>
    <w:rsid w:val="003E2DFD"/>
    <w:rsid w:val="003E2E2E"/>
    <w:rsid w:val="003E2FD1"/>
    <w:rsid w:val="003E4736"/>
    <w:rsid w:val="003E4D1D"/>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1F53"/>
    <w:rsid w:val="0040239C"/>
    <w:rsid w:val="0040330D"/>
    <w:rsid w:val="00403B8C"/>
    <w:rsid w:val="00404021"/>
    <w:rsid w:val="00405AE7"/>
    <w:rsid w:val="00405BDD"/>
    <w:rsid w:val="00406A38"/>
    <w:rsid w:val="004074CF"/>
    <w:rsid w:val="00407CEC"/>
    <w:rsid w:val="00410BAD"/>
    <w:rsid w:val="00411B5C"/>
    <w:rsid w:val="00411DE6"/>
    <w:rsid w:val="00412644"/>
    <w:rsid w:val="00412881"/>
    <w:rsid w:val="00412EF8"/>
    <w:rsid w:val="00413FEB"/>
    <w:rsid w:val="00414F88"/>
    <w:rsid w:val="00415FA5"/>
    <w:rsid w:val="00416641"/>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3B74"/>
    <w:rsid w:val="00434837"/>
    <w:rsid w:val="00434C44"/>
    <w:rsid w:val="00435336"/>
    <w:rsid w:val="004366E3"/>
    <w:rsid w:val="00436F9C"/>
    <w:rsid w:val="00437182"/>
    <w:rsid w:val="00437568"/>
    <w:rsid w:val="004400BA"/>
    <w:rsid w:val="00440C3F"/>
    <w:rsid w:val="00441524"/>
    <w:rsid w:val="00441B2A"/>
    <w:rsid w:val="00442979"/>
    <w:rsid w:val="0044319D"/>
    <w:rsid w:val="0044385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2A3"/>
    <w:rsid w:val="00465711"/>
    <w:rsid w:val="00465EF1"/>
    <w:rsid w:val="004663CF"/>
    <w:rsid w:val="00466B6A"/>
    <w:rsid w:val="004671A8"/>
    <w:rsid w:val="00467ADC"/>
    <w:rsid w:val="004713CA"/>
    <w:rsid w:val="0047260B"/>
    <w:rsid w:val="00474167"/>
    <w:rsid w:val="004749C5"/>
    <w:rsid w:val="00474DC0"/>
    <w:rsid w:val="00475172"/>
    <w:rsid w:val="004752E7"/>
    <w:rsid w:val="004762AB"/>
    <w:rsid w:val="00476FF2"/>
    <w:rsid w:val="004777FB"/>
    <w:rsid w:val="004779C5"/>
    <w:rsid w:val="00477E61"/>
    <w:rsid w:val="004812E6"/>
    <w:rsid w:val="00481CAB"/>
    <w:rsid w:val="00482AC5"/>
    <w:rsid w:val="00483498"/>
    <w:rsid w:val="00483981"/>
    <w:rsid w:val="0048404B"/>
    <w:rsid w:val="00487F0D"/>
    <w:rsid w:val="0049021A"/>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6F4"/>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3C8"/>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4405"/>
    <w:rsid w:val="004E4E7E"/>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07415"/>
    <w:rsid w:val="0051035D"/>
    <w:rsid w:val="00512982"/>
    <w:rsid w:val="0051378F"/>
    <w:rsid w:val="005147C8"/>
    <w:rsid w:val="00515D66"/>
    <w:rsid w:val="0051602D"/>
    <w:rsid w:val="00520102"/>
    <w:rsid w:val="00520656"/>
    <w:rsid w:val="00520AE8"/>
    <w:rsid w:val="00521B4B"/>
    <w:rsid w:val="00524744"/>
    <w:rsid w:val="0052599F"/>
    <w:rsid w:val="0052765F"/>
    <w:rsid w:val="00527E36"/>
    <w:rsid w:val="00531819"/>
    <w:rsid w:val="00532762"/>
    <w:rsid w:val="005328FC"/>
    <w:rsid w:val="005329C2"/>
    <w:rsid w:val="0053304C"/>
    <w:rsid w:val="0053386A"/>
    <w:rsid w:val="00534109"/>
    <w:rsid w:val="005348BC"/>
    <w:rsid w:val="0053560F"/>
    <w:rsid w:val="0053729C"/>
    <w:rsid w:val="00537C9A"/>
    <w:rsid w:val="0054140E"/>
    <w:rsid w:val="00541424"/>
    <w:rsid w:val="0054324E"/>
    <w:rsid w:val="00547302"/>
    <w:rsid w:val="005474F4"/>
    <w:rsid w:val="00550196"/>
    <w:rsid w:val="005505FE"/>
    <w:rsid w:val="00551AA3"/>
    <w:rsid w:val="00551AA5"/>
    <w:rsid w:val="00551E64"/>
    <w:rsid w:val="00553E69"/>
    <w:rsid w:val="00554547"/>
    <w:rsid w:val="00554FB9"/>
    <w:rsid w:val="005556BE"/>
    <w:rsid w:val="00555DF6"/>
    <w:rsid w:val="00556764"/>
    <w:rsid w:val="00556767"/>
    <w:rsid w:val="005571C9"/>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0A12"/>
    <w:rsid w:val="005B3640"/>
    <w:rsid w:val="005B5225"/>
    <w:rsid w:val="005B6022"/>
    <w:rsid w:val="005B67AB"/>
    <w:rsid w:val="005B6E95"/>
    <w:rsid w:val="005B757B"/>
    <w:rsid w:val="005B7AA8"/>
    <w:rsid w:val="005C1754"/>
    <w:rsid w:val="005C19F7"/>
    <w:rsid w:val="005C1DB3"/>
    <w:rsid w:val="005C2117"/>
    <w:rsid w:val="005C38B1"/>
    <w:rsid w:val="005C3DB8"/>
    <w:rsid w:val="005C4A4F"/>
    <w:rsid w:val="005C5AC3"/>
    <w:rsid w:val="005C7655"/>
    <w:rsid w:val="005C7D11"/>
    <w:rsid w:val="005D08C3"/>
    <w:rsid w:val="005D0A4E"/>
    <w:rsid w:val="005D1307"/>
    <w:rsid w:val="005D257E"/>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E5DAB"/>
    <w:rsid w:val="005E7B5A"/>
    <w:rsid w:val="005F02F8"/>
    <w:rsid w:val="005F0C6F"/>
    <w:rsid w:val="005F14C6"/>
    <w:rsid w:val="005F1753"/>
    <w:rsid w:val="005F1FFF"/>
    <w:rsid w:val="005F2EEF"/>
    <w:rsid w:val="005F2F6F"/>
    <w:rsid w:val="005F38C8"/>
    <w:rsid w:val="005F3A58"/>
    <w:rsid w:val="005F3AD0"/>
    <w:rsid w:val="005F5023"/>
    <w:rsid w:val="005F5367"/>
    <w:rsid w:val="005F5525"/>
    <w:rsid w:val="005F5E79"/>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1D00"/>
    <w:rsid w:val="00612449"/>
    <w:rsid w:val="0061252F"/>
    <w:rsid w:val="00612A13"/>
    <w:rsid w:val="00613AA2"/>
    <w:rsid w:val="00613DF5"/>
    <w:rsid w:val="00614F16"/>
    <w:rsid w:val="00615087"/>
    <w:rsid w:val="00615C5F"/>
    <w:rsid w:val="00617834"/>
    <w:rsid w:val="006200EB"/>
    <w:rsid w:val="00620279"/>
    <w:rsid w:val="00620B4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4B4A"/>
    <w:rsid w:val="00645C61"/>
    <w:rsid w:val="006464C9"/>
    <w:rsid w:val="006464F0"/>
    <w:rsid w:val="00646EF5"/>
    <w:rsid w:val="00647E26"/>
    <w:rsid w:val="00647FDE"/>
    <w:rsid w:val="00651583"/>
    <w:rsid w:val="00651CD0"/>
    <w:rsid w:val="006537EA"/>
    <w:rsid w:val="00653CC2"/>
    <w:rsid w:val="006545BA"/>
    <w:rsid w:val="00656872"/>
    <w:rsid w:val="00657DFC"/>
    <w:rsid w:val="006624B8"/>
    <w:rsid w:val="00665776"/>
    <w:rsid w:val="00665D43"/>
    <w:rsid w:val="00666C7C"/>
    <w:rsid w:val="00666E64"/>
    <w:rsid w:val="006724AE"/>
    <w:rsid w:val="00672A2F"/>
    <w:rsid w:val="00673A21"/>
    <w:rsid w:val="00673DD5"/>
    <w:rsid w:val="00675253"/>
    <w:rsid w:val="00675370"/>
    <w:rsid w:val="006764DD"/>
    <w:rsid w:val="00676AD5"/>
    <w:rsid w:val="0067774E"/>
    <w:rsid w:val="00677E72"/>
    <w:rsid w:val="00680486"/>
    <w:rsid w:val="00680E12"/>
    <w:rsid w:val="00681400"/>
    <w:rsid w:val="00683496"/>
    <w:rsid w:val="00686C7E"/>
    <w:rsid w:val="0068736D"/>
    <w:rsid w:val="00691C24"/>
    <w:rsid w:val="006939EB"/>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3EEE"/>
    <w:rsid w:val="006D4599"/>
    <w:rsid w:val="006D71EA"/>
    <w:rsid w:val="006D74DB"/>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6400"/>
    <w:rsid w:val="006F7178"/>
    <w:rsid w:val="00700582"/>
    <w:rsid w:val="007005F8"/>
    <w:rsid w:val="00701198"/>
    <w:rsid w:val="0070131C"/>
    <w:rsid w:val="00702989"/>
    <w:rsid w:val="00702ADF"/>
    <w:rsid w:val="00702B26"/>
    <w:rsid w:val="007034D7"/>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0B8"/>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2F5C"/>
    <w:rsid w:val="007956B7"/>
    <w:rsid w:val="00795960"/>
    <w:rsid w:val="00795D2C"/>
    <w:rsid w:val="00795D51"/>
    <w:rsid w:val="00795F1D"/>
    <w:rsid w:val="00797DAE"/>
    <w:rsid w:val="007A0B68"/>
    <w:rsid w:val="007A0E07"/>
    <w:rsid w:val="007A1913"/>
    <w:rsid w:val="007A19B0"/>
    <w:rsid w:val="007A3E87"/>
    <w:rsid w:val="007A41BA"/>
    <w:rsid w:val="007A5B06"/>
    <w:rsid w:val="007A670E"/>
    <w:rsid w:val="007A741E"/>
    <w:rsid w:val="007A7745"/>
    <w:rsid w:val="007A77E7"/>
    <w:rsid w:val="007A7A2A"/>
    <w:rsid w:val="007A7C07"/>
    <w:rsid w:val="007B0FA4"/>
    <w:rsid w:val="007B0FF2"/>
    <w:rsid w:val="007B292C"/>
    <w:rsid w:val="007B2F8A"/>
    <w:rsid w:val="007B38DA"/>
    <w:rsid w:val="007B47D5"/>
    <w:rsid w:val="007B5845"/>
    <w:rsid w:val="007B658A"/>
    <w:rsid w:val="007B7625"/>
    <w:rsid w:val="007C0354"/>
    <w:rsid w:val="007C0484"/>
    <w:rsid w:val="007C2AE9"/>
    <w:rsid w:val="007C4117"/>
    <w:rsid w:val="007C4BFF"/>
    <w:rsid w:val="007C4F07"/>
    <w:rsid w:val="007C5911"/>
    <w:rsid w:val="007C5B18"/>
    <w:rsid w:val="007C5EC2"/>
    <w:rsid w:val="007C7342"/>
    <w:rsid w:val="007C7469"/>
    <w:rsid w:val="007C7C33"/>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E7302"/>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4D71"/>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4152"/>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0ABA"/>
    <w:rsid w:val="008522C6"/>
    <w:rsid w:val="0085252E"/>
    <w:rsid w:val="0085338D"/>
    <w:rsid w:val="008544F3"/>
    <w:rsid w:val="008546D0"/>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62B1"/>
    <w:rsid w:val="00877840"/>
    <w:rsid w:val="00877D23"/>
    <w:rsid w:val="00881DC1"/>
    <w:rsid w:val="00882692"/>
    <w:rsid w:val="00882D31"/>
    <w:rsid w:val="00882D51"/>
    <w:rsid w:val="0088418B"/>
    <w:rsid w:val="00886123"/>
    <w:rsid w:val="0088614E"/>
    <w:rsid w:val="008862CA"/>
    <w:rsid w:val="00887B34"/>
    <w:rsid w:val="00887EEB"/>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4FD"/>
    <w:rsid w:val="00954573"/>
    <w:rsid w:val="009550CF"/>
    <w:rsid w:val="009554B0"/>
    <w:rsid w:val="00955C13"/>
    <w:rsid w:val="0095699C"/>
    <w:rsid w:val="00956B64"/>
    <w:rsid w:val="0096050A"/>
    <w:rsid w:val="009609C8"/>
    <w:rsid w:val="00960E7E"/>
    <w:rsid w:val="009610B0"/>
    <w:rsid w:val="00961246"/>
    <w:rsid w:val="0096498F"/>
    <w:rsid w:val="009652B3"/>
    <w:rsid w:val="00965C98"/>
    <w:rsid w:val="00965F7E"/>
    <w:rsid w:val="00966678"/>
    <w:rsid w:val="0096796B"/>
    <w:rsid w:val="009709FA"/>
    <w:rsid w:val="009711B0"/>
    <w:rsid w:val="00973D97"/>
    <w:rsid w:val="00975A1F"/>
    <w:rsid w:val="00976479"/>
    <w:rsid w:val="00976D8A"/>
    <w:rsid w:val="00981752"/>
    <w:rsid w:val="0098182B"/>
    <w:rsid w:val="00981CCA"/>
    <w:rsid w:val="00982840"/>
    <w:rsid w:val="00982F9A"/>
    <w:rsid w:val="00984266"/>
    <w:rsid w:val="00985C49"/>
    <w:rsid w:val="00985C5F"/>
    <w:rsid w:val="00985FAC"/>
    <w:rsid w:val="00987342"/>
    <w:rsid w:val="0098798D"/>
    <w:rsid w:val="00987D92"/>
    <w:rsid w:val="009900D3"/>
    <w:rsid w:val="00990BB6"/>
    <w:rsid w:val="00991149"/>
    <w:rsid w:val="00991CA3"/>
    <w:rsid w:val="00991EB9"/>
    <w:rsid w:val="00992245"/>
    <w:rsid w:val="00993E5C"/>
    <w:rsid w:val="00994BFB"/>
    <w:rsid w:val="00995512"/>
    <w:rsid w:val="00996632"/>
    <w:rsid w:val="009976EA"/>
    <w:rsid w:val="00997E20"/>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C3E"/>
    <w:rsid w:val="009B6FE3"/>
    <w:rsid w:val="009B7E0A"/>
    <w:rsid w:val="009C00EB"/>
    <w:rsid w:val="009C05B4"/>
    <w:rsid w:val="009C48EC"/>
    <w:rsid w:val="009C4CB3"/>
    <w:rsid w:val="009C551E"/>
    <w:rsid w:val="009C77F6"/>
    <w:rsid w:val="009C7B63"/>
    <w:rsid w:val="009D0721"/>
    <w:rsid w:val="009D0806"/>
    <w:rsid w:val="009D0A1D"/>
    <w:rsid w:val="009D1C73"/>
    <w:rsid w:val="009D2DCC"/>
    <w:rsid w:val="009D36CC"/>
    <w:rsid w:val="009D3ACB"/>
    <w:rsid w:val="009D3B34"/>
    <w:rsid w:val="009D60EC"/>
    <w:rsid w:val="009D63BB"/>
    <w:rsid w:val="009D663F"/>
    <w:rsid w:val="009E0A14"/>
    <w:rsid w:val="009E11D5"/>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0C00"/>
    <w:rsid w:val="00A0124D"/>
    <w:rsid w:val="00A01B5F"/>
    <w:rsid w:val="00A01B60"/>
    <w:rsid w:val="00A02DEF"/>
    <w:rsid w:val="00A03F47"/>
    <w:rsid w:val="00A06279"/>
    <w:rsid w:val="00A06FCF"/>
    <w:rsid w:val="00A07916"/>
    <w:rsid w:val="00A07D80"/>
    <w:rsid w:val="00A07FE6"/>
    <w:rsid w:val="00A10565"/>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6E2"/>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58AC"/>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2CBF"/>
    <w:rsid w:val="00B233BB"/>
    <w:rsid w:val="00B2515A"/>
    <w:rsid w:val="00B25A9E"/>
    <w:rsid w:val="00B27709"/>
    <w:rsid w:val="00B300DF"/>
    <w:rsid w:val="00B307D2"/>
    <w:rsid w:val="00B3089B"/>
    <w:rsid w:val="00B30BC4"/>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1F9"/>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1F32"/>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B3F"/>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018"/>
    <w:rsid w:val="00BC63A1"/>
    <w:rsid w:val="00BC7A1C"/>
    <w:rsid w:val="00BD0079"/>
    <w:rsid w:val="00BD0145"/>
    <w:rsid w:val="00BD1BC7"/>
    <w:rsid w:val="00BD2718"/>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54"/>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51B9"/>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1C85"/>
    <w:rsid w:val="00C927C3"/>
    <w:rsid w:val="00C92F3F"/>
    <w:rsid w:val="00C94442"/>
    <w:rsid w:val="00C946B5"/>
    <w:rsid w:val="00C94A3B"/>
    <w:rsid w:val="00C9587B"/>
    <w:rsid w:val="00C961FD"/>
    <w:rsid w:val="00C97040"/>
    <w:rsid w:val="00CA30B3"/>
    <w:rsid w:val="00CA3672"/>
    <w:rsid w:val="00CA3CDE"/>
    <w:rsid w:val="00CA4342"/>
    <w:rsid w:val="00CA4D98"/>
    <w:rsid w:val="00CA53D9"/>
    <w:rsid w:val="00CA5FBE"/>
    <w:rsid w:val="00CB1F18"/>
    <w:rsid w:val="00CB2D29"/>
    <w:rsid w:val="00CB50F3"/>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2C9"/>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35E8"/>
    <w:rsid w:val="00D54282"/>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25A9"/>
    <w:rsid w:val="00D94104"/>
    <w:rsid w:val="00D946B6"/>
    <w:rsid w:val="00D95855"/>
    <w:rsid w:val="00D95C92"/>
    <w:rsid w:val="00D95D28"/>
    <w:rsid w:val="00D97005"/>
    <w:rsid w:val="00D97069"/>
    <w:rsid w:val="00D97CCB"/>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B7F69"/>
    <w:rsid w:val="00DC10E8"/>
    <w:rsid w:val="00DC12D2"/>
    <w:rsid w:val="00DC17A0"/>
    <w:rsid w:val="00DC2E6B"/>
    <w:rsid w:val="00DC3484"/>
    <w:rsid w:val="00DC600E"/>
    <w:rsid w:val="00DC730C"/>
    <w:rsid w:val="00DD0F69"/>
    <w:rsid w:val="00DD1DD2"/>
    <w:rsid w:val="00DD234A"/>
    <w:rsid w:val="00DD34EF"/>
    <w:rsid w:val="00DD40C2"/>
    <w:rsid w:val="00DD483C"/>
    <w:rsid w:val="00DD5289"/>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2DEF"/>
    <w:rsid w:val="00E03B89"/>
    <w:rsid w:val="00E03CC9"/>
    <w:rsid w:val="00E04715"/>
    <w:rsid w:val="00E04F45"/>
    <w:rsid w:val="00E05038"/>
    <w:rsid w:val="00E06C25"/>
    <w:rsid w:val="00E072ED"/>
    <w:rsid w:val="00E07DFE"/>
    <w:rsid w:val="00E10709"/>
    <w:rsid w:val="00E1077E"/>
    <w:rsid w:val="00E1120E"/>
    <w:rsid w:val="00E11617"/>
    <w:rsid w:val="00E12135"/>
    <w:rsid w:val="00E1228A"/>
    <w:rsid w:val="00E12886"/>
    <w:rsid w:val="00E131A8"/>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62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9AF"/>
    <w:rsid w:val="00E96CB2"/>
    <w:rsid w:val="00E96DFA"/>
    <w:rsid w:val="00E96F60"/>
    <w:rsid w:val="00E97E9C"/>
    <w:rsid w:val="00EA0759"/>
    <w:rsid w:val="00EA282F"/>
    <w:rsid w:val="00EA2D56"/>
    <w:rsid w:val="00EA4012"/>
    <w:rsid w:val="00EA402E"/>
    <w:rsid w:val="00EA4655"/>
    <w:rsid w:val="00EA6460"/>
    <w:rsid w:val="00EA6724"/>
    <w:rsid w:val="00EA674C"/>
    <w:rsid w:val="00EA6E10"/>
    <w:rsid w:val="00EA70B2"/>
    <w:rsid w:val="00EA7369"/>
    <w:rsid w:val="00EA7D47"/>
    <w:rsid w:val="00EB188D"/>
    <w:rsid w:val="00EB19AC"/>
    <w:rsid w:val="00EB2A7E"/>
    <w:rsid w:val="00EB3297"/>
    <w:rsid w:val="00EB3B96"/>
    <w:rsid w:val="00EB4648"/>
    <w:rsid w:val="00EB4ED9"/>
    <w:rsid w:val="00EB5493"/>
    <w:rsid w:val="00EB7049"/>
    <w:rsid w:val="00EB7F82"/>
    <w:rsid w:val="00EC16BB"/>
    <w:rsid w:val="00EC1C18"/>
    <w:rsid w:val="00EC22EF"/>
    <w:rsid w:val="00EC34D4"/>
    <w:rsid w:val="00EC438F"/>
    <w:rsid w:val="00EC4C2F"/>
    <w:rsid w:val="00EC4ECA"/>
    <w:rsid w:val="00EC6242"/>
    <w:rsid w:val="00EC6D3B"/>
    <w:rsid w:val="00EC7011"/>
    <w:rsid w:val="00EC7F86"/>
    <w:rsid w:val="00ED0B5F"/>
    <w:rsid w:val="00ED0F42"/>
    <w:rsid w:val="00ED1166"/>
    <w:rsid w:val="00ED2BE2"/>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032F"/>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170"/>
    <w:rsid w:val="00F705A6"/>
    <w:rsid w:val="00F706B7"/>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2796"/>
    <w:rsid w:val="00FA3F54"/>
    <w:rsid w:val="00FA44C1"/>
    <w:rsid w:val="00FA5343"/>
    <w:rsid w:val="00FA5913"/>
    <w:rsid w:val="00FA6231"/>
    <w:rsid w:val="00FA63EC"/>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D793E"/>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d">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21ECC4-D13E-4971-A12F-A9732F9E2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1</Pages>
  <Words>1982</Words>
  <Characters>11303</Characters>
  <Application>Microsoft Office Word</Application>
  <DocSecurity>0</DocSecurity>
  <Lines>94</Lines>
  <Paragraphs>26</Paragraphs>
  <ScaleCrop>false</ScaleCrop>
  <Company>Microsoft</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刘晨晨</cp:lastModifiedBy>
  <cp:revision>100</cp:revision>
  <cp:lastPrinted>2007-06-27T06:13:00Z</cp:lastPrinted>
  <dcterms:created xsi:type="dcterms:W3CDTF">2023-01-30T02:29:00Z</dcterms:created>
  <dcterms:modified xsi:type="dcterms:W3CDTF">2023-12-13T07:15:00Z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