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69609F">
      <w:pPr>
        <w:rPr>
          <w:sz w:val="32"/>
        </w:rPr>
      </w:pPr>
    </w:p>
    <w:p w:rsidR="00C92FC0" w:rsidRPr="00EB07BC" w:rsidRDefault="0069609F">
      <w:pPr>
        <w:rPr>
          <w:sz w:val="32"/>
        </w:rPr>
      </w:pPr>
    </w:p>
    <w:p w:rsidR="00C92FC0" w:rsidRPr="00EB07BC" w:rsidRDefault="0069609F">
      <w:pPr>
        <w:rPr>
          <w:sz w:val="32"/>
        </w:rPr>
      </w:pPr>
    </w:p>
    <w:p w:rsidR="00C92FC0" w:rsidRPr="00EB07BC" w:rsidRDefault="0071464E">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98473B" w:rsidRDefault="0098473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98473B" w:rsidRDefault="0098473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98473B" w:rsidRDefault="0071464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交银施罗德消费新驱动股票型证券投资基金</w:t>
      </w:r>
    </w:p>
    <w:p w:rsidR="0098473B" w:rsidRDefault="0071464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98473B" w:rsidRDefault="0071464E">
      <w:pPr>
        <w:snapToGrid w:val="0"/>
        <w:spacing w:line="360" w:lineRule="auto"/>
        <w:jc w:val="center"/>
        <w:rPr>
          <w:rFonts w:ascii="宋体" w:hAnsi="宋体"/>
          <w:b/>
          <w:sz w:val="30"/>
          <w:szCs w:val="30"/>
        </w:rPr>
      </w:pPr>
      <w:r>
        <w:rPr>
          <w:rFonts w:ascii="Times New Roman" w:hAnsi="Times New Roman"/>
          <w:b/>
          <w:color w:val="000000"/>
          <w:sz w:val="32"/>
          <w:szCs w:val="32"/>
        </w:rPr>
        <w:t>(202</w:t>
      </w:r>
      <w:r w:rsidR="00F508DF">
        <w:rPr>
          <w:rFonts w:ascii="Times New Roman" w:hAnsi="Times New Roman"/>
          <w:b/>
          <w:color w:val="000000"/>
          <w:sz w:val="32"/>
          <w:szCs w:val="32"/>
        </w:rPr>
        <w:t>3</w:t>
      </w:r>
      <w:r>
        <w:rPr>
          <w:rFonts w:ascii="Times New Roman" w:hAnsi="Times New Roman"/>
          <w:b/>
          <w:color w:val="000000"/>
          <w:sz w:val="32"/>
          <w:szCs w:val="32"/>
        </w:rPr>
        <w:t>年第</w:t>
      </w:r>
      <w:r>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71464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98473B" w:rsidRDefault="0071464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基金托管人：中国建设银行股份有限公司</w:t>
      </w: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98473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8473B" w:rsidRDefault="0071464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F508DF">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F508DF">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98473B" w:rsidRDefault="0098473B">
      <w:pPr>
        <w:autoSpaceDE w:val="0"/>
        <w:autoSpaceDN w:val="0"/>
        <w:adjustRightInd w:val="0"/>
        <w:snapToGrid w:val="0"/>
        <w:spacing w:line="360" w:lineRule="auto"/>
        <w:ind w:left="1347" w:rightChars="6" w:right="13"/>
        <w:rPr>
          <w:rFonts w:ascii="宋体" w:hAnsi="宋体"/>
          <w:kern w:val="0"/>
          <w:sz w:val="32"/>
          <w:szCs w:val="32"/>
        </w:rPr>
        <w:sectPr w:rsidR="0098473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98473B" w:rsidRDefault="0071464E">
      <w:pPr>
        <w:pStyle w:val="1"/>
        <w:snapToGrid w:val="0"/>
        <w:spacing w:beforeLines="0" w:before="240" w:after="240"/>
        <w:rPr>
          <w:rFonts w:ascii="宋体" w:hAnsi="宋体"/>
          <w:kern w:val="0"/>
        </w:rPr>
      </w:pPr>
      <w:bookmarkStart w:id="0" w:name="_Toc324920538"/>
      <w:bookmarkStart w:id="1" w:name="_Toc496884613"/>
      <w:bookmarkStart w:id="2" w:name="_Toc120105578"/>
      <w:r>
        <w:rPr>
          <w:rFonts w:ascii="Times New Roman" w:hAnsi="Times New Roman"/>
          <w:kern w:val="0"/>
        </w:rPr>
        <w:lastRenderedPageBreak/>
        <w:t>重要提示</w:t>
      </w:r>
      <w:bookmarkEnd w:id="0"/>
      <w:bookmarkEnd w:id="1"/>
      <w:bookmarkEnd w:id="2"/>
    </w:p>
    <w:p w:rsidR="0098473B" w:rsidRDefault="0071464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交银施罗德消费新驱动股票型证券投资基金（以下简称</w:t>
      </w:r>
      <w:r>
        <w:rPr>
          <w:rFonts w:ascii="Times New Roman" w:hAnsi="Times New Roman"/>
          <w:kern w:val="0"/>
          <w:sz w:val="24"/>
        </w:rPr>
        <w:t>“</w:t>
      </w:r>
      <w:r>
        <w:rPr>
          <w:rFonts w:ascii="Times New Roman" w:hAnsi="Times New Roman"/>
          <w:kern w:val="0"/>
          <w:sz w:val="24"/>
        </w:rPr>
        <w:t>基金</w:t>
      </w:r>
      <w:r>
        <w:rPr>
          <w:rFonts w:ascii="Times New Roman" w:hAnsi="Times New Roman"/>
          <w:kern w:val="0"/>
          <w:sz w:val="24"/>
        </w:rPr>
        <w:t>”</w:t>
      </w:r>
      <w:r>
        <w:rPr>
          <w:rFonts w:ascii="Times New Roman" w:hAnsi="Times New Roman"/>
          <w:kern w:val="0"/>
          <w:sz w:val="24"/>
        </w:rPr>
        <w:t>或</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）由交银施罗德沪深</w:t>
      </w:r>
      <w:r>
        <w:rPr>
          <w:rFonts w:ascii="Times New Roman" w:hAnsi="Times New Roman"/>
          <w:kern w:val="0"/>
          <w:sz w:val="24"/>
        </w:rPr>
        <w:t>300</w:t>
      </w:r>
      <w:r>
        <w:rPr>
          <w:rFonts w:ascii="Times New Roman" w:hAnsi="Times New Roman"/>
          <w:kern w:val="0"/>
          <w:sz w:val="24"/>
        </w:rPr>
        <w:t>行业分层等权重指数证券投资基金转型而成。交银施罗德沪深</w:t>
      </w:r>
      <w:r>
        <w:rPr>
          <w:rFonts w:ascii="Times New Roman" w:hAnsi="Times New Roman"/>
          <w:kern w:val="0"/>
          <w:sz w:val="24"/>
        </w:rPr>
        <w:t>300</w:t>
      </w:r>
      <w:r>
        <w:rPr>
          <w:rFonts w:ascii="Times New Roman" w:hAnsi="Times New Roman"/>
          <w:kern w:val="0"/>
          <w:sz w:val="24"/>
        </w:rPr>
        <w:t>行业分层等权重指数证券投资</w:t>
      </w:r>
      <w:proofErr w:type="gramStart"/>
      <w:r>
        <w:rPr>
          <w:rFonts w:ascii="Times New Roman" w:hAnsi="Times New Roman"/>
          <w:kern w:val="0"/>
          <w:sz w:val="24"/>
        </w:rPr>
        <w:t>基金基金</w:t>
      </w:r>
      <w:proofErr w:type="gramEnd"/>
      <w:r>
        <w:rPr>
          <w:rFonts w:ascii="Times New Roman" w:hAnsi="Times New Roman"/>
          <w:kern w:val="0"/>
          <w:sz w:val="24"/>
        </w:rPr>
        <w:t>份额持有人大会于</w:t>
      </w:r>
      <w:r>
        <w:rPr>
          <w:rFonts w:ascii="Times New Roman" w:hAnsi="Times New Roman"/>
          <w:kern w:val="0"/>
          <w:sz w:val="24"/>
        </w:rPr>
        <w:t xml:space="preserve">2015 </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26</w:t>
      </w:r>
      <w:r>
        <w:rPr>
          <w:rFonts w:ascii="Times New Roman" w:hAnsi="Times New Roman"/>
          <w:kern w:val="0"/>
          <w:sz w:val="24"/>
        </w:rPr>
        <w:t>日审议通过《关于交银施罗德沪深</w:t>
      </w:r>
      <w:r>
        <w:rPr>
          <w:rFonts w:ascii="Times New Roman" w:hAnsi="Times New Roman"/>
          <w:kern w:val="0"/>
          <w:sz w:val="24"/>
        </w:rPr>
        <w:t>300</w:t>
      </w:r>
      <w:r>
        <w:rPr>
          <w:rFonts w:ascii="Times New Roman" w:hAnsi="Times New Roman"/>
          <w:kern w:val="0"/>
          <w:sz w:val="24"/>
        </w:rPr>
        <w:t>行业分层等权重指数证券投资基金转型及基金合同修改有关事项的议案》，基金份额持有人大会决议自表决通过之日起生效，报中国证监会备案。自</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日起，由《交银施罗德沪深</w:t>
      </w:r>
      <w:r>
        <w:rPr>
          <w:rFonts w:ascii="Times New Roman" w:hAnsi="Times New Roman"/>
          <w:kern w:val="0"/>
          <w:sz w:val="24"/>
        </w:rPr>
        <w:t>300</w:t>
      </w:r>
      <w:r>
        <w:rPr>
          <w:rFonts w:ascii="Times New Roman" w:hAnsi="Times New Roman"/>
          <w:kern w:val="0"/>
          <w:sz w:val="24"/>
        </w:rPr>
        <w:t>行业分层等权重指数证券投资基金基金合同》修订而成的《交银施罗德消费新驱动股票型证券投资基金基金合同》生效。</w:t>
      </w:r>
    </w:p>
    <w:p w:rsidR="0098473B" w:rsidRDefault="0071464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w:t>
      </w:r>
      <w:proofErr w:type="gramStart"/>
      <w:r>
        <w:rPr>
          <w:rFonts w:ascii="Times New Roman" w:hAnsi="Times New Roman"/>
          <w:kern w:val="0"/>
          <w:sz w:val="24"/>
        </w:rPr>
        <w:t>募</w:t>
      </w:r>
      <w:proofErr w:type="gramEnd"/>
      <w:r>
        <w:rPr>
          <w:rFonts w:ascii="Times New Roman" w:hAnsi="Times New Roman"/>
          <w:kern w:val="0"/>
          <w:sz w:val="24"/>
        </w:rPr>
        <w:t>集的核</w:t>
      </w:r>
      <w:proofErr w:type="gramStart"/>
      <w:r>
        <w:rPr>
          <w:rFonts w:ascii="Times New Roman" w:hAnsi="Times New Roman"/>
          <w:kern w:val="0"/>
          <w:sz w:val="24"/>
        </w:rPr>
        <w:t>准以及</w:t>
      </w:r>
      <w:proofErr w:type="gramEnd"/>
      <w:r>
        <w:rPr>
          <w:rFonts w:ascii="Times New Roman" w:hAnsi="Times New Roman"/>
          <w:kern w:val="0"/>
          <w:sz w:val="24"/>
        </w:rPr>
        <w:t>变更注册，并不表明其对本基金的价值和收益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实质性判断或保证，也不表明投资于本基金没有风险。中国证监会不对基金的投资价值及市场前景等</w:t>
      </w:r>
      <w:proofErr w:type="gramStart"/>
      <w:r>
        <w:rPr>
          <w:rFonts w:ascii="Times New Roman" w:hAnsi="Times New Roman"/>
          <w:kern w:val="0"/>
          <w:sz w:val="24"/>
        </w:rPr>
        <w:t>作出</w:t>
      </w:r>
      <w:proofErr w:type="gramEnd"/>
      <w:r>
        <w:rPr>
          <w:rFonts w:ascii="Times New Roman" w:hAnsi="Times New Roman"/>
          <w:kern w:val="0"/>
          <w:sz w:val="24"/>
        </w:rPr>
        <w:t>实质性判断或者保证。</w:t>
      </w:r>
    </w:p>
    <w:p w:rsidR="0098473B" w:rsidRDefault="0071464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98473B" w:rsidRDefault="0071464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w:t>
      </w:r>
      <w:proofErr w:type="gramStart"/>
      <w:r>
        <w:rPr>
          <w:rFonts w:ascii="Times New Roman" w:hAnsi="Times New Roman"/>
          <w:kern w:val="0"/>
          <w:sz w:val="24"/>
        </w:rPr>
        <w:t>科创板股票</w:t>
      </w:r>
      <w:proofErr w:type="gramEnd"/>
      <w:r>
        <w:rPr>
          <w:rFonts w:ascii="Times New Roman" w:hAnsi="Times New Roman"/>
          <w:kern w:val="0"/>
          <w:sz w:val="24"/>
        </w:rPr>
        <w:t>的特定风险；投资本基金特有的其他风险等等。本基金属于股票型基金，其预期风险与预期收益高于混合型基金、债券型基金和货币市场基金，属于承担较高预期风险、预期收益较高的证券投资基金品种。</w:t>
      </w:r>
    </w:p>
    <w:p w:rsidR="0098473B" w:rsidRDefault="0071464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w:t>
      </w:r>
      <w:r>
        <w:rPr>
          <w:rFonts w:ascii="Times New Roman" w:hAnsi="Times New Roman"/>
          <w:kern w:val="0"/>
          <w:sz w:val="24"/>
        </w:rPr>
        <w:lastRenderedPageBreak/>
        <w:t>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98473B" w:rsidRDefault="0071464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98473B" w:rsidRDefault="0071464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基金的过往业绩并不代表其未来表现。基金管理人管理的其他基金的业绩并不构成本基金业绩表现的保证。</w:t>
      </w:r>
    </w:p>
    <w:p w:rsidR="0098473B" w:rsidRDefault="00F508D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本次更新招募说明书主要对调整管理费率和</w:t>
      </w:r>
      <w:r>
        <w:rPr>
          <w:rFonts w:ascii="Times New Roman" w:hAnsi="Times New Roman"/>
          <w:kern w:val="0"/>
          <w:sz w:val="24"/>
        </w:rPr>
        <w:t>/</w:t>
      </w:r>
      <w:r>
        <w:rPr>
          <w:rFonts w:ascii="Times New Roman" w:hAnsi="Times New Roman" w:hint="eastAsia"/>
          <w:kern w:val="0"/>
          <w:sz w:val="24"/>
        </w:rPr>
        <w:t>或托管费率相关事项进行了相应更新，更新截止日为</w:t>
      </w:r>
      <w:r>
        <w:rPr>
          <w:rFonts w:ascii="Times New Roman" w:hAnsi="Times New Roman"/>
          <w:kern w:val="0"/>
          <w:sz w:val="24"/>
        </w:rPr>
        <w:t>2023</w:t>
      </w:r>
      <w:r>
        <w:rPr>
          <w:rFonts w:ascii="Times New Roman" w:hAnsi="Times New Roman" w:hint="eastAsia"/>
          <w:kern w:val="0"/>
          <w:sz w:val="24"/>
        </w:rPr>
        <w:t>年</w:t>
      </w:r>
      <w:r>
        <w:rPr>
          <w:rFonts w:ascii="Times New Roman" w:hAnsi="Times New Roman"/>
          <w:kern w:val="0"/>
          <w:sz w:val="24"/>
        </w:rPr>
        <w:t>07</w:t>
      </w:r>
      <w:r>
        <w:rPr>
          <w:rFonts w:ascii="Times New Roman" w:hAnsi="Times New Roman" w:hint="eastAsia"/>
          <w:kern w:val="0"/>
          <w:sz w:val="24"/>
        </w:rPr>
        <w:t>月</w:t>
      </w:r>
      <w:r>
        <w:rPr>
          <w:rFonts w:ascii="Times New Roman" w:hAnsi="Times New Roman"/>
          <w:kern w:val="0"/>
          <w:sz w:val="24"/>
        </w:rPr>
        <w:t>10</w:t>
      </w:r>
      <w:r>
        <w:rPr>
          <w:rFonts w:ascii="Times New Roman" w:hAnsi="Times New Roman" w:hint="eastAsia"/>
          <w:kern w:val="0"/>
          <w:sz w:val="24"/>
        </w:rPr>
        <w:t>日，除非另有说明，</w:t>
      </w:r>
      <w:r w:rsidR="0071464E">
        <w:rPr>
          <w:rFonts w:ascii="Times New Roman" w:hAnsi="Times New Roman"/>
          <w:kern w:val="0"/>
          <w:sz w:val="24"/>
        </w:rPr>
        <w:t>本招募说明书</w:t>
      </w:r>
      <w:r>
        <w:rPr>
          <w:rFonts w:ascii="Times New Roman" w:hAnsi="Times New Roman" w:hint="eastAsia"/>
          <w:kern w:val="0"/>
          <w:sz w:val="24"/>
        </w:rPr>
        <w:t>其他</w:t>
      </w:r>
      <w:r w:rsidR="0071464E">
        <w:rPr>
          <w:rFonts w:ascii="Times New Roman" w:hAnsi="Times New Roman"/>
          <w:kern w:val="0"/>
          <w:sz w:val="24"/>
        </w:rPr>
        <w:t>所载内容截止日为</w:t>
      </w:r>
      <w:r w:rsidR="0071464E">
        <w:rPr>
          <w:rFonts w:ascii="Times New Roman" w:hAnsi="Times New Roman"/>
          <w:kern w:val="0"/>
          <w:sz w:val="24"/>
        </w:rPr>
        <w:t>2022</w:t>
      </w:r>
      <w:r w:rsidR="0071464E">
        <w:rPr>
          <w:rFonts w:ascii="Times New Roman" w:hAnsi="Times New Roman"/>
          <w:kern w:val="0"/>
          <w:sz w:val="24"/>
        </w:rPr>
        <w:t>年</w:t>
      </w:r>
      <w:r w:rsidR="0071464E">
        <w:rPr>
          <w:rFonts w:ascii="Times New Roman" w:hAnsi="Times New Roman"/>
          <w:kern w:val="0"/>
          <w:sz w:val="24"/>
        </w:rPr>
        <w:t>11</w:t>
      </w:r>
      <w:r w:rsidR="0071464E">
        <w:rPr>
          <w:rFonts w:ascii="Times New Roman" w:hAnsi="Times New Roman"/>
          <w:kern w:val="0"/>
          <w:sz w:val="24"/>
        </w:rPr>
        <w:t>月</w:t>
      </w:r>
      <w:r w:rsidR="0071464E">
        <w:rPr>
          <w:rFonts w:ascii="Times New Roman" w:hAnsi="Times New Roman"/>
          <w:kern w:val="0"/>
          <w:sz w:val="24"/>
        </w:rPr>
        <w:t>02</w:t>
      </w:r>
      <w:r w:rsidR="0071464E">
        <w:rPr>
          <w:rFonts w:ascii="Times New Roman" w:hAnsi="Times New Roman"/>
          <w:kern w:val="0"/>
          <w:sz w:val="24"/>
        </w:rPr>
        <w:t>日，有关财务数据和净值表现截止日为</w:t>
      </w:r>
      <w:r w:rsidR="0071464E">
        <w:rPr>
          <w:rFonts w:ascii="Times New Roman" w:hAnsi="Times New Roman"/>
          <w:kern w:val="0"/>
          <w:sz w:val="24"/>
        </w:rPr>
        <w:t>2022</w:t>
      </w:r>
      <w:r w:rsidR="0071464E">
        <w:rPr>
          <w:rFonts w:ascii="Times New Roman" w:hAnsi="Times New Roman"/>
          <w:kern w:val="0"/>
          <w:sz w:val="24"/>
        </w:rPr>
        <w:t>年</w:t>
      </w:r>
      <w:r w:rsidR="0071464E">
        <w:rPr>
          <w:rFonts w:ascii="Times New Roman" w:hAnsi="Times New Roman"/>
          <w:kern w:val="0"/>
          <w:sz w:val="24"/>
        </w:rPr>
        <w:t>09</w:t>
      </w:r>
      <w:r w:rsidR="0071464E">
        <w:rPr>
          <w:rFonts w:ascii="Times New Roman" w:hAnsi="Times New Roman"/>
          <w:kern w:val="0"/>
          <w:sz w:val="24"/>
        </w:rPr>
        <w:t>月</w:t>
      </w:r>
      <w:r w:rsidR="0071464E">
        <w:rPr>
          <w:rFonts w:ascii="Times New Roman" w:hAnsi="Times New Roman"/>
          <w:kern w:val="0"/>
          <w:sz w:val="24"/>
        </w:rPr>
        <w:t>30</w:t>
      </w:r>
      <w:r w:rsidR="0071464E">
        <w:rPr>
          <w:rFonts w:ascii="Times New Roman" w:hAnsi="Times New Roman"/>
          <w:kern w:val="0"/>
          <w:sz w:val="24"/>
        </w:rPr>
        <w:t>日。本招募说明书所载的财务数据未经审计。</w:t>
      </w:r>
    </w:p>
    <w:p w:rsidR="0098473B" w:rsidRDefault="0098473B">
      <w:pPr>
        <w:autoSpaceDE w:val="0"/>
        <w:autoSpaceDN w:val="0"/>
        <w:adjustRightInd w:val="0"/>
        <w:snapToGrid w:val="0"/>
        <w:spacing w:before="51" w:line="360" w:lineRule="auto"/>
        <w:ind w:left="120" w:rightChars="6" w:right="13" w:firstLine="480"/>
        <w:rPr>
          <w:rFonts w:ascii="宋体" w:hAnsi="宋体"/>
          <w:kern w:val="0"/>
          <w:szCs w:val="24"/>
        </w:rPr>
        <w:sectPr w:rsidR="0098473B">
          <w:headerReference w:type="default" r:id="rId12"/>
          <w:pgSz w:w="11920" w:h="16840"/>
          <w:pgMar w:top="1440" w:right="1680" w:bottom="280" w:left="1680" w:header="0" w:footer="1073" w:gutter="0"/>
          <w:pgNumType w:start="1"/>
          <w:cols w:space="720"/>
        </w:sectPr>
      </w:pPr>
    </w:p>
    <w:p w:rsidR="0020304A" w:rsidRPr="0020304A" w:rsidRDefault="0071464E" w:rsidP="0020304A">
      <w:pPr>
        <w:pStyle w:val="af3"/>
        <w:snapToGrid w:val="0"/>
        <w:spacing w:after="240" w:line="360" w:lineRule="auto"/>
        <w:jc w:val="center"/>
        <w:rPr>
          <w:rFonts w:ascii="宋体" w:hAnsi="宋体"/>
          <w:noProof/>
          <w:sz w:val="24"/>
        </w:rPr>
      </w:pPr>
      <w:r w:rsidRPr="0020304A">
        <w:rPr>
          <w:rFonts w:ascii="宋体" w:hAnsi="宋体"/>
          <w:color w:val="000000"/>
          <w:position w:val="-4"/>
          <w:sz w:val="24"/>
          <w:szCs w:val="30"/>
        </w:rPr>
        <w:lastRenderedPageBreak/>
        <w:t>目</w:t>
      </w:r>
      <w:r w:rsidRPr="0020304A">
        <w:rPr>
          <w:rFonts w:ascii="宋体" w:hAnsi="宋体"/>
          <w:color w:val="000000"/>
          <w:position w:val="-4"/>
          <w:sz w:val="24"/>
          <w:szCs w:val="30"/>
        </w:rPr>
        <w:tab/>
        <w:t>录</w:t>
      </w:r>
      <w:r w:rsidR="0020304A" w:rsidRPr="0020304A">
        <w:rPr>
          <w:rFonts w:ascii="宋体" w:hAnsi="宋体"/>
          <w:color w:val="000000"/>
          <w:position w:val="-4"/>
          <w:sz w:val="24"/>
          <w:szCs w:val="30"/>
        </w:rPr>
        <w:fldChar w:fldCharType="begin"/>
      </w:r>
      <w:r w:rsidR="0020304A" w:rsidRPr="0020304A">
        <w:rPr>
          <w:rFonts w:ascii="宋体" w:hAnsi="宋体"/>
          <w:color w:val="000000"/>
          <w:position w:val="-4"/>
          <w:sz w:val="24"/>
          <w:szCs w:val="30"/>
        </w:rPr>
        <w:instrText xml:space="preserve"> TOC \o "1-3" \f - \h \t "-1" </w:instrText>
      </w:r>
      <w:r w:rsidR="0020304A" w:rsidRPr="0020304A">
        <w:rPr>
          <w:rFonts w:ascii="宋体" w:hAnsi="宋体"/>
          <w:color w:val="000000"/>
          <w:position w:val="-4"/>
          <w:sz w:val="24"/>
          <w:szCs w:val="30"/>
        </w:rPr>
        <w:fldChar w:fldCharType="separate"/>
      </w:r>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78" w:history="1">
        <w:r w:rsidR="0020304A" w:rsidRPr="0020304A">
          <w:rPr>
            <w:rStyle w:val="af0"/>
            <w:rFonts w:ascii="宋体" w:hAnsi="宋体" w:hint="eastAsia"/>
            <w:noProof/>
            <w:kern w:val="0"/>
            <w:sz w:val="24"/>
          </w:rPr>
          <w:t>重要提示</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_Toc120105578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79" w:history="1">
        <w:r w:rsidR="0020304A" w:rsidRPr="0020304A">
          <w:rPr>
            <w:rStyle w:val="af0"/>
            <w:rFonts w:ascii="宋体" w:hAnsi="宋体" w:hint="eastAsia"/>
            <w:noProof/>
            <w:sz w:val="24"/>
          </w:rPr>
          <w:t>一、绪言</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_Toc120105579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4</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0" w:history="1">
        <w:r w:rsidR="0020304A" w:rsidRPr="0020304A">
          <w:rPr>
            <w:rStyle w:val="af0"/>
            <w:rFonts w:ascii="宋体" w:hAnsi="宋体" w:hint="eastAsia"/>
            <w:noProof/>
            <w:sz w:val="24"/>
          </w:rPr>
          <w:t>二、释义</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_Toc120105580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5</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1" w:history="1">
        <w:r w:rsidR="0020304A" w:rsidRPr="0020304A">
          <w:rPr>
            <w:rStyle w:val="af0"/>
            <w:rFonts w:ascii="宋体" w:hAnsi="宋体" w:hint="eastAsia"/>
            <w:noProof/>
            <w:sz w:val="24"/>
          </w:rPr>
          <w:t>三、基金管理人</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_Toc120105581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11</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2" w:history="1">
        <w:r w:rsidR="0020304A" w:rsidRPr="0020304A">
          <w:rPr>
            <w:rStyle w:val="af0"/>
            <w:rFonts w:ascii="宋体" w:hAnsi="宋体" w:hint="eastAsia"/>
            <w:noProof/>
            <w:sz w:val="24"/>
          </w:rPr>
          <w:t>四、基金托管人</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_Toc120105582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19</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3" w:history="1">
        <w:r w:rsidR="0020304A" w:rsidRPr="0020304A">
          <w:rPr>
            <w:rStyle w:val="af0"/>
            <w:rFonts w:ascii="宋体" w:hAnsi="宋体" w:hint="eastAsia"/>
            <w:noProof/>
            <w:sz w:val="24"/>
          </w:rPr>
          <w:t>五、相关服务机构</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_Toc120105583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22</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4" w:history="1">
        <w:r w:rsidR="0020304A" w:rsidRPr="0020304A">
          <w:rPr>
            <w:rStyle w:val="af0"/>
            <w:rFonts w:ascii="宋体" w:hAnsi="宋体" w:hint="eastAsia"/>
            <w:noProof/>
            <w:sz w:val="24"/>
          </w:rPr>
          <w:t>六、基金的历史沿革</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_Toc120105584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55</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5" w:history="1">
        <w:r w:rsidR="0020304A" w:rsidRPr="0020304A">
          <w:rPr>
            <w:rStyle w:val="af0"/>
            <w:rFonts w:ascii="宋体" w:hAnsi="宋体" w:hint="eastAsia"/>
            <w:noProof/>
            <w:sz w:val="24"/>
          </w:rPr>
          <w:t>七、基金的存续</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_Toc120105585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56</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6" w:history="1">
        <w:r w:rsidR="0020304A" w:rsidRPr="0020304A">
          <w:rPr>
            <w:rStyle w:val="af0"/>
            <w:rFonts w:ascii="宋体" w:hAnsi="宋体" w:hint="eastAsia"/>
            <w:noProof/>
            <w:sz w:val="24"/>
          </w:rPr>
          <w:t>八、基金份额的申购与赎回</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_Toc120105586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57</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7" w:history="1">
        <w:r w:rsidR="0020304A" w:rsidRPr="0020304A">
          <w:rPr>
            <w:rStyle w:val="af0"/>
            <w:rFonts w:ascii="宋体" w:hAnsi="宋体" w:hint="eastAsia"/>
            <w:noProof/>
            <w:sz w:val="24"/>
          </w:rPr>
          <w:t>九、基金的转换</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_Toc120105587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72</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8" w:history="1">
        <w:r w:rsidR="0020304A" w:rsidRPr="0020304A">
          <w:rPr>
            <w:rStyle w:val="af0"/>
            <w:rFonts w:ascii="宋体" w:hAnsi="宋体" w:hint="eastAsia"/>
            <w:noProof/>
            <w:sz w:val="24"/>
          </w:rPr>
          <w:t>十、基金的投资</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_Toc120105588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79</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89" w:history="1">
        <w:r w:rsidR="0020304A" w:rsidRPr="0020304A">
          <w:rPr>
            <w:rStyle w:val="af0"/>
            <w:rFonts w:ascii="宋体" w:hAnsi="宋体" w:hint="eastAsia"/>
            <w:noProof/>
            <w:sz w:val="24"/>
          </w:rPr>
          <w:t>十一、基金的业绩</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_Toc120105589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91</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0" w:history="1">
        <w:r w:rsidR="0020304A" w:rsidRPr="0020304A">
          <w:rPr>
            <w:rStyle w:val="af0"/>
            <w:rFonts w:ascii="宋体" w:hAnsi="宋体" w:hint="eastAsia"/>
            <w:noProof/>
            <w:sz w:val="24"/>
          </w:rPr>
          <w:t>十二、基金的财产</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_Toc120105590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95</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1" w:history="1">
        <w:r w:rsidR="0020304A" w:rsidRPr="0020304A">
          <w:rPr>
            <w:rStyle w:val="af0"/>
            <w:rFonts w:ascii="宋体" w:hAnsi="宋体" w:hint="eastAsia"/>
            <w:noProof/>
            <w:sz w:val="24"/>
          </w:rPr>
          <w:t>十三、基金资产的估值</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_Toc120105591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96</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2" w:history="1">
        <w:r w:rsidR="0020304A" w:rsidRPr="0020304A">
          <w:rPr>
            <w:rStyle w:val="af0"/>
            <w:rFonts w:ascii="宋体" w:hAnsi="宋体" w:hint="eastAsia"/>
            <w:noProof/>
            <w:sz w:val="24"/>
          </w:rPr>
          <w:t>十四、基金的收益与分配</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_Toc120105592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102</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3" w:history="1">
        <w:r w:rsidR="0020304A" w:rsidRPr="0020304A">
          <w:rPr>
            <w:rStyle w:val="af0"/>
            <w:rFonts w:ascii="宋体" w:hAnsi="宋体" w:hint="eastAsia"/>
            <w:noProof/>
            <w:sz w:val="24"/>
          </w:rPr>
          <w:t>十五、基金的费用与税收</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_Toc120105593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104</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4" w:history="1">
        <w:r w:rsidR="0020304A" w:rsidRPr="0020304A">
          <w:rPr>
            <w:rStyle w:val="af0"/>
            <w:rFonts w:ascii="宋体" w:hAnsi="宋体" w:hint="eastAsia"/>
            <w:noProof/>
            <w:sz w:val="24"/>
          </w:rPr>
          <w:t>十六、基金的会计与审计</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_Toc120105594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107</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5" w:history="1">
        <w:r w:rsidR="0020304A" w:rsidRPr="0020304A">
          <w:rPr>
            <w:rStyle w:val="af0"/>
            <w:rFonts w:ascii="宋体" w:hAnsi="宋体" w:hint="eastAsia"/>
            <w:noProof/>
            <w:sz w:val="24"/>
          </w:rPr>
          <w:t>十七、基金的信息披露</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_Toc120105595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108</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6" w:history="1">
        <w:r w:rsidR="0020304A" w:rsidRPr="0020304A">
          <w:rPr>
            <w:rStyle w:val="af0"/>
            <w:rFonts w:ascii="宋体" w:hAnsi="宋体" w:hint="eastAsia"/>
            <w:noProof/>
            <w:sz w:val="24"/>
          </w:rPr>
          <w:t>十八、风险揭示</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_Toc120105596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114</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7" w:history="1">
        <w:r w:rsidR="0020304A" w:rsidRPr="0020304A">
          <w:rPr>
            <w:rStyle w:val="af0"/>
            <w:rFonts w:ascii="宋体" w:hAnsi="宋体" w:hint="eastAsia"/>
            <w:noProof/>
            <w:sz w:val="24"/>
          </w:rPr>
          <w:t>十九、基金合同的终止与基金财产的清算</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_Toc120105597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121</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8" w:history="1">
        <w:r w:rsidR="0020304A" w:rsidRPr="0020304A">
          <w:rPr>
            <w:rStyle w:val="af0"/>
            <w:rFonts w:ascii="宋体" w:hAnsi="宋体" w:hint="eastAsia"/>
            <w:noProof/>
            <w:sz w:val="24"/>
          </w:rPr>
          <w:t>二十、基金合同的内容摘要</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_Toc120105598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123</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599" w:history="1">
        <w:r w:rsidR="0020304A" w:rsidRPr="0020304A">
          <w:rPr>
            <w:rStyle w:val="af0"/>
            <w:rFonts w:ascii="宋体" w:hAnsi="宋体" w:hint="eastAsia"/>
            <w:noProof/>
            <w:sz w:val="24"/>
          </w:rPr>
          <w:t>二十一、托管协议的内容摘要</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_Toc120105599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138</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600" w:history="1">
        <w:r w:rsidR="0020304A" w:rsidRPr="0020304A">
          <w:rPr>
            <w:rStyle w:val="af0"/>
            <w:rFonts w:ascii="宋体" w:hAnsi="宋体" w:hint="eastAsia"/>
            <w:noProof/>
            <w:sz w:val="24"/>
          </w:rPr>
          <w:t>二十二、对基金份额持有人的服务</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_Toc120105600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156</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601" w:history="1">
        <w:r w:rsidR="0020304A" w:rsidRPr="0020304A">
          <w:rPr>
            <w:rStyle w:val="af0"/>
            <w:rFonts w:ascii="宋体" w:hAnsi="宋体" w:hint="eastAsia"/>
            <w:noProof/>
            <w:sz w:val="24"/>
          </w:rPr>
          <w:t>二十三、其他应披露事项</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_Toc120105601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158</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602" w:history="1">
        <w:r w:rsidR="0020304A" w:rsidRPr="0020304A">
          <w:rPr>
            <w:rStyle w:val="af0"/>
            <w:rFonts w:ascii="宋体" w:hAnsi="宋体" w:hint="eastAsia"/>
            <w:noProof/>
            <w:sz w:val="24"/>
          </w:rPr>
          <w:t>二十四、招募说明书的存放及查阅方式</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_Toc120105602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160</w:t>
        </w:r>
        <w:r w:rsidR="0020304A" w:rsidRPr="0020304A">
          <w:rPr>
            <w:rFonts w:ascii="宋体" w:hAnsi="宋体"/>
            <w:noProof/>
            <w:sz w:val="24"/>
          </w:rPr>
          <w:fldChar w:fldCharType="end"/>
        </w:r>
      </w:hyperlink>
    </w:p>
    <w:p w:rsidR="0020304A" w:rsidRPr="0020304A" w:rsidRDefault="0069609F" w:rsidP="0020304A">
      <w:pPr>
        <w:pStyle w:val="11"/>
        <w:tabs>
          <w:tab w:val="right" w:leader="dot" w:pos="8550"/>
        </w:tabs>
        <w:spacing w:line="360" w:lineRule="auto"/>
        <w:rPr>
          <w:rFonts w:ascii="宋体" w:hAnsi="宋体" w:cstheme="minorBidi"/>
          <w:noProof/>
          <w:sz w:val="24"/>
        </w:rPr>
      </w:pPr>
      <w:hyperlink w:anchor="_Toc120105603" w:history="1">
        <w:r w:rsidR="0020304A" w:rsidRPr="0020304A">
          <w:rPr>
            <w:rStyle w:val="af0"/>
            <w:rFonts w:ascii="宋体" w:hAnsi="宋体" w:hint="eastAsia"/>
            <w:noProof/>
            <w:sz w:val="24"/>
          </w:rPr>
          <w:t>二十五、备查文件</w:t>
        </w:r>
        <w:r w:rsidR="0020304A" w:rsidRPr="0020304A">
          <w:rPr>
            <w:rFonts w:ascii="宋体" w:hAnsi="宋体"/>
            <w:noProof/>
            <w:sz w:val="24"/>
          </w:rPr>
          <w:tab/>
        </w:r>
        <w:r w:rsidR="0020304A" w:rsidRPr="0020304A">
          <w:rPr>
            <w:rFonts w:ascii="宋体" w:hAnsi="宋体"/>
            <w:noProof/>
            <w:sz w:val="24"/>
          </w:rPr>
          <w:fldChar w:fldCharType="begin"/>
        </w:r>
        <w:r w:rsidR="0020304A" w:rsidRPr="0020304A">
          <w:rPr>
            <w:rFonts w:ascii="宋体" w:hAnsi="宋体"/>
            <w:noProof/>
            <w:sz w:val="24"/>
          </w:rPr>
          <w:instrText xml:space="preserve"> PAGEREF _Toc120105603 \h </w:instrText>
        </w:r>
        <w:r w:rsidR="0020304A" w:rsidRPr="0020304A">
          <w:rPr>
            <w:rFonts w:ascii="宋体" w:hAnsi="宋体"/>
            <w:noProof/>
            <w:sz w:val="24"/>
          </w:rPr>
        </w:r>
        <w:r w:rsidR="0020304A" w:rsidRPr="0020304A">
          <w:rPr>
            <w:rFonts w:ascii="宋体" w:hAnsi="宋体"/>
            <w:noProof/>
            <w:sz w:val="24"/>
          </w:rPr>
          <w:fldChar w:fldCharType="separate"/>
        </w:r>
        <w:r w:rsidR="0020304A" w:rsidRPr="0020304A">
          <w:rPr>
            <w:rFonts w:ascii="宋体" w:hAnsi="宋体"/>
            <w:noProof/>
            <w:sz w:val="24"/>
          </w:rPr>
          <w:t>161</w:t>
        </w:r>
        <w:r w:rsidR="0020304A" w:rsidRPr="0020304A">
          <w:rPr>
            <w:rFonts w:ascii="宋体" w:hAnsi="宋体"/>
            <w:noProof/>
            <w:sz w:val="24"/>
          </w:rPr>
          <w:fldChar w:fldCharType="end"/>
        </w:r>
      </w:hyperlink>
    </w:p>
    <w:p w:rsidR="0098473B" w:rsidRDefault="0020304A" w:rsidP="00905DEA">
      <w:pPr>
        <w:pStyle w:val="af3"/>
        <w:snapToGrid w:val="0"/>
        <w:spacing w:after="240" w:line="360" w:lineRule="auto"/>
        <w:jc w:val="center"/>
        <w:rPr>
          <w:rFonts w:ascii="宋体" w:hAnsi="宋体"/>
          <w:szCs w:val="24"/>
        </w:rPr>
        <w:sectPr w:rsidR="0098473B">
          <w:pgSz w:w="11920" w:h="16840"/>
          <w:pgMar w:top="1480" w:right="1680" w:bottom="280" w:left="1680" w:header="0" w:footer="1073" w:gutter="0"/>
          <w:cols w:space="720"/>
        </w:sectPr>
      </w:pPr>
      <w:r w:rsidRPr="0020304A">
        <w:rPr>
          <w:rFonts w:ascii="宋体" w:hAnsi="宋体"/>
          <w:color w:val="000000"/>
          <w:position w:val="-4"/>
          <w:sz w:val="24"/>
          <w:szCs w:val="30"/>
        </w:rPr>
        <w:fldChar w:fldCharType="end"/>
      </w:r>
      <w:bookmarkStart w:id="3" w:name="_GoBack"/>
      <w:bookmarkEnd w:id="3"/>
    </w:p>
    <w:p w:rsidR="0098473B" w:rsidRDefault="0071464E">
      <w:pPr>
        <w:pStyle w:val="1"/>
        <w:snapToGrid w:val="0"/>
        <w:spacing w:beforeLines="0" w:before="240" w:after="240"/>
        <w:rPr>
          <w:rFonts w:ascii="宋体" w:hAnsi="宋体"/>
          <w:szCs w:val="30"/>
        </w:rPr>
      </w:pPr>
      <w:bookmarkStart w:id="4" w:name="_Toc120105579"/>
      <w:r>
        <w:rPr>
          <w:rFonts w:ascii="Times New Roman" w:hAnsi="Times New Roman"/>
          <w:sz w:val="30"/>
        </w:rPr>
        <w:lastRenderedPageBreak/>
        <w:t>一、绪言</w:t>
      </w:r>
      <w:bookmarkEnd w:id="4"/>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消费新驱动股票型证券投资基金招募说明书》（以下简称“本招募说明书”）依据《中华人民共和国证券投资基金法》、《公开募集证券投资基金运作管理办法》、《证券投资基金销售管理办法》、《公开募集证券投资基金信息披露管理办法》、《公开募集开放式证券投资基金流动性风险管理规定》（以下简称“《流动性规定》”）和其他相关法律法规的规定以及《交银施罗德消费新驱动股票型证券投资基金基金合同》（以下简称“基金合同”）编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5" w:name="_Toc120105580"/>
      <w:r>
        <w:rPr>
          <w:rFonts w:ascii="Times New Roman" w:hAnsi="Times New Roman"/>
          <w:sz w:val="30"/>
        </w:rPr>
        <w:lastRenderedPageBreak/>
        <w:t>二、释义</w:t>
      </w:r>
      <w:bookmarkEnd w:id="5"/>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1.基金或本基金：指交银施罗德消费新驱动股票型证券投资基金，本基金由交银施罗德沪深300行业分层等权重指数证券投资基金转型而来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3.基金托管人：指中国建设银行股份有限公司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的内容仅适用于原交银施罗德沪深300行业分层等权重指数证券投资基金，对变更后的交银施罗德消费新驱动股票型证券投资基金不适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6.招募说明书或本招募说明书：指《交银施罗德消费新驱动股票型证券投资基金招募说明书》及其更新，本基金招募说明书由《交银施罗德深300行业分层等权重指数证券投资基金（更新）招募说明书》修订而成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7.基金产品资料概要：指《交银施罗德消费新驱动股票型证券投资基金基金产品资料概要》及其更新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8.法律法规：指中国现行有效并公布实施的法律、行政法规、部门规章、规范性文件及对该等法律法规不时做出的修订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10.《销售办法》：指中国证监会2013年3月15日颁布、同年6月1日实施的《证券投资基金销售管理办法》及颁布机关对其不时做出的修订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11.《信息披露办法》：指中国证监会2019年7月26日颁布、同年9月1日实施的</w:t>
      </w:r>
      <w:r>
        <w:rPr>
          <w:rFonts w:ascii="宋体" w:hAnsi="宋体"/>
          <w:sz w:val="24"/>
        </w:rPr>
        <w:lastRenderedPageBreak/>
        <w:t>《公开募集证券投资基金信息披露管理办法》及颁布机关对其不时做出的修订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12.《运作办法》：指中国证监会2014年7月7日颁布、同年8月8日实施的《公开募集证券投资基金运作管理办法》及颁布机关对其不时做出的修订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13.《流动性规定》：指中国证监会2017年8月31日颁布、同年10月1日实施的《公开募集开放式证券投资基金流动性风险管理规定》及颁布机关对其不时做出的修订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14.中国：指中华人民共和国，就基金合同而言，不包括香港特别行政区、澳门特别行政区和台湾地区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16.中国银监会：指中国银行业监督管理委员会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19.机构投资者：指依法可以投资开放式证券投资基金的、在中国境内合法注册登记并存续或经有关政府部门批准设立并存续的企业法人、事业法人、社会团体或其他组织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22.投资人：指个人投资者、机构投资者、合格境外机构投资者和人民币合格境外机构投资者以及法律法规或中国证监会允许购买证券投资基金的其他投资人的合称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24.基金销售业务：指基金管理人或销售机构宣传推介基金，销售基金份额，办理基金份额的申购、赎回、转换、转托管及定期定额投资等业务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w:t>
      </w:r>
      <w:r>
        <w:rPr>
          <w:rFonts w:ascii="宋体" w:hAnsi="宋体"/>
          <w:sz w:val="24"/>
        </w:rPr>
        <w:lastRenderedPageBreak/>
        <w:t>务协议，办理基金销售业务的机构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注册登记业务：指基金登记、存管、过户、清算和结算业务，具体内容包括投资人基金账户的建立和管理、基金份额注册登记、基金销售业务的确认、清算和结算、代理发放红利、建立并保管基金份额持有人名册、办理</w:t>
      </w:r>
      <w:proofErr w:type="gramStart"/>
      <w:r>
        <w:rPr>
          <w:rFonts w:ascii="宋体" w:hAnsi="宋体"/>
          <w:sz w:val="24"/>
        </w:rPr>
        <w:t>非交易</w:t>
      </w:r>
      <w:proofErr w:type="gramEnd"/>
      <w:r>
        <w:rPr>
          <w:rFonts w:ascii="宋体" w:hAnsi="宋体"/>
          <w:sz w:val="24"/>
        </w:rPr>
        <w:t>过户业务等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27.注册登记机构：</w:t>
      </w:r>
      <w:proofErr w:type="gramStart"/>
      <w:r>
        <w:rPr>
          <w:rFonts w:ascii="宋体" w:hAnsi="宋体"/>
          <w:sz w:val="24"/>
        </w:rPr>
        <w:t>指办理</w:t>
      </w:r>
      <w:proofErr w:type="gramEnd"/>
      <w:r>
        <w:rPr>
          <w:rFonts w:ascii="宋体" w:hAnsi="宋体"/>
          <w:sz w:val="24"/>
        </w:rPr>
        <w:t>注册登记业务的机构。基金的注册登记机构为交银施罗德基金管理有限公司或接受交银施罗德基金管理有限公司委托代为办理注册登记业务的机构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29.基金交易账户：指销售机构为投资人开立的、记录投资人通过该销售机构办理申购、赎回、转换、转托管及定期定额投资等业务而引起本基金的基金份额变动及结余情况的账户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31.基金合同生效日：指基金募集达到法律法规规定及基金合同规定的条件，基金管理人向中国证监会办理基金备案手续完毕，并获得中国证监会书面确认的日期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效，《交银施罗德沪深300行业分层等权重指数证券投资基金基金合同》自同一日起失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34.存续期：指《交银施罗德沪深300行业分层等权重指数证券投资基金基金合同》生效至《交银施罗德消费新驱动股票型证券投资基金基金合同》终止之间的不</w:t>
      </w:r>
      <w:r>
        <w:rPr>
          <w:rFonts w:ascii="宋体" w:hAnsi="宋体"/>
          <w:sz w:val="24"/>
        </w:rPr>
        <w:lastRenderedPageBreak/>
        <w:t>定期期限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35.日/天：指公历日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36.月：指公历月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37.工作日：指上海证券交易所、深圳证券交易所的正常交易日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38.T日：指销售机构在规定时间受理投资人申购、赎回或其他业务申请的工作日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39.T+n日：指自T日起第n</w:t>
      </w:r>
      <w:proofErr w:type="gramStart"/>
      <w:r>
        <w:rPr>
          <w:rFonts w:ascii="宋体" w:hAnsi="宋体"/>
          <w:sz w:val="24"/>
        </w:rPr>
        <w:t>个</w:t>
      </w:r>
      <w:proofErr w:type="gramEnd"/>
      <w:r>
        <w:rPr>
          <w:rFonts w:ascii="宋体" w:hAnsi="宋体"/>
          <w:sz w:val="24"/>
        </w:rPr>
        <w:t>工作日(不包含T日)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40.开放日：指为投资人办理基金份额申购、赎回或其他业务的工作日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41.开放时间：指开放日基金接受申购、赎回或其他交易的时间段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43.申购：指基金合同生效后，投资人根据基金合同和招募说明书的规定申请购买基金份额的行为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44.赎回：指基金合同生效后，基金份额持有人按基金合同和招募说明书规定的条件要求将基金份额兑换为现金的行为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45.场外：指不通过上海证券交易所的开放式基金销售系统办理基金份额申购和赎回等业务的销售机构和场所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46.场内：指通过上海证券交易所的开放式基金销售系统办理基金份额申购和赎回等业务的销售机构和场所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47.注册登记系统：指中国证券登记结算有限责任公司开放式基金登记结算系统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48.证券登记结算系统：指中国证券登记结算有限责任公司上海分公司证券登记结算系统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50.转托管：指基金份额持有人在本基金的不同销售机构之间实施的变更所持</w:t>
      </w:r>
      <w:r>
        <w:rPr>
          <w:rFonts w:ascii="宋体" w:hAnsi="宋体"/>
          <w:sz w:val="24"/>
        </w:rPr>
        <w:lastRenderedPageBreak/>
        <w:t>基金份额销售机构的行为，包括系统内转</w:t>
      </w:r>
      <w:proofErr w:type="gramStart"/>
      <w:r>
        <w:rPr>
          <w:rFonts w:ascii="宋体" w:hAnsi="宋体"/>
          <w:sz w:val="24"/>
        </w:rPr>
        <w:t>托管及跨系统</w:t>
      </w:r>
      <w:proofErr w:type="gramEnd"/>
      <w:r>
        <w:rPr>
          <w:rFonts w:ascii="宋体" w:hAnsi="宋体"/>
          <w:sz w:val="24"/>
        </w:rPr>
        <w:t>转托管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51.系统内转托管：指基金份额持有人将持有的基金份额在注册登记系统内不同销售机构（网点）之间或证券登记结算系统内不同会员单位（交易单元）之间进行转托管的行为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52.跨系统转托管：指基金份额持有人将持有的基金份额在注册登记系统和证券登记结算系统间进行转托管的行为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55.元：指人民币元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56.基金利润：指基金利息收入、投资收益、公允价值变动收益和其他收入扣除相关费用后的余额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57.基金资产总值：指基金拥有的各类有价证券、股指期货合约、银行存款本息、基金应收申购款及其他资产的价值总和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58.基金资产净值：指基金资产总值减去基金负债后的净资产值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59.基金份额净值：指计算日基金资产净值除以计算日基金份额总数所得的基金单位份额的价值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60.基金资产估值：指计算评估基金资产和负债的价值，以确定基金资产净值和基金份额净值的过程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约定有条件提前支取的银行存款）、停牌股票、流通受限的新股及非公开发行股票、资产支持证券、因发行人债务违约无法进行转让或交易的债券等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62.指定媒介：指中国证监会指定的用以进行信息披露的全国性报刊及指定互联网网站（包括基金管理人网站、基金托管人网站、中国证监会基金电子披露网站）等媒介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63.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6" w:name="_Toc120105581"/>
      <w:r>
        <w:rPr>
          <w:rFonts w:ascii="Times New Roman" w:hAnsi="Times New Roman"/>
          <w:sz w:val="30"/>
        </w:rPr>
        <w:lastRenderedPageBreak/>
        <w:t>三、基金管理人</w:t>
      </w:r>
      <w:bookmarkEnd w:id="6"/>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w:t>
      </w:r>
      <w:proofErr w:type="gramStart"/>
      <w:r>
        <w:rPr>
          <w:rFonts w:ascii="宋体" w:hAnsi="宋体"/>
          <w:sz w:val="24"/>
        </w:rPr>
        <w:t>内控案防</w:t>
      </w:r>
      <w:proofErr w:type="gramEnd"/>
      <w:r>
        <w:rPr>
          <w:rFonts w:ascii="宋体" w:hAnsi="宋体"/>
          <w:sz w:val="24"/>
        </w:rPr>
        <w:t>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Debruyne）先生，硕士。现任施罗德集团全球业务总裁, 担任集团管理委员会成员。历任施罗德投资管理有限公司亚洲投资产品总监、亚太区行政总裁、施罗德投资管理（香港）有限公司行政总裁兼亚太区基金业务拓展总监。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韩威俊先生:基金经理。上海财经大学金融学硕士，16年证券投资行业从业经验。2005年至2008年担任申银万国证券研究所助理分析师，2008年至2009年担任北京鼎天资产管理有限公司董事助理，2009年至2010年担任申银万国证券研究所行业分析师，2010年至2013年</w:t>
      </w:r>
      <w:proofErr w:type="gramStart"/>
      <w:r>
        <w:rPr>
          <w:rFonts w:ascii="宋体" w:hAnsi="宋体"/>
          <w:sz w:val="24"/>
        </w:rPr>
        <w:t>担任信诚基金</w:t>
      </w:r>
      <w:proofErr w:type="gramEnd"/>
      <w:r>
        <w:rPr>
          <w:rFonts w:ascii="宋体" w:hAnsi="宋体"/>
          <w:sz w:val="24"/>
        </w:rPr>
        <w:t>管理有限公司投资分析师。2013年加入交银施罗德基金管理有限公司，曾</w:t>
      </w:r>
      <w:proofErr w:type="gramStart"/>
      <w:r>
        <w:rPr>
          <w:rFonts w:ascii="宋体" w:hAnsi="宋体"/>
          <w:sz w:val="24"/>
        </w:rPr>
        <w:t>任行业</w:t>
      </w:r>
      <w:proofErr w:type="gramEnd"/>
      <w:r>
        <w:rPr>
          <w:rFonts w:ascii="宋体" w:hAnsi="宋体"/>
          <w:sz w:val="24"/>
        </w:rPr>
        <w:t>分析师，现任权益</w:t>
      </w:r>
      <w:proofErr w:type="gramStart"/>
      <w:r>
        <w:rPr>
          <w:rFonts w:ascii="宋体" w:hAnsi="宋体"/>
          <w:sz w:val="24"/>
        </w:rPr>
        <w:t>部基金</w:t>
      </w:r>
      <w:proofErr w:type="gramEnd"/>
      <w:r>
        <w:rPr>
          <w:rFonts w:ascii="宋体" w:hAnsi="宋体"/>
          <w:sz w:val="24"/>
        </w:rPr>
        <w:t>经理。</w:t>
      </w:r>
      <w:proofErr w:type="gramStart"/>
      <w:r>
        <w:rPr>
          <w:rFonts w:ascii="宋体" w:hAnsi="宋体"/>
          <w:sz w:val="24"/>
        </w:rPr>
        <w:t>曾任交银</w:t>
      </w:r>
      <w:proofErr w:type="gramEnd"/>
      <w:r>
        <w:rPr>
          <w:rFonts w:ascii="宋体" w:hAnsi="宋体"/>
          <w:sz w:val="24"/>
        </w:rPr>
        <w:t>施罗德趋势优先混合型证券投资基金(2017年06月03日至2020年05月26日)的基金经理。</w:t>
      </w:r>
      <w:r>
        <w:rPr>
          <w:rFonts w:ascii="宋体" w:hAnsi="宋体"/>
          <w:sz w:val="24"/>
        </w:rPr>
        <w:lastRenderedPageBreak/>
        <w:t>现任交银施罗德策略回报灵活配置混合型证券投资基金(2016年01月20日至今)、交银施罗德股息优化混合型证券投资基金(2017年08月25日至今)、交银施罗德品质升级混合型证券投资基金(2018年02月08日至今)、交银施罗德消费新驱动股票型证券投资基金(2018年08月24日至今)、交银施罗德内需增长一年持有期混合型证券投资基金(2020年12月11日至今)、交银施罗德品质增长一年持有期混合型证券投资基金(2021年07月23日至今)的基金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屈乐伟先生(2012年11月07日至2013年03月29日)；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蔡铮先生(2012年12月27日至2015年06月30日)；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李德亮先生(2015年07月01日至2015年08月28日)；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盖婷婷女士(2015年07月01日至2018年09月05日)。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上述人员之间无近亲属关系，上述各项人员信息更新截止日为2022年11月02日，期后变动（如有）敬请关注基金管理人发布的相关公告。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9、按照规定召集基金份额持有人大会；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（六）基金管理人的内部控制制度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（5）督察长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建立、健全了岗位责任制，使每个员工都明确自己的任务、职责，并及时将各自工作领域中的风险隐患上报，以防范和减少风险。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7" w:name="_Toc120105582"/>
      <w:r>
        <w:rPr>
          <w:rFonts w:ascii="Times New Roman" w:hAnsi="Times New Roman"/>
          <w:sz w:val="30"/>
        </w:rPr>
        <w:lastRenderedPageBreak/>
        <w:t>四、基金托管人</w:t>
      </w:r>
      <w:bookmarkEnd w:id="7"/>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成立时间：2004年09月17日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proofErr w:type="gramStart"/>
      <w:r>
        <w:rPr>
          <w:rFonts w:ascii="宋体" w:hAnsi="宋体"/>
          <w:sz w:val="24"/>
        </w:rPr>
        <w:t>贰仟伍佰亿壹仟零玖拾柒万柒仟肆佰捌拾陆</w:t>
      </w:r>
      <w:proofErr w:type="gramEnd"/>
      <w:r>
        <w:rPr>
          <w:rFonts w:ascii="宋体" w:hAnsi="宋体"/>
          <w:sz w:val="24"/>
        </w:rPr>
        <w:t>元整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w:t>
      </w:r>
      <w:proofErr w:type="gramStart"/>
      <w:r>
        <w:rPr>
          <w:rFonts w:ascii="宋体" w:hAnsi="宋体"/>
          <w:sz w:val="24"/>
        </w:rPr>
        <w:t>证监基字</w:t>
      </w:r>
      <w:proofErr w:type="gramEnd"/>
      <w:r>
        <w:rPr>
          <w:rFonts w:ascii="宋体" w:hAnsi="宋体"/>
          <w:sz w:val="24"/>
        </w:rPr>
        <w:t>[1998]12号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联系电话：(021)6063 7102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中国建设银行总行</w:t>
      </w:r>
      <w:proofErr w:type="gramStart"/>
      <w:r>
        <w:rPr>
          <w:rFonts w:ascii="宋体" w:hAnsi="宋体"/>
          <w:sz w:val="24"/>
        </w:rPr>
        <w:t>设资产</w:t>
      </w:r>
      <w:proofErr w:type="gramEnd"/>
      <w:r>
        <w:rPr>
          <w:rFonts w:ascii="宋体" w:hAnsi="宋体"/>
          <w:sz w:val="24"/>
        </w:rPr>
        <w:t>托管业务部，下设综合处、基金市场处、证券保险资产市场处、理财信托股权市场处、全球托管处、养老金托管处、新兴业务处、运营管理处、跨境托管运营处、社保及大客户服务处、托管应用系统支持处、合</w:t>
      </w:r>
      <w:proofErr w:type="gramStart"/>
      <w:r>
        <w:rPr>
          <w:rFonts w:ascii="宋体" w:hAnsi="宋体"/>
          <w:sz w:val="24"/>
        </w:rPr>
        <w:t>规</w:t>
      </w:r>
      <w:proofErr w:type="gramEnd"/>
      <w:r>
        <w:rPr>
          <w:rFonts w:ascii="宋体" w:hAnsi="宋体"/>
          <w:sz w:val="24"/>
        </w:rPr>
        <w:t>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w:t>
      </w:r>
      <w:proofErr w:type="gramStart"/>
      <w:r>
        <w:rPr>
          <w:rFonts w:ascii="宋体" w:hAnsi="宋体"/>
          <w:sz w:val="24"/>
        </w:rPr>
        <w:t>托业务</w:t>
      </w:r>
      <w:proofErr w:type="gramEnd"/>
      <w:r>
        <w:rPr>
          <w:rFonts w:ascii="宋体" w:hAnsi="宋体"/>
          <w:sz w:val="24"/>
        </w:rPr>
        <w:t>等产品在内的托管业务体系，是目前国内托管业务品种最齐全的商业银行之一。截至2022年1季度末，中国建设银行已托管</w:t>
      </w:r>
      <w:r>
        <w:rPr>
          <w:rFonts w:ascii="宋体" w:hAnsi="宋体"/>
          <w:sz w:val="24"/>
        </w:rPr>
        <w:lastRenderedPageBreak/>
        <w:t>1203只证券投资基金。中国建设银行专业高效的托管服务能力和业务水平，赢得了业内的高度认同。截至目前，中国建设银行先后多次被《全球托管人》、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2020、2021年分别荣获《亚洲银行家》颁发的“最佳托管系统实施奖”、“中国年度托管业务科技实施奖”、“中国年度托管银行（大型银行）”以及“中国最佳数字化资产托管银行”奖项。</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（二）基金托管人的内部控制制度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中国建设银行设有风险与内控管理委员会，负责全行风险管理与内部控制工作，对托管业务风险控制工作进行检查指导。资产托管业务部配备了专职内控合</w:t>
      </w:r>
      <w:proofErr w:type="gramStart"/>
      <w:r>
        <w:rPr>
          <w:rFonts w:ascii="宋体" w:hAnsi="宋体"/>
          <w:sz w:val="24"/>
        </w:rPr>
        <w:t>规</w:t>
      </w:r>
      <w:proofErr w:type="gramEnd"/>
      <w:r>
        <w:rPr>
          <w:rFonts w:ascii="宋体" w:hAnsi="宋体"/>
          <w:sz w:val="24"/>
        </w:rPr>
        <w:t>人员负责托管业务的内控合</w:t>
      </w:r>
      <w:proofErr w:type="gramStart"/>
      <w:r>
        <w:rPr>
          <w:rFonts w:ascii="宋体" w:hAnsi="宋体"/>
          <w:sz w:val="24"/>
        </w:rPr>
        <w:t>规</w:t>
      </w:r>
      <w:proofErr w:type="gramEnd"/>
      <w:r>
        <w:rPr>
          <w:rFonts w:ascii="宋体" w:hAnsi="宋体"/>
          <w:sz w:val="24"/>
        </w:rPr>
        <w:t>工作，具有独立行使内控合</w:t>
      </w:r>
      <w:proofErr w:type="gramStart"/>
      <w:r>
        <w:rPr>
          <w:rFonts w:ascii="宋体" w:hAnsi="宋体"/>
          <w:sz w:val="24"/>
        </w:rPr>
        <w:t>规</w:t>
      </w:r>
      <w:proofErr w:type="gramEnd"/>
      <w:r>
        <w:rPr>
          <w:rFonts w:ascii="宋体" w:hAnsi="宋体"/>
          <w:sz w:val="24"/>
        </w:rPr>
        <w:t>工作职权和能力。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Pr>
          <w:rFonts w:ascii="宋体" w:hAnsi="宋体"/>
          <w:sz w:val="24"/>
        </w:rPr>
        <w:t>操作区</w:t>
      </w:r>
      <w:proofErr w:type="gramEnd"/>
      <w:r>
        <w:rPr>
          <w:rFonts w:ascii="宋体" w:hAnsi="宋体"/>
          <w:sz w:val="24"/>
        </w:rPr>
        <w:t>专门设置，封闭管理，实施音像监控；业务信息由专职信息披露人负责，防止泄密；业务实现自动化操作，防止人为事故的发生，技术系统完整、独立。</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依照《基金法》及其配套法规和基金合同的约定，监督所托管基金的投资运作。利用自行开发的“新一代托管应用监督子系统”，严格按照现行法律法规以及</w:t>
      </w:r>
      <w:r>
        <w:rPr>
          <w:rFonts w:ascii="宋体" w:hAnsi="宋体"/>
          <w:sz w:val="24"/>
        </w:rPr>
        <w:lastRenderedPageBreak/>
        <w:t>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2、监督流程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(2)收到基金管理人的划款指令后，对指令要素等内容进行核查。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(3)通过技术或非技术手段发现基金涉嫌违规交易，电话或书面要求基金管理人进行解释或举证，如有必要将及时报告中国证监会。</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8" w:name="_Toc120105583"/>
      <w:r>
        <w:rPr>
          <w:rFonts w:ascii="Times New Roman" w:hAnsi="Times New Roman"/>
          <w:sz w:val="30"/>
        </w:rPr>
        <w:lastRenderedPageBreak/>
        <w:t>五、相关服务机构</w:t>
      </w:r>
      <w:bookmarkEnd w:id="8"/>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本基金直销机构为基金管理人以及基金管理人的网上直销交易平台（网站及手机APP，下同）。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个人投资者可以通过基金管理人网上直销交易平台办理开户、本基金的场外申购、赎回、转换、定期定额投资等业务，具体交易细则请参阅基金管理人网站。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2、场内销售机构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具有基金销售资格的上海证券交易所场内会员单位，名单详见上海证券交易所网站。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3、代销机构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客户服务电话：95559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（2）名称：中国建设银行股份有限公司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（3）名称：中国农业银行股份有限公司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w:t>
      </w:r>
      <w:proofErr w:type="gramStart"/>
      <w:r>
        <w:rPr>
          <w:rFonts w:ascii="宋体" w:hAnsi="宋体"/>
          <w:sz w:val="24"/>
        </w:rPr>
        <w:t>凯</w:t>
      </w:r>
      <w:proofErr w:type="gramEnd"/>
      <w:r>
        <w:rPr>
          <w:rFonts w:ascii="宋体" w:hAnsi="宋体"/>
          <w:sz w:val="24"/>
        </w:rPr>
        <w:t>晨世贸中心东座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（4）名称：招商银行股份有限公司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（5）名称：江苏常熟农村商业银行股份有限公司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办公地址：江苏省常熟市新世纪大道58号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（6）名称：东莞农村商业银行股份有限公司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（7）名称：江苏江南农村商业银行股份有限公司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（8）名称：中信银行股份有限公司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传真：（010）85230024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（9）名称：宁波银行股份有限公司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（10）名称：平安银行股份有限公司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（11）名称：光大证券股份有限公司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（12）名称：中信证券股份有限公司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（13）名称：中国中金财富证券有限公司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（14）名称：华</w:t>
      </w:r>
      <w:proofErr w:type="gramStart"/>
      <w:r>
        <w:rPr>
          <w:rFonts w:ascii="宋体" w:hAnsi="宋体"/>
          <w:sz w:val="24"/>
        </w:rPr>
        <w:t>福证券</w:t>
      </w:r>
      <w:proofErr w:type="gramEnd"/>
      <w:r>
        <w:rPr>
          <w:rFonts w:ascii="宋体" w:hAnsi="宋体"/>
          <w:sz w:val="24"/>
        </w:rPr>
        <w:t>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w:t>
      </w:r>
      <w:proofErr w:type="gramStart"/>
      <w:r>
        <w:rPr>
          <w:rFonts w:ascii="宋体" w:hAnsi="宋体"/>
          <w:sz w:val="24"/>
        </w:rPr>
        <w:t>五四</w:t>
      </w:r>
      <w:proofErr w:type="gramEnd"/>
      <w:r>
        <w:rPr>
          <w:rFonts w:ascii="宋体" w:hAnsi="宋体"/>
          <w:sz w:val="24"/>
        </w:rPr>
        <w:t>路157号新天地大厦7、8层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w:t>
      </w:r>
      <w:proofErr w:type="gramStart"/>
      <w:r>
        <w:rPr>
          <w:rFonts w:ascii="宋体" w:hAnsi="宋体"/>
          <w:sz w:val="24"/>
        </w:rPr>
        <w:t>五四</w:t>
      </w:r>
      <w:proofErr w:type="gramEnd"/>
      <w:r>
        <w:rPr>
          <w:rFonts w:ascii="宋体" w:hAnsi="宋体"/>
          <w:sz w:val="24"/>
        </w:rPr>
        <w:t>路新天地大厦7至10层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w:t>
      </w:r>
      <w:proofErr w:type="gramStart"/>
      <w:r>
        <w:rPr>
          <w:rFonts w:ascii="宋体" w:hAnsi="宋体"/>
          <w:sz w:val="24"/>
        </w:rPr>
        <w:t>琳</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（15）名称：方正证券股份有限公司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联系人：徐锦福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（16）名称：中航证券有限公司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w:t>
      </w:r>
      <w:proofErr w:type="gramStart"/>
      <w:r>
        <w:rPr>
          <w:rFonts w:ascii="宋体" w:hAnsi="宋体"/>
          <w:sz w:val="24"/>
        </w:rPr>
        <w:t>红谷滩</w:t>
      </w:r>
      <w:proofErr w:type="gramEnd"/>
      <w:r>
        <w:rPr>
          <w:rFonts w:ascii="宋体" w:hAnsi="宋体"/>
          <w:sz w:val="24"/>
        </w:rPr>
        <w:t>新区红谷中大道1619号国际金融大厦41楼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w:t>
      </w:r>
      <w:proofErr w:type="gramStart"/>
      <w:r>
        <w:rPr>
          <w:rFonts w:ascii="宋体" w:hAnsi="宋体"/>
          <w:sz w:val="24"/>
        </w:rPr>
        <w:t>红谷滩</w:t>
      </w:r>
      <w:proofErr w:type="gramEnd"/>
      <w:r>
        <w:rPr>
          <w:rFonts w:ascii="宋体" w:hAnsi="宋体"/>
          <w:sz w:val="24"/>
        </w:rPr>
        <w:t>新区红谷中大道1619号国际金融大厦41楼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w:t>
      </w:r>
      <w:proofErr w:type="gramStart"/>
      <w:r>
        <w:rPr>
          <w:rFonts w:ascii="宋体" w:hAnsi="宋体"/>
          <w:sz w:val="24"/>
        </w:rPr>
        <w:t>信建投证券</w:t>
      </w:r>
      <w:proofErr w:type="gramEnd"/>
      <w:r>
        <w:rPr>
          <w:rFonts w:ascii="宋体" w:hAnsi="宋体"/>
          <w:sz w:val="24"/>
        </w:rPr>
        <w:t>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（18）名称：中原证券股份有限公司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菅</w:t>
      </w:r>
      <w:proofErr w:type="gramEnd"/>
      <w:r>
        <w:rPr>
          <w:rFonts w:ascii="宋体" w:hAnsi="宋体"/>
          <w:sz w:val="24"/>
        </w:rPr>
        <w:t>明军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程月艳</w:t>
      </w:r>
      <w:proofErr w:type="gramEnd"/>
      <w:r>
        <w:rPr>
          <w:rFonts w:ascii="宋体" w:hAnsi="宋体"/>
          <w:sz w:val="24"/>
        </w:rPr>
        <w:t xml:space="preserve"> 李盼</w:t>
      </w:r>
      <w:proofErr w:type="gramStart"/>
      <w:r>
        <w:rPr>
          <w:rFonts w:ascii="宋体" w:hAnsi="宋体"/>
          <w:sz w:val="24"/>
        </w:rPr>
        <w:t>盼</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（19）名称：国信证券股份有限公司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住所：深圳市罗湖区红岭中路1012号国信证券大厦16-26楼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（20）名称：海通证券股份有限公司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w:t>
      </w:r>
      <w:proofErr w:type="gramStart"/>
      <w:r>
        <w:rPr>
          <w:rFonts w:ascii="宋体" w:hAnsi="宋体"/>
          <w:sz w:val="24"/>
        </w:rPr>
        <w:t>长城国瑞证券</w:t>
      </w:r>
      <w:proofErr w:type="gramEnd"/>
      <w:r>
        <w:rPr>
          <w:rFonts w:ascii="宋体" w:hAnsi="宋体"/>
          <w:sz w:val="24"/>
        </w:rPr>
        <w:t>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（22）名称：招商证券股份有限公司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电话：（0755）82943666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（23）名称：国泰君安证券股份有限公司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w:t>
      </w:r>
      <w:proofErr w:type="gramStart"/>
      <w:r>
        <w:rPr>
          <w:rFonts w:ascii="宋体" w:hAnsi="宋体"/>
          <w:sz w:val="24"/>
        </w:rPr>
        <w:t>华融证券</w:t>
      </w:r>
      <w:proofErr w:type="gramEnd"/>
      <w:r>
        <w:rPr>
          <w:rFonts w:ascii="宋体" w:hAnsi="宋体"/>
          <w:sz w:val="24"/>
        </w:rPr>
        <w:t>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（25）名称：信</w:t>
      </w:r>
      <w:proofErr w:type="gramStart"/>
      <w:r>
        <w:rPr>
          <w:rFonts w:ascii="宋体" w:hAnsi="宋体"/>
          <w:sz w:val="24"/>
        </w:rPr>
        <w:t>达证券</w:t>
      </w:r>
      <w:proofErr w:type="gramEnd"/>
      <w:r>
        <w:rPr>
          <w:rFonts w:ascii="宋体" w:hAnsi="宋体"/>
          <w:sz w:val="24"/>
        </w:rPr>
        <w:t>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客户服务电话：95321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（26）名称：渤海证券股份有限公司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w:t>
      </w:r>
      <w:proofErr w:type="gramStart"/>
      <w:r>
        <w:rPr>
          <w:rFonts w:ascii="宋体" w:hAnsi="宋体"/>
          <w:sz w:val="24"/>
        </w:rPr>
        <w:t>南开区宾水</w:t>
      </w:r>
      <w:proofErr w:type="gramEnd"/>
      <w:r>
        <w:rPr>
          <w:rFonts w:ascii="宋体" w:hAnsi="宋体"/>
          <w:sz w:val="24"/>
        </w:rPr>
        <w:t>西道8号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（27）名称：国金证券股份有限公司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（28）名称：长城证券有限责任公司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（29）名称：瑞银证券有限责任公司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w:t>
      </w:r>
      <w:proofErr w:type="gramStart"/>
      <w:r>
        <w:rPr>
          <w:rFonts w:ascii="宋体" w:hAnsi="宋体"/>
          <w:sz w:val="24"/>
        </w:rPr>
        <w:t>英蓝国际</w:t>
      </w:r>
      <w:proofErr w:type="gramEnd"/>
      <w:r>
        <w:rPr>
          <w:rFonts w:ascii="宋体" w:hAnsi="宋体"/>
          <w:sz w:val="24"/>
        </w:rPr>
        <w:t>金融中心12层、15层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办公地址：北京市西城区金融大街7号</w:t>
      </w:r>
      <w:proofErr w:type="gramStart"/>
      <w:r>
        <w:rPr>
          <w:rFonts w:ascii="宋体" w:hAnsi="宋体"/>
          <w:sz w:val="24"/>
        </w:rPr>
        <w:t>英蓝国际</w:t>
      </w:r>
      <w:proofErr w:type="gramEnd"/>
      <w:r>
        <w:rPr>
          <w:rFonts w:ascii="宋体" w:hAnsi="宋体"/>
          <w:sz w:val="24"/>
        </w:rPr>
        <w:t>金融中心12层、15层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（30）名称：中国国际金融股份有限公司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毕明建</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（31）名称：江海证券有限公司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w:t>
      </w:r>
      <w:proofErr w:type="gramStart"/>
      <w:r>
        <w:rPr>
          <w:rFonts w:ascii="宋体" w:hAnsi="宋体"/>
          <w:sz w:val="24"/>
        </w:rPr>
        <w:t>坊区赣水路</w:t>
      </w:r>
      <w:proofErr w:type="gramEnd"/>
      <w:r>
        <w:rPr>
          <w:rFonts w:ascii="宋体" w:hAnsi="宋体"/>
          <w:sz w:val="24"/>
        </w:rPr>
        <w:t>56号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（32）名称：中泰证券股份有限公司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客户服务电话：95538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w:t>
      </w:r>
      <w:proofErr w:type="gramStart"/>
      <w:r>
        <w:rPr>
          <w:rFonts w:ascii="宋体" w:hAnsi="宋体"/>
          <w:sz w:val="24"/>
        </w:rPr>
        <w:t>申万宏</w:t>
      </w:r>
      <w:proofErr w:type="gramEnd"/>
      <w:r>
        <w:rPr>
          <w:rFonts w:ascii="宋体" w:hAnsi="宋体"/>
          <w:sz w:val="24"/>
        </w:rPr>
        <w:t>源西部证券有限公司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（34）名称：中信证券（山东）有限责任公司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w:t>
      </w:r>
      <w:proofErr w:type="gramStart"/>
      <w:r>
        <w:rPr>
          <w:rFonts w:ascii="宋体" w:hAnsi="宋体"/>
          <w:sz w:val="24"/>
        </w:rPr>
        <w:t>翔广场东</w:t>
      </w:r>
      <w:proofErr w:type="gramEnd"/>
      <w:r>
        <w:rPr>
          <w:rFonts w:ascii="宋体" w:hAnsi="宋体"/>
          <w:sz w:val="24"/>
        </w:rPr>
        <w:t>座5层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（35）名称：中国银河证券股份有限公司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陈共炎</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w:t>
      </w:r>
      <w:proofErr w:type="gramStart"/>
      <w:r>
        <w:rPr>
          <w:rFonts w:ascii="宋体" w:hAnsi="宋体"/>
          <w:sz w:val="24"/>
        </w:rPr>
        <w:t>申万宏源证券</w:t>
      </w:r>
      <w:proofErr w:type="gramEnd"/>
      <w:r>
        <w:rPr>
          <w:rFonts w:ascii="宋体" w:hAnsi="宋体"/>
          <w:sz w:val="24"/>
        </w:rPr>
        <w:t>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办公地址：上海市徐汇区长乐路989号世纪商贸广场45层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（37）名称：国都证券股份有限公司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（38）名称：平安证券股份有限公司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郑舒丽</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（39）名称：安信证券股份有限公司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（40）名称：兴业证券股份有限公司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（41）名称：华</w:t>
      </w:r>
      <w:proofErr w:type="gramStart"/>
      <w:r>
        <w:rPr>
          <w:rFonts w:ascii="宋体" w:hAnsi="宋体"/>
          <w:sz w:val="24"/>
        </w:rPr>
        <w:t>宝证券</w:t>
      </w:r>
      <w:proofErr w:type="gramEnd"/>
      <w:r>
        <w:rPr>
          <w:rFonts w:ascii="宋体" w:hAnsi="宋体"/>
          <w:sz w:val="24"/>
        </w:rPr>
        <w:t>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新区世纪</w:t>
      </w:r>
      <w:proofErr w:type="gramEnd"/>
      <w:r>
        <w:rPr>
          <w:rFonts w:ascii="宋体" w:hAnsi="宋体"/>
          <w:sz w:val="24"/>
        </w:rPr>
        <w:t>大道100号上海环球金融中心57楼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（42）名称：爱建证券有限责任公司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大道1600号32楼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（43）名称：联</w:t>
      </w:r>
      <w:proofErr w:type="gramStart"/>
      <w:r>
        <w:rPr>
          <w:rFonts w:ascii="宋体" w:hAnsi="宋体"/>
          <w:sz w:val="24"/>
        </w:rPr>
        <w:t>讯证券</w:t>
      </w:r>
      <w:proofErr w:type="gramEnd"/>
      <w:r>
        <w:rPr>
          <w:rFonts w:ascii="宋体" w:hAnsi="宋体"/>
          <w:sz w:val="24"/>
        </w:rPr>
        <w:t>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法定代表人：徐刚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（44）名称：华西证券股份有限公司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（45）名称：大同证券有限责任公司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（46）名称：东莞证券股份有限公司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w:t>
      </w:r>
      <w:proofErr w:type="gramStart"/>
      <w:r>
        <w:rPr>
          <w:rFonts w:ascii="宋体" w:hAnsi="宋体"/>
          <w:sz w:val="24"/>
        </w:rPr>
        <w:t>莞</w:t>
      </w:r>
      <w:proofErr w:type="gramEnd"/>
      <w:r>
        <w:rPr>
          <w:rFonts w:ascii="宋体" w:hAnsi="宋体"/>
          <w:sz w:val="24"/>
        </w:rPr>
        <w:t>城区可园南路一号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w:t>
      </w:r>
      <w:proofErr w:type="gramStart"/>
      <w:r>
        <w:rPr>
          <w:rFonts w:ascii="宋体" w:hAnsi="宋体"/>
          <w:sz w:val="24"/>
        </w:rPr>
        <w:t>莞</w:t>
      </w:r>
      <w:proofErr w:type="gramEnd"/>
      <w:r>
        <w:rPr>
          <w:rFonts w:ascii="宋体" w:hAnsi="宋体"/>
          <w:sz w:val="24"/>
        </w:rPr>
        <w:t>城区可园南路一号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客户服务电话：95328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（47）名称：中信证券华南股份有限公司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胡伏云</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（48）名称：第一创业证券股份有限公司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（49）名称：东方财富证券股份有限公司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（50）名称：德</w:t>
      </w:r>
      <w:proofErr w:type="gramStart"/>
      <w:r>
        <w:rPr>
          <w:rFonts w:ascii="宋体" w:hAnsi="宋体"/>
          <w:sz w:val="24"/>
        </w:rPr>
        <w:t>邦</w:t>
      </w:r>
      <w:proofErr w:type="gramEnd"/>
      <w:r>
        <w:rPr>
          <w:rFonts w:ascii="宋体" w:hAnsi="宋体"/>
          <w:sz w:val="24"/>
        </w:rPr>
        <w:t>证券有限责任公司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住所：上海市普陀区曹杨路510号南半幢9楼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（51）名称：北京钱景财富投资管理有限公司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（52）名称：上海大智慧基金销售有限公司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新区杨</w:t>
      </w:r>
      <w:proofErr w:type="gramEnd"/>
      <w:r>
        <w:rPr>
          <w:rFonts w:ascii="宋体" w:hAnsi="宋体"/>
          <w:sz w:val="24"/>
        </w:rPr>
        <w:t>高南路428号1号楼10-11层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新区杨</w:t>
      </w:r>
      <w:proofErr w:type="gramEnd"/>
      <w:r>
        <w:rPr>
          <w:rFonts w:ascii="宋体" w:hAnsi="宋体"/>
          <w:sz w:val="24"/>
        </w:rPr>
        <w:t>高南路428号1号楼10-11层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蜓</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（53）名称：诺亚正行(上海)基金销售投资顾问有限公司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传真：（021）38509777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（54）名称：上海好买基金销售有限公司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（55）名称：上海长</w:t>
      </w:r>
      <w:proofErr w:type="gramStart"/>
      <w:r>
        <w:rPr>
          <w:rFonts w:ascii="宋体" w:hAnsi="宋体"/>
          <w:sz w:val="24"/>
        </w:rPr>
        <w:t>量基金</w:t>
      </w:r>
      <w:proofErr w:type="gramEnd"/>
      <w:r>
        <w:rPr>
          <w:rFonts w:ascii="宋体" w:hAnsi="宋体"/>
          <w:sz w:val="24"/>
        </w:rPr>
        <w:t>销售投资顾问有限公司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w:t>
      </w:r>
      <w:proofErr w:type="gramStart"/>
      <w:r>
        <w:rPr>
          <w:rFonts w:ascii="宋体" w:hAnsi="宋体"/>
          <w:sz w:val="24"/>
        </w:rPr>
        <w:t>景国际</w:t>
      </w:r>
      <w:proofErr w:type="gramEnd"/>
      <w:r>
        <w:rPr>
          <w:rFonts w:ascii="宋体" w:hAnsi="宋体"/>
          <w:sz w:val="24"/>
        </w:rPr>
        <w:t>B座16层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（56）名称：深圳</w:t>
      </w:r>
      <w:proofErr w:type="gramStart"/>
      <w:r>
        <w:rPr>
          <w:rFonts w:ascii="宋体" w:hAnsi="宋体"/>
          <w:sz w:val="24"/>
        </w:rPr>
        <w:t>众禄基金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（57）名称：蚂蚁（杭州）基金销售有限公司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（58）名称：天</w:t>
      </w:r>
      <w:proofErr w:type="gramStart"/>
      <w:r>
        <w:rPr>
          <w:rFonts w:ascii="宋体" w:hAnsi="宋体"/>
          <w:sz w:val="24"/>
        </w:rPr>
        <w:t>相投资</w:t>
      </w:r>
      <w:proofErr w:type="gramEnd"/>
      <w:r>
        <w:rPr>
          <w:rFonts w:ascii="宋体" w:hAnsi="宋体"/>
          <w:sz w:val="24"/>
        </w:rPr>
        <w:t>顾问有限公司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（59）名称：一路财富（北京）信息科技有限公司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（60）名称：北京</w:t>
      </w:r>
      <w:proofErr w:type="gramStart"/>
      <w:r>
        <w:rPr>
          <w:rFonts w:ascii="宋体" w:hAnsi="宋体"/>
          <w:sz w:val="24"/>
        </w:rPr>
        <w:t>展恒基金</w:t>
      </w:r>
      <w:proofErr w:type="gramEnd"/>
      <w:r>
        <w:rPr>
          <w:rFonts w:ascii="宋体" w:hAnsi="宋体"/>
          <w:sz w:val="24"/>
        </w:rPr>
        <w:t>销售股份有限公司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传真：（010）62020355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（61）名称：深圳市新兰德证券投资咨询有限公司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（62）名称：和讯信息科技有限公司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w:t>
      </w:r>
      <w:proofErr w:type="gramStart"/>
      <w:r>
        <w:rPr>
          <w:rFonts w:ascii="宋体" w:hAnsi="宋体"/>
          <w:sz w:val="24"/>
        </w:rPr>
        <w:t>22号泛利大厦</w:t>
      </w:r>
      <w:proofErr w:type="gramEnd"/>
      <w:r>
        <w:rPr>
          <w:rFonts w:ascii="宋体" w:hAnsi="宋体"/>
          <w:sz w:val="24"/>
        </w:rPr>
        <w:t>10层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w:t>
      </w:r>
      <w:proofErr w:type="gramStart"/>
      <w:r>
        <w:rPr>
          <w:rFonts w:ascii="宋体" w:hAnsi="宋体"/>
          <w:sz w:val="24"/>
        </w:rPr>
        <w:t>22号泛利大厦</w:t>
      </w:r>
      <w:proofErr w:type="gramEnd"/>
      <w:r>
        <w:rPr>
          <w:rFonts w:ascii="宋体" w:hAnsi="宋体"/>
          <w:sz w:val="24"/>
        </w:rPr>
        <w:t>10层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（63）名称：上海天天基金销售有限公司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网址：www.1234567.com.cn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（64）名称：上海联泰基金销售有限公司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w:t>
      </w:r>
      <w:proofErr w:type="gramStart"/>
      <w:r>
        <w:rPr>
          <w:rFonts w:ascii="宋体" w:hAnsi="宋体"/>
          <w:sz w:val="24"/>
        </w:rPr>
        <w:t>宜信普泽</w:t>
      </w:r>
      <w:proofErr w:type="gramEnd"/>
      <w:r>
        <w:rPr>
          <w:rFonts w:ascii="宋体" w:hAnsi="宋体"/>
          <w:sz w:val="24"/>
        </w:rPr>
        <w:t>投资顾问（北京）有限公司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（66）名称：上海基</w:t>
      </w:r>
      <w:proofErr w:type="gramStart"/>
      <w:r>
        <w:rPr>
          <w:rFonts w:ascii="宋体" w:hAnsi="宋体"/>
          <w:sz w:val="24"/>
        </w:rPr>
        <w:t>煜</w:t>
      </w:r>
      <w:proofErr w:type="gramEnd"/>
      <w:r>
        <w:rPr>
          <w:rFonts w:ascii="宋体" w:hAnsi="宋体"/>
          <w:sz w:val="24"/>
        </w:rPr>
        <w:t>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（67）名称：珠海盈米财富管理有限公司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住所：珠海市横琴新区宝华路6号105室-3491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（68）名称：上海利得基金销售有限公司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（69）名称：上海</w:t>
      </w:r>
      <w:proofErr w:type="gramStart"/>
      <w:r>
        <w:rPr>
          <w:rFonts w:ascii="宋体" w:hAnsi="宋体"/>
          <w:sz w:val="24"/>
        </w:rPr>
        <w:t>凯</w:t>
      </w:r>
      <w:proofErr w:type="gramEnd"/>
      <w:r>
        <w:rPr>
          <w:rFonts w:ascii="宋体" w:hAnsi="宋体"/>
          <w:sz w:val="24"/>
        </w:rPr>
        <w:t>石财富基金销售有限公司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w:t>
      </w:r>
      <w:proofErr w:type="gramStart"/>
      <w:r>
        <w:rPr>
          <w:rFonts w:ascii="宋体" w:hAnsi="宋体"/>
          <w:sz w:val="24"/>
        </w:rPr>
        <w:t>凯石大厦</w:t>
      </w:r>
      <w:proofErr w:type="gramEnd"/>
      <w:r>
        <w:rPr>
          <w:rFonts w:ascii="宋体" w:hAnsi="宋体"/>
          <w:sz w:val="24"/>
        </w:rPr>
        <w:t>4楼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（70）名称：北京虹点基金销售有限公司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电话：（010）65951887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（71）名称：浙江同花</w:t>
      </w:r>
      <w:proofErr w:type="gramStart"/>
      <w:r>
        <w:rPr>
          <w:rFonts w:ascii="宋体" w:hAnsi="宋体"/>
          <w:sz w:val="24"/>
        </w:rPr>
        <w:t>顺基金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凌</w:t>
      </w:r>
      <w:proofErr w:type="gramEnd"/>
      <w:r>
        <w:rPr>
          <w:rFonts w:ascii="宋体" w:hAnsi="宋体"/>
          <w:sz w:val="24"/>
        </w:rPr>
        <w:t>顺平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（72）名称：中信期货有限公司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w:t>
      </w:r>
      <w:proofErr w:type="gramStart"/>
      <w:r>
        <w:rPr>
          <w:rFonts w:ascii="宋体" w:hAnsi="宋体"/>
          <w:sz w:val="24"/>
        </w:rPr>
        <w:t>莹</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（73）名称：上海陆金</w:t>
      </w:r>
      <w:proofErr w:type="gramStart"/>
      <w:r>
        <w:rPr>
          <w:rFonts w:ascii="宋体" w:hAnsi="宋体"/>
          <w:sz w:val="24"/>
        </w:rPr>
        <w:t>所资产</w:t>
      </w:r>
      <w:proofErr w:type="gramEnd"/>
      <w:r>
        <w:rPr>
          <w:rFonts w:ascii="宋体" w:hAnsi="宋体"/>
          <w:sz w:val="24"/>
        </w:rPr>
        <w:t>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传真：（021）22066653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（74）名称：北京中</w:t>
      </w:r>
      <w:proofErr w:type="gramStart"/>
      <w:r>
        <w:rPr>
          <w:rFonts w:ascii="宋体" w:hAnsi="宋体"/>
          <w:sz w:val="24"/>
        </w:rPr>
        <w:t>植基金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（75）名称：北京汇成基金销售有限公司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（76）名称：奕丰基金销售有限公司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客户服务电话：400-684-0500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（77）名称：北京</w:t>
      </w:r>
      <w:proofErr w:type="gramStart"/>
      <w:r>
        <w:rPr>
          <w:rFonts w:ascii="宋体" w:hAnsi="宋体"/>
          <w:sz w:val="24"/>
        </w:rPr>
        <w:t>创金启富基金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（78）名称：上海云湾投资管理有限公司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（79）名称：中证金牛（北京）投资咨询有限公司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（80）名称：北京新</w:t>
      </w:r>
      <w:proofErr w:type="gramStart"/>
      <w:r>
        <w:rPr>
          <w:rFonts w:ascii="宋体" w:hAnsi="宋体"/>
          <w:sz w:val="24"/>
        </w:rPr>
        <w:t>浪仓石基金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住所：北京市海淀区东北旺西路中关村软件园二期(西扩)N-1、N-2地块新浪总部科研楼5层518室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（81）名称：北京肯特瑞基金销售有限公司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kern w:val="0"/>
          <w:sz w:val="24"/>
        </w:rPr>
        <w:t>住所： 北京市海淀区西三旗建材城中路12号17号平房157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（82）名称：北京雪球基金销售有限公司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办公地址：北京市朝阳区创远路 34 </w:t>
      </w:r>
      <w:proofErr w:type="gramStart"/>
      <w:r>
        <w:rPr>
          <w:rFonts w:ascii="宋体" w:hAnsi="宋体"/>
          <w:sz w:val="24"/>
        </w:rPr>
        <w:t>号院融新</w:t>
      </w:r>
      <w:proofErr w:type="gramEnd"/>
      <w:r>
        <w:rPr>
          <w:rFonts w:ascii="宋体" w:hAnsi="宋体"/>
          <w:sz w:val="24"/>
        </w:rPr>
        <w:t>科技中心 C 座 17 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w:t>
      </w:r>
      <w:proofErr w:type="gramStart"/>
      <w:r>
        <w:rPr>
          <w:rFonts w:ascii="宋体" w:hAnsi="宋体"/>
          <w:sz w:val="24"/>
        </w:rPr>
        <w:t>芳</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w:t>
      </w:r>
      <w:proofErr w:type="gramStart"/>
      <w:r>
        <w:rPr>
          <w:rFonts w:ascii="宋体" w:hAnsi="宋体"/>
          <w:sz w:val="24"/>
        </w:rPr>
        <w:t>凤凰金</w:t>
      </w:r>
      <w:proofErr w:type="gramEnd"/>
      <w:r>
        <w:rPr>
          <w:rFonts w:ascii="宋体" w:hAnsi="宋体"/>
          <w:sz w:val="24"/>
        </w:rPr>
        <w:t>信（银川）投资管理有限公司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住所：宁夏回族自治区银川市金</w:t>
      </w:r>
      <w:proofErr w:type="gramStart"/>
      <w:r>
        <w:rPr>
          <w:rFonts w:ascii="宋体" w:hAnsi="宋体"/>
          <w:sz w:val="24"/>
        </w:rPr>
        <w:t>凤区阅</w:t>
      </w:r>
      <w:proofErr w:type="gramEnd"/>
      <w:r>
        <w:rPr>
          <w:rFonts w:ascii="宋体" w:hAnsi="宋体"/>
          <w:sz w:val="24"/>
        </w:rPr>
        <w:t>海湾中央商务区万寿路142号14层1402(750000)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w:t>
      </w:r>
      <w:proofErr w:type="gramStart"/>
      <w:r>
        <w:rPr>
          <w:rFonts w:ascii="宋体" w:hAnsi="宋体"/>
          <w:sz w:val="24"/>
        </w:rPr>
        <w:t>朝阳区紫月</w:t>
      </w:r>
      <w:proofErr w:type="gramEnd"/>
      <w:r>
        <w:rPr>
          <w:rFonts w:ascii="宋体" w:hAnsi="宋体"/>
          <w:sz w:val="24"/>
        </w:rPr>
        <w:t>路</w:t>
      </w:r>
      <w:proofErr w:type="gramStart"/>
      <w:r>
        <w:rPr>
          <w:rFonts w:ascii="宋体" w:hAnsi="宋体"/>
          <w:sz w:val="24"/>
        </w:rPr>
        <w:t>18号院朝来</w:t>
      </w:r>
      <w:proofErr w:type="gramEnd"/>
      <w:r>
        <w:rPr>
          <w:rFonts w:ascii="宋体" w:hAnsi="宋体"/>
          <w:sz w:val="24"/>
        </w:rPr>
        <w:t>高科技产业园18号楼 (100000)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（84）名称：深圳市金斧子基金销售有限公司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赖任军</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（85）名称：格</w:t>
      </w:r>
      <w:proofErr w:type="gramStart"/>
      <w:r>
        <w:rPr>
          <w:rFonts w:ascii="宋体" w:hAnsi="宋体"/>
          <w:sz w:val="24"/>
        </w:rPr>
        <w:t>上富信投资</w:t>
      </w:r>
      <w:proofErr w:type="gramEnd"/>
      <w:r>
        <w:rPr>
          <w:rFonts w:ascii="宋体" w:hAnsi="宋体"/>
          <w:sz w:val="24"/>
        </w:rPr>
        <w:t>顾问有限公司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（86）名称：上海万得基金销售有限公司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王廷富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（87）名称：天津万家财富资产管理有限公司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w:t>
      </w:r>
      <w:proofErr w:type="gramStart"/>
      <w:r>
        <w:rPr>
          <w:rFonts w:ascii="宋体" w:hAnsi="宋体"/>
          <w:sz w:val="24"/>
        </w:rPr>
        <w:t>滨海浙商大厦</w:t>
      </w:r>
      <w:proofErr w:type="gramEnd"/>
      <w:r>
        <w:rPr>
          <w:rFonts w:ascii="宋体" w:hAnsi="宋体"/>
          <w:sz w:val="24"/>
        </w:rPr>
        <w:t>公寓2-2413室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w:t>
      </w:r>
      <w:proofErr w:type="gramStart"/>
      <w:r>
        <w:rPr>
          <w:rFonts w:ascii="宋体" w:hAnsi="宋体"/>
          <w:sz w:val="24"/>
        </w:rPr>
        <w:t>芳</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（88）名称：上海挖财金融信息服务有限公司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（89）名称：嘉实财富管理有限公司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王宫</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（90）名称：南京苏宁基金销售有限公司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（91）名称：北京度小满基金销售有限公司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w:t>
      </w:r>
      <w:proofErr w:type="gramStart"/>
      <w:r>
        <w:rPr>
          <w:rFonts w:ascii="宋体" w:hAnsi="宋体"/>
          <w:sz w:val="24"/>
        </w:rPr>
        <w:t>腾安基金</w:t>
      </w:r>
      <w:proofErr w:type="gramEnd"/>
      <w:r>
        <w:rPr>
          <w:rFonts w:ascii="宋体" w:hAnsi="宋体"/>
          <w:sz w:val="24"/>
        </w:rPr>
        <w:t>销售（深圳）有限公司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proofErr w:type="gramStart"/>
      <w:r>
        <w:rPr>
          <w:rFonts w:ascii="宋体" w:hAnsi="宋体"/>
          <w:sz w:val="24"/>
        </w:rPr>
        <w:t>33号腾讯滨海</w:t>
      </w:r>
      <w:proofErr w:type="gramEnd"/>
      <w:r>
        <w:rPr>
          <w:rFonts w:ascii="宋体" w:hAnsi="宋体"/>
          <w:sz w:val="24"/>
        </w:rPr>
        <w:t>大厦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（93）名称：北京唐鼎耀华投资咨询有限公司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w:t>
      </w:r>
      <w:proofErr w:type="gramStart"/>
      <w:r>
        <w:rPr>
          <w:rFonts w:ascii="宋体" w:hAnsi="宋体"/>
          <w:sz w:val="24"/>
        </w:rPr>
        <w:t>百泉街10号</w:t>
      </w:r>
      <w:proofErr w:type="gramEnd"/>
      <w:r>
        <w:rPr>
          <w:rFonts w:ascii="宋体" w:hAnsi="宋体"/>
          <w:sz w:val="24"/>
        </w:rPr>
        <w:t>2栋236室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（94）名称：上海华夏财富投资管理有限公司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proofErr w:type="gramStart"/>
      <w:r>
        <w:rPr>
          <w:rFonts w:ascii="宋体" w:hAnsi="宋体"/>
          <w:sz w:val="24"/>
        </w:rPr>
        <w:t>毛淮平</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（95）名称：江苏汇林保大基金销售有限公司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w:t>
      </w:r>
      <w:proofErr w:type="gramStart"/>
      <w:r>
        <w:rPr>
          <w:rFonts w:ascii="宋体" w:hAnsi="宋体"/>
          <w:sz w:val="24"/>
        </w:rPr>
        <w:t>玄元保险</w:t>
      </w:r>
      <w:proofErr w:type="gramEnd"/>
      <w:r>
        <w:rPr>
          <w:rFonts w:ascii="宋体" w:hAnsi="宋体"/>
          <w:sz w:val="24"/>
        </w:rPr>
        <w:t>代理有限公司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法定代表人：马永谙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（97）名称：阳光人寿保险股份有限公司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（98）名称：大连</w:t>
      </w:r>
      <w:proofErr w:type="gramStart"/>
      <w:r>
        <w:rPr>
          <w:rFonts w:ascii="宋体" w:hAnsi="宋体"/>
          <w:sz w:val="24"/>
        </w:rPr>
        <w:t>网金基金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（99）名称：泛华</w:t>
      </w:r>
      <w:proofErr w:type="gramStart"/>
      <w:r>
        <w:rPr>
          <w:rFonts w:ascii="宋体" w:hAnsi="宋体"/>
          <w:sz w:val="24"/>
        </w:rPr>
        <w:t>普益基金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w:t>
      </w:r>
      <w:proofErr w:type="gramStart"/>
      <w:r>
        <w:rPr>
          <w:rFonts w:ascii="宋体" w:hAnsi="宋体"/>
          <w:sz w:val="24"/>
        </w:rPr>
        <w:t>照壁西顺街</w:t>
      </w:r>
      <w:proofErr w:type="gramEnd"/>
      <w:r>
        <w:rPr>
          <w:rFonts w:ascii="宋体" w:hAnsi="宋体"/>
          <w:sz w:val="24"/>
        </w:rPr>
        <w:t>399号1栋1</w:t>
      </w:r>
      <w:proofErr w:type="gramStart"/>
      <w:r>
        <w:rPr>
          <w:rFonts w:ascii="宋体" w:hAnsi="宋体"/>
          <w:sz w:val="24"/>
        </w:rPr>
        <w:t>单元龙</w:t>
      </w:r>
      <w:proofErr w:type="gramEnd"/>
      <w:r>
        <w:rPr>
          <w:rFonts w:ascii="宋体" w:hAnsi="宋体"/>
          <w:sz w:val="24"/>
        </w:rPr>
        <w:t>湖西</w:t>
      </w:r>
      <w:proofErr w:type="gramStart"/>
      <w:r>
        <w:rPr>
          <w:rFonts w:ascii="宋体" w:hAnsi="宋体"/>
          <w:sz w:val="24"/>
        </w:rPr>
        <w:t>宸</w:t>
      </w:r>
      <w:proofErr w:type="gramEnd"/>
      <w:r>
        <w:rPr>
          <w:rFonts w:ascii="宋体" w:hAnsi="宋体"/>
          <w:sz w:val="24"/>
        </w:rPr>
        <w:t>天街B座1201号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隋亚方</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客户服务电话：400-080-3388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（100）名称：中国人寿保险股份有限公司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w:t>
      </w:r>
      <w:proofErr w:type="gramStart"/>
      <w:r>
        <w:rPr>
          <w:rFonts w:ascii="宋体" w:hAnsi="宋体"/>
          <w:sz w:val="24"/>
        </w:rPr>
        <w:t>寿广场</w:t>
      </w:r>
      <w:proofErr w:type="gramEnd"/>
      <w:r>
        <w:rPr>
          <w:rFonts w:ascii="宋体" w:hAnsi="宋体"/>
          <w:sz w:val="24"/>
        </w:rPr>
        <w:t>A座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w:t>
      </w:r>
      <w:proofErr w:type="gramStart"/>
      <w:r>
        <w:rPr>
          <w:rFonts w:ascii="宋体" w:hAnsi="宋体"/>
          <w:sz w:val="24"/>
        </w:rPr>
        <w:t>和耕传承</w:t>
      </w:r>
      <w:proofErr w:type="gramEnd"/>
      <w:r>
        <w:rPr>
          <w:rFonts w:ascii="宋体" w:hAnsi="宋体"/>
          <w:sz w:val="24"/>
        </w:rPr>
        <w:t>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（102）名称：上海中欧财富基金销售有限公司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w:t>
      </w:r>
      <w:proofErr w:type="gramStart"/>
      <w:r>
        <w:rPr>
          <w:rFonts w:ascii="宋体" w:hAnsi="宋体"/>
          <w:sz w:val="24"/>
        </w:rPr>
        <w:t>昱</w:t>
      </w:r>
      <w:proofErr w:type="gramEnd"/>
      <w:r>
        <w:rPr>
          <w:rFonts w:ascii="宋体" w:hAnsi="宋体"/>
          <w:sz w:val="24"/>
        </w:rPr>
        <w:t>大厦6层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w:t>
      </w:r>
      <w:proofErr w:type="gramStart"/>
      <w:r>
        <w:rPr>
          <w:rFonts w:ascii="宋体" w:hAnsi="宋体"/>
          <w:sz w:val="24"/>
        </w:rPr>
        <w:t>北京植信基金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w:t>
      </w:r>
      <w:proofErr w:type="gramStart"/>
      <w:r>
        <w:rPr>
          <w:rFonts w:ascii="宋体" w:hAnsi="宋体"/>
          <w:sz w:val="24"/>
        </w:rPr>
        <w:t>盛世龙</w:t>
      </w:r>
      <w:proofErr w:type="gramEnd"/>
      <w:r>
        <w:rPr>
          <w:rFonts w:ascii="宋体" w:hAnsi="宋体"/>
          <w:sz w:val="24"/>
        </w:rPr>
        <w:t>源10号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法定代表人：王军辉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喆</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基金管理人可根据有关法律法规的要求，选择其它符合要求的机构销售本基金，并及时公告。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传真：（021）31358600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联系人：孙睿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经办律师：黎明、孙睿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新区东育路</w:t>
      </w:r>
      <w:proofErr w:type="gramEnd"/>
      <w:r>
        <w:rPr>
          <w:rFonts w:ascii="宋体" w:hAnsi="宋体"/>
          <w:sz w:val="24"/>
        </w:rPr>
        <w:t>588号前</w:t>
      </w:r>
      <w:proofErr w:type="gramStart"/>
      <w:r>
        <w:rPr>
          <w:rFonts w:ascii="宋体" w:hAnsi="宋体"/>
          <w:sz w:val="24"/>
        </w:rPr>
        <w:t>滩中心</w:t>
      </w:r>
      <w:proofErr w:type="gramEnd"/>
      <w:r>
        <w:rPr>
          <w:rFonts w:ascii="宋体" w:hAnsi="宋体"/>
          <w:sz w:val="24"/>
        </w:rPr>
        <w:t>42楼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w:t>
      </w:r>
      <w:proofErr w:type="gramStart"/>
      <w:r>
        <w:rPr>
          <w:rFonts w:ascii="宋体" w:hAnsi="宋体"/>
          <w:sz w:val="24"/>
        </w:rPr>
        <w:t>童咏静、金诗涛</w:t>
      </w:r>
      <w:proofErr w:type="gramEnd"/>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9" w:name="_Toc120105584"/>
      <w:r>
        <w:rPr>
          <w:rFonts w:ascii="Times New Roman" w:hAnsi="Times New Roman"/>
          <w:sz w:val="30"/>
        </w:rPr>
        <w:lastRenderedPageBreak/>
        <w:t>六、基金的历史沿革</w:t>
      </w:r>
      <w:bookmarkEnd w:id="9"/>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交银施罗德消费新驱动股票型证券投资基金由交银施罗德沪深300行业分层等权重指数证券投资基金转型而来。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交银施罗德沪深300行业分层等权重指数证券投资基金经2012 年5月7日中国证监会证监许可【2012】626号文核准募集，基金管理人为交银施罗德基金管理有限公司，基金托管人为中国建设银行股份有限公司。经中国证监会书面确认，《交银施罗德沪深300行业分层等权重指数证券投资基金基金合同》于2012年11月7日生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沪深300行业分层等权重指数证券投资基金以通讯方式召开基金份额持有人大会，大会于2015年5月26日表决通过了《关于交银施罗德沪深300行业分层等权重指数证券投资基金转型及基金合同修改有关事项的议案》，同意交银施罗德沪深300行业分层等权重指数证券投资基金变更基金名称、投资目标、投资范围、投资策略、业绩比较基准、风险收益特征、投资限制、基金的估值、基金的费用以及其他部分条款，授权基金管理人办理本次基金转型及基金合同修改的有关具体事宜。基金份额持有人大会决议自表决通过之日起生效，基金管理人根据基金份额持有人大会的授权，定于2015 年7月1日正式实施基金转型，自基金转型实施日起，《交银施罗德沪深300行业分层等权重指数证券投资基金基金合同》失效且《交银施罗德消费新驱动股票型证券投资基金基金合同》同时生效，交银施罗德沪深300行业分层等权重指数证券投资基金正式变更为交银施罗德消费新驱动股票型证券投资基金。</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0" w:name="_Toc120105585"/>
      <w:r>
        <w:rPr>
          <w:rFonts w:ascii="Times New Roman" w:hAnsi="Times New Roman"/>
          <w:sz w:val="30"/>
        </w:rPr>
        <w:lastRenderedPageBreak/>
        <w:t>七、基金的存续</w:t>
      </w:r>
      <w:bookmarkEnd w:id="10"/>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《交银施罗德消费新驱动股票型证券投资基金基金合同》生效后，连续20 </w:t>
      </w:r>
      <w:proofErr w:type="gramStart"/>
      <w:r>
        <w:rPr>
          <w:rFonts w:ascii="宋体" w:hAnsi="宋体"/>
          <w:sz w:val="24"/>
        </w:rPr>
        <w:t>个</w:t>
      </w:r>
      <w:proofErr w:type="gramEnd"/>
      <w:r>
        <w:rPr>
          <w:rFonts w:ascii="宋体" w:hAnsi="宋体"/>
          <w:sz w:val="24"/>
        </w:rPr>
        <w:t xml:space="preserve">工作日出现基金份额持有人数量不满200 人或者基金资产净值低于5000 万元情形的，基金管理人应当在定期报告中予以披露；连续60 </w:t>
      </w:r>
      <w:proofErr w:type="gramStart"/>
      <w:r>
        <w:rPr>
          <w:rFonts w:ascii="宋体" w:hAnsi="宋体"/>
          <w:sz w:val="24"/>
        </w:rPr>
        <w:t>个</w:t>
      </w:r>
      <w:proofErr w:type="gramEnd"/>
      <w:r>
        <w:rPr>
          <w:rFonts w:ascii="宋体" w:hAnsi="宋体"/>
          <w:sz w:val="24"/>
        </w:rPr>
        <w:t>工作日出现前述情形的，基金管理人应当向中国证监会说明原因和报送解决方案，如转换运作方式、与其他基金合并或者终止基金合同等，并召开基金份额持有人大会进行表决。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法律法规或监管部门另有规定的，按其规定办理。</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1" w:name="_Toc120105586"/>
      <w:r>
        <w:rPr>
          <w:rFonts w:ascii="Times New Roman" w:hAnsi="Times New Roman"/>
          <w:sz w:val="30"/>
        </w:rPr>
        <w:lastRenderedPageBreak/>
        <w:t>八、基金份额的申购与赎回</w:t>
      </w:r>
      <w:bookmarkEnd w:id="11"/>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个人投资者可以通过基金管理人网上直销交易平台办理开户、本基金的场外申购、赎回、转换、定期定额投资等业务，具体交易细则请参阅基金管理人网站。网上直销交易平台网址：www.fund001.com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2、通过上海证券交易所交易系统办理相关业务的上海证券交易所会员单位，目前场内交易只支持前端基金份额的申购。具体名单详见上海证券交易所网站。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3、不通过上海证券交易所交易系统办理相关业务的场外销售机构（除本基金管理人）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本基金除基金管理人之外的其他场外销售机构的销售网点请见本招募说明书“五、相关服务机构”章节或拨打基金管理</w:t>
      </w:r>
      <w:proofErr w:type="gramStart"/>
      <w:r>
        <w:rPr>
          <w:rFonts w:ascii="宋体" w:hAnsi="宋体"/>
          <w:sz w:val="24"/>
        </w:rPr>
        <w:t>人客户</w:t>
      </w:r>
      <w:proofErr w:type="gramEnd"/>
      <w:r>
        <w:rPr>
          <w:rFonts w:ascii="宋体" w:hAnsi="宋体"/>
          <w:sz w:val="24"/>
        </w:rPr>
        <w:t>服务电话进行咨询。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投资人可通过上述销售机构办理基金销售业务的营业场所或按上述销售机构提供的其他方式进行申购或赎回。本基金管理人可根据情况变更或增减基金场外销售机构，并在管理人网站公示。</w:t>
      </w:r>
    </w:p>
    <w:p w:rsidR="0098473B" w:rsidRDefault="0071464E">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管理人或其他销售机构开通电话、传真或网上等交易方式，投资人可以通过上述方式进行申购与赎回。</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和赎回的开放日为证券交易所交易日（基金管理人公告暂停申购或赎回时除外），基金投资人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2、申购、赎回的开始日及业务办理时间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本基金已于2015年7月1日起开放申购业务。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本基金已于2015年7月2日起开放赎回业务。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1、“未知价”原则，即基金份额申购、赎回价格以申请当日收市后计算的基金份额净值为基准进行计算；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赎回基金份额时，基金管理人采用先进先出原则，即基金份额持有人在赎回基金份额时，基金管理人对该基金份额持有人的基金份额进行赎回处理时，认购、申购确认日期在先的基金份额先赎回，认购、申购确认日期在后的基金份额后赎回，以确定被赎回基金份额的持有期限和所适用的赎回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4、当日的申购与赎回申请可以在销售机构规定的时间以内撤销，但申请经注册登记机构正式受理的不得撤销。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基金管理人在不损害基金份额持有人权益的情况下可依法根据基金运作的实际情况依法对上述原则进行调整。基金管理人必须在新原则开始实施前依照《信息披露办法》的有关规定在指定媒介上公告。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场外申购时，除基金管理人之外的场外销售机构每个账户单笔申购的最低金额为单笔1元，如果销售机构业务规则规定的最低单笔申购金额高于1元，以销售机构</w:t>
      </w:r>
      <w:r>
        <w:rPr>
          <w:rFonts w:ascii="宋体" w:hAnsi="宋体"/>
          <w:sz w:val="24"/>
        </w:rPr>
        <w:lastRenderedPageBreak/>
        <w:t>的规定为准。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每个账户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场内申购时，每笔申购金额最低为1000元，同时每笔申购必须是100元的整数</w:t>
      </w:r>
      <w:proofErr w:type="gramStart"/>
      <w:r>
        <w:rPr>
          <w:rFonts w:ascii="宋体" w:hAnsi="宋体"/>
          <w:sz w:val="24"/>
        </w:rPr>
        <w:t>倍</w:t>
      </w:r>
      <w:proofErr w:type="gramEnd"/>
      <w:r>
        <w:rPr>
          <w:rFonts w:ascii="宋体" w:hAnsi="宋体"/>
          <w:sz w:val="24"/>
        </w:rPr>
        <w:t>，并且单笔申购最高不超过99,999,900元。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每个工作日投资人在单个交易账户保留的本基金份额余额少于1份时，若当日该账户同时有份额减少类业务（如赎回、转换出等）被确认，</w:t>
      </w:r>
      <w:proofErr w:type="gramStart"/>
      <w:r>
        <w:rPr>
          <w:rFonts w:ascii="宋体" w:hAnsi="宋体"/>
          <w:sz w:val="24"/>
        </w:rPr>
        <w:t>则基金</w:t>
      </w:r>
      <w:proofErr w:type="gramEnd"/>
      <w:r>
        <w:rPr>
          <w:rFonts w:ascii="宋体" w:hAnsi="宋体"/>
          <w:sz w:val="24"/>
        </w:rPr>
        <w:t>管理人有权将投资人在该账户保留的本基金份额一次性全部赎回。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的媒介上刊登公告并报中国证监会备案。</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投资人在提交申购申请时须按销售机构规定的方式备足申购资金，投资人在提交赎回申请时须持有足够的基金份额余额，否则所提交的申购、赎回申请不成立。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2、申购和赎回申请的确认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注册登记机构应以交易时间结束前受理申购和赎回申请的当天作为申购或赎回申请日(T日)，在正常情况下，本基金注册登记机构在T+1日（包括该日）内对该交易的有效性进行确认。T日提交的有效申请，投资人应在T+2日后(包括该日)及时到销售网点柜台或以销售机构规定的其他方式查询申请的确认情况，否则如因申请未得到注册登记机构的确认而产生的后果，由投资人自行承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基金管理人可以在法律法规允许的范围内，依法对上述申购和赎回申请的确认时间进行调整，并必须在调整实施日前按照《信息披露办法》有关规定在指定媒介上公告。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基金销售机构对申购、赎回申请的受理并不代表申请一定成功，而仅代表销售机构确实接收到申购、赎回申请。申购、赎回申请的确认以注册登记机构或基金管理人的确认结果为准。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立。投资人全额交付申购款项，申购成立；注册登记机构确认基金份额时，申购生效。若申购不成立或无效，基金管理人或基金管理人指定的销售机构将投资人已缴付的申购款项退还给投资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投资人递交赎回申请，赎回成立；注册登记机构确认赎回时，赎回生效。投资人赎回申请成功后，基金管理人将通过注册登记机构及其相关销售机构在T＋7日(包括该日)内将赎回款项</w:t>
      </w:r>
      <w:proofErr w:type="gramStart"/>
      <w:r>
        <w:rPr>
          <w:rFonts w:ascii="宋体" w:hAnsi="宋体"/>
          <w:sz w:val="24"/>
        </w:rPr>
        <w:t>划往基金</w:t>
      </w:r>
      <w:proofErr w:type="gramEnd"/>
      <w:r>
        <w:rPr>
          <w:rFonts w:ascii="宋体" w:hAnsi="宋体"/>
          <w:sz w:val="24"/>
        </w:rPr>
        <w:t>份额持有人账户。在发生巨额赎回时，款项的支付办法参照基金合同有关条款处理。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 日申购基金成功后，正常情况下，注册登记机构在T＋1 日为投资人增加权益并办理注册登记手续，投资人自T＋2 日（含该日）起有权赎回该部分基金份额。投资人应及时查询有关申请的确认情况。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 日赎回基金成功后，正常情况下，基金注册登记机构在T＋1 日为投资人扣除权益并办理相应的注册登记手续。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（3）基金管理人可在法律法规允许的范围内，对上述注册登记办理时间进行调整，并最迟于开始实施前按照《信息披露办法》的有关规定在指定媒介上公告。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（六）基金的申购费和赎回费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提供两种申购费用的支付模式。投资人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本基金的申购费用由基金申购人承担，不列入基金财产，主要用于本基金的市场推广、销售、注册登记等各项费用。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投资人可以多次申购本基金，申购费率按每笔申购申请单独计算。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98473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98473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因红利自动再投资而产生的基金份额，不收取相应的申购费用。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本基金对通过基金管理人直销柜台申购本基金前端基金份额的养老金客户实施特定申购费率。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基金管理人将发布临时公告将其纳入养老金客户范围，并按规定向中国证监会备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通过基金管理人直销柜台申购本基金前端基金份额的养老金客户特定申购费率如下表：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98473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有关养老金客户实施特定申购费率的具体规定以及活动时间如有变化，敬请投资人留意基金管理人发布的相关公告。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w:t>
      </w:r>
      <w:proofErr w:type="gramStart"/>
      <w:r>
        <w:rPr>
          <w:rFonts w:ascii="宋体" w:hAnsi="宋体"/>
          <w:sz w:val="24"/>
        </w:rPr>
        <w:t>基金基金</w:t>
      </w:r>
      <w:proofErr w:type="gramEnd"/>
      <w:r>
        <w:rPr>
          <w:rFonts w:ascii="宋体" w:hAnsi="宋体"/>
          <w:sz w:val="24"/>
        </w:rPr>
        <w:t>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w:t>
      </w:r>
      <w:proofErr w:type="gramStart"/>
      <w:r>
        <w:rPr>
          <w:rFonts w:ascii="宋体" w:hAnsi="宋体"/>
          <w:sz w:val="24"/>
        </w:rPr>
        <w:t>基金基金</w:t>
      </w:r>
      <w:proofErr w:type="gramEnd"/>
      <w:r>
        <w:rPr>
          <w:rFonts w:ascii="宋体" w:hAnsi="宋体"/>
          <w:sz w:val="24"/>
        </w:rPr>
        <w:t>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由赎回基金份额的基金份额持有人承担，在基金份额持有人赎回基金份额时收取，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w:t>
      </w:r>
      <w:r>
        <w:rPr>
          <w:rFonts w:ascii="宋体" w:hAnsi="宋体"/>
          <w:sz w:val="24"/>
        </w:rPr>
        <w:lastRenderedPageBreak/>
        <w:t>25%计入基金财产；上述“月”指的是30个自然日。其余用于支付登记费和其他必要的手续费。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98473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98473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8473B" w:rsidRDefault="0098473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和基金赎回费率。</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的有效份额为净申购金额除以当日的基金份额净值，有效份额单位为份，场外申购有效份额的计算按四舍五入方法，保留到小数点后两位，由此产生的损失由基金财产承担，产生的收益</w:t>
      </w:r>
      <w:proofErr w:type="gramStart"/>
      <w:r>
        <w:rPr>
          <w:rFonts w:ascii="宋体" w:hAnsi="宋体"/>
          <w:sz w:val="24"/>
        </w:rPr>
        <w:t>归基金</w:t>
      </w:r>
      <w:proofErr w:type="gramEnd"/>
      <w:r>
        <w:rPr>
          <w:rFonts w:ascii="宋体" w:hAnsi="宋体"/>
          <w:sz w:val="24"/>
        </w:rPr>
        <w:t>财产所有。场内申购有效份额的计算保留到整数位，剩余部分折回金额返回投资人，折回金额的计算保留到小数点后2位，小数点2位以后的部分四舍五入，由此产生的损失由基金财产承担，产生的收益</w:t>
      </w:r>
      <w:proofErr w:type="gramStart"/>
      <w:r>
        <w:rPr>
          <w:rFonts w:ascii="宋体" w:hAnsi="宋体"/>
          <w:sz w:val="24"/>
        </w:rPr>
        <w:t>归基金</w:t>
      </w:r>
      <w:proofErr w:type="gramEnd"/>
      <w:r>
        <w:rPr>
          <w:rFonts w:ascii="宋体" w:hAnsi="宋体"/>
          <w:sz w:val="24"/>
        </w:rPr>
        <w:t>财产所有。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有效赎回份额乘以当日基金份额净值并扣除相应的费用，赎回金额计算结果保留到小数点后2位，小数点后两位以后的部分四舍五入，由此产生的损失由基金财产承担，产生的收益</w:t>
      </w:r>
      <w:proofErr w:type="gramStart"/>
      <w:r>
        <w:rPr>
          <w:rFonts w:ascii="宋体" w:hAnsi="宋体"/>
          <w:sz w:val="24"/>
        </w:rPr>
        <w:t>归基金</w:t>
      </w:r>
      <w:proofErr w:type="gramEnd"/>
      <w:r>
        <w:rPr>
          <w:rFonts w:ascii="宋体" w:hAnsi="宋体"/>
          <w:sz w:val="24"/>
        </w:rPr>
        <w:t>财产所有。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场外申购可以采取前端收费模式和后端收费模式，场内申购目前只支持前端收</w:t>
      </w:r>
      <w:r>
        <w:rPr>
          <w:rFonts w:ascii="宋体" w:hAnsi="宋体"/>
          <w:sz w:val="24"/>
        </w:rPr>
        <w:lastRenderedPageBreak/>
        <w:t>费模式。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场内申购金额的有效份额保留到整数位，剩余部分对应申购资金返还投资人。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：某投资人（非养老金客户）投资40,000元申购本基金，假设申购当日基金份额净值为1.040元，如果其选择前端收费方式，申购费率为1.5%，则其可得到的申购份额为：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如果投资人是场外申购，申购份额为37,893.14份。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如果投资人是场内申购，则申购份额为37,893份，其余0.14份对应金额返回给投资人。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当投资人提出赎回时，后端申购费用的计算方法为：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后端申购费用＝赎回份额×申购日基金份额净值×后端申购费率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例二：某投资人投资40,000元申购本基金，假设申购当日基金份额净值为1.040元，如果其选择后端收费方式，则其可得到的申购份额为：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 ＝ 38,461.54份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即：投资人投资40,000元申购本基金，假设申购当日基金份额净值为1.040元，则可得到38,461.54份基金份额，但其在赎回时需根据其持有时间按对应的后</w:t>
      </w:r>
      <w:r>
        <w:rPr>
          <w:rFonts w:ascii="宋体" w:hAnsi="宋体"/>
          <w:sz w:val="24"/>
        </w:rPr>
        <w:lastRenderedPageBreak/>
        <w:t>端申购费率交纳后端申购费用。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赎回金额为按实际确认的有效赎回份额乘以当日基金份额净值并扣除相应的费用，赎回金额单位为元，计算结果保留到小数点后两位，第三位四舍五入。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（1）如果投资人在认（申）购时选择交纳前端认（申）购费用，则赎回金额的计算方法如下：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赎回费用=赎回份额×T日基金份额净值×赎回费率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例三：某投资人赎回通过前端申购持有的10,000份基金份额，持有期限为30日，对应的赎回费率为0.5%，假设赎回当日基金份额净值是1.016元，则其可得到的赎回金额为：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即：投资人赎回通过前端申购持有的本基金10,000份基金份额，假设赎回当日基金份额净值是1.016元，则其可得到的赎回金额为10,109.20元。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（2）如果投资人在认（申）购时选择交纳后端认（申）购费用，则赎回金额的计算方法如下：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w:t>
      </w:r>
      <w:proofErr w:type="gramStart"/>
      <w:r>
        <w:rPr>
          <w:rFonts w:ascii="宋体" w:hAnsi="宋体"/>
          <w:sz w:val="24"/>
        </w:rPr>
        <w:t>购日基金</w:t>
      </w:r>
      <w:proofErr w:type="gramEnd"/>
      <w:r>
        <w:rPr>
          <w:rFonts w:ascii="宋体" w:hAnsi="宋体"/>
          <w:sz w:val="24"/>
        </w:rPr>
        <w:t>份额净值×后端认（申）购费率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人赎回通过后端申购持有的10,000份基金份额，持有期限为30日，对应的后端申购费率是1.8%，赎回费率为0.5%，假设赎回当日基金份额净值是1.016元，申购时的基金份额净值为1.010元，则其可得到的赎回金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赎回总额=10,000×1.016=10,160元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后端申购费用=10,000×1.010×1.8%=181.80元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即：投资人赎回本基金10,000份基金份额，对应的赎回费率为0.5%，假设赎回</w:t>
      </w:r>
      <w:r>
        <w:rPr>
          <w:rFonts w:ascii="宋体" w:hAnsi="宋体"/>
          <w:sz w:val="24"/>
        </w:rPr>
        <w:lastRenderedPageBreak/>
        <w:t>当日基金份额净值是1.016元，投资人对应的后端申购费率是1.8%，申购时的基金净值为1.010元，则其可得到的赎回金额为9,927.40元。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份额净值的计算，保留到小数点后3位，小数点后第4位四舍五入，由此产生的损失由基金财产承担，产生的收益</w:t>
      </w:r>
      <w:proofErr w:type="gramStart"/>
      <w:r>
        <w:rPr>
          <w:rFonts w:ascii="宋体" w:hAnsi="宋体"/>
          <w:sz w:val="24"/>
        </w:rPr>
        <w:t>归基金</w:t>
      </w:r>
      <w:proofErr w:type="gramEnd"/>
      <w:r>
        <w:rPr>
          <w:rFonts w:ascii="宋体" w:hAnsi="宋体"/>
          <w:sz w:val="24"/>
        </w:rPr>
        <w:t>财产所有。本基金T日的基金份额净值在当天收市后计算，并在T＋1日内公告。遇特殊情况，经中国证监会同意，可以适当延迟计算或公告。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（八）拒绝或暂停申购的情形及处理方式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2.证券/期货交易所交易时间临时停市，导致基金管理人无法计算当日基金资产净值。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4.基金管理人接受某笔或某些申购申请可能会影响或损害现有基金份额持有人利益时。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5.基金资产规模过大，使基金管理人无法找到合适的投资品种，或其他可能对基金业绩产生负面影响，或其他损害现有基金份额持有人利益的情形。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6.基金管理人、基金托管人、基金销售机构或注册登记机构的技术保障等异常情况发生导致基金销售系统或基金注册登记系统或基金会计系统无法正常运行。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8.基金管理人接受某笔或者某些申购申请有可能导致单一投资者持有基金份额的比例超过50%，或者变相规避50%集中度的情形。出现上述情形时，基金管理人有权将上述申购申请全部或部分确认失败。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9.法律法规规定或中国证监会认定的其他情形。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发生上述除第4、第8项以外的暂停申购情形</w:t>
      </w:r>
      <w:proofErr w:type="gramStart"/>
      <w:r>
        <w:rPr>
          <w:rFonts w:ascii="宋体" w:hAnsi="宋体"/>
          <w:sz w:val="24"/>
        </w:rPr>
        <w:t>且基金</w:t>
      </w:r>
      <w:proofErr w:type="gramEnd"/>
      <w:r>
        <w:rPr>
          <w:rFonts w:ascii="宋体" w:hAnsi="宋体"/>
          <w:sz w:val="24"/>
        </w:rPr>
        <w:t>管理人决定暂停申购的，基金管理人应当根据有关规定在指定媒介上刊登暂停申购公告。如果投资人的申购申请被拒绝，被拒绝的申购款项将退还给投资人。在暂停申购的情况消除时，基金管</w:t>
      </w:r>
      <w:r>
        <w:rPr>
          <w:rFonts w:ascii="宋体" w:hAnsi="宋体"/>
          <w:sz w:val="24"/>
        </w:rPr>
        <w:lastRenderedPageBreak/>
        <w:t>理人应及时恢复申购业务的办理。</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（九）暂停赎回或者延缓支付赎回款项的情形及处理方式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2.证券/期货交易所交易时间临时停市，导致基金管理人无法计算当日基金资产净值。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4.发生基金合同规定的暂停基金资产估值情况。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5.继续接受赎回申请将损害现有基金份额持有人利益的情形时，可暂停接受投资人的赎回申请。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公允价值存在重大不确定性时，经与基金托管人协商确认后，基金管理人应当暂停接受基金赎回申请或延缓支付赎回款项。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7.法律法规规定或中国证监会认定的其他情形。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w:t>
      </w:r>
      <w:proofErr w:type="gramStart"/>
      <w:r>
        <w:rPr>
          <w:rFonts w:ascii="宋体" w:hAnsi="宋体"/>
          <w:sz w:val="24"/>
        </w:rPr>
        <w:t>且基金</w:t>
      </w:r>
      <w:proofErr w:type="gramEnd"/>
      <w:r>
        <w:rPr>
          <w:rFonts w:ascii="宋体" w:hAnsi="宋体"/>
          <w:sz w:val="24"/>
        </w:rPr>
        <w:t>管理人决定暂停赎回或延缓支付赎回款项时，基金管理人应在当日报中国证监会备案，已成功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3项所述情形，按基金合同的相关条款处理。投资人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予以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（1）巨额赎回的场外处理方式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一开放日的基金份额净值为基础计算赎回金额，以此类推，直到全部赎回为止。如投资人在提交赎回申请时未作明确选择，投资人未能赎回部分作自动延期赎回处理。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成功确认的赎回申请可以延缓支付赎回款项，但不得超过20个工作日，并应当在指定媒介上进行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（2）巨额赎回的场内处理方式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当发生上述延期赎回并延期办理时，基金管理人应当通过邮寄、传真、公告或者通知销售机构代为告知等方式在3个工作日内通知基金份额持有人，说明有关处</w:t>
      </w:r>
      <w:r>
        <w:rPr>
          <w:rFonts w:ascii="宋体" w:hAnsi="宋体"/>
          <w:sz w:val="24"/>
        </w:rPr>
        <w:lastRenderedPageBreak/>
        <w:t>理方法，并在2日内在指定媒介上刊登公告。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2.暂停结束，基金重新开放申购或赎回时，基金管理人应按照《信息披露办法》的有关规定在指定媒介上刊登基金重新开放申购或赎回的公告，并公告最近1个开放日的基金份额净值。</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（十二）基金转换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基金管理人可以根据相关法律法规以及本</w:t>
      </w:r>
      <w:proofErr w:type="gramStart"/>
      <w:r>
        <w:rPr>
          <w:rFonts w:ascii="宋体" w:hAnsi="宋体"/>
          <w:sz w:val="24"/>
        </w:rPr>
        <w:t>基金基金</w:t>
      </w:r>
      <w:proofErr w:type="gramEnd"/>
      <w:r>
        <w:rPr>
          <w:rFonts w:ascii="宋体" w:hAnsi="宋体"/>
          <w:sz w:val="24"/>
        </w:rPr>
        <w:t>合同的规定决定开办本基金与基金管理人管理的其他基金之间的转换业务，基金转换可以收取一定的转换费，相关规则由基金管理人届时根据相关法律法规及本</w:t>
      </w:r>
      <w:proofErr w:type="gramStart"/>
      <w:r>
        <w:rPr>
          <w:rFonts w:ascii="宋体" w:hAnsi="宋体"/>
          <w:sz w:val="24"/>
        </w:rPr>
        <w:t>基金基金</w:t>
      </w:r>
      <w:proofErr w:type="gramEnd"/>
      <w:r>
        <w:rPr>
          <w:rFonts w:ascii="宋体" w:hAnsi="宋体"/>
          <w:sz w:val="24"/>
        </w:rPr>
        <w:t>合同的规定制定并公告，并及时告知基金托管人与相关机构。</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（十三）转托管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（1）系统内转托管是指基金份额持有人将持有的基金份额在注册登记系统内不同销售机构之间或证券登记结算系统内不同会员单位之间进行转托管的行为。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（2）基金份额登记在注册登记系统的基金份额持有人在变更办理基金赎回业务的销售机构（网点）时，销售机构（网点）之间不能通存通兑时的，可办理已持有基金份额的系统内转托管。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（1）跨系统转托管是指基金份额持有人将持有的基金份额在注册登记系统和证券登记结算系统之间进行转托管的行为。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（2）本基金跨系统转托管的具体业务按照中国证券登记结算有限责任公司的相关规定办理。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基金管理人、注册登记机构、办理转托管的销售机构因技术系统性能限制或其它合理原因，可以暂停该业务或者拒绝基金份额持有人的转托管申请。</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2015年6月26日刊登公告自2015年7月1日起恢复办理本基金的定期定额投资业务，具体开通销售机构名单和业务规则参见相关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过户是指基金注册登记机构受理继承、捐赠和司法强制执行而产生的</w:t>
      </w:r>
      <w:proofErr w:type="gramStart"/>
      <w:r>
        <w:rPr>
          <w:rFonts w:ascii="宋体" w:hAnsi="宋体"/>
          <w:sz w:val="24"/>
        </w:rPr>
        <w:t>非交易</w:t>
      </w:r>
      <w:proofErr w:type="gramEnd"/>
      <w:r>
        <w:rPr>
          <w:rFonts w:ascii="宋体" w:hAnsi="宋体"/>
          <w:sz w:val="24"/>
        </w:rPr>
        <w:t>过户以及注册登记机构认可、符合法律法规的其它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过户必须提供基金注册登记机构要求提供的相关资料，对于符合条件的</w:t>
      </w:r>
      <w:proofErr w:type="gramStart"/>
      <w:r>
        <w:rPr>
          <w:rFonts w:ascii="宋体" w:hAnsi="宋体"/>
          <w:sz w:val="24"/>
        </w:rPr>
        <w:t>非交易过户申请按</w:t>
      </w:r>
      <w:proofErr w:type="gramEnd"/>
      <w:r>
        <w:rPr>
          <w:rFonts w:ascii="宋体" w:hAnsi="宋体"/>
          <w:sz w:val="24"/>
        </w:rPr>
        <w:t>基金注册登记机构的规定办理，并按基金注册登记机构规定的标准收费。</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基金注册登记机构只受理国家有权机关依法要求的基金份额的冻结与解冻，以及注册登记机构认可、符合法律法规的其他情况下的基金份额冻结与解冻。</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（十七）基金上市交易</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（十八）基金份额的转让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（十九）其他业务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相关法律法规、对基金份额持有人无实质性不利影响的前提下，基金管理人可办理基金份额的质押业务或其他基金业务，基金管理人可制定相应的业务规则，并依照《信息披露办法》的有关规定进行公告。</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2" w:name="_Toc120105587"/>
      <w:r>
        <w:rPr>
          <w:rFonts w:ascii="Times New Roman" w:hAnsi="Times New Roman"/>
          <w:sz w:val="30"/>
        </w:rPr>
        <w:lastRenderedPageBreak/>
        <w:t>九、基金的转换</w:t>
      </w:r>
      <w:bookmarkEnd w:id="12"/>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本基金2015年7月24日刊登公告自2015年7月27日起开放日常转换业务。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w:t>
      </w:r>
      <w:proofErr w:type="gramStart"/>
      <w:r>
        <w:rPr>
          <w:rFonts w:ascii="宋体" w:hAnsi="宋体"/>
          <w:sz w:val="24"/>
        </w:rPr>
        <w:t>基金基金</w:t>
      </w:r>
      <w:proofErr w:type="gramEnd"/>
      <w:r>
        <w:rPr>
          <w:rFonts w:ascii="宋体" w:hAnsi="宋体"/>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sz w:val="24"/>
        </w:rPr>
        <w:t>基金基金</w:t>
      </w:r>
      <w:proofErr w:type="gramEnd"/>
      <w:r>
        <w:rPr>
          <w:rFonts w:ascii="宋体" w:hAnsi="宋体"/>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Pr>
          <w:rFonts w:ascii="宋体" w:hAnsi="宋体"/>
          <w:sz w:val="24"/>
        </w:rPr>
        <w:t>遇固定</w:t>
      </w:r>
      <w:proofErr w:type="gramEnd"/>
      <w:r>
        <w:rPr>
          <w:rFonts w:ascii="宋体" w:hAnsi="宋体"/>
          <w:sz w:val="24"/>
        </w:rPr>
        <w:t>费用，则按实际产生补差费用收取。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Pr>
          <w:rFonts w:ascii="宋体" w:hAnsi="宋体"/>
          <w:sz w:val="24"/>
        </w:rPr>
        <w:lastRenderedPageBreak/>
        <w:t>转入基金的后端申购费。后端申购补差费用按照转出份额持有时间对应分档的转出基金后端申购费率减去转入基金后端申购费率差额进行补差。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6、基金管理人可以根据法律法规及基金合同的规定对上述收费方式和费率进行调整，并应于调整后的收费方式和费率在实施前依照《信息披露办法》的有关规定在中国证监会指定媒体上公告。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银趋势</w:t>
      </w:r>
      <w:proofErr w:type="gramEnd"/>
      <w:r>
        <w:rPr>
          <w:rFonts w:ascii="宋体" w:hAnsi="宋体"/>
          <w:sz w:val="24"/>
        </w:rPr>
        <w:t>前端收费模式的A类基金份额100,000份，持有期</w:t>
      </w:r>
      <w:r>
        <w:rPr>
          <w:rFonts w:ascii="宋体" w:hAnsi="宋体"/>
          <w:sz w:val="24"/>
        </w:rPr>
        <w:lastRenderedPageBreak/>
        <w:t>半年，转换申请当日交</w:t>
      </w:r>
      <w:proofErr w:type="gramStart"/>
      <w:r>
        <w:rPr>
          <w:rFonts w:ascii="宋体" w:hAnsi="宋体"/>
          <w:sz w:val="24"/>
        </w:rPr>
        <w:t>银趋势</w:t>
      </w:r>
      <w:proofErr w:type="gramEnd"/>
      <w:r>
        <w:rPr>
          <w:rFonts w:ascii="宋体" w:hAnsi="宋体"/>
          <w:sz w:val="24"/>
        </w:rPr>
        <w:t>的A类基金份额净值为1.0100元，交</w:t>
      </w:r>
      <w:proofErr w:type="gramStart"/>
      <w:r>
        <w:rPr>
          <w:rFonts w:ascii="宋体" w:hAnsi="宋体"/>
          <w:sz w:val="24"/>
        </w:rPr>
        <w:t>银成长</w:t>
      </w:r>
      <w:proofErr w:type="gramEnd"/>
      <w:r>
        <w:rPr>
          <w:rFonts w:ascii="宋体" w:hAnsi="宋体"/>
          <w:sz w:val="24"/>
        </w:rPr>
        <w:t>的基金份额净值为2.2700元。若该投资者将100,000份交</w:t>
      </w:r>
      <w:proofErr w:type="gramStart"/>
      <w:r>
        <w:rPr>
          <w:rFonts w:ascii="宋体" w:hAnsi="宋体"/>
          <w:sz w:val="24"/>
        </w:rPr>
        <w:t>银趋势</w:t>
      </w:r>
      <w:proofErr w:type="gramEnd"/>
      <w:r>
        <w:rPr>
          <w:rFonts w:ascii="宋体" w:hAnsi="宋体"/>
          <w:sz w:val="24"/>
        </w:rPr>
        <w:t>前端A类基金份额转换为交</w:t>
      </w:r>
      <w:proofErr w:type="gramStart"/>
      <w:r>
        <w:rPr>
          <w:rFonts w:ascii="宋体" w:hAnsi="宋体"/>
          <w:sz w:val="24"/>
        </w:rPr>
        <w:t>银成长</w:t>
      </w:r>
      <w:proofErr w:type="gramEnd"/>
      <w:r>
        <w:rPr>
          <w:rFonts w:ascii="宋体" w:hAnsi="宋体"/>
          <w:sz w:val="24"/>
        </w:rPr>
        <w:t>前端基金份额，则转入交</w:t>
      </w:r>
      <w:proofErr w:type="gramStart"/>
      <w:r>
        <w:rPr>
          <w:rFonts w:ascii="宋体" w:hAnsi="宋体"/>
          <w:sz w:val="24"/>
        </w:rPr>
        <w:t>银成长</w:t>
      </w:r>
      <w:proofErr w:type="gramEnd"/>
      <w:r>
        <w:rPr>
          <w:rFonts w:ascii="宋体" w:hAnsi="宋体"/>
          <w:sz w:val="24"/>
        </w:rPr>
        <w:t>确认的基金份额为：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w:t>
      </w:r>
      <w:proofErr w:type="gramStart"/>
      <w:r>
        <w:rPr>
          <w:rFonts w:ascii="宋体" w:hAnsi="宋体"/>
          <w:sz w:val="24"/>
        </w:rPr>
        <w:t>银趋势</w:t>
      </w:r>
      <w:proofErr w:type="gramEnd"/>
      <w:r>
        <w:rPr>
          <w:rFonts w:ascii="宋体" w:hAnsi="宋体"/>
          <w:sz w:val="24"/>
        </w:rPr>
        <w:t>的A类基金份额净值为1.0100元。若该投资者将1,000,000份交银增利A类基金份额转换为交</w:t>
      </w:r>
      <w:proofErr w:type="gramStart"/>
      <w:r>
        <w:rPr>
          <w:rFonts w:ascii="宋体" w:hAnsi="宋体"/>
          <w:sz w:val="24"/>
        </w:rPr>
        <w:t>银趋势</w:t>
      </w:r>
      <w:proofErr w:type="gramEnd"/>
      <w:r>
        <w:rPr>
          <w:rFonts w:ascii="宋体" w:hAnsi="宋体"/>
          <w:sz w:val="24"/>
        </w:rPr>
        <w:t>前端A类基金份额，则转入交</w:t>
      </w:r>
      <w:proofErr w:type="gramStart"/>
      <w:r>
        <w:rPr>
          <w:rFonts w:ascii="宋体" w:hAnsi="宋体"/>
          <w:sz w:val="24"/>
        </w:rPr>
        <w:t>银趋势</w:t>
      </w:r>
      <w:proofErr w:type="gramEnd"/>
      <w:r>
        <w:rPr>
          <w:rFonts w:ascii="宋体" w:hAnsi="宋体"/>
          <w:sz w:val="24"/>
        </w:rPr>
        <w:t>确认的A类基金份额为：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收益为61.52元，转换申请当日交银增利A类基金份额净值为1.2700元，交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份额转换为交银增利A类基金份额，则转入确认的交银增利A类基金份额为：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转出确认金额=100,000×1.00=100,000元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w:t>
      </w:r>
      <w:proofErr w:type="gramStart"/>
      <w:r>
        <w:rPr>
          <w:rFonts w:ascii="宋体" w:hAnsi="宋体"/>
          <w:sz w:val="24"/>
        </w:rPr>
        <w:t>银主题</w:t>
      </w:r>
      <w:proofErr w:type="gramEnd"/>
      <w:r>
        <w:rPr>
          <w:rFonts w:ascii="宋体" w:hAnsi="宋体"/>
          <w:sz w:val="24"/>
        </w:rPr>
        <w:t>后端收费模式的A类基金份额100,000份，持有期一年半，转换申请当日交</w:t>
      </w:r>
      <w:proofErr w:type="gramStart"/>
      <w:r>
        <w:rPr>
          <w:rFonts w:ascii="宋体" w:hAnsi="宋体"/>
          <w:sz w:val="24"/>
        </w:rPr>
        <w:t>银主题</w:t>
      </w:r>
      <w:proofErr w:type="gramEnd"/>
      <w:r>
        <w:rPr>
          <w:rFonts w:ascii="宋体" w:hAnsi="宋体"/>
          <w:sz w:val="24"/>
        </w:rPr>
        <w:t>的A类基金份额净值为1.2500元，交银稳健的基金份额净值为2.2700元。若该投资者将100,000份交</w:t>
      </w:r>
      <w:proofErr w:type="gramStart"/>
      <w:r>
        <w:rPr>
          <w:rFonts w:ascii="宋体" w:hAnsi="宋体"/>
          <w:sz w:val="24"/>
        </w:rPr>
        <w:t>银主题</w:t>
      </w:r>
      <w:proofErr w:type="gramEnd"/>
      <w:r>
        <w:rPr>
          <w:rFonts w:ascii="宋体" w:hAnsi="宋体"/>
          <w:sz w:val="24"/>
        </w:rPr>
        <w:t>后端A类基金份额转换为交银稳健后端基金份额，则转入交银稳健确认的基金份额为：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w:t>
      </w:r>
      <w:proofErr w:type="gramStart"/>
      <w:r>
        <w:rPr>
          <w:rFonts w:ascii="宋体" w:hAnsi="宋体"/>
          <w:sz w:val="24"/>
        </w:rPr>
        <w:t>银货币</w:t>
      </w:r>
      <w:proofErr w:type="gramEnd"/>
      <w:r>
        <w:rPr>
          <w:rFonts w:ascii="宋体" w:hAnsi="宋体"/>
          <w:sz w:val="24"/>
        </w:rPr>
        <w:t>的基金份额净值为1.00元。若该投资者将100,000份交银先锋后端A类基金份额转换为交银</w:t>
      </w:r>
      <w:r>
        <w:rPr>
          <w:rFonts w:ascii="宋体" w:hAnsi="宋体"/>
          <w:sz w:val="24"/>
        </w:rPr>
        <w:lastRenderedPageBreak/>
        <w:t>货币，则转入交</w:t>
      </w:r>
      <w:proofErr w:type="gramStart"/>
      <w:r>
        <w:rPr>
          <w:rFonts w:ascii="宋体" w:hAnsi="宋体"/>
          <w:sz w:val="24"/>
        </w:rPr>
        <w:t>银货币</w:t>
      </w:r>
      <w:proofErr w:type="gramEnd"/>
      <w:r>
        <w:rPr>
          <w:rFonts w:ascii="宋体" w:hAnsi="宋体"/>
          <w:sz w:val="24"/>
        </w:rPr>
        <w:t>的基金份额为：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收益为61.52元，转换申请当日交银增利B类基金份额净值为1.2700元，交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份额转换为交银增利B类基金份额，则转入确认的交银增利B类基金份额为：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w:t>
      </w:r>
      <w:r>
        <w:rPr>
          <w:rFonts w:ascii="宋体" w:hAnsi="宋体"/>
          <w:sz w:val="24"/>
        </w:rPr>
        <w:lastRenderedPageBreak/>
        <w:t>只能转换到前端收费模式的其他基金，后端收费模式的基金只能转换到后端收费模式的其他基金。货币市场基金、债券基金C类基金份额与其他基金之间的转换不受上述收费模式的限制。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份额后扣除申购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3" w:name="_Toc120105588"/>
      <w:r>
        <w:rPr>
          <w:rFonts w:ascii="Times New Roman" w:hAnsi="Times New Roman"/>
          <w:sz w:val="30"/>
        </w:rPr>
        <w:lastRenderedPageBreak/>
        <w:t>十、基金的投资</w:t>
      </w:r>
      <w:bookmarkEnd w:id="13"/>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本基金通过重点投资于与消费服务相关的优质企业，把握经济转型背景下中国消费升级蕴含的投资机会，在控制风险并保持基金资产良好的流动性的前提下，力争实现基金资产的长期稳定增值。</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w:t>
      </w:r>
      <w:proofErr w:type="gramStart"/>
      <w:r>
        <w:rPr>
          <w:rFonts w:ascii="宋体" w:hAnsi="宋体"/>
          <w:sz w:val="24"/>
        </w:rPr>
        <w:t>含存托</w:t>
      </w:r>
      <w:proofErr w:type="gramEnd"/>
      <w:r>
        <w:rPr>
          <w:rFonts w:ascii="宋体" w:hAnsi="宋体"/>
          <w:sz w:val="24"/>
        </w:rPr>
        <w:t>凭证）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其中现金不包括结算备付金、存出保证金和应收申购款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本基金将通过“自上而下”的定性分析和定量分析相结合形成对不同资产市场表现的预测和判断，确定基金资产在股票、债券及货币市场工具等各类别资产间的</w:t>
      </w:r>
      <w:r>
        <w:rPr>
          <w:rFonts w:ascii="宋体" w:hAnsi="宋体"/>
          <w:sz w:val="24"/>
        </w:rPr>
        <w:lastRenderedPageBreak/>
        <w:t>分配比例，并随着各类证券风险收益特征的相对变化，在基金合同约定的范围内动态调整组合中各类资产的比例，以规避或控制市场风险，提高基金收益率。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（1）消费服务行业的范畴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未来，为了适应经济社会发展的需要，本基金管理人可根据整体经济、行业的发展变化，动态调整对于消费服务行业范畴的定义。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（3）股票选择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本基金将充分发挥研究团队自下而上的选股能力，基于对个股深入的基本面研究和细致的实地调研，精选股票构建股票投资组合。具体分以下几个层次：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盈利能力指标（如P/E、P/Cash Flow、P/FCF、P/S、P/EBIT等）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经营效率指标（如ROE、ROA、Return on operating assets等）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财务状况指标（如D/A、流动比率等）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2）价值评估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最后，本基金根据对个股价值的评估和市场机会的判断构建股票组合，其中投资于消费服务类行业的公司股票不低于非现金基金资产的80%。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w:t>
      </w:r>
      <w:proofErr w:type="gramStart"/>
      <w:r>
        <w:rPr>
          <w:rFonts w:ascii="宋体" w:hAnsi="宋体"/>
          <w:sz w:val="24"/>
        </w:rPr>
        <w:t>可</w:t>
      </w:r>
      <w:proofErr w:type="gramEnd"/>
      <w:r>
        <w:rPr>
          <w:rFonts w:ascii="宋体" w:hAnsi="宋体"/>
          <w:sz w:val="24"/>
        </w:rPr>
        <w:t>转换债券等债券品种。本基金的债券投资采取主动的投资管理方式，获得与风险相匹配的投资收益，以实现在一定程度上规避股票市场的系统性风险和保证基金资产的流动性。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w:t>
      </w:r>
      <w:proofErr w:type="gramStart"/>
      <w:r>
        <w:rPr>
          <w:rFonts w:ascii="宋体" w:hAnsi="宋体"/>
          <w:sz w:val="24"/>
        </w:rPr>
        <w:t>作出</w:t>
      </w:r>
      <w:proofErr w:type="gramEnd"/>
      <w:r>
        <w:rPr>
          <w:rFonts w:ascii="宋体" w:hAnsi="宋体"/>
          <w:sz w:val="24"/>
        </w:rPr>
        <w:t>判断，运用数量化工具，对未来市场利率趋势及市场信用环境变化</w:t>
      </w:r>
      <w:proofErr w:type="gramStart"/>
      <w:r>
        <w:rPr>
          <w:rFonts w:ascii="宋体" w:hAnsi="宋体"/>
          <w:sz w:val="24"/>
        </w:rPr>
        <w:t>作出</w:t>
      </w:r>
      <w:proofErr w:type="gramEnd"/>
      <w:r>
        <w:rPr>
          <w:rFonts w:ascii="宋体" w:hAnsi="宋体"/>
          <w:sz w:val="24"/>
        </w:rPr>
        <w:t>预测，并综合考虑利率变化对不同债券品种的影响、收益率水平、信用风险的大小、流动性的好坏等因素，构造债券组合。在具体操作中，本基金</w:t>
      </w:r>
      <w:proofErr w:type="gramStart"/>
      <w:r>
        <w:rPr>
          <w:rFonts w:ascii="宋体" w:hAnsi="宋体"/>
          <w:sz w:val="24"/>
        </w:rPr>
        <w:t>运用久期控制</w:t>
      </w:r>
      <w:proofErr w:type="gramEnd"/>
      <w:r>
        <w:rPr>
          <w:rFonts w:ascii="宋体" w:hAnsi="宋体"/>
          <w:sz w:val="24"/>
        </w:rPr>
        <w:t>策略、期限结构配置策略、类属配置策略、骑乘策略、杠杆放大策略和换</w:t>
      </w:r>
      <w:proofErr w:type="gramStart"/>
      <w:r>
        <w:rPr>
          <w:rFonts w:ascii="宋体" w:hAnsi="宋体"/>
          <w:sz w:val="24"/>
        </w:rPr>
        <w:t>券</w:t>
      </w:r>
      <w:proofErr w:type="gramEnd"/>
      <w:r>
        <w:rPr>
          <w:rFonts w:ascii="宋体" w:hAnsi="宋体"/>
          <w:sz w:val="24"/>
        </w:rPr>
        <w:t>等多种策略，获取债券市场的长期稳定收益。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w:t>
      </w:r>
      <w:proofErr w:type="gramStart"/>
      <w:r>
        <w:rPr>
          <w:rFonts w:ascii="宋体" w:hAnsi="宋体"/>
          <w:sz w:val="24"/>
        </w:rPr>
        <w:t>运用久期管理</w:t>
      </w:r>
      <w:proofErr w:type="gramEnd"/>
      <w:r>
        <w:rPr>
          <w:rFonts w:ascii="宋体" w:hAnsi="宋体"/>
          <w:sz w:val="24"/>
        </w:rPr>
        <w:t>、收益率曲线、</w:t>
      </w:r>
      <w:proofErr w:type="gramStart"/>
      <w:r>
        <w:rPr>
          <w:rFonts w:ascii="宋体" w:hAnsi="宋体"/>
          <w:sz w:val="24"/>
        </w:rPr>
        <w:t>个券</w:t>
      </w:r>
      <w:proofErr w:type="gramEnd"/>
      <w:r>
        <w:rPr>
          <w:rFonts w:ascii="宋体" w:hAnsi="宋体"/>
          <w:sz w:val="24"/>
        </w:rPr>
        <w:t>选择和把握市场交易机会等积极策略，在严格控制风险的情况下，通过信用研究和流动性管理，选择风险调整后的收益高的品种进行投资，以期获得长期稳定收益。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6、股指期货投资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85%×中</w:t>
      </w:r>
      <w:proofErr w:type="gramStart"/>
      <w:r>
        <w:rPr>
          <w:rFonts w:ascii="宋体" w:hAnsi="宋体"/>
          <w:sz w:val="24"/>
        </w:rPr>
        <w:t>证内地</w:t>
      </w:r>
      <w:proofErr w:type="gramEnd"/>
      <w:r>
        <w:rPr>
          <w:rFonts w:ascii="宋体" w:hAnsi="宋体"/>
          <w:sz w:val="24"/>
        </w:rPr>
        <w:t>消费主题指数+15%×中证综合债券指数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其中股票投资比较基准为中</w:t>
      </w:r>
      <w:proofErr w:type="gramStart"/>
      <w:r>
        <w:rPr>
          <w:rFonts w:ascii="宋体" w:hAnsi="宋体"/>
          <w:sz w:val="24"/>
        </w:rPr>
        <w:t>证内地</w:t>
      </w:r>
      <w:proofErr w:type="gramEnd"/>
      <w:r>
        <w:rPr>
          <w:rFonts w:ascii="宋体" w:hAnsi="宋体"/>
          <w:sz w:val="24"/>
        </w:rPr>
        <w:t>消费主题指数，债券投资比较基准为中证综合债券指数。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本基金股票部分主要投资于消费服务行业股票。中</w:t>
      </w:r>
      <w:proofErr w:type="gramStart"/>
      <w:r>
        <w:rPr>
          <w:rFonts w:ascii="宋体" w:hAnsi="宋体"/>
          <w:sz w:val="24"/>
        </w:rPr>
        <w:t>证内地</w:t>
      </w:r>
      <w:proofErr w:type="gramEnd"/>
      <w:r>
        <w:rPr>
          <w:rFonts w:ascii="宋体" w:hAnsi="宋体"/>
          <w:sz w:val="24"/>
        </w:rPr>
        <w:t>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（五）风险收益特征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股票型基金，其预期风险与预期收益高于混合型基金、债券型基金和货币市场基金，属于承担较高预期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（六）投资决策依据和投资程序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1、投资决策依据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w:t>
      </w:r>
      <w:r>
        <w:rPr>
          <w:rFonts w:ascii="宋体" w:hAnsi="宋体"/>
          <w:sz w:val="24"/>
        </w:rPr>
        <w:lastRenderedPageBreak/>
        <w:t>易室对交易情况及时反馈；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（七）投资组合限制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本基金的投资组合应遵循以下限制：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w:t>
      </w:r>
      <w:proofErr w:type="gramStart"/>
      <w:r>
        <w:rPr>
          <w:rFonts w:ascii="宋体" w:hAnsi="宋体"/>
          <w:sz w:val="24"/>
        </w:rPr>
        <w:t>含存托</w:t>
      </w:r>
      <w:proofErr w:type="gramEnd"/>
      <w:r>
        <w:rPr>
          <w:rFonts w:ascii="宋体" w:hAnsi="宋体"/>
          <w:sz w:val="24"/>
        </w:rPr>
        <w:t>凭证）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（2）每个交易日日终在扣除股指期货合约需缴纳的交易保证金后，保持不低于基金资产净值5%的现金或者到期日在一年以内的政府债券，其中现金不包括结算备付金、存出保证金和应收申购款等；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（6）本基金持有的全部权证，其市值不得超过基金资产净值的3%；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（7）本基金管理人管理的全部基金持有的同一权证，不得超过该权证的 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（8）本基金在任何交易日买入权证的总金额，不得超过上一交易日基金资产净值的0.5%；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（9）本基金投资于同一原始权益人的各类资产支持证券的比例，不得超过基</w:t>
      </w:r>
      <w:r>
        <w:rPr>
          <w:rFonts w:ascii="宋体" w:hAnsi="宋体"/>
          <w:sz w:val="24"/>
        </w:rPr>
        <w:lastRenderedPageBreak/>
        <w:t>金资产净值的10%；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（10）本基金持有的全部资产支持证券，其市值不得超过基金资产净值的20%；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（11）本基金持有的同一(指同一信用级别)资产支持证券的比例，不得超过该资产支持证券规模的10%；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（12）本基金管理人管理的全部基金投资于同一原始权益人的各类资产支持证券，不得超过其各类资产支持证券合计规模的10%；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（13）本基金应投资于信用级别评级为BBB以上(含BBB)的资产支持证券。基金持有资产支持证券期间，如果其信用等级下降、不再符合投资标准，应在评级报告发布之日起3个月内予以全部卖出；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（14）基金财产参与股票发行申购，本基金所申报的金额不超过本基金的总资产，本基金所申报的股票数量不超过拟发行股票公司本次发行股票的总量；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基金总资产不超过基金净资产的140%；本基金进入全国银行间同业市场进行债券回购的资金余额不得超过基金资产净值的40%，本基金进入全国银行间同业市场进行债券回购的最长期限为1年，债券回购到期后不得展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（16）本基金在任何交易日日终，持有的买入股指期货合约价值，不得超过基金资产净值的10%；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（18）本基金在任何交易日日终，持有的卖出期货合约价值不得超过基金持有的股票总市值的20%；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（19）本基金所持有的股票市值和买入、卖出股指期货合约价值，合计（轧差计算）应当符合基金合同关于股票投资比例的有关约定，即占基金资产的80%-95%；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（20）本基金在任何交易日内交易（不包括平仓）的股指期货合约的成交金额不得超过上一交易日基金资产净值的20%；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（21）本基金主动投资于流动性受限资产的市值合计不得超过基金资产净值的15%；因证券市场波动、上市公司股票停牌、基金规模变动等基金管理人之外的因</w:t>
      </w:r>
      <w:r>
        <w:rPr>
          <w:rFonts w:ascii="宋体" w:hAnsi="宋体"/>
          <w:sz w:val="24"/>
        </w:rPr>
        <w:lastRenderedPageBreak/>
        <w:t>素致使基金不符合该比例限制的，基金管理人不得主动新增流动性受限资产的投资；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及中国证监会认定的其他主体为交易对手开展逆回购交易的，可接受质押品的资质要求应当与本基金合同约定的投资范围保持一致；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（23）本基金投资存托凭证的比例限制依照境内上市交易的股票执行；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（24）法律法规及中国证监会规定的和基金合同约定的其他投资限制。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(13)、(21)、(22)项之外，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(5)向其基金管理人、基金托管人出资；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如法律、行政法规或监管部门取消上述禁止性规定，如适用于本基金，则在履行适当程序后，本基金投资不再受上述规定的限制。</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(八)基金管理人代表基金行使股东和债权人权利的处理原则及方法</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1.基金管理人按照国家有关规定代表基金独立行使股东和债权人权利，保护基金份额持有人的利益；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（九）基金的融资融券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本基金可以根据届时有效的有关法律法规、政策和自律规则的规定进行融资融券。</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本基金托管人中国建设银行股份有限公司根据本基金合同规定，于2022年10月24日复核了本报告中的财务指标、净值表现和投资组合报告等内容，保证复核内容不存在虚假记载、误导性陈述或者重大遗漏。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本投资组合报告期为2022年07月01日起至09月30日，所载财务数据未经审计师审计。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3,145,590,311.41</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88.92</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3,145,590,311.41</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88.92</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383,980,504.28</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10.85</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7,901,701.24</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3,537,472,516.93</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2,282,998,388.43</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65.26</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35,096,976.00</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17,798,745.00</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30,338,878.40</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0.87</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335,172.14</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391,903,950.77</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11.20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6,055,064.40</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381,057,669.27</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10.89</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5,467.00</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3,145,590,311.41</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89.92</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000858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五</w:t>
            </w:r>
            <w:r>
              <w:rPr>
                <w:rFonts w:ascii="Times New Roman" w:hAnsi="Times New Roman"/>
                <w:color w:val="000000"/>
                <w:kern w:val="0"/>
                <w:sz w:val="25"/>
                <w:szCs w:val="24"/>
              </w:rPr>
              <w:t xml:space="preserve"> </w:t>
            </w:r>
            <w:r>
              <w:rPr>
                <w:rFonts w:ascii="Times New Roman" w:hAnsi="Times New Roman"/>
                <w:color w:val="000000"/>
                <w:kern w:val="0"/>
                <w:sz w:val="25"/>
                <w:szCs w:val="24"/>
              </w:rPr>
              <w:t>粮</w:t>
            </w:r>
            <w:r>
              <w:rPr>
                <w:rFonts w:ascii="Times New Roman" w:hAnsi="Times New Roman"/>
                <w:color w:val="000000"/>
                <w:kern w:val="0"/>
                <w:sz w:val="25"/>
                <w:szCs w:val="24"/>
              </w:rPr>
              <w:t xml:space="preserve"> </w:t>
            </w:r>
            <w:r>
              <w:rPr>
                <w:rFonts w:ascii="Times New Roman" w:hAnsi="Times New Roman"/>
                <w:color w:val="000000"/>
                <w:kern w:val="0"/>
                <w:sz w:val="25"/>
                <w:szCs w:val="24"/>
              </w:rPr>
              <w:t>液</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1,872,641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316,907,036.43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9.06</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000568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泸州老窖</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1,370,757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316,178,809.62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9.04</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168,755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315,993,737.50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9.03</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1,992,452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315,106,283.80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9.01</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600600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青岛啤酒</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2,659,271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282,414,580.20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8.07</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金域医学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3,232,802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204,894,990.76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5.86</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药明康德</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2,840,800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203,656,952.00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5.82</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300146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汤臣</w:t>
            </w:r>
            <w:proofErr w:type="gramStart"/>
            <w:r>
              <w:rPr>
                <w:rFonts w:ascii="Times New Roman" w:hAnsi="Times New Roman"/>
                <w:color w:val="000000"/>
                <w:kern w:val="0"/>
                <w:sz w:val="25"/>
                <w:szCs w:val="24"/>
              </w:rPr>
              <w:t>倍</w:t>
            </w:r>
            <w:proofErr w:type="gramEnd"/>
            <w:r>
              <w:rPr>
                <w:rFonts w:ascii="Times New Roman" w:hAnsi="Times New Roman"/>
                <w:color w:val="000000"/>
                <w:kern w:val="0"/>
                <w:sz w:val="25"/>
                <w:szCs w:val="24"/>
              </w:rPr>
              <w:t>健</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11,341,379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199,608,270.40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5.71</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爱尔眼科</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6,143,403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176,131,364.01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5.03</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300896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爱美客</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217,485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106,637,245.20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10、报告期末本基金投资的国债期货交易情况说明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718,631.04</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7,183,070.20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right"/>
              <w:rPr>
                <w:rFonts w:ascii="宋体" w:hAnsi="宋体"/>
                <w:color w:val="000000"/>
                <w:kern w:val="0"/>
                <w:sz w:val="25"/>
                <w:szCs w:val="24"/>
              </w:rPr>
            </w:pPr>
            <w:r>
              <w:rPr>
                <w:rFonts w:ascii="Times New Roman" w:hAnsi="Times New Roman"/>
                <w:color w:val="000000"/>
                <w:kern w:val="0"/>
                <w:sz w:val="25"/>
                <w:szCs w:val="24"/>
              </w:rPr>
              <w:t>7,901,701.24</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w:t>
      </w:r>
      <w:proofErr w:type="gramStart"/>
      <w:r>
        <w:rPr>
          <w:rFonts w:ascii="宋体" w:hAnsi="宋体"/>
          <w:sz w:val="24"/>
        </w:rPr>
        <w:t>期末前</w:t>
      </w:r>
      <w:proofErr w:type="gramEnd"/>
      <w:r>
        <w:rPr>
          <w:rFonts w:ascii="宋体" w:hAnsi="宋体"/>
          <w:sz w:val="24"/>
        </w:rPr>
        <w:t>十名股票中存在流通受限情况的说明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4" w:name="_Toc120105589"/>
      <w:r>
        <w:rPr>
          <w:rFonts w:ascii="Times New Roman" w:hAnsi="Times New Roman"/>
          <w:sz w:val="30"/>
        </w:rPr>
        <w:lastRenderedPageBreak/>
        <w:t>十一、基金的业绩</w:t>
      </w:r>
      <w:bookmarkEnd w:id="14"/>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基金业绩截止日为2022年09月30日，所载财务数据未经审计师审计。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交银施罗德消费新驱动股票型证券投资基金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-11.44%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-11.12%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0.82%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1.82%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-2.52%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3.98%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1.56%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-9.70%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13.68%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103.24%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54.62%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48.62%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36.27%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47.20%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-10.93%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1.47%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-22.11%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8.11%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28.24%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41.26%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-13.02%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2.14%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-4.49%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6.63%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年度（自基金转型日至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1.60%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2.26%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9.30%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沪深300行业分层等权重指数证券投资基金从2015年7月1日起正式转型为交银施罗德消费新驱动股票型证券投资基金，本表列示的是基金转型后的基金净值表现，转型后报告期内基金的业绩比较基准为85%×中</w:t>
      </w:r>
      <w:proofErr w:type="gramStart"/>
      <w:r>
        <w:rPr>
          <w:rFonts w:ascii="宋体" w:hAnsi="宋体"/>
          <w:sz w:val="24"/>
        </w:rPr>
        <w:t>证内地</w:t>
      </w:r>
      <w:proofErr w:type="gramEnd"/>
      <w:r>
        <w:rPr>
          <w:rFonts w:ascii="宋体" w:hAnsi="宋体"/>
          <w:sz w:val="24"/>
        </w:rPr>
        <w:t>消费主题指数+15%×中信标</w:t>
      </w:r>
      <w:proofErr w:type="gramStart"/>
      <w:r>
        <w:rPr>
          <w:rFonts w:ascii="宋体" w:hAnsi="宋体"/>
          <w:sz w:val="24"/>
        </w:rPr>
        <w:t>普全债</w:t>
      </w:r>
      <w:proofErr w:type="gramEnd"/>
      <w:r>
        <w:rPr>
          <w:rFonts w:ascii="宋体" w:hAnsi="宋体"/>
          <w:sz w:val="24"/>
        </w:rPr>
        <w:t>指数。自2015年10月1日起，本基金的业绩比较基准由“85%×中证内地消费主题指数+15%×中信标普全债指数”变更为“85%×中证内地消费主题指数+15%×中证综合债券指数”，2.（1）图同。详情见本基金管理人于2015年9月28日发布的《交银施罗德基金管理有限公司关于旗下部分基金业绩比较基准变更并修改基金合同相关内容的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交银施罗德沪深300行业分层等权重指数证券投资基金</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阶段</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34.70%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42.28%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-7.58%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35.56%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37.19%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98473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9.60%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4.67%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4.93%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r>
    </w:tbl>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注：交银施罗德沪深300行业分层等权重指数证券投资基金从2015年7月1日起正式转型为交银施罗德消费新驱动股票型证券投资基金，本表列示的是基金转型前的基金净值表现，转型</w:t>
      </w:r>
      <w:proofErr w:type="gramStart"/>
      <w:r>
        <w:rPr>
          <w:rFonts w:ascii="宋体" w:hAnsi="宋体"/>
          <w:sz w:val="24"/>
        </w:rPr>
        <w:t>前基金</w:t>
      </w:r>
      <w:proofErr w:type="gramEnd"/>
      <w:r>
        <w:rPr>
          <w:rFonts w:ascii="宋体" w:hAnsi="宋体"/>
          <w:sz w:val="24"/>
        </w:rPr>
        <w:t>的业绩比较基准为沪深300行业分层等权重指数收益率×95%＋银行活期存款利率（税后）×5%。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2、基金份额累计净值增长率变动及其与同期业绩比较基准收益率变动的比较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（1）自基金转型以来基金份额累计净值增长率变动及其与同期业绩比较基准收益率变动的比较</w:t>
      </w:r>
    </w:p>
    <w:p w:rsidR="0098473B" w:rsidRDefault="0071464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交银施罗德消费新驱动股票型证券投资基金</w:t>
      </w:r>
    </w:p>
    <w:p w:rsidR="0098473B" w:rsidRDefault="0071464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98473B" w:rsidRDefault="0071464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（2015年7月1日至2022年09月30日）</w:t>
      </w:r>
    </w:p>
    <w:p w:rsidR="0098473B" w:rsidRDefault="00A265B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8"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注：本基金由交银施罗德沪深300行业分层等权重指数证券投资基金转型而来。基金</w:t>
      </w:r>
      <w:proofErr w:type="gramStart"/>
      <w:r>
        <w:rPr>
          <w:rFonts w:ascii="宋体" w:hAnsi="宋体"/>
          <w:sz w:val="24"/>
        </w:rPr>
        <w:t>转型日</w:t>
      </w:r>
      <w:proofErr w:type="gramEnd"/>
      <w:r>
        <w:rPr>
          <w:rFonts w:ascii="宋体" w:hAnsi="宋体"/>
          <w:sz w:val="24"/>
        </w:rPr>
        <w:t>为2015年7月1日。本基金的投资转型期为交银施罗德沪深300行业分层等权重指数证券投资基金转型实施日（即2015年7月1日）起的6个月。截至投资转型期结束，本基金各项资产配置比例符合基金合同及招募说明书有关投资比例的约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98473B" w:rsidRDefault="0071464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交银施罗德沪深300行业分层等权重指数证券投资基金</w:t>
      </w:r>
    </w:p>
    <w:p w:rsidR="0098473B" w:rsidRDefault="0071464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98473B" w:rsidRDefault="0071464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（2012年11月7日至2015年6月30日）</w:t>
      </w:r>
    </w:p>
    <w:p w:rsidR="0098473B" w:rsidRDefault="00A265B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5460" cy="3284220"/>
            <wp:effectExtent l="0" t="0" r="0" b="0"/>
            <wp:docPr id="7"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5460" cy="3284220"/>
                    </a:xfrm>
                    <a:prstGeom prst="rect">
                      <a:avLst/>
                    </a:prstGeom>
                    <a:noFill/>
                    <a:ln>
                      <a:noFill/>
                    </a:ln>
                  </pic:spPr>
                </pic:pic>
              </a:graphicData>
            </a:graphic>
          </wp:inline>
        </w:drawing>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注：交银施罗德沪深300行业分层等权重指数证券投资基金建仓期为自基金合同生效日起的6个月。截至建仓期结束，本基金各项资产配置比例符合基金合同及招募说明书有关投资比例的约定。</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5" w:name="_Toc120105590"/>
      <w:r>
        <w:rPr>
          <w:rFonts w:ascii="Times New Roman" w:hAnsi="Times New Roman"/>
          <w:sz w:val="30"/>
        </w:rPr>
        <w:lastRenderedPageBreak/>
        <w:t>十二、基金的财产</w:t>
      </w:r>
      <w:bookmarkEnd w:id="15"/>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基金资产总值是指基金拥有的各类有价证券、股指期货合约、银行存款本息、基金应收申购款以及其他资产的价值总和。</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基金资产净值是指基金资产总值减去负债后的净资产值。</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协助开立股指期货业务相关账户及交易编码。开立的基金专用账户与基金管理人、基金托管人、基金销售机构和注册登记机构自有的财产账户以及其他基金财产账户相独立。</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（四）基金财产的处分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销售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财产的债权、不得与基金管理人、基金托管人固有财产的债务相</w:t>
      </w:r>
      <w:proofErr w:type="gramStart"/>
      <w:r>
        <w:rPr>
          <w:rFonts w:ascii="宋体" w:hAnsi="宋体"/>
          <w:sz w:val="24"/>
        </w:rPr>
        <w:t>抵销</w:t>
      </w:r>
      <w:proofErr w:type="gramEnd"/>
      <w:r>
        <w:rPr>
          <w:rFonts w:ascii="宋体" w:hAnsi="宋体"/>
          <w:sz w:val="24"/>
        </w:rPr>
        <w:t>，不同基金财产的债权债务，不得相互</w:t>
      </w:r>
      <w:proofErr w:type="gramStart"/>
      <w:r>
        <w:rPr>
          <w:rFonts w:ascii="宋体" w:hAnsi="宋体"/>
          <w:sz w:val="24"/>
        </w:rPr>
        <w:t>抵销</w:t>
      </w:r>
      <w:proofErr w:type="gramEnd"/>
      <w:r>
        <w:rPr>
          <w:rFonts w:ascii="宋体" w:hAnsi="宋体"/>
          <w:sz w:val="24"/>
        </w:rPr>
        <w:t>。基金管理人、基金托管人以其自有资产承担法律责任，其债权人不得对基金财产行使请求冻结、扣押和其他权利。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6" w:name="_Toc120105591"/>
      <w:r>
        <w:rPr>
          <w:rFonts w:ascii="Times New Roman" w:hAnsi="Times New Roman"/>
          <w:sz w:val="30"/>
        </w:rPr>
        <w:lastRenderedPageBreak/>
        <w:t>十三、基金资产的估值</w:t>
      </w:r>
      <w:bookmarkEnd w:id="16"/>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（一）估值目的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基金资产的估值目的是客观、准确地反映基金资产是否保值、增值，并为基金份额提供计价依据。</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本基金的估值日为本基金相关的证券/期货交易场所的正常营业日以及国家法律法规规定需要对外披露基金净值的非营业日。</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（三）估值对象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基金所拥有的股票、权证、债券和银行存款本息、应收款项、股指期货合约、其它投资等资产和负债。</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（四）估值方法</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（1）送股、转增股、配股和公开增发的新股，按估值日在证券交易所挂牌的同一股票的估值方法估值。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5、本基金投资股指期货合约，一般以估值当日结算价进行估值，估值当日无结算价的，且最近交易日后经济环境未发生重大变化的，采用最近交易日结算价估值。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8、相关法律法规以及监管部门有强制规定的，从其规定。如有新增事项，按法律法规以及监管部门的最新规定估值。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1.基金份额净值是按照每个工作日闭市后，基金资产净值除以当日基金份额的余额数量计算，精确到0.001元，小数点后第四位四舍五入。国家另有规定的，从其规定。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每个工作日计算基金资产净值及基金份额净值，并按规定公告。如遇特殊情况，经中国证监会同意，可以适当延迟计算或公告。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（六）估值错误的处理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基金管理人和基金托管人将采取必要、适当、合理的措施确保基金资产估值的准确性、及时性。当基金份额净值小数点后3位以内(含第3位)发生差错时，视为基金份额净值错误。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销售机构、或投资人自身的过错造成差错，导致其他当事人遭受损失的，过错的责任人应当对由于该差错遭受损失当事人(“受损方”)的直接损失按下述“差错处理原则”给予赔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该当事人应当承担相应赔偿责任。差错责任方应对更正的情况向有关当事人进行确认，确保差错已得到更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(2)差错的责任方对有关当事人的直接损失负责，不对间接损失负责，并且仅对差错的有关直接当事人负责，不对第三方负责。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w:t>
      </w:r>
      <w:proofErr w:type="gramStart"/>
      <w:r>
        <w:rPr>
          <w:rFonts w:ascii="宋体" w:hAnsi="宋体"/>
          <w:sz w:val="24"/>
        </w:rPr>
        <w:t>则基金</w:t>
      </w:r>
      <w:proofErr w:type="gramEnd"/>
      <w:r>
        <w:rPr>
          <w:rFonts w:ascii="宋体" w:hAnsi="宋体"/>
          <w:sz w:val="24"/>
        </w:rPr>
        <w:t>管理人有权向出现过错的当事人进行追索，并有权要求其赔偿或补偿由此发生的费用和遭受的直接损失。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(4)根据差错处理的方法，需要修改基金注册登记机构交易数据的，由基金注册登记机构进行更正，并就差错的更正向有关当事人进行确认。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4.基金份额净值差错处理的原则和方法如下：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(2)错误偏差达到基金份额净值的0.25%时，基金管理人应当通报基金托管人并报中国证监会备案；错误偏差达到基金份额净值的0.5%时，基金管理人应当公告，通报基金托管人并报中国证监会备案。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(3)因基金份额净值计算错误，给基金或基金份额持有人造成损失的，应由基金管理人先行赔付，基金管理人按差错情形，有权向其他当事人追偿。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(4)前述内容如法律法规或监管机构另有规定的，从其规定处理。</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（七）暂停估值的情形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1.基金投资所涉及的证券/期货交易市场遇法定节假日或因其他原因暂停交易时；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2.因不可抗力或其它情形致使基金管理人、基金托管人无法准确评估基金资产价值时；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3.占基金相当比例的投资品种的估值出现重大转变，而基金管理人为保障投资人的利益，决定延迟估值；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公允价值存在重大不确定性时，经与基金托管人协商一致的，基金管理人应当暂停估值；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（八）基金净值的确认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（九）特殊情形的处理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基金管理人或基金托管人按估值方法的第6项进行估值时，所造成的误差不作为基金资产估值错误处理。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由于不可抗力原因，或由于证券/期货交易所或登记结算机构、证券/期货经纪机构发送的数据错误，有关会计制度变化、市场规则变更或由于其他不可抗力原</w:t>
      </w:r>
      <w:r>
        <w:rPr>
          <w:rFonts w:ascii="宋体" w:hAnsi="宋体"/>
          <w:sz w:val="24"/>
        </w:rPr>
        <w:lastRenderedPageBreak/>
        <w:t>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7" w:name="_Toc120105592"/>
      <w:r>
        <w:rPr>
          <w:rFonts w:ascii="Times New Roman" w:hAnsi="Times New Roman"/>
          <w:sz w:val="30"/>
        </w:rPr>
        <w:lastRenderedPageBreak/>
        <w:t>十四、基金的收益与分配</w:t>
      </w:r>
      <w:bookmarkEnd w:id="17"/>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1.本基金的每份基金份额享有同等分配权；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分配时所发生的银行转账或其他手续费用由投资人自行承担。当投资人的现金红利小于一定金额，不足以支付银行转账或其他手续费用时，注册登记机构可将投资人的现金红利按除权后的基金份额净值自动转为基金份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3.本基金收益每年最多分配4次，每次基金收益分配比例不低于收益分配基准日可供分配利润的10%；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4.本基金收益分配方式分为两种：现金分红与红利再投资，投资人可选择现金红利或将现金红利按除权后的基金份额净值自动转为基金份额进行再投资；若投资人不选择，本基金默认的收益分配方式是现金分红；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5.基金红利发放</w:t>
      </w:r>
      <w:proofErr w:type="gramStart"/>
      <w:r>
        <w:rPr>
          <w:rFonts w:ascii="宋体" w:hAnsi="宋体"/>
          <w:sz w:val="24"/>
        </w:rPr>
        <w:t>日距离</w:t>
      </w:r>
      <w:proofErr w:type="gramEnd"/>
      <w:r>
        <w:rPr>
          <w:rFonts w:ascii="宋体" w:hAnsi="宋体"/>
          <w:sz w:val="24"/>
        </w:rPr>
        <w:t>收益分配基准日（即可供分配利润计算截止日）的时间不得超过15个工作日；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6.基金收益分配后每一基金份额净值不能低于面值，即基金收益分配基准日的基金份额净值减去每单位基金份额收益分配金额后不能低于面值；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7.法律法规或监管机构另有规定的从其规定。</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基金收益分配方案中应载明收益分配基准日以及该日的可供分配利润、基金收益分配对象、分配时间、分配数额及比例、分配方式、支付方式等内容。</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（五）收益分配方案的时间和程序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1.基金收益分配方案由基金管理人拟订，由基金托管人复核，依照《信息披露办法》的有关规定在指定媒介上公告；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2.在收益分配方案公布后，基金管理人依据具体方案的规定就支付的现金红利向基金托管人发送划款指令，基金托管人按照基金管理人的指令及时进行分红资金的划付。</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（六）收益分配方式的修改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投资人可至销售机构办理收益分配方式的修改，投资人对不同的交易账户可设置不同的收益分配方式。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投资人同一日多次申报分红方式变更的，按照《业务规则》执行，最终确认的分红方式以基金注册登记机构记录为准。</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8" w:name="_Toc120105593"/>
      <w:r>
        <w:rPr>
          <w:rFonts w:ascii="Times New Roman" w:hAnsi="Times New Roman"/>
          <w:sz w:val="30"/>
        </w:rPr>
        <w:lastRenderedPageBreak/>
        <w:t>十五、基金的费用与税收</w:t>
      </w:r>
      <w:bookmarkEnd w:id="18"/>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3.基金财产拨</w:t>
      </w:r>
      <w:proofErr w:type="gramStart"/>
      <w:r>
        <w:rPr>
          <w:rFonts w:ascii="宋体" w:hAnsi="宋体"/>
          <w:sz w:val="24"/>
        </w:rPr>
        <w:t>划支付</w:t>
      </w:r>
      <w:proofErr w:type="gramEnd"/>
      <w:r>
        <w:rPr>
          <w:rFonts w:ascii="宋体" w:hAnsi="宋体"/>
          <w:sz w:val="24"/>
        </w:rPr>
        <w:t>的银行费用；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4.基金合同生效后的基金信息披露费用；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6.基金合同生效后与基金有关的会计师费、律师费和诉讼费；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7.基金的证券/期货交易费用；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9.在中国证监会规定允许的前提下，本基金可以从基金财产中计</w:t>
      </w:r>
      <w:proofErr w:type="gramStart"/>
      <w:r>
        <w:rPr>
          <w:rFonts w:ascii="宋体" w:hAnsi="宋体"/>
          <w:sz w:val="24"/>
        </w:rPr>
        <w:t>提销售</w:t>
      </w:r>
      <w:proofErr w:type="gramEnd"/>
      <w:r>
        <w:rPr>
          <w:rFonts w:ascii="宋体" w:hAnsi="宋体"/>
          <w:sz w:val="24"/>
        </w:rPr>
        <w:t>服务费，具体计提方法、计提标准在招募说明书或相关公告中载明；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10.依法可以在基金财产中列支的其他费用。</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（二）上述基金费用由基金管理人在法律规定的范围内参照公允的市场价格确定，法律法规另有规定时从其规定。</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（三）基金费用计提方法、计提标准和支付方式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自基金转型实施日起，在通常情况下，基金管理费按前一日基金资产净值的1.</w:t>
      </w:r>
      <w:r w:rsidR="00F508DF">
        <w:rPr>
          <w:rFonts w:ascii="宋体" w:hAnsi="宋体"/>
          <w:sz w:val="24"/>
        </w:rPr>
        <w:t>2</w:t>
      </w:r>
      <w:r>
        <w:rPr>
          <w:rFonts w:ascii="宋体" w:hAnsi="宋体"/>
          <w:sz w:val="24"/>
        </w:rPr>
        <w:t>%年费率计提。计算方法如下：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自基金转型实施日起，基金管理费每日计提，按月支付。由基金托管人根据与基金管理人核对一致的财务数据，自动在月初5</w:t>
      </w:r>
      <w:proofErr w:type="gramStart"/>
      <w:r>
        <w:rPr>
          <w:rFonts w:ascii="宋体" w:hAnsi="宋体"/>
          <w:sz w:val="24"/>
        </w:rPr>
        <w:t>个</w:t>
      </w:r>
      <w:proofErr w:type="gramEnd"/>
      <w:r>
        <w:rPr>
          <w:rFonts w:ascii="宋体" w:hAnsi="宋体"/>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自基金转型实施日起，在通常情况下，基金托管费按前一日基金资产净值的0.2%年费率计提。计算方法如下：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自基金转型实施日起，基金托管费每日计提，按月支付。由基金托管人根据与基金管理人核对一致的财务数据，自动在月初5</w:t>
      </w:r>
      <w:proofErr w:type="gramStart"/>
      <w:r>
        <w:rPr>
          <w:rFonts w:ascii="宋体" w:hAnsi="宋体"/>
          <w:sz w:val="24"/>
        </w:rPr>
        <w:t>个</w:t>
      </w:r>
      <w:proofErr w:type="gramEnd"/>
      <w:r>
        <w:rPr>
          <w:rFonts w:ascii="宋体" w:hAnsi="宋体"/>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（3）除管理费和托管费之外的基金费用，由基金托管人根据其他有关法规及相应协议的规定，按费用支出金额支付，列入或摊入当期基金费用。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（四）不列入基金费用的项目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本基金由交银施罗德沪深300行业分层等权重指数证券投资基金转型而来，基金转型实施日前所发生的信息披露费、律师费和会计师费以及其他费用按照《交银施罗德沪深300行业分层等权重指数证券投资基金基金合同》的相关约定处理。</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（五）基金管理费和基金托管费的调整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基金管理人和基金托管人可根据基金发展情况调整基金管理费率和基金托管费率。基金管理人必须在调整实施日前按照《信息披露办法》的规定在指定媒介上刊登公告。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（六）基金税收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本基金运作过程中涉及的各纳税主体，其纳税义务按国家税收法律、法规执行。</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19" w:name="_Toc120105594"/>
      <w:r>
        <w:rPr>
          <w:rFonts w:ascii="Times New Roman" w:hAnsi="Times New Roman"/>
          <w:sz w:val="30"/>
        </w:rPr>
        <w:lastRenderedPageBreak/>
        <w:t>十六、基金的会计与审计</w:t>
      </w:r>
      <w:bookmarkEnd w:id="19"/>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（二）基金的审计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3.基金管理人认为有充足理由更换会计师事务所，经通报基金托管人后可以更换。就更换会计师事务所，基金管理人应当依照《信息披露办法》的有关规定在指定媒介上公告。</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0" w:name="_Toc120105595"/>
      <w:r>
        <w:rPr>
          <w:rFonts w:ascii="Times New Roman" w:hAnsi="Times New Roman"/>
          <w:sz w:val="30"/>
        </w:rPr>
        <w:lastRenderedPageBreak/>
        <w:t>十七、基金的信息披露</w:t>
      </w:r>
      <w:bookmarkEnd w:id="20"/>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的信息披露应符合《基金法》、《运作办法》、《信息披露办法》、《流动性规定》、基金合同及其他有关规定。相关法律法规关于信息披露的披露方式、登载媒介、报备方式等规定发生变化时，本基金从其最新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基金管理人、基金托管人和其他基金信息披露义务人应当以保护基金份额持有人利益为根本出发点，依法披露基金信息，并保证所披露信息的真实性、准确性、完整性、及时性、简明性和易得性。</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（三）本基金信息披露义务人在承诺公开披露的基金信息时，不得有下列行为：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（四）本基金公开披露的信息应采用中文文本。同时采用外文文本的，基金信息披露义务人应保证不同文本的内容一致。不同文本之间发生歧义的，以中文文本为准。</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本基金公开披露的信息采用阿拉伯数字；除特别说明外，货币单位为人民币元。</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1、招募说明书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招募说明书是基金向社会公开销售时对基金情况进行说明的法律文件。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交银施罗德沪深300行业分层等权重指数证券投资基金转型而来，经中国证监会变更注册后，基金管理人按照《基金法》、《信息披露办法》、基金合同编制并在本基金正式实施转型前，将基金招募说明书登载在指定媒介上。《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2、基金合同、托管协议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3、基金产品资料概要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（1）基金合同生效日后，在开始办理基金份额申购或者赎回前，基金管理人将至少每周在指定网站披露一次基金份额净值和基金份额累计净值；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（2）在开始办理基金份额申购或者赎回后，基金管理人应当在不晚于每个开放日的次日，通过指定网站、销售机构网站或者营业网点披露开放日的基金份额净值和基金份额累计净值；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（3）基金管理人应当在不晚于半年度和年度最后一日的次日，在指定网站披</w:t>
      </w:r>
      <w:r>
        <w:rPr>
          <w:rFonts w:ascii="宋体" w:hAnsi="宋体"/>
          <w:sz w:val="24"/>
        </w:rPr>
        <w:lastRenderedPageBreak/>
        <w:t>露半年度和年度最后一日的基金份额净值和基金份额累计净值。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6、基金年度报告、基金中期报告、基金季度报告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（2）基金管理人应当在上半年结束之日起两个月内，编制完成基金中期报告，将中期报告登载在指定网站上，并将中期报告提示性公告登载在指定报刊上；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（3）基金管理人应当在季度结束之日起15个工作日内，编制完成基金季度报告，将季度报告登载在指定网站上，并将季度报告提示性公告登载在指定报刊上；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（4）《基金合同》生效不足2个月的，基金管理人可以不编制当期季度报告、中期报告或者年度报告；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（6）基金管理人应当在基金年度报告和中期报告中披露基金组合资产情况及其流动性风险分析等。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7、临时报告与公告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在基金运作过程中发生如下可能对基金份额持有人权益或者基金份额的价格产生重大影响的事件时，有关信息披露义务人应当在2日内编制临时报告书，并登载在指定报刊和指定网站上：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w:t>
      </w:r>
      <w:r>
        <w:rPr>
          <w:rFonts w:ascii="宋体" w:hAnsi="宋体"/>
          <w:sz w:val="24"/>
        </w:rPr>
        <w:lastRenderedPageBreak/>
        <w:t>务所；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（8）基金管理人的高级管理人员、基金经理和基金托管人专门基金托管部门负责人发生变动；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（9）基金管理人的董事在最近12个月内变更超过百分之五十，基金管理人、基金托管人专门基金托管部门的主要业务人员在最近12个月内变动超过百分之三十；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（10）涉及基金财产、基金管理业务、基金托管业务的诉讼或仲裁；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（11）基金管理人或其高级管理人员、基金经理因基金管理业务相关行为受到重大行政处罚、刑事处罚，基金托管人或其专门基金托管部门负责人因基金托管业务相关行为受到重大行政处罚、刑事处罚；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（13）基金收益分配事项；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（14）管理费、托管费、申购费、赎回费等费用计提标准、计提方式和费率发生变更；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（15）基金份额净值计价错误</w:t>
      </w:r>
      <w:proofErr w:type="gramStart"/>
      <w:r>
        <w:rPr>
          <w:rFonts w:ascii="宋体" w:hAnsi="宋体"/>
          <w:sz w:val="24"/>
        </w:rPr>
        <w:t>达基金</w:t>
      </w:r>
      <w:proofErr w:type="gramEnd"/>
      <w:r>
        <w:rPr>
          <w:rFonts w:ascii="宋体" w:hAnsi="宋体"/>
          <w:sz w:val="24"/>
        </w:rPr>
        <w:t>份额净值百分之零点五；</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（16）本基金开始办理申购、赎回；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（17）本基金发生巨额赎回并延期办理；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（18）本基金连续发生巨额赎回并暂停接受赎回申请或延缓支付赎回款项；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（19）本基金暂停接受申购、赎回申请或重新接受申购、赎回申请；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（20）发生涉及基金申购、赎回事项调整或潜在影响投资者赎回等重大事项时；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（21）基金信息披露义务人认为可能对基金份额持有人权益或者基金份额的价格产生重大影响的其他事项或中国证监会规定的其他事项。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8、澄清公告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投资股指期货，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《基金合同》终止的，基金管理人应当依法组织基金财产清算小组对基金财产进行清算并</w:t>
      </w:r>
      <w:proofErr w:type="gramStart"/>
      <w:r>
        <w:rPr>
          <w:rFonts w:ascii="宋体" w:hAnsi="宋体"/>
          <w:sz w:val="24"/>
        </w:rPr>
        <w:t>作出</w:t>
      </w:r>
      <w:proofErr w:type="gramEnd"/>
      <w:r>
        <w:rPr>
          <w:rFonts w:ascii="宋体" w:hAnsi="宋体"/>
          <w:sz w:val="24"/>
        </w:rPr>
        <w:t>清算报告。基金财产清算小组应当将清算报告登载在指定网站上，并将清算报告提示性公告登载在指定报刊上。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12、信息披露事务管理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w:t>
      </w:r>
      <w:r>
        <w:rPr>
          <w:rFonts w:ascii="宋体" w:hAnsi="宋体"/>
          <w:sz w:val="24"/>
        </w:rPr>
        <w:lastRenderedPageBreak/>
        <w:t>基金定期报告、更新的招募说明书、基金产品资料概要、基金清算报告等公开披露的相关基金信息进行复核、审查，并向基金管理人进行书面或电子确认。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14、信息披露文件的存放与查阅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15、本基金信息披露事项以法律法规规定及本章节约定的内容为准。</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1" w:name="_Toc120105596"/>
      <w:r>
        <w:rPr>
          <w:rFonts w:ascii="Times New Roman" w:hAnsi="Times New Roman"/>
          <w:sz w:val="30"/>
        </w:rPr>
        <w:lastRenderedPageBreak/>
        <w:t>十八、风险揭示</w:t>
      </w:r>
      <w:bookmarkEnd w:id="21"/>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交易日基金的净赎回申请（赎回申请份额总数加上基金转换中转出申请份额总数后扣除申购申请份额总数及基金转换中转入申请份额总数后的余额）超过基金总份额的百分之十时，投资人将可能无法及时赎回持有的全部基金份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投资人应当认真阅读基金合同、招募说明书、基金产品资料概要等信息披露文件，了解基金的风险收益特征，并根据自身的投资目的、投资期限、投资经验、资产状况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分红等行为导致基金份额净值变化，不会改变基金的风险收益特征，不会降低基金投资风险或提高基金投资收益。以1元初始面值开展基金募集或因分红等行为导致基金份额净值调整至1元初始面值或1元附近，在市场波动等因素的影响下，基金投资仍有可能出现亏损或基金净值仍有可能低于初始面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基金份额持有人须了解并承受以下风险：</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w:t>
      </w:r>
      <w:r>
        <w:rPr>
          <w:rFonts w:ascii="宋体" w:hAnsi="宋体"/>
          <w:sz w:val="24"/>
        </w:rPr>
        <w:lastRenderedPageBreak/>
        <w:t>影响基金份额净值。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一开放日的基金份额净值为基础计算赎回金额，以此类推，直到全部赎回为止。如投资人在提交赎回申请时未作明确选择，投资人未能赎回部分作自动延期赎回处理。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成功确认的赎回申请可以延缓支付赎回款项，但不得超过20个工作日，并应当在指定媒介上进行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（五）投资本基金的特有风险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1、本基金为股票型基金，将维持较高的股票持仓比例，如果股票市场出现整体下跌，本基金的净值表现将受到影响。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3、本基金可投资创业板股票，创业板个股上市后的前五个交易日不设价格涨跌幅限制，第六个交易日开始涨跌幅限制比例为20%。</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（六）投资股指期货的特定风险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宋体" w:hAnsi="宋体"/>
          <w:sz w:val="24"/>
        </w:rPr>
        <w:t>基差风险</w:t>
      </w:r>
      <w:proofErr w:type="gramEnd"/>
      <w:r>
        <w:rPr>
          <w:rFonts w:ascii="宋体" w:hAnsi="宋体"/>
          <w:sz w:val="24"/>
        </w:rPr>
        <w:t>、保证金风险、信用风险和操作风险。具体为：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基差风险</w:t>
      </w:r>
      <w:proofErr w:type="gramEnd"/>
      <w:r>
        <w:rPr>
          <w:rFonts w:ascii="宋体" w:hAnsi="宋体"/>
          <w:sz w:val="24"/>
        </w:rPr>
        <w:t>是指股指期货合约价格和指数价格之间的价格差的波动所造成的风险，以及不同股指期货合约价格之间价格差的波动所造成的期现价差风险。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w:t>
      </w:r>
      <w:proofErr w:type="gramStart"/>
      <w:r w:rsidRPr="00BB248E">
        <w:rPr>
          <w:rFonts w:ascii="宋体" w:hAnsi="宋体" w:hint="eastAsia"/>
          <w:b/>
          <w:kern w:val="0"/>
          <w:sz w:val="24"/>
        </w:rPr>
        <w:t>科创板股票</w:t>
      </w:r>
      <w:proofErr w:type="gramEnd"/>
      <w:r w:rsidRPr="00BB248E">
        <w:rPr>
          <w:rFonts w:ascii="宋体" w:hAnsi="宋体" w:hint="eastAsia"/>
          <w:b/>
          <w:kern w:val="0"/>
          <w:sz w:val="24"/>
        </w:rPr>
        <w:t>的特定风险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w:t>
      </w:r>
      <w:proofErr w:type="gramStart"/>
      <w:r>
        <w:rPr>
          <w:rFonts w:ascii="宋体" w:hAnsi="宋体"/>
          <w:sz w:val="24"/>
        </w:rPr>
        <w:t>科创板股票</w:t>
      </w:r>
      <w:proofErr w:type="gramEnd"/>
      <w:r>
        <w:rPr>
          <w:rFonts w:ascii="宋体" w:hAnsi="宋体"/>
          <w:sz w:val="24"/>
        </w:rPr>
        <w:t>或选择不将基金资产投资于</w:t>
      </w:r>
      <w:proofErr w:type="gramStart"/>
      <w:r>
        <w:rPr>
          <w:rFonts w:ascii="宋体" w:hAnsi="宋体"/>
          <w:sz w:val="24"/>
        </w:rPr>
        <w:t>科创板</w:t>
      </w:r>
      <w:proofErr w:type="gramEnd"/>
      <w:r>
        <w:rPr>
          <w:rFonts w:ascii="宋体" w:hAnsi="宋体"/>
          <w:sz w:val="24"/>
        </w:rPr>
        <w:t>股票，基金资产并非必然投资于</w:t>
      </w:r>
      <w:proofErr w:type="gramStart"/>
      <w:r>
        <w:rPr>
          <w:rFonts w:ascii="宋体" w:hAnsi="宋体"/>
          <w:sz w:val="24"/>
        </w:rPr>
        <w:t>科创板</w:t>
      </w:r>
      <w:proofErr w:type="gramEnd"/>
      <w:r>
        <w:rPr>
          <w:rFonts w:ascii="宋体" w:hAnsi="宋体"/>
          <w:sz w:val="24"/>
        </w:rPr>
        <w:t>股票。基金资产投资于</w:t>
      </w:r>
      <w:proofErr w:type="gramStart"/>
      <w:r>
        <w:rPr>
          <w:rFonts w:ascii="宋体" w:hAnsi="宋体"/>
          <w:sz w:val="24"/>
        </w:rPr>
        <w:t>科创板</w:t>
      </w:r>
      <w:proofErr w:type="gramEnd"/>
      <w:r>
        <w:rPr>
          <w:rFonts w:ascii="宋体" w:hAnsi="宋体"/>
          <w:sz w:val="24"/>
        </w:rPr>
        <w:t>股票，会</w:t>
      </w:r>
      <w:proofErr w:type="gramStart"/>
      <w:r>
        <w:rPr>
          <w:rFonts w:ascii="宋体" w:hAnsi="宋体"/>
          <w:sz w:val="24"/>
        </w:rPr>
        <w:t>面临科创板机制</w:t>
      </w:r>
      <w:proofErr w:type="gramEnd"/>
      <w:r>
        <w:rPr>
          <w:rFonts w:ascii="宋体" w:hAnsi="宋体"/>
          <w:sz w:val="24"/>
        </w:rPr>
        <w:t>下因投资标的、市场制度以及交易规则等差异带来的特有风险，包括但不限于市场风险、流动性风险、退市风险、集中度风险、系统性风险、政策风险等。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宋体" w:hAnsi="宋体"/>
          <w:sz w:val="24"/>
        </w:rPr>
        <w:t>个</w:t>
      </w:r>
      <w:proofErr w:type="gramEnd"/>
      <w:r>
        <w:rPr>
          <w:rFonts w:ascii="宋体" w:hAnsi="宋体"/>
          <w:sz w:val="24"/>
        </w:rPr>
        <w:t>股市</w:t>
      </w:r>
      <w:proofErr w:type="gramStart"/>
      <w:r>
        <w:rPr>
          <w:rFonts w:ascii="宋体" w:hAnsi="宋体"/>
          <w:sz w:val="24"/>
        </w:rPr>
        <w:t>场风险</w:t>
      </w:r>
      <w:proofErr w:type="gramEnd"/>
      <w:r>
        <w:rPr>
          <w:rFonts w:ascii="宋体" w:hAnsi="宋体"/>
          <w:sz w:val="24"/>
        </w:rPr>
        <w:t>加大。</w:t>
      </w:r>
    </w:p>
    <w:p w:rsidR="0098473B" w:rsidRDefault="0071464E">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个股上市前五日无涨跌停限制，第六日开始涨跌幅限制在正负20%以内，个股波动幅度较其他股票加大，市场风险随之上升。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lastRenderedPageBreak/>
        <w:t>科创板整体</w:t>
      </w:r>
      <w:proofErr w:type="gramEnd"/>
      <w:r>
        <w:rPr>
          <w:rFonts w:ascii="宋体" w:hAnsi="宋体"/>
          <w:sz w:val="24"/>
        </w:rPr>
        <w:t>投资门槛较高，个人投资者必须满足交易满两年并且资金在50万以上才可参与，二级市场上个人投资者参与度相对较低，机构持有个股大量流通盘导致个股流动性较差，基金组合存在无法及时变</w:t>
      </w:r>
      <w:proofErr w:type="gramStart"/>
      <w:r>
        <w:rPr>
          <w:rFonts w:ascii="宋体" w:hAnsi="宋体"/>
          <w:sz w:val="24"/>
        </w:rPr>
        <w:t>现及其</w:t>
      </w:r>
      <w:proofErr w:type="gramEnd"/>
      <w:r>
        <w:rPr>
          <w:rFonts w:ascii="宋体" w:hAnsi="宋体"/>
          <w:sz w:val="24"/>
        </w:rPr>
        <w:t>他相关流动性风险。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科创板退</w:t>
      </w:r>
      <w:proofErr w:type="gramEnd"/>
      <w:r>
        <w:rPr>
          <w:rFonts w:ascii="宋体" w:hAnsi="宋体"/>
          <w:sz w:val="24"/>
        </w:rPr>
        <w:t>市制度较主板更为严格，退</w:t>
      </w:r>
      <w:proofErr w:type="gramStart"/>
      <w:r>
        <w:rPr>
          <w:rFonts w:ascii="宋体" w:hAnsi="宋体"/>
          <w:sz w:val="24"/>
        </w:rPr>
        <w:t>市时间</w:t>
      </w:r>
      <w:proofErr w:type="gramEnd"/>
      <w:r>
        <w:rPr>
          <w:rFonts w:ascii="宋体" w:hAnsi="宋体"/>
          <w:sz w:val="24"/>
        </w:rPr>
        <w:t>更短，退</w:t>
      </w:r>
      <w:proofErr w:type="gramStart"/>
      <w:r>
        <w:rPr>
          <w:rFonts w:ascii="宋体" w:hAnsi="宋体"/>
          <w:sz w:val="24"/>
        </w:rPr>
        <w:t>市速度</w:t>
      </w:r>
      <w:proofErr w:type="gramEnd"/>
      <w:r>
        <w:rPr>
          <w:rFonts w:ascii="宋体" w:hAnsi="宋体"/>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ascii="宋体" w:hAnsi="宋体"/>
          <w:sz w:val="24"/>
        </w:rPr>
        <w:t>市风险</w:t>
      </w:r>
      <w:proofErr w:type="gramEnd"/>
      <w:r>
        <w:rPr>
          <w:rFonts w:ascii="宋体" w:hAnsi="宋体"/>
          <w:sz w:val="24"/>
        </w:rPr>
        <w:t>更大。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为新设板块，初期可投标的较少，投资者容易集中投资于少量个股，市场可能存在高集中度状况，整体存在集中度风险。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科创板企业</w:t>
      </w:r>
      <w:proofErr w:type="gramEnd"/>
      <w:r>
        <w:rPr>
          <w:rFonts w:ascii="宋体" w:hAnsi="宋体"/>
          <w:sz w:val="24"/>
        </w:rPr>
        <w:t>均为市场认可度较高的科技创新企业，在企业经营及盈利模式上存在趋同，所以</w:t>
      </w:r>
      <w:proofErr w:type="gramStart"/>
      <w:r>
        <w:rPr>
          <w:rFonts w:ascii="宋体" w:hAnsi="宋体"/>
          <w:sz w:val="24"/>
        </w:rPr>
        <w:t>科创板</w:t>
      </w:r>
      <w:proofErr w:type="gramEnd"/>
      <w:r>
        <w:rPr>
          <w:rFonts w:ascii="宋体" w:hAnsi="宋体"/>
          <w:sz w:val="24"/>
        </w:rPr>
        <w:t>个股相关性较高，市场表现不佳时，系统性风险将更为显著。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w:t>
      </w:r>
      <w:proofErr w:type="gramStart"/>
      <w:r>
        <w:rPr>
          <w:rFonts w:ascii="宋体" w:hAnsi="宋体"/>
          <w:sz w:val="24"/>
        </w:rPr>
        <w:t>科创板企业</w:t>
      </w:r>
      <w:proofErr w:type="gramEnd"/>
      <w:r>
        <w:rPr>
          <w:rFonts w:ascii="宋体" w:hAnsi="宋体"/>
          <w:sz w:val="24"/>
        </w:rPr>
        <w:t>带来较大影响，国际经济形势变化对战略新兴产业及</w:t>
      </w:r>
      <w:proofErr w:type="gramStart"/>
      <w:r>
        <w:rPr>
          <w:rFonts w:ascii="宋体" w:hAnsi="宋体"/>
          <w:sz w:val="24"/>
        </w:rPr>
        <w:t>科创板</w:t>
      </w:r>
      <w:proofErr w:type="gramEnd"/>
      <w:r>
        <w:rPr>
          <w:rFonts w:ascii="宋体" w:hAnsi="宋体"/>
          <w:sz w:val="24"/>
        </w:rPr>
        <w:t>个股也会带来政策影响。</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（八）投资存托凭证的特定风险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宋体" w:hAnsi="宋体"/>
          <w:sz w:val="24"/>
        </w:rPr>
        <w:t>托协议</w:t>
      </w:r>
      <w:proofErr w:type="gramEnd"/>
      <w:r>
        <w:rPr>
          <w:rFonts w:ascii="宋体" w:hAnsi="宋体"/>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w:t>
      </w:r>
      <w:r>
        <w:rPr>
          <w:rFonts w:ascii="宋体" w:hAnsi="宋体"/>
          <w:sz w:val="24"/>
        </w:rPr>
        <w:lastRenderedPageBreak/>
        <w:t>托凭证或选择不将基金资产投资于存托凭证，基金资产并非必然投资存托凭证。</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（九）其他风险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2" w:name="_Toc120105597"/>
      <w:r>
        <w:rPr>
          <w:rFonts w:ascii="Times New Roman" w:hAnsi="Times New Roman"/>
          <w:sz w:val="30"/>
        </w:rPr>
        <w:lastRenderedPageBreak/>
        <w:t>十九、基金合同的终止与基金财产的清算</w:t>
      </w:r>
      <w:bookmarkEnd w:id="22"/>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（一）基金合同的终止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2、基金管理人因解散、破产、撤销等事由，不能继续担任基金管理人的职务，而在6个月内无其他适当的基金管理人承接其原有权利义务；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3、基金托管人因解散、破产、撤销等事由，不能继续担任基金托管人的职务，而在6个月内无其他适当的基金托管人承接其原有权利义务；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4、法律法规、中国证监会规定的其他情况。</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（二）基金财产的清算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（1）自出现基金合同终止事由之日起30个工作日内成立基金财产清算组，基金财产清算组在中国证监会的监督下进行基金清算。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出现基金合同终止事由后，应当按法律法规和基金合同的有关规定对基金财产进行清算。基金财产清算程序主要包括：</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（1）发布基金财产清算公告；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（2）由基金财产清算组统一接管基金财产；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（3）对基金财产进行清理和确认；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（4）对基金财产进行估价和变现；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（7）将基金财产清算结果报告中国证监会；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（8）公布基金财产清算结果；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（9）对基金剩余财产进行分配。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3、基金财产清算的期限为6个月。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清算费用是指基金财产清算组在进行基金财产清算过程中发生的所有合理费用，清算费用由基金财产清算组优先从基金财产中支付。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5、基金财产按下列顺序清偿：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清算过程中的有关重大事项须及时公告；基金财产清算结果经会计师事务所审计，律师事务所出具法律意见书后，由基金财产清算组报中国证监会备案并公告。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3" w:name="_Toc120105598"/>
      <w:r>
        <w:rPr>
          <w:rFonts w:ascii="Times New Roman" w:hAnsi="Times New Roman"/>
          <w:sz w:val="30"/>
        </w:rPr>
        <w:lastRenderedPageBreak/>
        <w:t>二十、基金合同的内容摘要</w:t>
      </w:r>
      <w:bookmarkEnd w:id="23"/>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（一）基金合同当事人的权利与义务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1、基金管理人的权利与义务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根据《基金法》及其他有关法律法规，基金管理人的权利包括但不限于：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（2）自本基金合同生效日起，依照有关法律法规和本基金合同的规定独立运用基金财产；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（3）依照基金合同获得基金管理费以及法律法规规定或中国证监会批准的其他收入；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（5）依照有关规定为基金利益行使因基金财产投资于证券所产生的权利；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（8）在基金合同约定的范围内，拒绝或暂停受理申购和赎回申请；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（9）在法律法规允许的前提下，为基金的利益依法为基金进行融资、融券及转融通；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（10）自行担任或选择、更换注册登记机构，获取基金份额持有人名册，并对注册登记机构的代理行为进行必要的监督和检查；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（11）选择、更换销售机构，并依据基金销售服务协议和有关法律法规，对其行为进行必要的监督和检查；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（12）依据基金合同及有关法律规定决定基金收益的分配方案；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（13）以基金管理人的名义，代表基金份额持有人的利益行使诉讼权利或者实施其他法律行为；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（14）选择、更换律师事务所、会计师事务所、证券/期货经纪商或其他为基</w:t>
      </w:r>
      <w:r>
        <w:rPr>
          <w:rFonts w:ascii="宋体" w:hAnsi="宋体"/>
          <w:sz w:val="24"/>
        </w:rPr>
        <w:lastRenderedPageBreak/>
        <w:t>金提供服务的外部机构；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（15）在基金托管人更换时，提名新的基金托管人；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（17）法律法规和基金合同规定的其他权利。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根据《基金法》及其他有关法律法规，基金管理人的义务包括但不限于：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（1）依法募集资金，办理或者委托经中国证监会认定的其他机构代为办理基金份额的申购、赎回和登记事宜；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（3）自基金合同生效日起，以诚实信用、勤勉尽责的原则管理和运用基金财产；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（9）采取适当合理的措施使计算基金份额申购、赎回和注销价格的方法符合基金合同等法律文件的规定；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（10）按规定受理申购和赎回申请，及时、足额支付赎回款项；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w:t>
      </w:r>
      <w:r>
        <w:rPr>
          <w:rFonts w:ascii="宋体" w:hAnsi="宋体"/>
          <w:sz w:val="24"/>
        </w:rPr>
        <w:lastRenderedPageBreak/>
        <w:t>配收益；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（17）保存基金财产管理业务活动的记录、账册、报表和其他相关资料15年以上；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（18）确保需要向投资人提供的各项文件或资料在规定时间发出，并且保证投资人能够按照基金合同规定的时间和方式，随时查阅到与基金有关的公开资料，并在支付合理成本的条件下得到有关资料的复印件；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（19）以基金管理人名义，代表基金份额持有人利益行使诉讼权利或者实施其他法律行为；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（20）组织并参加基金财产清算小组，参与基金财产的保管、清理、估价、变现和分配；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（21）因违反基金合同导致基金财产的损失或损害基金份额持有人合法权益，应当承担赔偿责任，其赔偿责任不因其退任而免除；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（22）基金托管人违反基金合同造成基金财产损失时，应为基金份额持有人利益向基金托管人追偿；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（23）当基金管理人将其义务委托第三方处理时，应当对第三方处理有关基金事务的行为承担责任；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（24）按规定向基金托管人提供基金份额持有人名册资料；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（25）面临解散、依法被撤销或者被依法宣告破产时，及时报告中国证监会并通知基金托管人；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（26）执行生效的基金份额持有人大会决议；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（27）不从事任何有损基金及其他基金当事人利益的活动；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（28）依照法律法规为基金的利益对被投资公司行使股东权利，为基金的利益行使因基金财产投资于证券所产生的权利，不谋求对上市公司的控股和直接管理；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（29）建立并保存基金份额持有人名册；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（30）根据投资的需要开立股指期货业务相关账户及交易编码；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（31）法律法规、中国证监会和基金合同规定的其他义务。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2、基金托管人的权利与义务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根据《基金法》及其他有关法律法规，基金托管人的权利包括但不限于：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（1）依基金合同约定获得基金托管费以及法律法规规定或监管部门批准的其他收入；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（3）自基金合同生效日起，依法保管基金资产；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w:t>
      </w:r>
      <w:proofErr w:type="gramStart"/>
      <w:r>
        <w:rPr>
          <w:rFonts w:ascii="宋体" w:hAnsi="宋体"/>
          <w:sz w:val="24"/>
        </w:rPr>
        <w:t>新任基金</w:t>
      </w:r>
      <w:proofErr w:type="gramEnd"/>
      <w:r>
        <w:rPr>
          <w:rFonts w:ascii="宋体" w:hAnsi="宋体"/>
          <w:sz w:val="24"/>
        </w:rPr>
        <w:t>管理人；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（6）根据相关市场规则，为本基金开设资金账户和证券账户等投资所需账户，协助开立股指期货业务相关账户及交易编码，为本基金办理证券/期货交易资金清算；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（7）依法召集基金份额持有人大会；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（8）按规定取得基金份额持有人名册资料；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根据《基金法》及其他有关法律法规，基金托管人的义务包括但不限于：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（1）安全保管基金财产；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（3）对所托管的不同基金财产分别设置账户，确保基金财产的完整与独立；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（4）除依据《基金法》、基金合同及其他有关规定外，不得为自己及任何第三人谋取利益，不得委托第三人托管基金财产；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（7）保守基金商业秘密，除《基金法》、基金合同及其他有关规定另有规定外，在基金信息公开披露前应予保密，不得向他人泄露；</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（9）保存基金托管业务活动的记录、账册、报表和其他相关资料15年以上；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（10）按照基金合同的约定，根据基金管理人的投资指令，及时办理清算、交割事宜；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（12）复核、审查基金管理人计算的基金资产净值、基金份额净值、基金份额申购、赎回价格；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（13）按照规定监督基金管理人的投资运作；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（15）依据基金管理人的指令或有关规定向基金份额持有人支付基金收益和赎回款项；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（16）按照规定召集基金份额持有人大会或配合基金管理人、基金份额持有人依法自行召集基金份额持有人大会；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（17）因违反基金合同导致基金财产损失，应承担赔偿责任，其赔偿责任不因其退任而免除；</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（18）基金管理人因违反基金合同造成基金财产损失时，应为基金向基金管理人追偿；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（19）参加基金财产清算小组，参与基金财产的保管、清理、估价、变现和分配；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（20）面临解散、依法被撤销或者被依法宣告破产时，及时报告中国证监会和中国银监会，通知基金管理人；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（22）不从事任何有损基金及其他基金当事人利益的活动；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（23）建立并保存基金份额持有人名册；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（24）法律法规、中国证监会和基金合同规定的其他义务。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3、基金份额持有人的权利与义务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根据《基金法》及其他有关法律法规，基金份额持有人的权利包括但不限于：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（5）出席或者委派代表出席基金份额持有人大会，对基金份额持有人大会审议事项行使表决权；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每份基金份额具有同等的合法权益。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根据《基金法》及其他有关法律法规，基金份额持有人的义务包括但不限于：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（2）遵守法律法规、基金合同及其他有关规定；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（3）了解所投资基金产品，了解自身风险承受能力，自主判断基金的投资价值，自主做出投资决策，自行承担投资风险；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（4）关注基金信息披露，及时行使权利和履行义务；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（5）缴纳基金申购款项及法律法规和基金合同所规定的费用；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（6）在持有的基金份额范围内，承担基金亏损或者基金合同终止的有限责任；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（7）不从事任何有损基金及其他基金份额持有人合法权益的活动；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（8）执行生效的基金份额持有人大会决议；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（9）返还在基金交易过程中因任何原因，自基金管理人、基金托管人、销售机构、其他基金份额持有人处获得的不当得利；</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（10）法律法规和基金合同规定的其他义务。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4、本基金合同当事各方的权利义务以本基金合同为依据，不因基金财产账户名称而有所改变。</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1、基金份额持有人大会由基金份额持有人组成，基金份额持有人的合法授权代表有权代表基金份额持有人出席会议并表决。基金份额持有人持有的每一基金份额具有同等的投票权。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2、召开事由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当出现或需要决定下列事由之一的，经基金管理人、基金托管人或单独或合计持有基金份额10%以上(含10%，下同)的基金份额持有人(以基金管理人收到提议当日的基金份额计算，下同)提议时，应当召开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终止基金合同；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转换基金运作方式；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变更基金类别；</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变更基金投资目标、投资范围或投资策略(法律法规和中国证监会另有规定的除外)；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变更基金份额持有人大会程序；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更换基金管理人、基金托管人；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提高基金管理人、基金托管人的报酬标准，但法律法规要求提高该等报酬标准的除外；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本基金与其他基金的合并；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对基金合同当事人权利、义务产生重大影响的其他事项；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法律法规、基金合同或中国证监会规定的其他情形。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（2）出现以下情形之一的，可由基金管理人和基金托管人协商后修改基金合同，不需召开基金份额持有人大会：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调低基金管理费、基金托管费和其他应由基金承担的费用；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在法律法规和本基金合同规定的范围内调整基金的申购费率、调低赎回费率，变更或增加收费方式；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3) </w:t>
      </w:r>
      <w:proofErr w:type="gramStart"/>
      <w:r>
        <w:rPr>
          <w:rFonts w:ascii="宋体" w:hAnsi="宋体"/>
          <w:sz w:val="24"/>
        </w:rPr>
        <w:t>因相应</w:t>
      </w:r>
      <w:proofErr w:type="gramEnd"/>
      <w:r>
        <w:rPr>
          <w:rFonts w:ascii="宋体" w:hAnsi="宋体"/>
          <w:sz w:val="24"/>
        </w:rPr>
        <w:t>的法律法规发生变动必须对基金合同进行修改；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对基金合同的修改不涉及本基金合同当事人权利义务关系发生变化；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基金合同的修改对基金份额持有人利益无实质性不利影响；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按照法律法规或本基金合同规定不需召开基金份额持有人大会的其他情形。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3、召集人和召集方式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w:t>
      </w:r>
      <w:r>
        <w:rPr>
          <w:rFonts w:ascii="宋体" w:hAnsi="宋体"/>
          <w:sz w:val="24"/>
        </w:rPr>
        <w:lastRenderedPageBreak/>
        <w:t>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的主要事项；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5）有权出席基金份额持有人大会的基金份额持有人权益登记日；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6）代理投票的授权委托证明的内容要求(包括但不限于代理人身份、代理权限和代理有效期限等)、送达时间和地点；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8）会务常设联系人姓名、电话；</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代表对表决意见的计票进行监督的，不影响计票和表决结果。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基金份额持有人大会的召开方式包括现场开会、通讯方式开会或法律法规和监管机构允许的其他方式。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现场开会由基金份额持有人本人出席或通过授权委托证明委派其代理人出席，现场开会时基金管理人和基金托管人的授权代表应当出席，如基金管理人或基金托管人</w:t>
      </w:r>
      <w:proofErr w:type="gramStart"/>
      <w:r>
        <w:rPr>
          <w:rFonts w:ascii="宋体" w:hAnsi="宋体"/>
          <w:sz w:val="24"/>
        </w:rPr>
        <w:t>拒不派</w:t>
      </w:r>
      <w:proofErr w:type="gramEnd"/>
      <w:r>
        <w:rPr>
          <w:rFonts w:ascii="宋体" w:hAnsi="宋体"/>
          <w:sz w:val="24"/>
        </w:rPr>
        <w:t>代表出席的，不影响表决效力。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通讯方式</w:t>
      </w:r>
      <w:proofErr w:type="gramStart"/>
      <w:r>
        <w:rPr>
          <w:rFonts w:ascii="宋体" w:hAnsi="宋体"/>
          <w:sz w:val="24"/>
        </w:rPr>
        <w:t>开会指</w:t>
      </w:r>
      <w:proofErr w:type="gramEnd"/>
      <w:r>
        <w:rPr>
          <w:rFonts w:ascii="宋体" w:hAnsi="宋体"/>
          <w:sz w:val="24"/>
        </w:rPr>
        <w:t>按照本基金合同的相关规定以通讯方式开会的表决方式进行表决。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会议的召开方式由召集人确定。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（2）召开基金份额持有人大会的条件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现场开会方式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对到会者在权益登记日持有基金份额的统计显示，全部有效凭证所对应的</w:t>
      </w:r>
      <w:r>
        <w:rPr>
          <w:rFonts w:ascii="宋体" w:hAnsi="宋体"/>
          <w:sz w:val="24"/>
        </w:rPr>
        <w:lastRenderedPageBreak/>
        <w:t>基金份额应占权益登记日基金总份额的50%以上(含50%，下同)；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通讯开会方式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在同时符合以下条件时，通讯会议方可举行：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召集人按本基金合同规定公布会议通知后，在2个工作日内连续公布相关提示性公告；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召集人按基金合同规定通知基金托管人或/和基金管理人(分别或共同称为“监督人”)到指定地点对表决意见的计票进行监督；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召集人在监督人和公证机关的监督下按照会议通知规定的方式收取和统计基金份额持有人的表决意见，如监督人经通知拒不到场监督的，不影响表决效力；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本人直接出具表决意见和授权他人代表出具表决意见的基金份额持有人所代表的基金份额占权益登记日基金总份额的50%以上；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直接出具表决意见的基金份额持有人或受托代表他人出具表决意见的代理人提交的持有基金份额的凭证、授权委托证明等文件符合法律法规、基金合同和会议通知的规定，并与注册登记机构记录相符。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（1）议事内容及提案权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议事内容为本基金合同规定的召开基金份额持有人大会事由所涉及的内容。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基金管理人、基金托管人、单独或合并持有权益登记日本基金总份额10%以上的基金份额持有人可以在大会召集人发出会议通知前就召开事由向大会召集人提交需由基金份额持有人大会审议表决的提案。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对于基金份额持有人提交的提案，大会召集人应当按照以下原则对提案进行审核：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基金份额持有人大会的召集人发出召开会议的通知后，如果需要对原有提案进行修改，应当在基金份额持有人大会召开前30日及时公告。否则，会议的召开日期应当顺延并保证至少与公告日期有30日的间隔期。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现场开会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w:t>
      </w:r>
      <w:r>
        <w:rPr>
          <w:rFonts w:ascii="宋体" w:hAnsi="宋体"/>
          <w:sz w:val="24"/>
        </w:rPr>
        <w:lastRenderedPageBreak/>
        <w:t>金管理人和基金托管人不出席或主持基金份额持有人大会，不影响基金份额持有人大会做出的决议的效力。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载明参加会议人员姓名(或单位名称)、身份证号码、持有或代表有表决权的基金份额数量、委托人姓名(或单位名称)等事项。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通讯方式开会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一般决议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一般决议须经出席会议的基金份额持有人(或其代理人)所持表决权的50%以上通过方为有效，除下列2)所规定的须以特别决议通过事项以外的其他事项均以一般决议的方式通过；</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特别决议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（3）基金份额持有人大会决定的事项，应当依法报中国证监会备案，并予以公告。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（6）基金份额持有人大会的各项提案或同一项提案内并列的各项议题应当分开审议、逐项表决。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如基金份额持有人大会由基金管理人或基金托管人召集，</w:t>
      </w:r>
      <w:proofErr w:type="gramStart"/>
      <w:r>
        <w:rPr>
          <w:rFonts w:ascii="宋体" w:hAnsi="宋体"/>
          <w:sz w:val="24"/>
        </w:rPr>
        <w:t>则基金</w:t>
      </w:r>
      <w:proofErr w:type="gramEnd"/>
      <w:r>
        <w:rPr>
          <w:rFonts w:ascii="宋体" w:hAnsi="宋体"/>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w:t>
      </w:r>
      <w:proofErr w:type="gramStart"/>
      <w:r>
        <w:rPr>
          <w:rFonts w:ascii="宋体" w:hAnsi="宋体"/>
          <w:sz w:val="24"/>
        </w:rPr>
        <w:t>则大会</w:t>
      </w:r>
      <w:proofErr w:type="gramEnd"/>
      <w:r>
        <w:rPr>
          <w:rFonts w:ascii="宋体" w:hAnsi="宋体"/>
          <w:sz w:val="24"/>
        </w:rPr>
        <w:t>主持人可自行选举三名基金份额持有人代表担任监票人。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监票人应当在基金份额持有人表决后立即进行清点，由大会主持人当场公布计票结果。</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在通讯方式开会的情况下，计票方式为：由大会召集人授权的两名监票人在监督人派出的授权代表的监督下进行计票，并由公证机关对其计票过程予以公证；如监督人经通知但拒绝到场监督，</w:t>
      </w:r>
      <w:proofErr w:type="gramStart"/>
      <w:r>
        <w:rPr>
          <w:rFonts w:ascii="宋体" w:hAnsi="宋体"/>
          <w:sz w:val="24"/>
        </w:rPr>
        <w:t>则大会</w:t>
      </w:r>
      <w:proofErr w:type="gramEnd"/>
      <w:r>
        <w:rPr>
          <w:rFonts w:ascii="宋体" w:hAnsi="宋体"/>
          <w:sz w:val="24"/>
        </w:rPr>
        <w:t>召集人可自行授权3名监票人进行计票，并由公证机关对其计票过程予以公证。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9、基金份额持有人大会决议的生效与公告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（1）基金份额持有人大会决定的事项自表决通过之日起生效，召集人应当自通过之日起5日内报中国证监会备案。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（3）基金份额持有人大会决议应自生效之日起2日内在指定媒介公告。如果采</w:t>
      </w:r>
      <w:r>
        <w:rPr>
          <w:rFonts w:ascii="宋体" w:hAnsi="宋体"/>
          <w:sz w:val="24"/>
        </w:rPr>
        <w:lastRenderedPageBreak/>
        <w:t>用通讯方式进行表决，在公告基金份额持有人大会决议时，必须将公证书全文、公证机构、公证员姓名等一同公告。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（三）基金合同的变更与终止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（1）基金合同变更内容对基金合同当事人权利、义务产生重大影响的，应召</w:t>
      </w:r>
      <w:proofErr w:type="gramStart"/>
      <w:r>
        <w:rPr>
          <w:rFonts w:ascii="宋体" w:hAnsi="宋体"/>
          <w:sz w:val="24"/>
        </w:rPr>
        <w:t>开基金</w:t>
      </w:r>
      <w:proofErr w:type="gramEnd"/>
      <w:r>
        <w:rPr>
          <w:rFonts w:ascii="宋体" w:hAnsi="宋体"/>
          <w:sz w:val="24"/>
        </w:rPr>
        <w:t>份额持有人大会，基金合同变更的内容应经基金份额持有人大会决议同意。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转换基金运作方式；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变更基金类别；</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变更基金投资目标、投资范围或投资策略(法律法规和中国证监会另有规定的除外)；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变更基金份额持有人大会程序；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更换基金管理人、基金托管人；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提高基金管理人、基金托管人的报酬标准。但根据适用的相关规定提高该等报酬标准的除外；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本基金与其他基金的合并；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对基金合同当事人权利、义务产生重大影响的其他事项；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法律法规、基金合同或中国证监会规定的其他情形。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但出现下列情况时，可不经基金份额持有人大会决议，由基金管理人和基金托管人同意变更后公布，并报中国证监会备案：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调低基金管理费、基金托管费和其他应由基金承担的费用；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在法律法规和本基金合同规定的范围内调整基金的申购费率、调低赎回费率，变更或增加收费方式；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3) </w:t>
      </w:r>
      <w:proofErr w:type="gramStart"/>
      <w:r>
        <w:rPr>
          <w:rFonts w:ascii="宋体" w:hAnsi="宋体"/>
          <w:sz w:val="24"/>
        </w:rPr>
        <w:t>因相应</w:t>
      </w:r>
      <w:proofErr w:type="gramEnd"/>
      <w:r>
        <w:rPr>
          <w:rFonts w:ascii="宋体" w:hAnsi="宋体"/>
          <w:sz w:val="24"/>
        </w:rPr>
        <w:t>的法律法规发生变动必须对基金合同进行修改；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对基金合同的修改不涉及本基金合同当事人权利义务关系发生变化；</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基金合同的修改对基金份额持有人利益无实质性不利影响；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按照法律法规或本基金合同规定不需召开基金份额持有人大会的其他情</w:t>
      </w:r>
      <w:r>
        <w:rPr>
          <w:rFonts w:ascii="宋体" w:hAnsi="宋体"/>
          <w:sz w:val="24"/>
        </w:rPr>
        <w:lastRenderedPageBreak/>
        <w:t>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（2）关于变更基金合同的基金份额持有人大会决议自表决通过后生效执行，并</w:t>
      </w:r>
      <w:proofErr w:type="gramStart"/>
      <w:r>
        <w:rPr>
          <w:rFonts w:ascii="宋体" w:hAnsi="宋体"/>
          <w:sz w:val="24"/>
        </w:rPr>
        <w:t>自决议</w:t>
      </w:r>
      <w:proofErr w:type="gramEnd"/>
      <w:r>
        <w:rPr>
          <w:rFonts w:ascii="宋体" w:hAnsi="宋体"/>
          <w:sz w:val="24"/>
        </w:rPr>
        <w:t>生效之日起2日内在至少一种指定媒介公告。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有下列情形之一的，本基金合同应当终止：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（2）基金管理人因解散、破产、撤销等事由，不能继续担任基金管理人的职务，而在6个月内无其他适当的基金管理人承接其原有权利义务；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（3）基金托管人因解散、破产、撤销等事由，不能继续担任基金托管人的职务，而在6个月内无其他适当的基金托管人承接其原有权利义务；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（4）法律法规、中国证监会规定的其他情况。</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本基金合同受中国法律管辖。</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（五）基金合同存放及投资人取得基金合同的方式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本基金合同正本一式八份，除中国证监会和中国银监会各持两份外，基金管理人和基金托管人各持有两份。每份均具有同等的法律效力。</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本基金合同可印制成册，供投资人在基金管理人、基金托管人、销售机构和注册登记机构办公场所查阅，但其效力应以基金合同正本为准。</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4" w:name="_Toc120105599"/>
      <w:r>
        <w:rPr>
          <w:rFonts w:ascii="Times New Roman" w:hAnsi="Times New Roman"/>
          <w:sz w:val="30"/>
        </w:rPr>
        <w:lastRenderedPageBreak/>
        <w:t>二十一、托管协议的内容摘要</w:t>
      </w:r>
      <w:bookmarkEnd w:id="24"/>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w:t>
      </w:r>
      <w:proofErr w:type="gramStart"/>
      <w:r>
        <w:rPr>
          <w:rFonts w:ascii="宋体" w:hAnsi="宋体"/>
          <w:sz w:val="24"/>
        </w:rPr>
        <w:t>监基金字</w:t>
      </w:r>
      <w:proofErr w:type="gramEnd"/>
      <w:r>
        <w:rPr>
          <w:rFonts w:ascii="宋体" w:hAnsi="宋体"/>
          <w:sz w:val="24"/>
        </w:rPr>
        <w:t>[2005]128号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成立日期：2004年09月17日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w:t>
      </w:r>
      <w:proofErr w:type="gramStart"/>
      <w:r>
        <w:rPr>
          <w:rFonts w:ascii="宋体" w:hAnsi="宋体"/>
          <w:sz w:val="24"/>
        </w:rPr>
        <w:t>证监基字</w:t>
      </w:r>
      <w:proofErr w:type="gramEnd"/>
      <w:r>
        <w:rPr>
          <w:rFonts w:ascii="宋体" w:hAnsi="宋体"/>
          <w:sz w:val="24"/>
        </w:rPr>
        <w:t>[1998]12号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proofErr w:type="gramStart"/>
      <w:r>
        <w:rPr>
          <w:rFonts w:ascii="宋体" w:hAnsi="宋体"/>
          <w:sz w:val="24"/>
        </w:rPr>
        <w:t>贰仟伍佰亿壹仟零玖拾柒万柒仟肆佰捌拾陆</w:t>
      </w:r>
      <w:proofErr w:type="gramEnd"/>
      <w:r>
        <w:rPr>
          <w:rFonts w:ascii="宋体" w:hAnsi="宋体"/>
          <w:sz w:val="24"/>
        </w:rPr>
        <w:t>元整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sz w:val="24"/>
        </w:rPr>
        <w:lastRenderedPageBreak/>
        <w:t>信用证服务及担保；代理收付款项及代理保险业务；提供保管箱服务；经中国银行业监督管理机构等监管部门批准的其他业务。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w:t>
      </w:r>
      <w:proofErr w:type="gramStart"/>
      <w:r>
        <w:rPr>
          <w:rFonts w:ascii="宋体" w:hAnsi="宋体"/>
          <w:sz w:val="24"/>
        </w:rPr>
        <w:t>含存托</w:t>
      </w:r>
      <w:proofErr w:type="gramEnd"/>
      <w:r>
        <w:rPr>
          <w:rFonts w:ascii="宋体" w:hAnsi="宋体"/>
          <w:sz w:val="24"/>
        </w:rPr>
        <w:t>凭证）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其中现金不包括结算备付金、存出保证金和应收申购款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w:t>
      </w:r>
      <w:proofErr w:type="gramStart"/>
      <w:r>
        <w:rPr>
          <w:rFonts w:ascii="宋体" w:hAnsi="宋体"/>
          <w:sz w:val="24"/>
        </w:rPr>
        <w:t>含存托</w:t>
      </w:r>
      <w:proofErr w:type="gramEnd"/>
      <w:r>
        <w:rPr>
          <w:rFonts w:ascii="宋体" w:hAnsi="宋体"/>
          <w:sz w:val="24"/>
        </w:rPr>
        <w:t>凭证）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w:t>
      </w:r>
      <w:r>
        <w:rPr>
          <w:rFonts w:ascii="宋体" w:hAnsi="宋体"/>
          <w:sz w:val="24"/>
        </w:rPr>
        <w:lastRenderedPageBreak/>
        <w:t>于基金资产净值5%的现金或者到期日在一年以内的政府债券，其中现金不包括结算备付金、存出保证金和应收申购款等；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（6）本基金在任何交易日买入权证的总金额，不得超过上一交易日基金资产净值的0.5%；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（7）本基金投资于同一原始权益人的各类资产支持证券的比例，不得超过基金资产净值的10%；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（8本基金持有的全部资产支持证券，其市值不得超过基金资产净值的20%；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（9）本基金持有的同一(指同一信用级别)资产支持证券的比例，不得超过该资产支持证券规模的10%；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（10）本基金应投资于信用级别评级为BBB以上(含BBB)的资产支持证券。基金持有资产支持证券期间，如果其信用等级下降、不再符合投资标准，应在评级报告发布之日起3个月内予以全部卖出；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（11）基金财产参与股票发行申购，本基金所申报的金额不超过本基金的总资产，本基金所申报的股票数量不超过拟发行股票公司本次发行股票的总量；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总资产不超过基金净资产的140%；本基金进入全国银行间同业市场进行债券回购的资金余额不得超过基金资产净值的40%，本基金进入全国银行间同业市场进行债券回购的最长期限为1年，债券回购到期后不得展期；</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（13）本基金持有的所有流通受限证券，其公允价值不得超过本基金资产净值的15%；本基金持有的同</w:t>
      </w:r>
      <w:proofErr w:type="gramStart"/>
      <w:r>
        <w:rPr>
          <w:rFonts w:ascii="宋体" w:hAnsi="宋体"/>
          <w:sz w:val="24"/>
        </w:rPr>
        <w:t>一流通</w:t>
      </w:r>
      <w:proofErr w:type="gramEnd"/>
      <w:r>
        <w:rPr>
          <w:rFonts w:ascii="宋体" w:hAnsi="宋体"/>
          <w:sz w:val="24"/>
        </w:rPr>
        <w:t>受限证券，其公允价值不得超过本基金资产净值的2%；</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（14）本基金在任何交易日日终，持有的买入股指期货合约价值，不得超过基金资产净值的10%；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（15）本基金在任何交易日日终，持有的买入期货合约价值与有价证券市值之</w:t>
      </w:r>
      <w:r>
        <w:rPr>
          <w:rFonts w:ascii="宋体" w:hAnsi="宋体"/>
          <w:sz w:val="24"/>
        </w:rPr>
        <w:lastRenderedPageBreak/>
        <w:t>和，不得超过基金资产净值的95%。其中，有价证券指股票、债券（不含到期日在一年以内的政府债券）、权证、资产支持证券、买入返售金融资产（不含质押式回购）等；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（16）本基金在任何交易日日终，持有的卖出期货合约价值不得超过基金持有的股票总市值的20%；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（17）本基金所持有的股票市值和买入、卖出股指期货合约价值，合计（轧差计算）应当符合基金合同关于股票投资比例的有关约定，即占基金资产的80%-95%；</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（18）本基金在任何交易日内交易（不包括平仓）的股指期货合约的成交金额不得超过上一交易日基金资产净值的20%；</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（21）本基金投资存托凭证的比例限制依照境内上市交易的股票执行；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（22）法律法规及中国证监会规定的和《基金合同》约定的其他投资限制。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本基金在开始进行股指期货投资之前，应与基金托管人，期货公司三方</w:t>
      </w:r>
      <w:proofErr w:type="gramStart"/>
      <w:r>
        <w:rPr>
          <w:rFonts w:ascii="宋体" w:hAnsi="宋体"/>
          <w:sz w:val="24"/>
        </w:rPr>
        <w:t>一同就</w:t>
      </w:r>
      <w:proofErr w:type="gramEnd"/>
      <w:r>
        <w:rPr>
          <w:rFonts w:ascii="宋体" w:hAnsi="宋体"/>
          <w:sz w:val="24"/>
        </w:rPr>
        <w:t>股指期货开户、清算、估值、交收等事宜另行签署协议。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如果法律法规对上述投资组合比例限制进行变更的，以变更后的规定为准。法律法规或监管部门取消上述限制，如适用于本基金，基金管理人在履行适当程序后，则本基金投资不再受相关限制。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(10)、(19)、(20)项之外，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基金管理人应当自基金转型实施日起6个月内使基金的投资组合比例符合基金合同的有关约定。在上述期间内，本基金的投资范围、投资策略应当符合基金合同</w:t>
      </w:r>
      <w:r>
        <w:rPr>
          <w:rFonts w:ascii="宋体" w:hAnsi="宋体"/>
          <w:sz w:val="24"/>
        </w:rPr>
        <w:lastRenderedPageBreak/>
        <w:t>的约定。基金托管人对基金的投资的监督与检查自基金合同生效日起开始。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3、基金托管人根据有关法律法规的规定及基金合同的约定，对本托管协议第十五条第九款基金投资禁止行为进行监督。基金托管人通过事后监督方式对基金管理人基金投资禁止行为和关联交易进行监督。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基金管理人和基金托管人应事先相互提供与本机构有控股关系的股东、与本机构有其他重大利害关系的公司名单及有关关联</w:t>
      </w:r>
      <w:proofErr w:type="gramStart"/>
      <w:r>
        <w:rPr>
          <w:rFonts w:ascii="宋体" w:hAnsi="宋体"/>
          <w:sz w:val="24"/>
        </w:rPr>
        <w:t>方发行</w:t>
      </w:r>
      <w:proofErr w:type="gramEnd"/>
      <w:r>
        <w:rPr>
          <w:rFonts w:ascii="宋体" w:hAnsi="宋体"/>
          <w:sz w:val="24"/>
        </w:rPr>
        <w:t>的证券名单。基金管理人和基金托管人有责任确保关联交易名单的真实性、准确性、完整性，并负责及时将更新后的名单发送给对方。</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w:t>
      </w:r>
      <w:r>
        <w:rPr>
          <w:rFonts w:ascii="宋体" w:hAnsi="宋体"/>
          <w:sz w:val="24"/>
        </w:rPr>
        <w:lastRenderedPageBreak/>
        <w:t>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sz w:val="24"/>
        </w:rPr>
        <w:t>券</w:t>
      </w:r>
      <w:proofErr w:type="gramEnd"/>
      <w:r>
        <w:rPr>
          <w:rFonts w:ascii="宋体" w:hAnsi="宋体"/>
          <w:sz w:val="24"/>
        </w:rPr>
        <w:t>等流通受限证券。本基金不投资有</w:t>
      </w:r>
      <w:proofErr w:type="gramStart"/>
      <w:r>
        <w:rPr>
          <w:rFonts w:ascii="宋体" w:hAnsi="宋体"/>
          <w:sz w:val="24"/>
        </w:rPr>
        <w:t>锁定期但锁定</w:t>
      </w:r>
      <w:proofErr w:type="gramEnd"/>
      <w:r>
        <w:rPr>
          <w:rFonts w:ascii="宋体" w:hAnsi="宋体"/>
          <w:sz w:val="24"/>
        </w:rPr>
        <w:t>期不明确的证券。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本基金投资的流通受限证券限于可由中国证券登记结算有限责任公司或中央国债登记结算有限责任公司负责登记和存管，并可在证券交易所或全国银行间债券市场交易的证券。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本基金投资的流通受限证券应保证登记存管在本基金名下，基金管理人负责相关工作的落实和协调，并确保基金托管人能够正常查询。因基金管理</w:t>
      </w:r>
      <w:proofErr w:type="gramStart"/>
      <w:r>
        <w:rPr>
          <w:rFonts w:ascii="宋体" w:hAnsi="宋体"/>
          <w:sz w:val="24"/>
        </w:rPr>
        <w:t>人原因</w:t>
      </w:r>
      <w:proofErr w:type="gramEnd"/>
      <w:r>
        <w:rPr>
          <w:rFonts w:ascii="宋体" w:hAnsi="宋体"/>
          <w:sz w:val="24"/>
        </w:rPr>
        <w:t>产生的流通受限证券登记存管问题，造成基金托管人无法安全保管本基金资产的责任与损失，及因流通受限证券存管直接影响本基金安全的责任及损失，由基金管理人承担。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本基金投资流通受限证券，不得预付任何形式的保证金。</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基金管理人对本基金投资流通受限证券的流动性风险负责，确保对相关风险采</w:t>
      </w:r>
      <w:r>
        <w:rPr>
          <w:rFonts w:ascii="宋体" w:hAnsi="宋体"/>
          <w:sz w:val="24"/>
        </w:rPr>
        <w:lastRenderedPageBreak/>
        <w:t>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w:t>
      </w:r>
      <w:proofErr w:type="gramStart"/>
      <w:r>
        <w:rPr>
          <w:rFonts w:ascii="宋体" w:hAnsi="宋体"/>
          <w:sz w:val="24"/>
        </w:rPr>
        <w:t>人原因</w:t>
      </w:r>
      <w:proofErr w:type="gramEnd"/>
      <w:r>
        <w:rPr>
          <w:rFonts w:ascii="宋体" w:hAnsi="宋体"/>
          <w:sz w:val="24"/>
        </w:rPr>
        <w:t>导致本基金出现损失致使基金托管人承担连带赔偿责任的，基金管理人应赔偿基金托管人由此遭受的损失。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1）中国证监会批准发行非公开发行股票的批准文件。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2）非公开发行股票有关发行数量、发行价格、锁定期等发行资料。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3）非公开发行股票发行人与中国证券登记结算有限责任公司或中央国债登记结算有限责任公司签订的证券登记及服务协议。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4）基金拟认购的数量、价格、总成本、账面价值。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本基金有关投资流通受限证券比例如违反有关限制规定，在合理期限内未能进行及时调整，基金管理人应在两个工作日内编制临时报告书，予以公告。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（5）基金托管人根据有关规定有权对基金管理人进行以下事项监督：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1）本基金投资流通受限证券时的法律法规遵守情况。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2）在基金投资流通受限证券管理工作方面有关制度、流动性风险处置预案的建立与完善情况。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3）有关比例限制的执行情况。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（6）相关法律法规对基金投资流通受限证券有新规定的，从其规定。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w:t>
      </w:r>
      <w:r>
        <w:rPr>
          <w:rFonts w:ascii="宋体" w:hAnsi="宋体"/>
          <w:sz w:val="24"/>
        </w:rPr>
        <w:lastRenderedPageBreak/>
        <w:t>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托管人发现基金管理人依据交易程序已经生效的指令违反法律、行政法规和其他有关规定，或者违反基金合同约定的，应当立即通知基金管理人，由此造成的损失由基金管理人承担。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w:t>
      </w:r>
      <w:r>
        <w:rPr>
          <w:rFonts w:ascii="宋体" w:hAnsi="宋体"/>
          <w:sz w:val="24"/>
        </w:rPr>
        <w:lastRenderedPageBreak/>
        <w:t>《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交银施罗德消费新驱动股票型证券投资基金由交银施罗德沪深300行业分层等权重指数证券投资基金转型而成。交银施罗德沪深300行业分层等权重指数证券投资基金由基金管理人依照《基金法》、《运作办法》、《销售办法》、《交银施罗德沪深300行业分层等权重指数证券投资基金基金合同》及其他有关规定，并经2012 年5月7日中国证监会证监许可[2012]626号文批准募集。交银施罗德沪深300行业分层等权重指数证券投资基金于2012年9月25日至2012年11月2日向全社会公开募集，并于2012 年11月7日获得中国证监会书面确认，该</w:t>
      </w:r>
      <w:proofErr w:type="gramStart"/>
      <w:r>
        <w:rPr>
          <w:rFonts w:ascii="宋体" w:hAnsi="宋体"/>
          <w:sz w:val="24"/>
        </w:rPr>
        <w:t>基金基金</w:t>
      </w:r>
      <w:proofErr w:type="gramEnd"/>
      <w:r>
        <w:rPr>
          <w:rFonts w:ascii="宋体" w:hAnsi="宋体"/>
          <w:sz w:val="24"/>
        </w:rPr>
        <w:t>合同生效。具体募集情况如下：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经普华永道中天会计师事务所验资，本次募集的有效净认购金额为300,448,538.13元人民币，折合基金份额300,448,538.13份；认购款项在基金验资确认日之前产生的银行利息共计89,375.78元人民币，折合基金份额89,375.78 份。本次募集所有资金已于2012年11月7日全额划入该基金在基金托管人中国建设银行股份有限公司开立的交银施罗德沪深300行业分层等权重指数证券投资基金托管专户。该基金按照每份基金份额面值1.00 元人民币计算，募集期间募集资金及其利息结转的基金份额共计300,537,913.91份。</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（1）基金托管人应以本基金的名义在其营业机构开立基金的银行账户，并根据基金管理人合法合</w:t>
      </w:r>
      <w:proofErr w:type="gramStart"/>
      <w:r>
        <w:rPr>
          <w:rFonts w:ascii="宋体" w:hAnsi="宋体"/>
          <w:sz w:val="24"/>
        </w:rPr>
        <w:t>规</w:t>
      </w:r>
      <w:proofErr w:type="gramEnd"/>
      <w:r>
        <w:rPr>
          <w:rFonts w:ascii="宋体" w:hAnsi="宋体"/>
          <w:sz w:val="24"/>
        </w:rPr>
        <w:t>的指令办理资金收付。本基金的银行预留印鉴由基金托管人保管和使用。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（3）基金银行账户的开立和管理应符合中国银监会和中国人民银行的有关规定。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（1）基金托管人在中国证券登记结算有限责任公司上海分公司、深圳分公司为基金开立基金托管人与本基金联名的证券账户。</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w:t>
      </w:r>
      <w:r>
        <w:rPr>
          <w:rFonts w:ascii="宋体" w:hAnsi="宋体"/>
          <w:sz w:val="24"/>
        </w:rPr>
        <w:lastRenderedPageBreak/>
        <w:t>托管人和基金管理人不得出借或未经对方同意擅自转让基金的任何证券账户，亦不得使用基金的任何账户进行本基金业务以外的活动。</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w:t>
      </w:r>
      <w:proofErr w:type="gramStart"/>
      <w:r>
        <w:rPr>
          <w:rFonts w:ascii="宋体" w:hAnsi="宋体"/>
          <w:sz w:val="24"/>
        </w:rPr>
        <w:t>则基金</w:t>
      </w:r>
      <w:proofErr w:type="gramEnd"/>
      <w:r>
        <w:rPr>
          <w:rFonts w:ascii="宋体" w:hAnsi="宋体"/>
          <w:sz w:val="24"/>
        </w:rPr>
        <w:t>托管人比照上述关于账户开立、使用的规定执行。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w:t>
      </w:r>
      <w:r>
        <w:rPr>
          <w:rFonts w:ascii="宋体" w:hAnsi="宋体"/>
          <w:sz w:val="24"/>
        </w:rPr>
        <w:lastRenderedPageBreak/>
        <w:t>让，按基金管理人和基金托管人双方约定办理。基金托管人对由基金托管人以外机构实际有效控制的证券不承担保管责任。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（五）基金资产净值计算和会计复核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基金资产净值是指基金资产总值减去负债后的净资产值。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基金份额净值是指计算日基金资产净值除以计算日基金份额总数所得的基金单位份额的价值，基金份额净值的计算，精确到0.001元，小数点后第四位四舍五入，国家另有规定的，从其规定。</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基金管理人于每个工作日计算基金资产净值及基金份额净值，经基金托管人复核无误后，按规定公告。如遇特殊情况，经中国证监会同意，可以适当延迟计算或公告。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w:t>
      </w:r>
      <w:r>
        <w:rPr>
          <w:rFonts w:ascii="宋体" w:hAnsi="宋体"/>
          <w:sz w:val="24"/>
        </w:rPr>
        <w:lastRenderedPageBreak/>
        <w:t>基金管理人对基金资产净值的计算结果对外予以公布。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基金所拥有的股票、权证、债券、股指期货合约和银行存款本息、应收款项、其它投资等资产和负债。</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A、证券交易所上市的有价证券的估值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B、处于未上市期间的有价证券应区分如下情况处理：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w:t>
      </w:r>
      <w:r>
        <w:rPr>
          <w:rFonts w:ascii="宋体" w:hAnsi="宋体"/>
          <w:sz w:val="24"/>
        </w:rPr>
        <w:lastRenderedPageBreak/>
        <w:t>行业协会有关规定确定公允价值。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C、全国银行间债券市场交易的债券、资产支持证券等固定收益品种，采用估值技术确定公允价值。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D、同一债券同时在两个或两个以上市场交易的，按债券所处的市场分别估值。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E、本基金投资股指期货合约，一般以估值当日结算价进行估值，估值当日无结算价的，且最近交易日后经济环境未发生重大变化的，采用最近交易日结算价估值。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F、如有确凿证据表明按上述方法进行估值不能客观反映其公允价值的，基金管理人可根据具体情况与基金托管人商定后，按最能反映公允价值的价格估值。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G、本基金投资存托凭证的估值核算依照境内上市交易的股票执行。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H、相关法律法规以及监管部门有强制规定的，从其规定。如有新增事项，按法律法规以及监管部门的最新规定估值。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基金管理人、基金托管人按估值方法的第f项进行估值时，所造成的误差不作为基金份额净值错误处理。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（2）当基金份额净值计算差错给基金和基金份额持有人造成损失需要进行赔偿时，基金管理人和基金托管人应根据实际情况界定双方承担的责任，经确认后按以下条款进行赔偿：</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若基金</w:t>
      </w:r>
      <w:proofErr w:type="gramEnd"/>
      <w:r>
        <w:rPr>
          <w:rFonts w:ascii="宋体" w:hAnsi="宋体"/>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4)由于基金管理人提供的信息错误（包括但不限于基金申购或赎回金额等），进而导致基金份额净值计算错误而引起的基金份额持有人和基金财产的损失，由基金管理人负责赔付。</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（5）前述内容如法律法规或者监管部门另有规定的，从其规定。如果行业另有通行做法，双方当事人应本着平等和保护基金份额持有人利益的原则进行协商。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（1）基金投资所涉及的证券/期货交易市场遇法定节假日或因其他原因暂停交易时；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（3）占基金相当比例的投资品种的估值出现重大转变，而基金管理人为保障投资人的利益，决定延迟估值；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公允价值存在重大不确定性时，经与基金托管人协商一致的，基金管理人应当暂停估值；</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sz w:val="24"/>
        </w:rPr>
        <w:t>若基金</w:t>
      </w:r>
      <w:proofErr w:type="gramEnd"/>
      <w:r>
        <w:rPr>
          <w:rFonts w:ascii="宋体" w:hAnsi="宋体"/>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1）报表的编制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2）报表的复核</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w:t>
      </w:r>
      <w:r>
        <w:rPr>
          <w:rFonts w:ascii="宋体" w:hAnsi="宋体"/>
          <w:sz w:val="24"/>
        </w:rPr>
        <w:lastRenderedPageBreak/>
        <w:t>人在复核过程中，发现双方的报表存在不符时，基金管理人和基金托管人应共同查明原因，进行调整，调整以国家有关规定为准。</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基金管理人应留足充分的时间，便于基金托管人复核相关报表及报告。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8、基金管理人应在编制季度报告、半年度报告或者年度报告之前及时向基金托管人提供基金业绩比较基准的基础数据和编制结果。</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w:t>
      </w:r>
      <w:r>
        <w:rPr>
          <w:rFonts w:ascii="宋体" w:hAnsi="宋体"/>
          <w:sz w:val="24"/>
        </w:rPr>
        <w:lastRenderedPageBreak/>
        <w:t>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5" w:name="_Toc120105600"/>
      <w:r>
        <w:rPr>
          <w:rFonts w:ascii="Times New Roman" w:hAnsi="Times New Roman"/>
          <w:sz w:val="30"/>
        </w:rPr>
        <w:lastRenderedPageBreak/>
        <w:t>二十二、对基金份额持有人的服务</w:t>
      </w:r>
      <w:bookmarkEnd w:id="25"/>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1、每次交易结束后，可在T+2日后通过销售机构的网点查询和打印确认单；</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的申购、赎回、转换、定期定额投资等业务。通过网上直销交易平台办理本基金申购和定期定额投资业务的个人投资者将享受申购费率的优惠，通过网上直销交易平台进行基金转换，从各基金招募说明书所载的零申购费率的基金转换</w:t>
      </w:r>
      <w:proofErr w:type="gramStart"/>
      <w:r>
        <w:rPr>
          <w:rFonts w:ascii="宋体" w:hAnsi="宋体"/>
          <w:sz w:val="24"/>
        </w:rPr>
        <w:t>入非零申购</w:t>
      </w:r>
      <w:proofErr w:type="gramEnd"/>
      <w:r>
        <w:rPr>
          <w:rFonts w:ascii="宋体" w:hAnsi="宋体"/>
          <w:sz w:val="24"/>
        </w:rPr>
        <w:t>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本基金收益分配时，投资人可以选择将当期分配所得的红利再投资于本基金，再投资红利按红利再投日（即除息日）除息后的基金份额净值自动转为基金份额，并免收申购费用。</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（五）基金转换业务</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（六）定期定额投资计划</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rsidR="0098473B" w:rsidRDefault="0071464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（七）如本招募说明书存在任何您/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无法理解的内容，请通过上述方式联系基金管理人。</w:t>
      </w:r>
      <w:proofErr w:type="gramStart"/>
      <w:r w:rsidRPr="00BB248E">
        <w:rPr>
          <w:rFonts w:ascii="宋体" w:hAnsi="宋体" w:hint="eastAsia"/>
          <w:b/>
          <w:kern w:val="0"/>
          <w:sz w:val="24"/>
        </w:rPr>
        <w:t>请确保</w:t>
      </w:r>
      <w:proofErr w:type="gramEnd"/>
      <w:r w:rsidRPr="00BB248E">
        <w:rPr>
          <w:rFonts w:ascii="宋体" w:hAnsi="宋体" w:hint="eastAsia"/>
          <w:b/>
          <w:kern w:val="0"/>
          <w:sz w:val="24"/>
        </w:rPr>
        <w:t>投资前，您/</w:t>
      </w:r>
      <w:proofErr w:type="gramStart"/>
      <w:r w:rsidRPr="00BB248E">
        <w:rPr>
          <w:rFonts w:ascii="宋体" w:hAnsi="宋体" w:hint="eastAsia"/>
          <w:b/>
          <w:kern w:val="0"/>
          <w:sz w:val="24"/>
        </w:rPr>
        <w:t>贵机构</w:t>
      </w:r>
      <w:proofErr w:type="gramEnd"/>
      <w:r w:rsidRPr="00BB248E">
        <w:rPr>
          <w:rFonts w:ascii="宋体" w:hAnsi="宋体" w:hint="eastAsia"/>
          <w:b/>
          <w:kern w:val="0"/>
          <w:sz w:val="24"/>
        </w:rPr>
        <w:t>已经全面理解了本招募说明书。</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6" w:name="_Toc120105601"/>
      <w:r>
        <w:rPr>
          <w:rFonts w:ascii="Times New Roman" w:hAnsi="Times New Roman"/>
          <w:sz w:val="30"/>
        </w:rPr>
        <w:lastRenderedPageBreak/>
        <w:t>二十三、其他应披露事项</w:t>
      </w:r>
      <w:bookmarkEnd w:id="26"/>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交银施罗德消费新驱动股票型证券投资基金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2021-11-26</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交银施罗德基金管理有限公司关于增加山西证券股份有限公司为旗下基金销售机构的公告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2022-01-14</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交银施罗德消费新驱动股票型证券投资基金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w:t>
            </w:r>
            <w:proofErr w:type="gramStart"/>
            <w:r>
              <w:rPr>
                <w:rFonts w:ascii="Times New Roman" w:hAnsi="Times New Roman"/>
                <w:color w:val="000000"/>
                <w:kern w:val="0"/>
                <w:sz w:val="25"/>
                <w:szCs w:val="24"/>
              </w:rPr>
              <w:t>钜</w:t>
            </w:r>
            <w:proofErr w:type="gramEnd"/>
            <w:r>
              <w:rPr>
                <w:rFonts w:ascii="Times New Roman" w:hAnsi="Times New Roman"/>
                <w:color w:val="000000"/>
                <w:kern w:val="0"/>
                <w:sz w:val="25"/>
                <w:szCs w:val="24"/>
              </w:rPr>
              <w:t>派</w:t>
            </w:r>
            <w:proofErr w:type="gramStart"/>
            <w:r>
              <w:rPr>
                <w:rFonts w:ascii="Times New Roman" w:hAnsi="Times New Roman"/>
                <w:color w:val="000000"/>
                <w:kern w:val="0"/>
                <w:sz w:val="25"/>
                <w:szCs w:val="24"/>
              </w:rPr>
              <w:t>钰茂基金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交银施罗德消费新驱动股票型证券投资基金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交银施罗德消费新驱动股票型证券投资基金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交银施罗德消费新驱动股票型证券投资基金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w:t>
            </w:r>
            <w:proofErr w:type="gramStart"/>
            <w:r>
              <w:rPr>
                <w:rFonts w:ascii="Times New Roman" w:hAnsi="Times New Roman"/>
                <w:color w:val="000000"/>
                <w:kern w:val="0"/>
                <w:sz w:val="25"/>
                <w:szCs w:val="24"/>
              </w:rPr>
              <w:t>邮证券</w:t>
            </w:r>
            <w:proofErr w:type="gramEnd"/>
            <w:r>
              <w:rPr>
                <w:rFonts w:ascii="Times New Roman" w:hAnsi="Times New Roman"/>
                <w:color w:val="000000"/>
                <w:kern w:val="0"/>
                <w:sz w:val="25"/>
                <w:szCs w:val="24"/>
              </w:rPr>
              <w:t>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交银施罗德消费新驱动股票型证券投资基金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2022-10-18</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98473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交银施罗德消费新驱动股票型证券投资基金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8473B" w:rsidRDefault="0071464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bl>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7" w:name="_Toc120105602"/>
      <w:r>
        <w:rPr>
          <w:rFonts w:ascii="Times New Roman" w:hAnsi="Times New Roman"/>
          <w:sz w:val="30"/>
        </w:rPr>
        <w:lastRenderedPageBreak/>
        <w:t>二十四、招募说明书的存放及查阅方式</w:t>
      </w:r>
      <w:bookmarkEnd w:id="27"/>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所在地，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71464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8473B" w:rsidRDefault="0071464E">
      <w:pPr>
        <w:pStyle w:val="1"/>
        <w:snapToGrid w:val="0"/>
        <w:spacing w:beforeLines="0" w:before="240" w:after="240"/>
        <w:rPr>
          <w:rFonts w:ascii="宋体" w:hAnsi="宋体"/>
          <w:szCs w:val="30"/>
        </w:rPr>
      </w:pPr>
      <w:bookmarkStart w:id="28" w:name="_Toc120105603"/>
      <w:r>
        <w:rPr>
          <w:rFonts w:ascii="Times New Roman" w:hAnsi="Times New Roman"/>
          <w:sz w:val="30"/>
        </w:rPr>
        <w:lastRenderedPageBreak/>
        <w:t>二十五、备查文件</w:t>
      </w:r>
      <w:bookmarkEnd w:id="28"/>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（一）中国证监会核准交银施罗德沪深300行业分层等权重指数证券投资基金募集的文件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（二）中国证监会准予交银施罗德沪深300行业分层等权重指数证券投资基金变更注册为交银施罗德消费新驱动股票型证券投资基金的文件</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（三）《交银施罗德沪深消费新驱动股票型证券投资基金基金合同》</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（四）《交银施罗德沪深消费新驱动股票型证券投资基金托管协议》</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（五）基金管理人业务资格批件、营业执照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（六）基金托管人业务资格批件、营业执照</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（七）关于申请募集交银施罗德沪深300行业分层等权重指数证券投资基金之法律意见书</w:t>
      </w:r>
    </w:p>
    <w:p w:rsidR="0098473B" w:rsidRDefault="0071464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（八）关于申请交银施罗德沪深300行业分层等权重指数证券投资基金变更注册为交银施罗德消费新驱动股票型证券投资基金之法律意见书</w:t>
      </w:r>
    </w:p>
    <w:sectPr w:rsidR="0098473B">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9F" w:rsidRDefault="0069609F">
      <w:r>
        <w:separator/>
      </w:r>
    </w:p>
  </w:endnote>
  <w:endnote w:type="continuationSeparator" w:id="0">
    <w:p w:rsidR="0069609F" w:rsidRDefault="0069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3B" w:rsidRDefault="00A265B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73B" w:rsidRDefault="0071464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05DEA">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98473B" w:rsidRDefault="0071464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05DEA">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3B" w:rsidRDefault="00A265B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73B" w:rsidRDefault="0071464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05DEA">
                            <w:rPr>
                              <w:rFonts w:ascii="Times New Roman" w:hAnsi="Times New Roman"/>
                              <w:noProof/>
                              <w:kern w:val="0"/>
                              <w:sz w:val="18"/>
                              <w:szCs w:val="18"/>
                            </w:rPr>
                            <w:t>19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98473B" w:rsidRDefault="0071464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05DEA">
                      <w:rPr>
                        <w:rFonts w:ascii="Times New Roman" w:hAnsi="Times New Roman"/>
                        <w:noProof/>
                        <w:kern w:val="0"/>
                        <w:sz w:val="18"/>
                        <w:szCs w:val="18"/>
                      </w:rPr>
                      <w:t>19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9F" w:rsidRDefault="0069609F">
      <w:r>
        <w:separator/>
      </w:r>
    </w:p>
  </w:footnote>
  <w:footnote w:type="continuationSeparator" w:id="0">
    <w:p w:rsidR="0069609F" w:rsidRDefault="0069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71464E">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98473B" w:rsidRDefault="0071464E">
    <w:pPr>
      <w:pStyle w:val="a3"/>
      <w:jc w:val="right"/>
      <w:rPr>
        <w:rFonts w:ascii="宋体" w:hAnsi="宋体"/>
      </w:rPr>
    </w:pPr>
    <w:r>
      <w:rPr>
        <w:rFonts w:ascii="宋体" w:hAnsi="宋体" w:hint="eastAsia"/>
      </w:rPr>
      <w:t>交银施罗德消费新驱动股票型证券投资基金(更新)招募说明书(2022年第1号)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3B" w:rsidRDefault="0098473B">
    <w:pPr>
      <w:pStyle w:val="11"/>
      <w:jc w:val="right"/>
    </w:pPr>
  </w:p>
  <w:p w:rsidR="0098473B" w:rsidRDefault="0098473B">
    <w:pPr>
      <w:pStyle w:val="11"/>
      <w:jc w:val="right"/>
    </w:pPr>
  </w:p>
  <w:p w:rsidR="0098473B" w:rsidRDefault="0098473B">
    <w:pPr>
      <w:pStyle w:val="a3"/>
      <w:jc w:val="right"/>
    </w:pPr>
  </w:p>
  <w:p w:rsidR="009E65D0" w:rsidRDefault="0071464E">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98473B" w:rsidRDefault="0071464E">
    <w:pPr>
      <w:pStyle w:val="a3"/>
      <w:jc w:val="right"/>
      <w:rPr>
        <w:rFonts w:ascii="宋体" w:hAnsi="宋体"/>
      </w:rPr>
    </w:pPr>
    <w:r>
      <w:rPr>
        <w:rFonts w:ascii="宋体" w:hAnsi="宋体" w:hint="eastAsia"/>
      </w:rPr>
      <w:t>交银施罗德消费新驱动股票型证券投资基金(更新)招募说明书(202</w:t>
    </w:r>
    <w:r w:rsidR="00F508DF">
      <w:rPr>
        <w:rFonts w:ascii="宋体" w:hAnsi="宋体"/>
      </w:rPr>
      <w:t>3</w:t>
    </w:r>
    <w:r>
      <w:rPr>
        <w:rFonts w:ascii="宋体" w:hAnsi="宋体" w:hint="eastAsia"/>
      </w:rPr>
      <w:t>年第1号)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3B" w:rsidRDefault="0098473B">
    <w:pPr>
      <w:pStyle w:val="a3"/>
      <w:jc w:val="right"/>
    </w:pPr>
  </w:p>
  <w:p w:rsidR="0098473B" w:rsidRDefault="0098473B">
    <w:pPr>
      <w:pStyle w:val="a3"/>
      <w:jc w:val="right"/>
    </w:pPr>
  </w:p>
  <w:p w:rsidR="0098473B" w:rsidRDefault="0098473B">
    <w:pPr>
      <w:pStyle w:val="a3"/>
      <w:jc w:val="right"/>
    </w:pPr>
  </w:p>
  <w:p w:rsidR="009E65D0" w:rsidRDefault="0071464E">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98473B" w:rsidRDefault="0071464E">
    <w:pPr>
      <w:pStyle w:val="a3"/>
      <w:jc w:val="right"/>
      <w:rPr>
        <w:rFonts w:ascii="宋体" w:hAnsi="宋体"/>
      </w:rPr>
    </w:pPr>
    <w:r>
      <w:rPr>
        <w:rFonts w:ascii="宋体" w:hAnsi="宋体" w:hint="eastAsia"/>
      </w:rPr>
      <w:t>交银施罗德消费新驱动股票型证券投资基金(更新)招募说明书(202</w:t>
    </w:r>
    <w:r w:rsidR="00F508DF">
      <w:rPr>
        <w:rFonts w:ascii="宋体" w:hAnsi="宋体"/>
      </w:rPr>
      <w:t>3</w:t>
    </w:r>
    <w:r>
      <w:rPr>
        <w:rFonts w:ascii="宋体" w:hAnsi="宋体" w:hint="eastAsia"/>
      </w:rPr>
      <w:t>年第1号)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04A"/>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26E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55C1A"/>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9073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09F"/>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464E"/>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694"/>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5DEA"/>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8473B"/>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5BA"/>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08DF"/>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AC19B"/>
  <w15:docId w15:val="{2A0026F9-C0D3-4226-9196-901FF846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162</Pages>
  <Words>16609</Words>
  <Characters>94673</Characters>
  <Application>Microsoft Office Word</Application>
  <DocSecurity>0</DocSecurity>
  <Lines>788</Lines>
  <Paragraphs>222</Paragraphs>
  <ScaleCrop>false</ScaleCrop>
  <Company>Microsoft</Company>
  <LinksUpToDate>false</LinksUpToDate>
  <CharactersWithSpaces>111060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王晚婷</cp:lastModifiedBy>
  <cp:revision>9</cp:revision>
  <cp:lastPrinted>2013-02-18T03:10:00Z</cp:lastPrinted>
  <dcterms:created xsi:type="dcterms:W3CDTF">2023-07-07T10:58:00Z</dcterms:created>
  <dcterms:modified xsi:type="dcterms:W3CDTF">2023-07-10T06:40:00Z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