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0" w:rsidRPr="00EB07BC" w:rsidRDefault="00EE04D6">
      <w:pPr>
        <w:rPr>
          <w:sz w:val="32"/>
        </w:rPr>
      </w:pPr>
    </w:p>
    <w:p w:rsidR="00C92FC0" w:rsidRPr="00EB07BC" w:rsidRDefault="00EE04D6">
      <w:pPr>
        <w:rPr>
          <w:sz w:val="32"/>
        </w:rPr>
      </w:pPr>
    </w:p>
    <w:p w:rsidR="00C92FC0" w:rsidRPr="00EB07BC" w:rsidRDefault="00EE04D6">
      <w:pPr>
        <w:rPr>
          <w:sz w:val="32"/>
        </w:rPr>
      </w:pPr>
    </w:p>
    <w:p w:rsidR="00C92FC0" w:rsidRPr="00EB07BC" w:rsidRDefault="00375F3C">
      <w:pPr>
        <w:jc w:val="center"/>
        <w:rPr>
          <w:sz w:val="32"/>
        </w:rPr>
      </w:pPr>
      <w:r>
        <w:rPr>
          <w:noProof/>
        </w:rPr>
        <w:drawing>
          <wp:inline distT="0" distB="0" distL="0" distR="0">
            <wp:extent cx="4343400" cy="571500"/>
            <wp:effectExtent l="0" t="0" r="0" b="0"/>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2A5B28" w:rsidRDefault="002A5B28">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2A5B28" w:rsidRDefault="002A5B28">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2A5B28" w:rsidRDefault="00A82654">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proofErr w:type="gramStart"/>
      <w:r>
        <w:rPr>
          <w:rFonts w:ascii="Times New Roman" w:hAnsi="Times New Roman"/>
          <w:b/>
          <w:spacing w:val="2"/>
          <w:w w:val="99"/>
          <w:kern w:val="0"/>
          <w:position w:val="-4"/>
          <w:sz w:val="44"/>
          <w:szCs w:val="44"/>
        </w:rPr>
        <w:t>交银施罗</w:t>
      </w:r>
      <w:proofErr w:type="gramEnd"/>
      <w:r>
        <w:rPr>
          <w:rFonts w:ascii="Times New Roman" w:hAnsi="Times New Roman"/>
          <w:b/>
          <w:spacing w:val="2"/>
          <w:w w:val="99"/>
          <w:kern w:val="0"/>
          <w:position w:val="-4"/>
          <w:sz w:val="44"/>
          <w:szCs w:val="44"/>
        </w:rPr>
        <w:t>德新成长混合型证券投资基金</w:t>
      </w:r>
    </w:p>
    <w:p w:rsidR="002A5B28" w:rsidRDefault="00A82654">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2A5B28" w:rsidRDefault="00A82654">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年第</w:t>
      </w:r>
      <w:r w:rsidR="00FE0023">
        <w:rPr>
          <w:rFonts w:ascii="Times New Roman" w:hAnsi="Times New Roman" w:hint="eastAsia"/>
          <w:b/>
          <w:color w:val="000000"/>
          <w:sz w:val="32"/>
          <w:szCs w:val="32"/>
        </w:rPr>
        <w:t>2</w:t>
      </w:r>
      <w:r>
        <w:rPr>
          <w:rFonts w:ascii="Times New Roman" w:hAnsi="Times New Roman"/>
          <w:b/>
          <w:color w:val="000000"/>
          <w:sz w:val="32"/>
          <w:szCs w:val="32"/>
        </w:rPr>
        <w:t>号</w:t>
      </w:r>
      <w:r>
        <w:rPr>
          <w:rFonts w:ascii="Times New Roman" w:hAnsi="Times New Roman"/>
          <w:b/>
          <w:color w:val="000000"/>
          <w:sz w:val="32"/>
          <w:szCs w:val="32"/>
        </w:rPr>
        <w:t>)</w:t>
      </w:r>
    </w:p>
    <w:p w:rsidR="002A5B28" w:rsidRDefault="002A5B28">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2A5B28" w:rsidRDefault="002A5B28">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2A5B28" w:rsidRDefault="002A5B28">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2A5B28" w:rsidRDefault="002A5B28">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2A5B28" w:rsidRDefault="002A5B28">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2A5B28" w:rsidRDefault="002A5B28">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2A5B28" w:rsidRDefault="00A82654">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2A5B28" w:rsidRDefault="00A82654">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基金托管人：招商银行股份有限公司</w:t>
      </w:r>
    </w:p>
    <w:p w:rsidR="002A5B28" w:rsidRDefault="002A5B28">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2A5B28" w:rsidRDefault="002A5B28">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2A5B28" w:rsidRDefault="00A82654">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FE0023">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2A5B28" w:rsidRDefault="002A5B28">
      <w:pPr>
        <w:autoSpaceDE w:val="0"/>
        <w:autoSpaceDN w:val="0"/>
        <w:adjustRightInd w:val="0"/>
        <w:snapToGrid w:val="0"/>
        <w:spacing w:line="360" w:lineRule="auto"/>
        <w:ind w:left="1347" w:rightChars="6" w:right="13"/>
        <w:rPr>
          <w:rFonts w:ascii="宋体" w:hAnsi="宋体"/>
          <w:kern w:val="0"/>
          <w:sz w:val="32"/>
          <w:szCs w:val="32"/>
        </w:rPr>
        <w:sectPr w:rsidR="002A5B28">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2A5B28" w:rsidRDefault="00A82654">
      <w:pPr>
        <w:pStyle w:val="1"/>
        <w:snapToGrid w:val="0"/>
        <w:spacing w:beforeLines="0" w:before="240" w:after="240"/>
        <w:rPr>
          <w:rFonts w:ascii="宋体" w:hAnsi="宋体"/>
          <w:kern w:val="0"/>
        </w:rPr>
      </w:pPr>
      <w:bookmarkStart w:id="0" w:name="_Toc324920538"/>
      <w:bookmarkStart w:id="1" w:name="_Toc496884613"/>
      <w:bookmarkStart w:id="2" w:name="_Toc135751479"/>
      <w:r>
        <w:rPr>
          <w:rFonts w:ascii="Times New Roman" w:hAnsi="Times New Roman"/>
          <w:kern w:val="0"/>
        </w:rPr>
        <w:lastRenderedPageBreak/>
        <w:t>重要提示</w:t>
      </w:r>
      <w:bookmarkEnd w:id="0"/>
      <w:bookmarkEnd w:id="1"/>
      <w:bookmarkEnd w:id="2"/>
    </w:p>
    <w:p w:rsidR="002A5B28" w:rsidRDefault="00A82654">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交银施罗德新成长混合型证券投资基金（以下简称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）由交银施罗德新成长股票型证券投资基金变更而来，交银施罗德新成长股票型证券投资基金经</w:t>
      </w:r>
      <w:r>
        <w:rPr>
          <w:rFonts w:ascii="Times New Roman" w:hAnsi="Times New Roman"/>
          <w:kern w:val="0"/>
          <w:sz w:val="24"/>
        </w:rPr>
        <w:t>2014</w:t>
      </w:r>
      <w:r>
        <w:rPr>
          <w:rFonts w:ascii="Times New Roman" w:hAnsi="Times New Roman"/>
          <w:kern w:val="0"/>
          <w:sz w:val="24"/>
        </w:rPr>
        <w:t>年</w:t>
      </w:r>
      <w:r>
        <w:rPr>
          <w:rFonts w:ascii="Times New Roman" w:hAnsi="Times New Roman"/>
          <w:kern w:val="0"/>
          <w:sz w:val="24"/>
        </w:rPr>
        <w:t>3</w:t>
      </w:r>
      <w:r>
        <w:rPr>
          <w:rFonts w:ascii="Times New Roman" w:hAnsi="Times New Roman"/>
          <w:kern w:val="0"/>
          <w:sz w:val="24"/>
        </w:rPr>
        <w:t>月</w:t>
      </w:r>
      <w:r>
        <w:rPr>
          <w:rFonts w:ascii="Times New Roman" w:hAnsi="Times New Roman"/>
          <w:kern w:val="0"/>
          <w:sz w:val="24"/>
        </w:rPr>
        <w:t>11</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2014</w:t>
      </w:r>
      <w:r>
        <w:rPr>
          <w:rFonts w:ascii="Times New Roman" w:hAnsi="Times New Roman"/>
          <w:kern w:val="0"/>
          <w:sz w:val="24"/>
        </w:rPr>
        <w:t>】</w:t>
      </w:r>
      <w:r>
        <w:rPr>
          <w:rFonts w:ascii="Times New Roman" w:hAnsi="Times New Roman"/>
          <w:kern w:val="0"/>
          <w:sz w:val="24"/>
        </w:rPr>
        <w:t>277</w:t>
      </w:r>
      <w:r>
        <w:rPr>
          <w:rFonts w:ascii="Times New Roman" w:hAnsi="Times New Roman"/>
          <w:kern w:val="0"/>
          <w:sz w:val="24"/>
        </w:rPr>
        <w:t>号文准予募集注册。其基金合同于</w:t>
      </w:r>
      <w:r>
        <w:rPr>
          <w:rFonts w:ascii="Times New Roman" w:hAnsi="Times New Roman"/>
          <w:kern w:val="0"/>
          <w:sz w:val="24"/>
        </w:rPr>
        <w:t>2014</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9</w:t>
      </w:r>
      <w:r>
        <w:rPr>
          <w:rFonts w:ascii="Times New Roman" w:hAnsi="Times New Roman"/>
          <w:kern w:val="0"/>
          <w:sz w:val="24"/>
        </w:rPr>
        <w:t>日正式生效。</w:t>
      </w:r>
    </w:p>
    <w:p w:rsidR="002A5B28" w:rsidRDefault="00A82654">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w:t>
      </w:r>
      <w:proofErr w:type="gramStart"/>
      <w:r>
        <w:rPr>
          <w:rFonts w:ascii="Times New Roman" w:hAnsi="Times New Roman"/>
          <w:kern w:val="0"/>
          <w:sz w:val="24"/>
        </w:rPr>
        <w:t>交银施罗</w:t>
      </w:r>
      <w:proofErr w:type="gramEnd"/>
      <w:r>
        <w:rPr>
          <w:rFonts w:ascii="Times New Roman" w:hAnsi="Times New Roman"/>
          <w:kern w:val="0"/>
          <w:sz w:val="24"/>
        </w:rPr>
        <w:t>德新成长股票型证券投资基金募集的注册，并不表明其对本基金的价值和收益</w:t>
      </w:r>
      <w:proofErr w:type="gramStart"/>
      <w:r>
        <w:rPr>
          <w:rFonts w:ascii="Times New Roman" w:hAnsi="Times New Roman"/>
          <w:kern w:val="0"/>
          <w:sz w:val="24"/>
        </w:rPr>
        <w:t>作出</w:t>
      </w:r>
      <w:proofErr w:type="gramEnd"/>
      <w:r>
        <w:rPr>
          <w:rFonts w:ascii="Times New Roman" w:hAnsi="Times New Roman"/>
          <w:kern w:val="0"/>
          <w:sz w:val="24"/>
        </w:rPr>
        <w:t>实质性判断或保证，也不表明投资于本基金没有风险。</w:t>
      </w:r>
    </w:p>
    <w:p w:rsidR="002A5B28" w:rsidRDefault="00A82654">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2A5B28" w:rsidRDefault="00A82654">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Pr>
          <w:rFonts w:ascii="Times New Roman" w:hAnsi="Times New Roman"/>
          <w:kern w:val="0"/>
          <w:sz w:val="24"/>
        </w:rPr>
        <w:t>作出</w:t>
      </w:r>
      <w:proofErr w:type="gramEnd"/>
      <w:r>
        <w:rPr>
          <w:rFonts w:ascii="Times New Roman" w:hAnsi="Times New Roman"/>
          <w:kern w:val="0"/>
          <w:sz w:val="24"/>
        </w:rPr>
        <w:t>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交易对手违约风险；投资股指期货的特定风险；投资</w:t>
      </w:r>
      <w:proofErr w:type="gramStart"/>
      <w:r>
        <w:rPr>
          <w:rFonts w:ascii="Times New Roman" w:hAnsi="Times New Roman"/>
          <w:kern w:val="0"/>
          <w:sz w:val="24"/>
        </w:rPr>
        <w:t>科创板股票</w:t>
      </w:r>
      <w:proofErr w:type="gramEnd"/>
      <w:r>
        <w:rPr>
          <w:rFonts w:ascii="Times New Roman" w:hAnsi="Times New Roman"/>
          <w:kern w:val="0"/>
          <w:sz w:val="24"/>
        </w:rPr>
        <w:t>的特定风险；投资本基金特有的其他风险等等。本基金是一只混合型基金，其风险和预期收益高于债券型基金和货币市场基金，低于股票型基金。属于承担较高风险、预期收益较高的证券投资基金品种。</w:t>
      </w:r>
    </w:p>
    <w:p w:rsidR="002A5B28" w:rsidRDefault="00A82654">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合同、基金产品资料概要。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w:t>
      </w:r>
      <w:proofErr w:type="gramStart"/>
      <w:r>
        <w:rPr>
          <w:rFonts w:ascii="Times New Roman" w:hAnsi="Times New Roman"/>
          <w:kern w:val="0"/>
          <w:sz w:val="24"/>
        </w:rPr>
        <w:t>作出</w:t>
      </w:r>
      <w:proofErr w:type="gramEnd"/>
      <w:r>
        <w:rPr>
          <w:rFonts w:ascii="Times New Roman" w:hAnsi="Times New Roman"/>
          <w:kern w:val="0"/>
          <w:sz w:val="24"/>
        </w:rPr>
        <w:t>投资决策后，基金运营状况与基金净值变化引致的投资风险，由投资者自行负责。</w:t>
      </w:r>
    </w:p>
    <w:p w:rsidR="002A5B28" w:rsidRDefault="00A82654">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w:t>
      </w:r>
      <w:r>
        <w:rPr>
          <w:rFonts w:ascii="Times New Roman" w:hAnsi="Times New Roman"/>
          <w:kern w:val="0"/>
          <w:sz w:val="24"/>
        </w:rPr>
        <w:lastRenderedPageBreak/>
        <w:t>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2A5B28" w:rsidRDefault="00A82654">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2A5B28" w:rsidRDefault="00FE002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hint="eastAsia"/>
          <w:kern w:val="0"/>
          <w:sz w:val="24"/>
        </w:rPr>
        <w:t>本次更新招募说明书主要对调整管理费率和</w:t>
      </w:r>
      <w:r>
        <w:rPr>
          <w:rFonts w:ascii="Times New Roman" w:hAnsi="Times New Roman"/>
          <w:kern w:val="0"/>
          <w:sz w:val="24"/>
        </w:rPr>
        <w:t>/</w:t>
      </w:r>
      <w:r>
        <w:rPr>
          <w:rFonts w:ascii="Times New Roman" w:hAnsi="Times New Roman" w:hint="eastAsia"/>
          <w:kern w:val="0"/>
          <w:sz w:val="24"/>
        </w:rPr>
        <w:t>或托管费率相关事项进行了相应更新，更新截止日为</w:t>
      </w:r>
      <w:r>
        <w:rPr>
          <w:rFonts w:ascii="Times New Roman" w:hAnsi="Times New Roman"/>
          <w:kern w:val="0"/>
          <w:sz w:val="24"/>
        </w:rPr>
        <w:t>2023</w:t>
      </w:r>
      <w:r>
        <w:rPr>
          <w:rFonts w:ascii="Times New Roman" w:hAnsi="Times New Roman" w:hint="eastAsia"/>
          <w:kern w:val="0"/>
          <w:sz w:val="24"/>
        </w:rPr>
        <w:t>年</w:t>
      </w:r>
      <w:r>
        <w:rPr>
          <w:rFonts w:ascii="Times New Roman" w:hAnsi="Times New Roman"/>
          <w:kern w:val="0"/>
          <w:sz w:val="24"/>
        </w:rPr>
        <w:t>07</w:t>
      </w:r>
      <w:r>
        <w:rPr>
          <w:rFonts w:ascii="Times New Roman" w:hAnsi="Times New Roman" w:hint="eastAsia"/>
          <w:kern w:val="0"/>
          <w:sz w:val="24"/>
        </w:rPr>
        <w:t>月</w:t>
      </w:r>
      <w:r>
        <w:rPr>
          <w:rFonts w:ascii="Times New Roman" w:hAnsi="Times New Roman"/>
          <w:kern w:val="0"/>
          <w:sz w:val="24"/>
        </w:rPr>
        <w:t>10</w:t>
      </w:r>
      <w:r>
        <w:rPr>
          <w:rFonts w:ascii="Times New Roman" w:hAnsi="Times New Roman" w:hint="eastAsia"/>
          <w:kern w:val="0"/>
          <w:sz w:val="24"/>
        </w:rPr>
        <w:t>日，除非另有说明，</w:t>
      </w:r>
      <w:r w:rsidR="00A82654">
        <w:rPr>
          <w:rFonts w:ascii="Times New Roman" w:hAnsi="Times New Roman"/>
          <w:kern w:val="0"/>
          <w:sz w:val="24"/>
        </w:rPr>
        <w:t>本招募说明书</w:t>
      </w:r>
      <w:r>
        <w:rPr>
          <w:rFonts w:ascii="Times New Roman" w:hAnsi="Times New Roman" w:hint="eastAsia"/>
          <w:kern w:val="0"/>
          <w:sz w:val="24"/>
        </w:rPr>
        <w:t>其他</w:t>
      </w:r>
      <w:r w:rsidR="00A82654">
        <w:rPr>
          <w:rFonts w:ascii="Times New Roman" w:hAnsi="Times New Roman"/>
          <w:kern w:val="0"/>
          <w:sz w:val="24"/>
        </w:rPr>
        <w:t>所载内容截止日为</w:t>
      </w:r>
      <w:r w:rsidR="00A82654">
        <w:rPr>
          <w:rFonts w:ascii="Times New Roman" w:hAnsi="Times New Roman"/>
          <w:kern w:val="0"/>
          <w:sz w:val="24"/>
        </w:rPr>
        <w:t>2023</w:t>
      </w:r>
      <w:r w:rsidR="00A82654">
        <w:rPr>
          <w:rFonts w:ascii="Times New Roman" w:hAnsi="Times New Roman"/>
          <w:kern w:val="0"/>
          <w:sz w:val="24"/>
        </w:rPr>
        <w:t>年</w:t>
      </w:r>
      <w:r w:rsidR="00A82654">
        <w:rPr>
          <w:rFonts w:ascii="Times New Roman" w:hAnsi="Times New Roman"/>
          <w:kern w:val="0"/>
          <w:sz w:val="24"/>
        </w:rPr>
        <w:t>04</w:t>
      </w:r>
      <w:r w:rsidR="00A82654">
        <w:rPr>
          <w:rFonts w:ascii="Times New Roman" w:hAnsi="Times New Roman"/>
          <w:kern w:val="0"/>
          <w:sz w:val="24"/>
        </w:rPr>
        <w:t>月</w:t>
      </w:r>
      <w:r w:rsidR="00A82654">
        <w:rPr>
          <w:rFonts w:ascii="Times New Roman" w:hAnsi="Times New Roman"/>
          <w:kern w:val="0"/>
          <w:sz w:val="24"/>
        </w:rPr>
        <w:t>28</w:t>
      </w:r>
      <w:r w:rsidR="00A82654">
        <w:rPr>
          <w:rFonts w:ascii="Times New Roman" w:hAnsi="Times New Roman"/>
          <w:kern w:val="0"/>
          <w:sz w:val="24"/>
        </w:rPr>
        <w:t>日，有关财</w:t>
      </w:r>
      <w:bookmarkStart w:id="3" w:name="_GoBack"/>
      <w:bookmarkEnd w:id="3"/>
      <w:r w:rsidR="00A82654">
        <w:rPr>
          <w:rFonts w:ascii="Times New Roman" w:hAnsi="Times New Roman"/>
          <w:kern w:val="0"/>
          <w:sz w:val="24"/>
        </w:rPr>
        <w:t>务数据和净值表现截止日为</w:t>
      </w:r>
      <w:r w:rsidR="00A82654">
        <w:rPr>
          <w:rFonts w:ascii="Times New Roman" w:hAnsi="Times New Roman"/>
          <w:kern w:val="0"/>
          <w:sz w:val="24"/>
        </w:rPr>
        <w:t>2023</w:t>
      </w:r>
      <w:r w:rsidR="00A82654">
        <w:rPr>
          <w:rFonts w:ascii="Times New Roman" w:hAnsi="Times New Roman"/>
          <w:kern w:val="0"/>
          <w:sz w:val="24"/>
        </w:rPr>
        <w:t>年</w:t>
      </w:r>
      <w:r w:rsidR="00A82654">
        <w:rPr>
          <w:rFonts w:ascii="Times New Roman" w:hAnsi="Times New Roman"/>
          <w:kern w:val="0"/>
          <w:sz w:val="24"/>
        </w:rPr>
        <w:t>03</w:t>
      </w:r>
      <w:r w:rsidR="00A82654">
        <w:rPr>
          <w:rFonts w:ascii="Times New Roman" w:hAnsi="Times New Roman"/>
          <w:kern w:val="0"/>
          <w:sz w:val="24"/>
        </w:rPr>
        <w:t>月</w:t>
      </w:r>
      <w:r w:rsidR="00A82654">
        <w:rPr>
          <w:rFonts w:ascii="Times New Roman" w:hAnsi="Times New Roman"/>
          <w:kern w:val="0"/>
          <w:sz w:val="24"/>
        </w:rPr>
        <w:t>31</w:t>
      </w:r>
      <w:r w:rsidR="00A82654">
        <w:rPr>
          <w:rFonts w:ascii="Times New Roman" w:hAnsi="Times New Roman"/>
          <w:kern w:val="0"/>
          <w:sz w:val="24"/>
        </w:rPr>
        <w:t>日。本招募说明书所载的财务数据未经审计。</w:t>
      </w:r>
    </w:p>
    <w:p w:rsidR="002A5B28" w:rsidRDefault="002A5B28">
      <w:pPr>
        <w:autoSpaceDE w:val="0"/>
        <w:autoSpaceDN w:val="0"/>
        <w:adjustRightInd w:val="0"/>
        <w:snapToGrid w:val="0"/>
        <w:spacing w:before="51" w:line="360" w:lineRule="auto"/>
        <w:ind w:left="120" w:rightChars="6" w:right="13" w:firstLine="480"/>
        <w:rPr>
          <w:rFonts w:ascii="宋体" w:hAnsi="宋体"/>
          <w:kern w:val="0"/>
          <w:szCs w:val="24"/>
        </w:rPr>
        <w:sectPr w:rsidR="002A5B28">
          <w:headerReference w:type="default" r:id="rId12"/>
          <w:pgSz w:w="11920" w:h="16840"/>
          <w:pgMar w:top="1440" w:right="1680" w:bottom="280" w:left="1680" w:header="0" w:footer="1073" w:gutter="0"/>
          <w:pgNumType w:start="1"/>
          <w:cols w:space="720"/>
        </w:sectPr>
      </w:pPr>
    </w:p>
    <w:p w:rsidR="00C27D4A" w:rsidRPr="00C27D4A" w:rsidRDefault="00A82654" w:rsidP="00C27D4A">
      <w:pPr>
        <w:pStyle w:val="af3"/>
        <w:snapToGrid w:val="0"/>
        <w:spacing w:after="240" w:line="360" w:lineRule="auto"/>
        <w:jc w:val="center"/>
        <w:rPr>
          <w:rFonts w:ascii="宋体" w:hAnsi="宋体"/>
          <w:noProof/>
          <w:sz w:val="24"/>
        </w:rPr>
      </w:pPr>
      <w:r w:rsidRPr="00C27D4A">
        <w:rPr>
          <w:rFonts w:ascii="宋体" w:hAnsi="宋体"/>
          <w:color w:val="000000"/>
          <w:position w:val="-4"/>
          <w:sz w:val="24"/>
          <w:szCs w:val="30"/>
        </w:rPr>
        <w:lastRenderedPageBreak/>
        <w:t>目</w:t>
      </w:r>
      <w:r w:rsidRPr="00C27D4A">
        <w:rPr>
          <w:rFonts w:ascii="宋体" w:hAnsi="宋体"/>
          <w:color w:val="000000"/>
          <w:position w:val="-4"/>
          <w:sz w:val="24"/>
          <w:szCs w:val="30"/>
        </w:rPr>
        <w:tab/>
        <w:t>录</w:t>
      </w:r>
      <w:r w:rsidR="00C27D4A" w:rsidRPr="00C27D4A">
        <w:rPr>
          <w:rFonts w:ascii="宋体" w:hAnsi="宋体"/>
          <w:color w:val="000000"/>
          <w:position w:val="-4"/>
          <w:sz w:val="24"/>
          <w:szCs w:val="30"/>
        </w:rPr>
        <w:fldChar w:fldCharType="begin"/>
      </w:r>
      <w:r w:rsidR="00C27D4A" w:rsidRPr="00C27D4A">
        <w:rPr>
          <w:rFonts w:ascii="宋体" w:hAnsi="宋体"/>
          <w:color w:val="000000"/>
          <w:position w:val="-4"/>
          <w:sz w:val="24"/>
          <w:szCs w:val="30"/>
        </w:rPr>
        <w:instrText xml:space="preserve"> TOC \o "1-3" \f - \h \t "-1" </w:instrText>
      </w:r>
      <w:r w:rsidR="00C27D4A" w:rsidRPr="00C27D4A">
        <w:rPr>
          <w:rFonts w:ascii="宋体" w:hAnsi="宋体"/>
          <w:color w:val="000000"/>
          <w:position w:val="-4"/>
          <w:sz w:val="24"/>
          <w:szCs w:val="30"/>
        </w:rPr>
        <w:fldChar w:fldCharType="separate"/>
      </w:r>
    </w:p>
    <w:p w:rsidR="00C27D4A" w:rsidRPr="00977C8A" w:rsidRDefault="00EE04D6" w:rsidP="00C27D4A">
      <w:pPr>
        <w:pStyle w:val="11"/>
        <w:tabs>
          <w:tab w:val="right" w:leader="dot" w:pos="8550"/>
        </w:tabs>
        <w:spacing w:line="360" w:lineRule="auto"/>
        <w:rPr>
          <w:rFonts w:ascii="宋体" w:hAnsi="宋体"/>
          <w:noProof/>
          <w:sz w:val="24"/>
        </w:rPr>
      </w:pPr>
      <w:hyperlink w:anchor="_Toc135751479" w:history="1">
        <w:r w:rsidR="00C27D4A" w:rsidRPr="00C27D4A">
          <w:rPr>
            <w:rStyle w:val="af0"/>
            <w:rFonts w:ascii="宋体" w:hAnsi="宋体" w:hint="eastAsia"/>
            <w:noProof/>
            <w:kern w:val="0"/>
            <w:sz w:val="24"/>
          </w:rPr>
          <w:t>重要提示</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_Toc135751479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80" w:history="1">
        <w:r w:rsidR="00C27D4A" w:rsidRPr="00C27D4A">
          <w:rPr>
            <w:rStyle w:val="af0"/>
            <w:rFonts w:ascii="宋体" w:hAnsi="宋体" w:hint="eastAsia"/>
            <w:noProof/>
            <w:sz w:val="24"/>
          </w:rPr>
          <w:t>一、绪言</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_Toc135751480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4</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81" w:history="1">
        <w:r w:rsidR="00C27D4A" w:rsidRPr="00C27D4A">
          <w:rPr>
            <w:rStyle w:val="af0"/>
            <w:rFonts w:ascii="宋体" w:hAnsi="宋体" w:hint="eastAsia"/>
            <w:noProof/>
            <w:sz w:val="24"/>
          </w:rPr>
          <w:t>二、释义</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_Toc135751481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5</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82" w:history="1">
        <w:r w:rsidR="00C27D4A" w:rsidRPr="00C27D4A">
          <w:rPr>
            <w:rStyle w:val="af0"/>
            <w:rFonts w:ascii="宋体" w:hAnsi="宋体" w:hint="eastAsia"/>
            <w:noProof/>
            <w:sz w:val="24"/>
          </w:rPr>
          <w:t>三、基金管理人</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_Toc135751482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9</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83" w:history="1">
        <w:r w:rsidR="00C27D4A" w:rsidRPr="00C27D4A">
          <w:rPr>
            <w:rStyle w:val="af0"/>
            <w:rFonts w:ascii="宋体" w:hAnsi="宋体" w:hint="eastAsia"/>
            <w:noProof/>
            <w:sz w:val="24"/>
          </w:rPr>
          <w:t>四、基金托管人</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_Toc135751483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17</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84" w:history="1">
        <w:r w:rsidR="00C27D4A" w:rsidRPr="00C27D4A">
          <w:rPr>
            <w:rStyle w:val="af0"/>
            <w:rFonts w:ascii="宋体" w:hAnsi="宋体" w:hint="eastAsia"/>
            <w:noProof/>
            <w:sz w:val="24"/>
          </w:rPr>
          <w:t>五、相关服务机构</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_Toc135751484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23</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85" w:history="1">
        <w:r w:rsidR="00C27D4A" w:rsidRPr="00C27D4A">
          <w:rPr>
            <w:rStyle w:val="af0"/>
            <w:rFonts w:ascii="宋体" w:hAnsi="宋体" w:hint="eastAsia"/>
            <w:noProof/>
            <w:sz w:val="24"/>
          </w:rPr>
          <w:t>六、基金的历史沿革</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_Toc135751485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60</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86" w:history="1">
        <w:r w:rsidR="00C27D4A" w:rsidRPr="00C27D4A">
          <w:rPr>
            <w:rStyle w:val="af0"/>
            <w:rFonts w:ascii="宋体" w:hAnsi="宋体" w:hint="eastAsia"/>
            <w:noProof/>
            <w:sz w:val="24"/>
          </w:rPr>
          <w:t>七、基金的存续</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_Toc135751486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61</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87" w:history="1">
        <w:r w:rsidR="00C27D4A" w:rsidRPr="00C27D4A">
          <w:rPr>
            <w:rStyle w:val="af0"/>
            <w:rFonts w:ascii="宋体" w:hAnsi="宋体" w:hint="eastAsia"/>
            <w:noProof/>
            <w:sz w:val="24"/>
          </w:rPr>
          <w:t>八、基金份额的申购与赎回</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_Toc135751487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62</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88" w:history="1">
        <w:r w:rsidR="00C27D4A" w:rsidRPr="00C27D4A">
          <w:rPr>
            <w:rStyle w:val="af0"/>
            <w:rFonts w:ascii="宋体" w:hAnsi="宋体" w:hint="eastAsia"/>
            <w:noProof/>
            <w:sz w:val="24"/>
          </w:rPr>
          <w:t>九、基金的转换</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_Toc135751488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76</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89" w:history="1">
        <w:r w:rsidR="00C27D4A" w:rsidRPr="00C27D4A">
          <w:rPr>
            <w:rStyle w:val="af0"/>
            <w:rFonts w:ascii="宋体" w:hAnsi="宋体" w:hint="eastAsia"/>
            <w:noProof/>
            <w:sz w:val="24"/>
          </w:rPr>
          <w:t>十、基金的投资</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_Toc135751489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83</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90" w:history="1">
        <w:r w:rsidR="00C27D4A" w:rsidRPr="00C27D4A">
          <w:rPr>
            <w:rStyle w:val="af0"/>
            <w:rFonts w:ascii="宋体" w:hAnsi="宋体" w:hint="eastAsia"/>
            <w:noProof/>
            <w:sz w:val="24"/>
          </w:rPr>
          <w:t>十一、基金的业绩</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_Toc135751490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96</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91" w:history="1">
        <w:r w:rsidR="00C27D4A" w:rsidRPr="00C27D4A">
          <w:rPr>
            <w:rStyle w:val="af0"/>
            <w:rFonts w:ascii="宋体" w:hAnsi="宋体" w:hint="eastAsia"/>
            <w:noProof/>
            <w:sz w:val="24"/>
          </w:rPr>
          <w:t>十二、基金的财产</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_Toc135751491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98</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92" w:history="1">
        <w:r w:rsidR="00C27D4A" w:rsidRPr="00C27D4A">
          <w:rPr>
            <w:rStyle w:val="af0"/>
            <w:rFonts w:ascii="宋体" w:hAnsi="宋体" w:hint="eastAsia"/>
            <w:noProof/>
            <w:sz w:val="24"/>
          </w:rPr>
          <w:t>十三、基金资产的估值</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_Toc135751492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99</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93" w:history="1">
        <w:r w:rsidR="00C27D4A" w:rsidRPr="00C27D4A">
          <w:rPr>
            <w:rStyle w:val="af0"/>
            <w:rFonts w:ascii="宋体" w:hAnsi="宋体" w:hint="eastAsia"/>
            <w:noProof/>
            <w:sz w:val="24"/>
          </w:rPr>
          <w:t>十四、基金收益与分配</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_Toc135751493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105</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94" w:history="1">
        <w:r w:rsidR="00C27D4A" w:rsidRPr="00C27D4A">
          <w:rPr>
            <w:rStyle w:val="af0"/>
            <w:rFonts w:ascii="宋体" w:hAnsi="宋体" w:hint="eastAsia"/>
            <w:noProof/>
            <w:sz w:val="24"/>
          </w:rPr>
          <w:t>十五、基金的费用与税收</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_Toc135751494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107</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95" w:history="1">
        <w:r w:rsidR="00C27D4A" w:rsidRPr="00C27D4A">
          <w:rPr>
            <w:rStyle w:val="af0"/>
            <w:rFonts w:ascii="宋体" w:hAnsi="宋体" w:hint="eastAsia"/>
            <w:noProof/>
            <w:sz w:val="24"/>
          </w:rPr>
          <w:t>十六、基金的会计与审计</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_Toc135751495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110</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96" w:history="1">
        <w:r w:rsidR="00C27D4A" w:rsidRPr="00C27D4A">
          <w:rPr>
            <w:rStyle w:val="af0"/>
            <w:rFonts w:ascii="宋体" w:hAnsi="宋体" w:hint="eastAsia"/>
            <w:noProof/>
            <w:sz w:val="24"/>
          </w:rPr>
          <w:t>十七、基金的信息披露</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_Toc135751496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111</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97" w:history="1">
        <w:r w:rsidR="00C27D4A" w:rsidRPr="00C27D4A">
          <w:rPr>
            <w:rStyle w:val="af0"/>
            <w:rFonts w:ascii="宋体" w:hAnsi="宋体" w:hint="eastAsia"/>
            <w:noProof/>
            <w:sz w:val="24"/>
          </w:rPr>
          <w:t>十八、风险揭示</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_Toc135751497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117</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98" w:history="1">
        <w:r w:rsidR="00C27D4A" w:rsidRPr="00C27D4A">
          <w:rPr>
            <w:rStyle w:val="af0"/>
            <w:rFonts w:ascii="宋体" w:hAnsi="宋体" w:hint="eastAsia"/>
            <w:noProof/>
            <w:sz w:val="24"/>
          </w:rPr>
          <w:t>十九、基金合同的变更、终止与基金财产的清算</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_Toc135751498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124</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499" w:history="1">
        <w:r w:rsidR="00C27D4A" w:rsidRPr="00C27D4A">
          <w:rPr>
            <w:rStyle w:val="af0"/>
            <w:rFonts w:ascii="宋体" w:hAnsi="宋体" w:hint="eastAsia"/>
            <w:noProof/>
            <w:sz w:val="24"/>
          </w:rPr>
          <w:t>二十、基金合同内容摘要</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_Toc135751499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126</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500" w:history="1">
        <w:r w:rsidR="00C27D4A" w:rsidRPr="00C27D4A">
          <w:rPr>
            <w:rStyle w:val="af0"/>
            <w:rFonts w:ascii="宋体" w:hAnsi="宋体" w:hint="eastAsia"/>
            <w:noProof/>
            <w:sz w:val="24"/>
          </w:rPr>
          <w:t>二十一、托管协议的内容摘要</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_Toc135751500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141</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501" w:history="1">
        <w:r w:rsidR="00C27D4A" w:rsidRPr="00C27D4A">
          <w:rPr>
            <w:rStyle w:val="af0"/>
            <w:rFonts w:ascii="宋体" w:hAnsi="宋体" w:hint="eastAsia"/>
            <w:noProof/>
            <w:sz w:val="24"/>
          </w:rPr>
          <w:t>二十二、对基金份额持有人的服务</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_Toc135751501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159</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502" w:history="1">
        <w:r w:rsidR="00C27D4A" w:rsidRPr="00C27D4A">
          <w:rPr>
            <w:rStyle w:val="af0"/>
            <w:rFonts w:ascii="宋体" w:hAnsi="宋体" w:hint="eastAsia"/>
            <w:noProof/>
            <w:sz w:val="24"/>
          </w:rPr>
          <w:t>二十三、其他应披露事项</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_Toc135751502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161</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503" w:history="1">
        <w:r w:rsidR="00C27D4A" w:rsidRPr="00C27D4A">
          <w:rPr>
            <w:rStyle w:val="af0"/>
            <w:rFonts w:ascii="宋体" w:hAnsi="宋体" w:hint="eastAsia"/>
            <w:noProof/>
            <w:sz w:val="24"/>
          </w:rPr>
          <w:t>二十四、招募说明书的存放及查阅方式</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_Toc135751503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163</w:t>
        </w:r>
        <w:r w:rsidR="00C27D4A" w:rsidRPr="00C27D4A">
          <w:rPr>
            <w:rFonts w:ascii="宋体" w:hAnsi="宋体"/>
            <w:noProof/>
            <w:sz w:val="24"/>
          </w:rPr>
          <w:fldChar w:fldCharType="end"/>
        </w:r>
      </w:hyperlink>
    </w:p>
    <w:p w:rsidR="00C27D4A" w:rsidRPr="00977C8A" w:rsidRDefault="00EE04D6" w:rsidP="00C27D4A">
      <w:pPr>
        <w:pStyle w:val="11"/>
        <w:tabs>
          <w:tab w:val="right" w:leader="dot" w:pos="8550"/>
        </w:tabs>
        <w:spacing w:line="360" w:lineRule="auto"/>
        <w:rPr>
          <w:rFonts w:ascii="宋体" w:hAnsi="宋体"/>
          <w:noProof/>
          <w:sz w:val="24"/>
        </w:rPr>
      </w:pPr>
      <w:hyperlink w:anchor="_Toc135751504" w:history="1">
        <w:r w:rsidR="00C27D4A" w:rsidRPr="00C27D4A">
          <w:rPr>
            <w:rStyle w:val="af0"/>
            <w:rFonts w:ascii="宋体" w:hAnsi="宋体" w:hint="eastAsia"/>
            <w:noProof/>
            <w:sz w:val="24"/>
          </w:rPr>
          <w:t>二十五、备查文件</w:t>
        </w:r>
        <w:r w:rsidR="00C27D4A" w:rsidRPr="00C27D4A">
          <w:rPr>
            <w:rFonts w:ascii="宋体" w:hAnsi="宋体"/>
            <w:noProof/>
            <w:sz w:val="24"/>
          </w:rPr>
          <w:tab/>
        </w:r>
        <w:r w:rsidR="00C27D4A" w:rsidRPr="00C27D4A">
          <w:rPr>
            <w:rFonts w:ascii="宋体" w:hAnsi="宋体"/>
            <w:noProof/>
            <w:sz w:val="24"/>
          </w:rPr>
          <w:fldChar w:fldCharType="begin"/>
        </w:r>
        <w:r w:rsidR="00C27D4A" w:rsidRPr="00C27D4A">
          <w:rPr>
            <w:rFonts w:ascii="宋体" w:hAnsi="宋体"/>
            <w:noProof/>
            <w:sz w:val="24"/>
          </w:rPr>
          <w:instrText xml:space="preserve"> PAGEREF _Toc135751504 \h </w:instrText>
        </w:r>
        <w:r w:rsidR="00C27D4A" w:rsidRPr="00C27D4A">
          <w:rPr>
            <w:rFonts w:ascii="宋体" w:hAnsi="宋体"/>
            <w:noProof/>
            <w:sz w:val="24"/>
          </w:rPr>
        </w:r>
        <w:r w:rsidR="00C27D4A" w:rsidRPr="00C27D4A">
          <w:rPr>
            <w:rFonts w:ascii="宋体" w:hAnsi="宋体"/>
            <w:noProof/>
            <w:sz w:val="24"/>
          </w:rPr>
          <w:fldChar w:fldCharType="separate"/>
        </w:r>
        <w:r w:rsidR="00C27D4A" w:rsidRPr="00C27D4A">
          <w:rPr>
            <w:rFonts w:ascii="宋体" w:hAnsi="宋体"/>
            <w:noProof/>
            <w:sz w:val="24"/>
          </w:rPr>
          <w:t>164</w:t>
        </w:r>
        <w:r w:rsidR="00C27D4A" w:rsidRPr="00C27D4A">
          <w:rPr>
            <w:rFonts w:ascii="宋体" w:hAnsi="宋体"/>
            <w:noProof/>
            <w:sz w:val="24"/>
          </w:rPr>
          <w:fldChar w:fldCharType="end"/>
        </w:r>
      </w:hyperlink>
    </w:p>
    <w:p w:rsidR="002A5B28" w:rsidRPr="00C27D4A" w:rsidRDefault="00C27D4A" w:rsidP="00C27D4A">
      <w:pPr>
        <w:pStyle w:val="af3"/>
        <w:snapToGrid w:val="0"/>
        <w:spacing w:after="240" w:line="360" w:lineRule="auto"/>
        <w:jc w:val="center"/>
        <w:rPr>
          <w:rFonts w:ascii="宋体" w:hAnsi="宋体"/>
          <w:color w:val="000000"/>
          <w:sz w:val="24"/>
        </w:rPr>
      </w:pPr>
      <w:r w:rsidRPr="00C27D4A">
        <w:rPr>
          <w:rFonts w:ascii="宋体" w:hAnsi="宋体"/>
          <w:color w:val="000000"/>
          <w:position w:val="-4"/>
          <w:sz w:val="24"/>
          <w:szCs w:val="30"/>
        </w:rPr>
        <w:lastRenderedPageBreak/>
        <w:fldChar w:fldCharType="end"/>
      </w:r>
    </w:p>
    <w:p w:rsidR="002A5B28" w:rsidRDefault="002A5B28">
      <w:pPr>
        <w:autoSpaceDE w:val="0"/>
        <w:autoSpaceDN w:val="0"/>
        <w:adjustRightInd w:val="0"/>
        <w:snapToGrid w:val="0"/>
        <w:spacing w:line="360" w:lineRule="auto"/>
        <w:ind w:left="120" w:rightChars="6" w:right="13"/>
        <w:rPr>
          <w:rFonts w:ascii="宋体" w:hAnsi="宋体"/>
          <w:kern w:val="0"/>
          <w:szCs w:val="24"/>
        </w:rPr>
        <w:sectPr w:rsidR="002A5B28">
          <w:pgSz w:w="11920" w:h="16840"/>
          <w:pgMar w:top="1480" w:right="1680" w:bottom="280" w:left="1680" w:header="0" w:footer="1073" w:gutter="0"/>
          <w:cols w:space="720"/>
        </w:sectPr>
      </w:pPr>
    </w:p>
    <w:p w:rsidR="002A5B28" w:rsidRDefault="00A82654">
      <w:pPr>
        <w:pStyle w:val="1"/>
        <w:snapToGrid w:val="0"/>
        <w:spacing w:beforeLines="0" w:before="240" w:after="240"/>
        <w:rPr>
          <w:rFonts w:ascii="宋体" w:hAnsi="宋体"/>
          <w:szCs w:val="30"/>
        </w:rPr>
      </w:pPr>
      <w:bookmarkStart w:id="4" w:name="_Toc135751480"/>
      <w:r>
        <w:rPr>
          <w:rFonts w:ascii="Times New Roman" w:hAnsi="Times New Roman"/>
          <w:sz w:val="30"/>
        </w:rPr>
        <w:lastRenderedPageBreak/>
        <w:t>一、绪言</w:t>
      </w:r>
      <w:bookmarkEnd w:id="4"/>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新成长混合型证券投资基金招募说明书（更新）》（以下简称“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相关法律法规的规定以及《交银施罗德新成长混合型证券投资基金基金合同》（以下简称“基金合同”）编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本招募说明书根据本基金的基金合同编写，并经中国证监会注册。基金合同是约定基金当事人之间权利、义务的法律文件。基金</w:t>
      </w:r>
      <w:proofErr w:type="gramStart"/>
      <w:r>
        <w:rPr>
          <w:rFonts w:ascii="宋体" w:hAnsi="宋体"/>
          <w:sz w:val="24"/>
        </w:rPr>
        <w:t>投资人自依基金</w:t>
      </w:r>
      <w:proofErr w:type="gramEnd"/>
      <w:r>
        <w:rPr>
          <w:rFonts w:ascii="宋体" w:hAnsi="宋体"/>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5" w:name="_Toc135751481"/>
      <w:r>
        <w:rPr>
          <w:rFonts w:ascii="Times New Roman" w:hAnsi="Times New Roman"/>
          <w:sz w:val="30"/>
        </w:rPr>
        <w:lastRenderedPageBreak/>
        <w:t>二、释义</w:t>
      </w:r>
      <w:bookmarkEnd w:id="5"/>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1、基金或本基金：指交银施罗德新成长混合型证券投资基金，本基金由交银施罗德新成长股票型证券投资基金变更而来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3、基金托管人或本基金托管人：指招商银行股份有限公司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4、基金合同、《基金合同》：指《交银施罗德新成长混合型证券投资基金基金合同》及对基金合同的任何有效修订和补充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5、托管协议：指基金管理人与基金托管人就本基金签订之《交银施罗德新成长混合型证券投资基金托管协议》及对该托管协议的任何有效修订和补充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6、招募说明书或《招募说明书》：指《交银施罗德新成长混合型证券投资基金招募说明书》及其更新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7、基金份额发售公告：指本基金根据《运作办法》变更为混合型基金前的《交银施罗德新成长股票型证券投资基金基金份额发售公告》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8、基金产品资料概要：指《交银施罗德新成长混合型证券投资基金基金产品资料概要》及其更新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2003年10月28日经第十届全国人民代表大会常务委员会第五次会议通过，并经2012年12月28日第十一届全国人民代表大会常务委员会第三十次会议修订，自2013年6月1日起实施的《中华人民共和国证券投资基金法》及其后颁布机关对其不时做出的修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11、《销售办法》：指中国证监会2013年3月15日颁布、同年6月1日实施的《证券投资基金销售管理办法》及颁布机关对其不时做出的修订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12、《信息披露办法》：指中国证监会2019年7月26日颁布、同年9月1日实施的《公开募集证券投资基金信息披露管理办法》及颁布机关对其不时做出的修订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13、《运作办法》：指中国证监会2004年6月29日颁布、同年7月1日实施、2012年6月19日修订的《证券投资基金运作管理办法》及颁布机关对其不时做出的修订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14、《流动性规定》：指中国证监会2017年8月31日颁布、同年10月1日实施的</w:t>
      </w:r>
      <w:r>
        <w:rPr>
          <w:rFonts w:ascii="宋体" w:hAnsi="宋体"/>
          <w:sz w:val="24"/>
        </w:rPr>
        <w:lastRenderedPageBreak/>
        <w:t>《公开募集开放式证券投资基金流动性风险管理规定》及颁布机关对其不时做出的修订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15、中国证监会：指中国证券监督管理委员会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16、银行业监督管理机构：指中国人民银行和/或中国银行业监督管理委员会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17、基金合同当事人：指受基金合同约束，根据基金合同享有权利并承担义务的法律主体，包括基金管理人、基金托管人和基金份额持有人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18、个人投资者：指依据有关法律法规规定可投资于证券投资基金的自然人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19、机构投资者：指依法可以投资证券投资基金的、在中华人民共和国境内合法登记并存续或经有关政府部门批准设立并存续的企业法人、事业法人、社会团体或其他组织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20、合格境外机构投资者：指符合《合格境外机构投资者境内证券投资管理办法》及相关法律法规规定可以投资于在中国境内依法募集的证券投资基金的中国境外的机构投资者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21、投资人或投资者：指个人投资者、机构投资者和合格境外机构投资者以及法律法规或中国证监会允许购买证券投资基金的其他投资人的合称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22、基金份额持有人：指依基金合同和招募说明书合法取得基金份额的投资人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23、基金销售业务：指基金管理人或销售机构宣传推介基金，发售基金份额，办理基金份额的申购、赎回、转换、转托管及定期定额投资等业务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24、直销机构：指交银施罗德基金管理有限公司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25、代销机构：指符合《销售办法》和中国证监会规定的其他条件，取得基金销售业务资格并与基金管理人签订了基金销售服务协议，办理基金销售业务的机构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26、销售机构：指直销机构和代销机构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sz w:val="24"/>
        </w:rPr>
        <w:t>非交易</w:t>
      </w:r>
      <w:proofErr w:type="gramEnd"/>
      <w:r>
        <w:rPr>
          <w:rFonts w:ascii="宋体" w:hAnsi="宋体"/>
          <w:sz w:val="24"/>
        </w:rPr>
        <w:t>过户等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28、登记机构：</w:t>
      </w:r>
      <w:proofErr w:type="gramStart"/>
      <w:r>
        <w:rPr>
          <w:rFonts w:ascii="宋体" w:hAnsi="宋体"/>
          <w:sz w:val="24"/>
        </w:rPr>
        <w:t>指办理</w:t>
      </w:r>
      <w:proofErr w:type="gramEnd"/>
      <w:r>
        <w:rPr>
          <w:rFonts w:ascii="宋体" w:hAnsi="宋体"/>
          <w:sz w:val="24"/>
        </w:rPr>
        <w:t>登记业务的机构。基金的登记机构为交银施罗德基金管理有限公司或接受交银施罗德基金管理有限公司委托代为办理登记业务的机构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29、基金账户：指登记机构为投资人开立的、记录其持有的、基金管理人所管理的基金份额余额及其变动情况的账户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30、基金交易账户：指销售机构为投资人开立的、记录投资人通过该销售机构</w:t>
      </w:r>
      <w:r>
        <w:rPr>
          <w:rFonts w:ascii="宋体" w:hAnsi="宋体"/>
          <w:sz w:val="24"/>
        </w:rPr>
        <w:lastRenderedPageBreak/>
        <w:t>办理认购、申购、赎回、转换及转托管等业务而引起的基金份额变动及结余情况的账户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31、基金合同生效日：指基金募集达到法律法规规定及基金合同规定的条件，基金管理人向中国证监会办理基金备案手续完毕，并获得中国证监会书面确认的日期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32、基金合同终止日：指基金合同规定的基金合同终止事由出现后，基金财产清算完毕，清算结果报中国证监会备案并予以公告的日期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33、基金募集期：指自基金份额发售之日起至发售结束之日止的期间，最长不得超过3个月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34、存续期：指基金合同生效至终止之间的不定期期限</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35、工作日：指上海证券交易所、深圳证券交易所的正常交易日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36、T日：指销售机构在规定时间受理投资人申购、赎回或其他业务申请的开放日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37、T+n日：指自T日起第n</w:t>
      </w:r>
      <w:proofErr w:type="gramStart"/>
      <w:r>
        <w:rPr>
          <w:rFonts w:ascii="宋体" w:hAnsi="宋体"/>
          <w:sz w:val="24"/>
        </w:rPr>
        <w:t>个</w:t>
      </w:r>
      <w:proofErr w:type="gramEnd"/>
      <w:r>
        <w:rPr>
          <w:rFonts w:ascii="宋体" w:hAnsi="宋体"/>
          <w:sz w:val="24"/>
        </w:rPr>
        <w:t>工作日(不包含T日)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38、开放日：指为投资人办理基金份额申购、赎回或其他业务的工作日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39、开放时间：指开放日基金接受申购、赎回或其他交易的时间段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41、认购：指在基金募集期内，投资人根据基金合同和招募说明书的规定申请购买基金份额的行为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42、申购：指基金合同生效后，投资人根据基金合同和招募说明书的规定申请购买基金份额的行为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43、赎回：指基金合同生效后，基金份额持有人按基金合同和招募说明书规定的条件要求将基金份额兑换为现金的行为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44、基金转换：指基金份额持有人按照基金合同和基金管理人届时有效公告规定的条件，申请将其持有基金管理人管理的、某一基金的基金份额转换为基金管理人管理的其他</w:t>
      </w:r>
      <w:proofErr w:type="gramStart"/>
      <w:r>
        <w:rPr>
          <w:rFonts w:ascii="宋体" w:hAnsi="宋体"/>
          <w:sz w:val="24"/>
        </w:rPr>
        <w:t>基金基金</w:t>
      </w:r>
      <w:proofErr w:type="gramEnd"/>
      <w:r>
        <w:rPr>
          <w:rFonts w:ascii="宋体" w:hAnsi="宋体"/>
          <w:sz w:val="24"/>
        </w:rPr>
        <w:t>份额的行为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45、转托管：指基金份额持有人在本基金的不同销售机构之间实施的变更所持</w:t>
      </w:r>
      <w:r>
        <w:rPr>
          <w:rFonts w:ascii="宋体" w:hAnsi="宋体"/>
          <w:sz w:val="24"/>
        </w:rPr>
        <w:lastRenderedPageBreak/>
        <w:t>基金份额销售机构的操作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巨额赎回：指本基金单个开放日，基金净赎回申请（赎回申请份额总数加上基金转换中转出申请份额总数后扣除申购申请份额总数及基金转换中转入申请份额总数后的余额）超过上一开放日基金总份额的10%的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48、元：指人民币元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49、基金收益：指基金投资所得红利、股息、债券利息、买卖证券价差、银行存款利息、已实现的其他合法收入及因运用基金财产带来的成本和费用的节约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50、基金资产总值：指基金拥有的各类有价证券、银行存款本息、基金应收申购款及其他资产的价值总和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51、基金资产净值：指基金资产总值减去基金负债后的价值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52、基金份额净值：指计算日基金资产净值除以计算日基金份额总数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53、基金资产估值：指计算评估基金资产和负债的价值，以确定基金资产净值和基金份额净值的过程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54、流动性受限资产：指由于法律法规、监管、合同或操作障碍等原因无法以合理价格予以变现的资产，包括但不限于到期日在10个交易日以上的逆回购与银行定期存款（</w:t>
      </w:r>
      <w:proofErr w:type="gramStart"/>
      <w:r>
        <w:rPr>
          <w:rFonts w:ascii="宋体" w:hAnsi="宋体"/>
          <w:sz w:val="24"/>
        </w:rPr>
        <w:t>含协议</w:t>
      </w:r>
      <w:proofErr w:type="gramEnd"/>
      <w:r>
        <w:rPr>
          <w:rFonts w:ascii="宋体" w:hAnsi="宋体"/>
          <w:sz w:val="24"/>
        </w:rPr>
        <w:t>约定有条件提前支取的银行存款）、停牌股票、流通受限的新股及非公开发行股票、资产支持证券、因发行人债务违约无法进行转让或交易的债券等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55、指定媒介：指中国证监会指定的用以进行信息披露的全国性报刊及指定互联网网站（包括基金管理人网站、基金托管人网站、中国证监会基金电子披露网站）等媒介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56、不可抗力：指基金合同当事人不能预见、不能避免且不能克服的客观事件</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6" w:name="_Toc135751482"/>
      <w:r>
        <w:rPr>
          <w:rFonts w:ascii="Times New Roman" w:hAnsi="Times New Roman"/>
          <w:sz w:val="30"/>
        </w:rPr>
        <w:lastRenderedPageBreak/>
        <w:t>三、基金管理人</w:t>
      </w:r>
      <w:bookmarkEnd w:id="6"/>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w:t>
      </w:r>
      <w:proofErr w:type="gramStart"/>
      <w:r>
        <w:rPr>
          <w:rFonts w:ascii="宋体" w:hAnsi="宋体"/>
          <w:sz w:val="24"/>
        </w:rPr>
        <w:t>监基金字</w:t>
      </w:r>
      <w:proofErr w:type="gramEnd"/>
      <w:r>
        <w:rPr>
          <w:rFonts w:ascii="宋体" w:hAnsi="宋体"/>
          <w:sz w:val="24"/>
        </w:rPr>
        <w:t>[2005]128号文批准设立。公司股权结构如下：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w:t>
      </w:r>
      <w:proofErr w:type="gramStart"/>
      <w:r>
        <w:rPr>
          <w:rFonts w:ascii="宋体" w:hAnsi="宋体"/>
          <w:sz w:val="24"/>
        </w:rPr>
        <w:t>内控案防</w:t>
      </w:r>
      <w:proofErr w:type="gramEnd"/>
      <w:r>
        <w:rPr>
          <w:rFonts w:ascii="宋体" w:hAnsi="宋体"/>
          <w:sz w:val="24"/>
        </w:rPr>
        <w:t>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w:t>
      </w:r>
      <w:proofErr w:type="gramStart"/>
      <w:r>
        <w:rPr>
          <w:rFonts w:ascii="宋体" w:hAnsi="宋体"/>
          <w:sz w:val="24"/>
        </w:rPr>
        <w:t>兼产品</w:t>
      </w:r>
      <w:proofErr w:type="gramEnd"/>
      <w:r>
        <w:rPr>
          <w:rFonts w:ascii="宋体" w:hAnsi="宋体"/>
          <w:sz w:val="24"/>
        </w:rPr>
        <w:t>及分销主管、香港行政总裁兼亚太区机构业务主管、澳大利亚行政总裁兼亚太区联席主管等职。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w:t>
      </w:r>
      <w:proofErr w:type="gramStart"/>
      <w:r>
        <w:rPr>
          <w:rFonts w:ascii="宋体" w:hAnsi="宋体"/>
          <w:sz w:val="24"/>
        </w:rPr>
        <w:t>非银司副</w:t>
      </w:r>
      <w:proofErr w:type="gramEnd"/>
      <w:r>
        <w:rPr>
          <w:rFonts w:ascii="宋体" w:hAnsi="宋体"/>
          <w:sz w:val="24"/>
        </w:rPr>
        <w:t>巡视员、副司长，银监会</w:t>
      </w:r>
      <w:proofErr w:type="gramStart"/>
      <w:r>
        <w:rPr>
          <w:rFonts w:ascii="宋体" w:hAnsi="宋体"/>
          <w:sz w:val="24"/>
        </w:rPr>
        <w:t>非银部副</w:t>
      </w:r>
      <w:proofErr w:type="gramEnd"/>
      <w:r>
        <w:rPr>
          <w:rFonts w:ascii="宋体" w:hAnsi="宋体"/>
          <w:sz w:val="24"/>
        </w:rPr>
        <w:t>主任，银行监管一部副主任、巡视员，汇金公司派出董事。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w:t>
      </w:r>
      <w:proofErr w:type="gramStart"/>
      <w:r>
        <w:rPr>
          <w:rFonts w:ascii="宋体" w:hAnsi="宋体"/>
          <w:sz w:val="24"/>
        </w:rPr>
        <w:t>大学民商经济</w:t>
      </w:r>
      <w:proofErr w:type="gramEnd"/>
      <w:r>
        <w:rPr>
          <w:rFonts w:ascii="宋体" w:hAnsi="宋体"/>
          <w:sz w:val="24"/>
        </w:rPr>
        <w:t>法学院教授，兼任基金业协会自律监察委员会委员。历任证监会办公厅副处长、上市公司</w:t>
      </w:r>
      <w:proofErr w:type="gramStart"/>
      <w:r>
        <w:rPr>
          <w:rFonts w:ascii="宋体" w:hAnsi="宋体"/>
          <w:sz w:val="24"/>
        </w:rPr>
        <w:t>监管部</w:t>
      </w:r>
      <w:proofErr w:type="gramEnd"/>
      <w:r>
        <w:rPr>
          <w:rFonts w:ascii="宋体" w:hAnsi="宋体"/>
          <w:sz w:val="24"/>
        </w:rPr>
        <w:t>处长、行政处罚委员会专职委员、副主任审理员，兼任证监会上市公司并购重组审核委员会委员、行政复议委员会委员。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w:t>
      </w:r>
      <w:proofErr w:type="gramStart"/>
      <w:r>
        <w:rPr>
          <w:rFonts w:ascii="宋体" w:hAnsi="宋体"/>
          <w:sz w:val="24"/>
        </w:rPr>
        <w:t>江学者</w:t>
      </w:r>
      <w:proofErr w:type="gramEnd"/>
      <w:r>
        <w:rPr>
          <w:rFonts w:ascii="宋体" w:hAnsi="宋体"/>
          <w:sz w:val="24"/>
        </w:rPr>
        <w:t>讲座教授。现任香港大学工业工程系荣誉教授，亚洲风险</w:t>
      </w:r>
      <w:proofErr w:type="gramStart"/>
      <w:r>
        <w:rPr>
          <w:rFonts w:ascii="宋体" w:hAnsi="宋体"/>
          <w:sz w:val="24"/>
        </w:rPr>
        <w:t>及危机</w:t>
      </w:r>
      <w:proofErr w:type="gramEnd"/>
      <w:r>
        <w:rPr>
          <w:rFonts w:ascii="宋体" w:hAnsi="宋体"/>
          <w:sz w:val="24"/>
        </w:rPr>
        <w:t>管理协会主席，兼任深交所上市的中联重科集团独立非执行董事。历任香港城市大学管理科学讲座教授，湖南省政协委员并兼任湖南大学工商管理学院院长。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林凯珊女士，监事，硕士。现任施罗德投资管理（香港）有限公司中国内地及中国香港法律部主管。历任香港证券及期货事务监察委员会发牌科经理、的</w:t>
      </w:r>
      <w:proofErr w:type="gramStart"/>
      <w:r>
        <w:rPr>
          <w:rFonts w:ascii="宋体" w:hAnsi="宋体"/>
          <w:sz w:val="24"/>
        </w:rPr>
        <w:t>近律师</w:t>
      </w:r>
      <w:proofErr w:type="gramEnd"/>
      <w:r>
        <w:rPr>
          <w:rFonts w:ascii="宋体" w:hAnsi="宋体"/>
          <w:sz w:val="24"/>
        </w:rPr>
        <w:t>行律师。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w:t>
      </w:r>
      <w:proofErr w:type="gramStart"/>
      <w:r>
        <w:rPr>
          <w:rFonts w:ascii="宋体" w:hAnsi="宋体"/>
          <w:sz w:val="24"/>
        </w:rPr>
        <w:t>兼产品</w:t>
      </w:r>
      <w:proofErr w:type="gramEnd"/>
      <w:r>
        <w:rPr>
          <w:rFonts w:ascii="宋体" w:hAnsi="宋体"/>
          <w:sz w:val="24"/>
        </w:rPr>
        <w:t>开发部总经理。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谢卫先生，总经理、代任首席信息官。简历同上。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Pr>
          <w:rFonts w:ascii="宋体" w:hAnsi="宋体"/>
          <w:sz w:val="24"/>
        </w:rPr>
        <w:t>风控副</w:t>
      </w:r>
      <w:proofErr w:type="gramEnd"/>
      <w:r>
        <w:rPr>
          <w:rFonts w:ascii="宋体" w:hAnsi="宋体"/>
          <w:sz w:val="24"/>
        </w:rPr>
        <w:t>总监、投资运营总监。</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w:t>
      </w:r>
      <w:proofErr w:type="gramStart"/>
      <w:r>
        <w:rPr>
          <w:rFonts w:ascii="宋体" w:hAnsi="宋体"/>
          <w:sz w:val="24"/>
        </w:rPr>
        <w:t>基金基金</w:t>
      </w:r>
      <w:proofErr w:type="gramEnd"/>
      <w:r>
        <w:rPr>
          <w:rFonts w:ascii="宋体" w:hAnsi="宋体"/>
          <w:sz w:val="24"/>
        </w:rPr>
        <w:t>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王崇先生:基金经理。北京大学金融学博士，1</w:t>
      </w:r>
      <w:r w:rsidR="00FE6576">
        <w:rPr>
          <w:rFonts w:ascii="宋体" w:hAnsi="宋体"/>
          <w:sz w:val="24"/>
        </w:rPr>
        <w:t>5</w:t>
      </w:r>
      <w:r>
        <w:rPr>
          <w:rFonts w:ascii="宋体" w:hAnsi="宋体"/>
          <w:sz w:val="24"/>
        </w:rPr>
        <w:t>年证券投资行业从业经验。2008年加入交银施罗德基金管理有限公司，曾</w:t>
      </w:r>
      <w:proofErr w:type="gramStart"/>
      <w:r>
        <w:rPr>
          <w:rFonts w:ascii="宋体" w:hAnsi="宋体"/>
          <w:sz w:val="24"/>
        </w:rPr>
        <w:t>任行业</w:t>
      </w:r>
      <w:proofErr w:type="gramEnd"/>
      <w:r>
        <w:rPr>
          <w:rFonts w:ascii="宋体" w:hAnsi="宋体"/>
          <w:sz w:val="24"/>
        </w:rPr>
        <w:t>分析师、高级研究员，现任权益投资副总监、基金经理。现任交银施罗德新成长混合型证券投资基金(2014年10月22日至今)、交银施罗德精选混合型证券投资基金(2017年06月03日至今)、交银施罗德瑞丰混合型证券投资基金（LOF）(2019年09月04日至今)的基金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管华雨先生(2014年05月09日至2015年05月22日)。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上述人员之间无近亲属关系，上述各项人员信息更新截止日为2023年04月28日，期后变动（如有）敬请关注基金管理人发布的相关公告。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10、保存基金财产管理业务活动的记录、账册、报表和其他相关资料15年以上；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1、基金管理人承诺不从事违反《证券法》的行为，并承诺建立健全内部控制制度，采取有效措施，防止违反《证券法》行为的发生；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w:t>
      </w:r>
      <w:r>
        <w:rPr>
          <w:rFonts w:ascii="宋体" w:hAnsi="宋体"/>
          <w:sz w:val="24"/>
        </w:rPr>
        <w:lastRenderedPageBreak/>
        <w:t>控制制度，采取有效措施，防止下列行为的发生：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（5）依照法律法规有关规定，由中国证监会规定禁止的其他行为。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建立完备的风险管理指标体系，使风险管理更具客观性和操作性。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w:t>
      </w:r>
      <w:proofErr w:type="gramStart"/>
      <w:r>
        <w:rPr>
          <w:rFonts w:ascii="宋体" w:hAnsi="宋体"/>
          <w:sz w:val="24"/>
        </w:rPr>
        <w:t>规</w:t>
      </w:r>
      <w:proofErr w:type="gramEnd"/>
      <w:r>
        <w:rPr>
          <w:rFonts w:ascii="宋体" w:hAnsi="宋体"/>
          <w:sz w:val="24"/>
        </w:rPr>
        <w:t>审核及风险管理委员会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w:t>
      </w:r>
      <w:proofErr w:type="gramStart"/>
      <w:r>
        <w:rPr>
          <w:rFonts w:ascii="宋体" w:hAnsi="宋体"/>
          <w:sz w:val="24"/>
        </w:rPr>
        <w:t>规</w:t>
      </w:r>
      <w:proofErr w:type="gramEnd"/>
      <w:r>
        <w:rPr>
          <w:rFonts w:ascii="宋体" w:hAnsi="宋体"/>
          <w:sz w:val="24"/>
        </w:rPr>
        <w:t>性审议；对公司资产与基金资产的经营进行评估。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w:t>
      </w:r>
      <w:r>
        <w:rPr>
          <w:rFonts w:ascii="宋体" w:hAnsi="宋体"/>
          <w:sz w:val="24"/>
        </w:rPr>
        <w:lastRenderedPageBreak/>
        <w:t>助促进公司风险管理、控制和治理过程的完善，实现合</w:t>
      </w:r>
      <w:proofErr w:type="gramStart"/>
      <w:r>
        <w:rPr>
          <w:rFonts w:ascii="宋体" w:hAnsi="宋体"/>
          <w:sz w:val="24"/>
        </w:rPr>
        <w:t>规</w:t>
      </w:r>
      <w:proofErr w:type="gramEnd"/>
      <w:r>
        <w:rPr>
          <w:rFonts w:ascii="宋体" w:hAnsi="宋体"/>
          <w:sz w:val="24"/>
        </w:rPr>
        <w:t>经营目标。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w:t>
      </w:r>
      <w:proofErr w:type="gramStart"/>
      <w:r>
        <w:rPr>
          <w:rFonts w:ascii="宋体" w:hAnsi="宋体"/>
          <w:sz w:val="24"/>
        </w:rPr>
        <w:t>规</w:t>
      </w:r>
      <w:proofErr w:type="gramEnd"/>
      <w:r>
        <w:rPr>
          <w:rFonts w:ascii="宋体" w:hAnsi="宋体"/>
          <w:sz w:val="24"/>
        </w:rPr>
        <w:t>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w:t>
      </w:r>
      <w:proofErr w:type="gramStart"/>
      <w:r>
        <w:rPr>
          <w:rFonts w:ascii="宋体" w:hAnsi="宋体"/>
          <w:sz w:val="24"/>
        </w:rPr>
        <w:t>规</w:t>
      </w:r>
      <w:proofErr w:type="gramEnd"/>
      <w:r>
        <w:rPr>
          <w:rFonts w:ascii="宋体" w:hAnsi="宋体"/>
          <w:sz w:val="24"/>
        </w:rPr>
        <w:t>部负责公司的法律、合</w:t>
      </w:r>
      <w:proofErr w:type="gramStart"/>
      <w:r>
        <w:rPr>
          <w:rFonts w:ascii="宋体" w:hAnsi="宋体"/>
          <w:sz w:val="24"/>
        </w:rPr>
        <w:t>规</w:t>
      </w:r>
      <w:proofErr w:type="gramEnd"/>
      <w:r>
        <w:rPr>
          <w:rFonts w:ascii="宋体" w:hAnsi="宋体"/>
          <w:sz w:val="24"/>
        </w:rPr>
        <w:t>事务及协调实施信息披露事务，依法维护公司合法权益，评估并处理公司运营中发生的法律、合</w:t>
      </w:r>
      <w:proofErr w:type="gramStart"/>
      <w:r>
        <w:rPr>
          <w:rFonts w:ascii="宋体" w:hAnsi="宋体"/>
          <w:sz w:val="24"/>
        </w:rPr>
        <w:t>规</w:t>
      </w:r>
      <w:proofErr w:type="gramEnd"/>
      <w:r>
        <w:rPr>
          <w:rFonts w:ascii="宋体" w:hAnsi="宋体"/>
          <w:sz w:val="24"/>
        </w:rPr>
        <w:t>及信息披露相关问题，及时向公司管理层及全体员工传达法规及监管要求。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Pr>
          <w:rFonts w:ascii="宋体" w:hAnsi="宋体"/>
          <w:sz w:val="24"/>
        </w:rPr>
        <w:t>作出</w:t>
      </w:r>
      <w:proofErr w:type="gramEnd"/>
      <w:r>
        <w:rPr>
          <w:rFonts w:ascii="宋体" w:hAnsi="宋体"/>
          <w:sz w:val="24"/>
        </w:rPr>
        <w:t>决策。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w:t>
      </w:r>
      <w:r>
        <w:rPr>
          <w:rFonts w:ascii="宋体" w:hAnsi="宋体"/>
          <w:sz w:val="24"/>
        </w:rPr>
        <w:lastRenderedPageBreak/>
        <w:t>控制和规避，尽可能地减少损失。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7" w:name="_Toc135751483"/>
      <w:r>
        <w:rPr>
          <w:rFonts w:ascii="Times New Roman" w:hAnsi="Times New Roman"/>
          <w:sz w:val="30"/>
        </w:rPr>
        <w:lastRenderedPageBreak/>
        <w:t>四、基金托管人</w:t>
      </w:r>
      <w:bookmarkEnd w:id="7"/>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名称：招商银行股份有限公司（以下简称“招商银行”）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设立日期：1987年4月8日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注册地址：深圳市深南大道7088号招商银行大厦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办公地址：深圳市深南大道7088号招商银行大厦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注册资本：252.20亿元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行长：王良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资产托管业务批准文号：证</w:t>
      </w:r>
      <w:proofErr w:type="gramStart"/>
      <w:r>
        <w:rPr>
          <w:rFonts w:ascii="宋体" w:hAnsi="宋体"/>
          <w:sz w:val="24"/>
        </w:rPr>
        <w:t>监基金字</w:t>
      </w:r>
      <w:proofErr w:type="gramEnd"/>
      <w:r>
        <w:rPr>
          <w:rFonts w:ascii="宋体" w:hAnsi="宋体"/>
          <w:sz w:val="24"/>
        </w:rPr>
        <w:t>[2002]83号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电话：0755-83199084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传真：0755-83195201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资产托管部信息披露负责人：张燕</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2、发展概况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2022年9月30日，本集团总资产97,071.11亿元人民币，高级法下资本充足率17.17%，权重法下资本充足率14.36%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2002年8月，招商银行成立基金托管部；2005年8月，经报中国证监会同意，更名为资产托管部，现下</w:t>
      </w:r>
      <w:proofErr w:type="gramStart"/>
      <w:r>
        <w:rPr>
          <w:rFonts w:ascii="宋体" w:hAnsi="宋体"/>
          <w:sz w:val="24"/>
        </w:rPr>
        <w:t>设业务</w:t>
      </w:r>
      <w:proofErr w:type="gramEnd"/>
      <w:r>
        <w:rPr>
          <w:rFonts w:ascii="宋体" w:hAnsi="宋体"/>
          <w:sz w:val="24"/>
        </w:rPr>
        <w:t>管理团队、基金券商产品团队、银保信托产品团队、养老金团队、交易与清算团队、项目管理团队、稽核监察团队、基金外包业务团队、系统与数据团队9个职能团队，现有员工150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w:t>
      </w:r>
      <w:r>
        <w:rPr>
          <w:rFonts w:ascii="宋体" w:hAnsi="宋体"/>
          <w:sz w:val="24"/>
        </w:rPr>
        <w:lastRenderedPageBreak/>
        <w:t>者托管（QFII）、合格境内机构投资者托管（QDII）、全国社会保障基金托管、保险资金托管、企业年金基金托管、存托凭证试点存托人等业务资格。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招商银行资产托管业务持续稳健发展，社会影响</w:t>
      </w:r>
      <w:proofErr w:type="gramStart"/>
      <w:r>
        <w:rPr>
          <w:rFonts w:ascii="宋体" w:hAnsi="宋体"/>
          <w:sz w:val="24"/>
        </w:rPr>
        <w:t>力不断</w:t>
      </w:r>
      <w:proofErr w:type="gramEnd"/>
      <w:r>
        <w:rPr>
          <w:rFonts w:ascii="宋体" w:hAnsi="宋体"/>
          <w:sz w:val="24"/>
        </w:rPr>
        <w:t>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Pr>
          <w:rFonts w:ascii="宋体" w:hAnsi="宋体"/>
          <w:sz w:val="24"/>
        </w:rPr>
        <w:t>募基金</w:t>
      </w:r>
      <w:proofErr w:type="gramEnd"/>
      <w:r>
        <w:rPr>
          <w:rFonts w:ascii="宋体" w:hAnsi="宋体"/>
          <w:sz w:val="24"/>
        </w:rPr>
        <w:t>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w:t>
      </w:r>
      <w:r>
        <w:rPr>
          <w:rFonts w:ascii="宋体" w:hAnsi="宋体"/>
          <w:sz w:val="24"/>
        </w:rPr>
        <w:lastRenderedPageBreak/>
        <w:t>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w:t>
      </w:r>
      <w:proofErr w:type="gramStart"/>
      <w:r>
        <w:rPr>
          <w:rFonts w:ascii="宋体" w:hAnsi="宋体"/>
          <w:sz w:val="24"/>
        </w:rPr>
        <w:t>荣获国</w:t>
      </w:r>
      <w:proofErr w:type="gramEnd"/>
      <w:r>
        <w:rPr>
          <w:rFonts w:ascii="宋体" w:hAnsi="宋体"/>
          <w:sz w:val="24"/>
        </w:rPr>
        <w:t>新投资有限公司“2021年度优秀托管银行奖”和《证券时报》“2021年度杰出资产托管银行天玑奖”；2021年12月，荣获《中国基金报》第三届中国公</w:t>
      </w:r>
      <w:proofErr w:type="gramStart"/>
      <w:r>
        <w:rPr>
          <w:rFonts w:ascii="宋体" w:hAnsi="宋体"/>
          <w:sz w:val="24"/>
        </w:rPr>
        <w:t>募基金</w:t>
      </w:r>
      <w:proofErr w:type="gramEnd"/>
      <w:r>
        <w:rPr>
          <w:rFonts w:ascii="宋体" w:hAnsi="宋体"/>
          <w:sz w:val="24"/>
        </w:rPr>
        <w:t>英华奖“2020年度最佳基金托管银行”；2022年1月荣获中央国债登记结算有限责任公司“2021年度优秀资产托管机构、估值业务杰出机构”；9月荣获《财资》“中国最佳托管银行”“最佳公募基金托管银行”“最佳理财托管银行”三项大奖。</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（二）主要人员情况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 集团股份有限公司副董事长、总裁、董事长，曾兼任中国人民财产保险股份有限公司董事长，中国人</w:t>
      </w:r>
      <w:proofErr w:type="gramStart"/>
      <w:r>
        <w:rPr>
          <w:rFonts w:ascii="宋体" w:hAnsi="宋体"/>
          <w:sz w:val="24"/>
        </w:rPr>
        <w:t>保资产</w:t>
      </w:r>
      <w:proofErr w:type="gramEnd"/>
      <w:r>
        <w:rPr>
          <w:rFonts w:ascii="宋体" w:hAnsi="宋体"/>
          <w:sz w:val="24"/>
        </w:rPr>
        <w:t>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良先生，本公司执行董事、党委书记、行长，兼任财务负责人、董事会秘书。中国人民大学硕士研究生学历，高级经济师。1995年6月加入本公司北京分行，自2001年10月起历任本公司北京分行行长助理、副行长、行长，2012年6月任本公司行长助理兼任北京分行行长，2013年11月不再兼任本公司北京分行行长，2015年1月任本公司副行长，2016年11月至2019年4月兼任本公司董事会秘书，2019年4月起兼任本公司财务负责人，2021年8月起任本公司常务副行长兼任董事会秘书、公司秘书及香港上市相关事宜之授权代表，2022年4月18日起全面主持本公司工作，2022年5月19日起任本公司党委书记，2022年6月15日起任本公司行长。兼任中国支付清算协会副会长、中国银保监</w:t>
      </w:r>
      <w:proofErr w:type="gramStart"/>
      <w:r>
        <w:rPr>
          <w:rFonts w:ascii="宋体" w:hAnsi="宋体"/>
          <w:sz w:val="24"/>
        </w:rPr>
        <w:t>会数据</w:t>
      </w:r>
      <w:proofErr w:type="gramEnd"/>
      <w:r>
        <w:rPr>
          <w:rFonts w:ascii="宋体" w:hAnsi="宋体"/>
          <w:sz w:val="24"/>
        </w:rPr>
        <w:t>治理高层指导协调委员会委员、中国银行业协会中间业务专业委员会第四届主任、中国金融会计学会第六届常务理事。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汪建中先生，</w:t>
      </w:r>
      <w:proofErr w:type="gramStart"/>
      <w:r>
        <w:rPr>
          <w:rFonts w:ascii="宋体" w:hAnsi="宋体"/>
          <w:sz w:val="24"/>
        </w:rPr>
        <w:t>本行副</w:t>
      </w:r>
      <w:proofErr w:type="gramEnd"/>
      <w:r>
        <w:rPr>
          <w:rFonts w:ascii="宋体" w:hAnsi="宋体"/>
          <w:sz w:val="24"/>
        </w:rPr>
        <w:t>行长。1991年加入本行；2002年10月至2013年12月历任本行长沙分行行长，总行公司银行部副总经理，佛山分行筹备组组长，佛山分行行</w:t>
      </w:r>
      <w:r>
        <w:rPr>
          <w:rFonts w:ascii="宋体" w:hAnsi="宋体"/>
          <w:sz w:val="24"/>
        </w:rPr>
        <w:lastRenderedPageBreak/>
        <w:t>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w:t>
      </w:r>
      <w:proofErr w:type="gramStart"/>
      <w:r>
        <w:rPr>
          <w:rFonts w:ascii="宋体" w:hAnsi="宋体"/>
          <w:sz w:val="24"/>
        </w:rPr>
        <w:t>本行副</w:t>
      </w:r>
      <w:proofErr w:type="gramEnd"/>
      <w:r>
        <w:rPr>
          <w:rFonts w:ascii="宋体" w:hAnsi="宋体"/>
          <w:sz w:val="24"/>
        </w:rPr>
        <w:t>行长。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（三）基金托管业务经营情况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截至2022年9月30日，招商银行股份有限公司累计托管1129只证券投资基金。</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（四）托管人的内部控制制度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内部控制目标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内部控制组织结构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招商银行资产托管业务建立三级内部控制及风险防范体系：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一级内部控制及风险防范是在招商银行总行风险管控层面对风险进行预防和控制；总行风险管理部、法律合</w:t>
      </w:r>
      <w:proofErr w:type="gramStart"/>
      <w:r>
        <w:rPr>
          <w:rFonts w:ascii="宋体" w:hAnsi="宋体"/>
          <w:sz w:val="24"/>
        </w:rPr>
        <w:t>规</w:t>
      </w:r>
      <w:proofErr w:type="gramEnd"/>
      <w:r>
        <w:rPr>
          <w:rFonts w:ascii="宋体" w:hAnsi="宋体"/>
          <w:sz w:val="24"/>
        </w:rPr>
        <w:t>部、审计部独立对资产托管业务进行评估监督，并提出内控提升管理建议。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二级内部控制及风险防范是招商银行资产托管部设立风险合</w:t>
      </w:r>
      <w:proofErr w:type="gramStart"/>
      <w:r>
        <w:rPr>
          <w:rFonts w:ascii="宋体" w:hAnsi="宋体"/>
          <w:sz w:val="24"/>
        </w:rPr>
        <w:t>规</w:t>
      </w:r>
      <w:proofErr w:type="gramEnd"/>
      <w:r>
        <w:rPr>
          <w:rFonts w:ascii="宋体" w:hAnsi="宋体"/>
          <w:sz w:val="24"/>
        </w:rPr>
        <w:t>管理相关团队，负责部门内部风险预防和控制，及时发现内部控制缺陷，提出整改方案，跟踪整改情况，并直接向部门总经理室报告。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三级内部控制及风险防范是招商银行资产托管部在设置专业岗位时，遵循内控制衡原则，</w:t>
      </w:r>
      <w:proofErr w:type="gramStart"/>
      <w:r>
        <w:rPr>
          <w:rFonts w:ascii="宋体" w:hAnsi="宋体"/>
          <w:sz w:val="24"/>
        </w:rPr>
        <w:t>视业务</w:t>
      </w:r>
      <w:proofErr w:type="gramEnd"/>
      <w:r>
        <w:rPr>
          <w:rFonts w:ascii="宋体" w:hAnsi="宋体"/>
          <w:sz w:val="24"/>
        </w:rPr>
        <w:t>的风险程度制定相应监督制衡机制。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 内部控制原则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（1）全面性原则。内部控制覆盖各项业务过程和操作环节、覆盖所有团队和岗位，并由全部人员参与。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（2）审慎性原则。托管组织体系的构成、内部管理制度的建立均以防范风险、审慎经营为出发点，体现“内控优先”的要求。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（3）独立性原则。招商银行资产托管部各团队、各岗位职责保持相对独立，不同托管资产之间、托管资产和自有资产之间相互分离。内部控制的检查、评价部门独立于内部控制的建立和执行部门。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（5）适应性原则。内部控制适应招商银行托管业务风险管理的需要，并能够随着托管业务经营战略、经营方针、经营理念等内部环境的变化和国家法律、法规、政策制度等外部环境的改变及时进行修订和完善。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（6）防火墙原则。招商银行资产托管部办公场地与我</w:t>
      </w:r>
      <w:proofErr w:type="gramStart"/>
      <w:r>
        <w:rPr>
          <w:rFonts w:ascii="宋体" w:hAnsi="宋体"/>
          <w:sz w:val="24"/>
        </w:rPr>
        <w:t>行其他</w:t>
      </w:r>
      <w:proofErr w:type="gramEnd"/>
      <w:r>
        <w:rPr>
          <w:rFonts w:ascii="宋体" w:hAnsi="宋体"/>
          <w:sz w:val="24"/>
        </w:rPr>
        <w:t>业务场地隔离，办公网和业务网物理分离，部门业务网和全行业</w:t>
      </w:r>
      <w:proofErr w:type="gramStart"/>
      <w:r>
        <w:rPr>
          <w:rFonts w:ascii="宋体" w:hAnsi="宋体"/>
          <w:sz w:val="24"/>
        </w:rPr>
        <w:t>务</w:t>
      </w:r>
      <w:proofErr w:type="gramEnd"/>
      <w:r>
        <w:rPr>
          <w:rFonts w:ascii="宋体" w:hAnsi="宋体"/>
          <w:sz w:val="24"/>
        </w:rPr>
        <w:t>网防火墙策略分离，以达到风险防范的目的。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（7）重要性原则。内部控制在实现全面控制的基础上，关注重要托管业务重要事项和高风险环节。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（8）制衡性原则。内部控制能够实现在托管组织体系、机构设置、权责分配及业务流程等方面相互制约、相互监督，同时兼顾运营效率。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内部控制措施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（2）业务信息风险控制。招商银行资产托管部在数据传输和保存方面有严格的加密和备份措施，采用加密、直</w:t>
      </w:r>
      <w:proofErr w:type="gramStart"/>
      <w:r>
        <w:rPr>
          <w:rFonts w:ascii="宋体" w:hAnsi="宋体"/>
          <w:sz w:val="24"/>
        </w:rPr>
        <w:t>连方式</w:t>
      </w:r>
      <w:proofErr w:type="gramEnd"/>
      <w:r>
        <w:rPr>
          <w:rFonts w:ascii="宋体" w:hAnsi="宋体"/>
          <w:sz w:val="24"/>
        </w:rPr>
        <w:t>传输数据，数据执行异地实时备份，所有</w:t>
      </w:r>
      <w:r>
        <w:rPr>
          <w:rFonts w:ascii="宋体" w:hAnsi="宋体"/>
          <w:sz w:val="24"/>
        </w:rPr>
        <w:lastRenderedPageBreak/>
        <w:t>的业务信息须经过严格的授权方能进行访问。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（3）客户资料风险控制。招商银行资产托管部对业务办理过程中获取的客户资料严格保密，除法律法规和其他有关规定、监管机构及审计要求外，不向任何机构、部门或个人泄露。</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（4）信息技术系统风险控制。招商银行对信息技术系统机房、权限管理实行双人</w:t>
      </w:r>
      <w:proofErr w:type="gramStart"/>
      <w:r>
        <w:rPr>
          <w:rFonts w:ascii="宋体" w:hAnsi="宋体"/>
          <w:sz w:val="24"/>
        </w:rPr>
        <w:t>双岗双责</w:t>
      </w:r>
      <w:proofErr w:type="gramEnd"/>
      <w:r>
        <w:rPr>
          <w:rFonts w:ascii="宋体" w:hAnsi="宋体"/>
          <w:sz w:val="24"/>
        </w:rPr>
        <w:t>，电脑机房24小时值班并设置门禁，所有电脑设置密码及相应权限。业务网和办公网、托管业务网与全行业</w:t>
      </w:r>
      <w:proofErr w:type="gramStart"/>
      <w:r>
        <w:rPr>
          <w:rFonts w:ascii="宋体" w:hAnsi="宋体"/>
          <w:sz w:val="24"/>
        </w:rPr>
        <w:t>务网双</w:t>
      </w:r>
      <w:proofErr w:type="gramEnd"/>
      <w:r>
        <w:rPr>
          <w:rFonts w:ascii="宋体" w:hAnsi="宋体"/>
          <w:sz w:val="24"/>
        </w:rPr>
        <w:t>分离制度，与外部业务机构实行防火墙保护，对信息技术系统采取两地</w:t>
      </w:r>
      <w:proofErr w:type="gramStart"/>
      <w:r>
        <w:rPr>
          <w:rFonts w:ascii="宋体" w:hAnsi="宋体"/>
          <w:sz w:val="24"/>
        </w:rPr>
        <w:t>三中心</w:t>
      </w:r>
      <w:proofErr w:type="gramEnd"/>
      <w:r>
        <w:rPr>
          <w:rFonts w:ascii="宋体" w:hAnsi="宋体"/>
          <w:sz w:val="24"/>
        </w:rPr>
        <w:t>的应急备份管理措施等，保证信息技术系统的安全。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（5）人力资源控制。招商银行资产托管部通过建立良好的企业文化和员工培训、激励机制、加强人力资源管理及建立人才梯级队伍及人才储备机制，有效地进行人力资源管理。</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（五）基金托管人对基金管理人运作基金进行监督的方法和程序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根据《中华人民共和国证券投资基金法》《公开募集证券投资基金运作管理办法》等有关法律法规的规定及基金合同、托管协议的约定，对基金投资范围、投资比例、投资组合等情况的合法性、合</w:t>
      </w:r>
      <w:proofErr w:type="gramStart"/>
      <w:r>
        <w:rPr>
          <w:rFonts w:ascii="宋体" w:hAnsi="宋体"/>
          <w:sz w:val="24"/>
        </w:rPr>
        <w:t>规</w:t>
      </w:r>
      <w:proofErr w:type="gramEnd"/>
      <w:r>
        <w:rPr>
          <w:rFonts w:ascii="宋体" w:hAnsi="宋体"/>
          <w:sz w:val="24"/>
        </w:rPr>
        <w:t>性进行监督和核查。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8" w:name="_Toc135751484"/>
      <w:r>
        <w:rPr>
          <w:rFonts w:ascii="Times New Roman" w:hAnsi="Times New Roman"/>
          <w:sz w:val="30"/>
        </w:rPr>
        <w:lastRenderedPageBreak/>
        <w:t>五、相关服务机构</w:t>
      </w:r>
      <w:bookmarkEnd w:id="8"/>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本基金直销机构为本基金管理人以及本基金管理人的网上直销交易平台（网站及手机APP，下同）。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个人投资者可以通过本基金管理人网上直销交易平台办理开户、本基金的申购、赎回、定期定额投资、转换等业务，具体交易细则请参阅基金管理人网站。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（2）名称：中国农业银行股份有限公司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办公地址：北京市西城区复兴门内大街28号</w:t>
      </w:r>
      <w:proofErr w:type="gramStart"/>
      <w:r>
        <w:rPr>
          <w:rFonts w:ascii="宋体" w:hAnsi="宋体"/>
          <w:sz w:val="24"/>
        </w:rPr>
        <w:t>凯</w:t>
      </w:r>
      <w:proofErr w:type="gramEnd"/>
      <w:r>
        <w:rPr>
          <w:rFonts w:ascii="宋体" w:hAnsi="宋体"/>
          <w:sz w:val="24"/>
        </w:rPr>
        <w:t>晨世贸中心东座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（3）名称：东莞农村商业银行股份有限公司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（4）名称：中信银行股份有限公司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（5）名称：招商银行股份有限公司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传真：（0755）83195109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（6）名称：交通银行股份有限公司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新区银</w:t>
      </w:r>
      <w:proofErr w:type="gramEnd"/>
      <w:r>
        <w:rPr>
          <w:rFonts w:ascii="宋体" w:hAnsi="宋体"/>
          <w:sz w:val="24"/>
        </w:rPr>
        <w:t>城中路188号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新区银</w:t>
      </w:r>
      <w:proofErr w:type="gramEnd"/>
      <w:r>
        <w:rPr>
          <w:rFonts w:ascii="宋体" w:hAnsi="宋体"/>
          <w:sz w:val="24"/>
        </w:rPr>
        <w:t>城中路188号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（7）名称：江苏银行股份有限公司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住所：南京市中华路26号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办公地址：南京市中华路26号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法定代表人：夏平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电话：（025）58587018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传真：（025）58587038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联系人：田春慧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网址：www.jsbchina.cn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（8）名称：江苏江南农村商业银行股份有限公司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网址：http://www.jnbank.com.cn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（9）名称：中国民生银行股份有限公司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95568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（10）名称：上海浦东发展银行股份有限公司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住所：上海市中山东一路12 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办公地址：上海市中山东一路12 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法定代表人：郑杨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电话：（021）61618888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传真：（021）61618888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网址：www.spdb.com.cn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（11）名称：平安银行股份有限公司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（12）名称：中国邮政储蓄银行股份有限公司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办公地址：北京市西城区金融大街3号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法定代表人：李国华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传真：（010）68858117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联系人：陈春林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网址：www.psbc.com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（13）名称：宁波银行股份有限公司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胡技勋</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（14）名称：长沙银行股份有限公司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住所：湖南省长沙市芙蓉中路一段433号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办公地址：湖南省长沙市芙蓉中路一段433号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法定代表人：朱玉国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电话：（0731）84305387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传真：（0731）84305387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客户服务电话：96511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网址：www.cscb.cn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（15）名称：中国光大银行股份有限公司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客户服务电话：95595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（16）名称：南京银行股份有限公司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住所：南京市玄武区中山路288号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办公地址：南京市玄武区中山路288号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胡升荣</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电话：025-86776111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传真：025-86775054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客户服务电话：95302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网址：www.njcb.com.cn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（17）名称：中国银河证券股份有限公司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陈共炎</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（18）名称：中信证券股份有限公司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（19）名称：中</w:t>
      </w:r>
      <w:proofErr w:type="gramStart"/>
      <w:r>
        <w:rPr>
          <w:rFonts w:ascii="宋体" w:hAnsi="宋体"/>
          <w:sz w:val="24"/>
        </w:rPr>
        <w:t>信建投证券</w:t>
      </w:r>
      <w:proofErr w:type="gramEnd"/>
      <w:r>
        <w:rPr>
          <w:rFonts w:ascii="宋体" w:hAnsi="宋体"/>
          <w:sz w:val="24"/>
        </w:rPr>
        <w:t>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传真：（010）65182261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（20）名称：兴业证券股份有限公司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（21）名称：华</w:t>
      </w:r>
      <w:proofErr w:type="gramStart"/>
      <w:r>
        <w:rPr>
          <w:rFonts w:ascii="宋体" w:hAnsi="宋体"/>
          <w:sz w:val="24"/>
        </w:rPr>
        <w:t>龙证券</w:t>
      </w:r>
      <w:proofErr w:type="gramEnd"/>
      <w:r>
        <w:rPr>
          <w:rFonts w:ascii="宋体" w:hAnsi="宋体"/>
          <w:sz w:val="24"/>
        </w:rPr>
        <w:t>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w:t>
      </w:r>
      <w:proofErr w:type="gramStart"/>
      <w:r>
        <w:rPr>
          <w:rFonts w:ascii="宋体" w:hAnsi="宋体"/>
          <w:sz w:val="24"/>
        </w:rPr>
        <w:t>长城国瑞证券</w:t>
      </w:r>
      <w:proofErr w:type="gramEnd"/>
      <w:r>
        <w:rPr>
          <w:rFonts w:ascii="宋体" w:hAnsi="宋体"/>
          <w:sz w:val="24"/>
        </w:rPr>
        <w:t>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（23）名称：长江证券股份有限公司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办公地址：武汉市新华路特8号长江证券大厦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电话：（027）65799999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传真：（027）85481900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客户服务电话：95579或4008-888-999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（24）名称：国新证券股份有限公司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（25）名称：信</w:t>
      </w:r>
      <w:proofErr w:type="gramStart"/>
      <w:r>
        <w:rPr>
          <w:rFonts w:ascii="宋体" w:hAnsi="宋体"/>
          <w:sz w:val="24"/>
        </w:rPr>
        <w:t>达证券</w:t>
      </w:r>
      <w:proofErr w:type="gramEnd"/>
      <w:r>
        <w:rPr>
          <w:rFonts w:ascii="宋体" w:hAnsi="宋体"/>
          <w:sz w:val="24"/>
        </w:rPr>
        <w:t>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（26）名称：渤海证券股份有限公司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w:t>
      </w:r>
      <w:proofErr w:type="gramStart"/>
      <w:r>
        <w:rPr>
          <w:rFonts w:ascii="宋体" w:hAnsi="宋体"/>
          <w:sz w:val="24"/>
        </w:rPr>
        <w:t>南开区宾水</w:t>
      </w:r>
      <w:proofErr w:type="gramEnd"/>
      <w:r>
        <w:rPr>
          <w:rFonts w:ascii="宋体" w:hAnsi="宋体"/>
          <w:sz w:val="24"/>
        </w:rPr>
        <w:t>西道8号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法定代表人：安志勇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956066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网址：www.ewww.com.cn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（27）名称：国金证券股份有限公司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（28）名称：长城证券有限责任公司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（29）名称：瑞银证券有限责任公司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w:t>
      </w:r>
      <w:proofErr w:type="gramStart"/>
      <w:r>
        <w:rPr>
          <w:rFonts w:ascii="宋体" w:hAnsi="宋体"/>
          <w:sz w:val="24"/>
        </w:rPr>
        <w:t>英蓝国际</w:t>
      </w:r>
      <w:proofErr w:type="gramEnd"/>
      <w:r>
        <w:rPr>
          <w:rFonts w:ascii="宋体" w:hAnsi="宋体"/>
          <w:sz w:val="24"/>
        </w:rPr>
        <w:t>金融中心12层、15层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w:t>
      </w:r>
      <w:proofErr w:type="gramStart"/>
      <w:r>
        <w:rPr>
          <w:rFonts w:ascii="宋体" w:hAnsi="宋体"/>
          <w:sz w:val="24"/>
        </w:rPr>
        <w:t>英蓝国际</w:t>
      </w:r>
      <w:proofErr w:type="gramEnd"/>
      <w:r>
        <w:rPr>
          <w:rFonts w:ascii="宋体" w:hAnsi="宋体"/>
          <w:sz w:val="24"/>
        </w:rPr>
        <w:t>金融中心12层、15层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客户服务电话：400-887-8827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（30）名称：中国国际金融股份有限公司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毕明建</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（31）名称：江海证券有限公司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w:t>
      </w:r>
      <w:proofErr w:type="gramStart"/>
      <w:r>
        <w:rPr>
          <w:rFonts w:ascii="宋体" w:hAnsi="宋体"/>
          <w:sz w:val="24"/>
        </w:rPr>
        <w:t>坊区赣水路</w:t>
      </w:r>
      <w:proofErr w:type="gramEnd"/>
      <w:r>
        <w:rPr>
          <w:rFonts w:ascii="宋体" w:hAnsi="宋体"/>
          <w:sz w:val="24"/>
        </w:rPr>
        <w:t>56号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（32）名称：中泰证券股份有限公司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（33）名称：中信证券（山东）有限责任公司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w:t>
      </w:r>
      <w:proofErr w:type="gramStart"/>
      <w:r>
        <w:rPr>
          <w:rFonts w:ascii="宋体" w:hAnsi="宋体"/>
          <w:sz w:val="24"/>
        </w:rPr>
        <w:t>翔广场东</w:t>
      </w:r>
      <w:proofErr w:type="gramEnd"/>
      <w:r>
        <w:rPr>
          <w:rFonts w:ascii="宋体" w:hAnsi="宋体"/>
          <w:sz w:val="24"/>
        </w:rPr>
        <w:t>座5层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法定代表人：姜晓林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（34）名称：国都证券股份有限公司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w:t>
      </w:r>
      <w:proofErr w:type="gramStart"/>
      <w:r>
        <w:rPr>
          <w:rFonts w:ascii="宋体" w:hAnsi="宋体"/>
          <w:sz w:val="24"/>
        </w:rPr>
        <w:t>申万宏源证券</w:t>
      </w:r>
      <w:proofErr w:type="gramEnd"/>
      <w:r>
        <w:rPr>
          <w:rFonts w:ascii="宋体" w:hAnsi="宋体"/>
          <w:sz w:val="24"/>
        </w:rPr>
        <w:t>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（36）名称：联</w:t>
      </w:r>
      <w:proofErr w:type="gramStart"/>
      <w:r>
        <w:rPr>
          <w:rFonts w:ascii="宋体" w:hAnsi="宋体"/>
          <w:sz w:val="24"/>
        </w:rPr>
        <w:t>讯证券</w:t>
      </w:r>
      <w:proofErr w:type="gramEnd"/>
      <w:r>
        <w:rPr>
          <w:rFonts w:ascii="宋体" w:hAnsi="宋体"/>
          <w:sz w:val="24"/>
        </w:rPr>
        <w:t>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（37）名称：光大证券股份有限公司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（38）名称：华西证券股份有限公司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（39）名称：平安证券股份有限公司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郑舒丽</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（40）名称：大同证券有限责任公司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邮政编码：030600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客服电话：4007121212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（41）名称：招商证券股份有限公司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（42）名称：第一创业证券股份有限公司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（43）名称：海通证券股份有限公司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联系人：李笑鸣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（44）名称：财通证券股份有限公司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注册地址：杭州市杭大路15号嘉华国际商务中心201、501、502、1103、1601-1615、1701-1716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办公地址：杭州市杭大路15号嘉华国际商务中心201、501、502、1103、1601-1615、1701-1716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沈继宁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电话：0571-87789160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联系人： </w:t>
      </w:r>
      <w:proofErr w:type="gramStart"/>
      <w:r>
        <w:rPr>
          <w:rFonts w:ascii="宋体" w:hAnsi="宋体"/>
          <w:sz w:val="24"/>
        </w:rPr>
        <w:t>陶志华</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客户服务电话：95336,40086-96336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网址：www.ctsec.com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（45）名称：东莞证券股份有限公司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w:t>
      </w:r>
      <w:proofErr w:type="gramStart"/>
      <w:r>
        <w:rPr>
          <w:rFonts w:ascii="宋体" w:hAnsi="宋体"/>
          <w:sz w:val="24"/>
        </w:rPr>
        <w:t>莞</w:t>
      </w:r>
      <w:proofErr w:type="gramEnd"/>
      <w:r>
        <w:rPr>
          <w:rFonts w:ascii="宋体" w:hAnsi="宋体"/>
          <w:sz w:val="24"/>
        </w:rPr>
        <w:t>城区可园南路一号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w:t>
      </w:r>
      <w:proofErr w:type="gramStart"/>
      <w:r>
        <w:rPr>
          <w:rFonts w:ascii="宋体" w:hAnsi="宋体"/>
          <w:sz w:val="24"/>
        </w:rPr>
        <w:t>莞</w:t>
      </w:r>
      <w:proofErr w:type="gramEnd"/>
      <w:r>
        <w:rPr>
          <w:rFonts w:ascii="宋体" w:hAnsi="宋体"/>
          <w:sz w:val="24"/>
        </w:rPr>
        <w:t>城区可园南路一号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（46）名称：东方财富证券股份有限公司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（47）名称：国泰君安证券股份有限公司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（48）名称：民生证券股份有限公司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住所：北京市东城区建国门内大街28号民生金融中心A座16层--18层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办公地址：北京市东城区建国门内大街28号民生金融中心A座16层--18层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法定代表人：冯鹤年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电话：（010）85127561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传真：（010）85127641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联系人：周照清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客户服务电话：400-619-8888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网址：www.mszq.com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（49）名称：华泰证券股份有限公司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w:t>
      </w:r>
      <w:proofErr w:type="gramStart"/>
      <w:r>
        <w:rPr>
          <w:rFonts w:ascii="宋体" w:hAnsi="宋体"/>
          <w:sz w:val="24"/>
        </w:rPr>
        <w:t>邺</w:t>
      </w:r>
      <w:proofErr w:type="gramEnd"/>
      <w:r>
        <w:rPr>
          <w:rFonts w:ascii="宋体" w:hAnsi="宋体"/>
          <w:sz w:val="24"/>
        </w:rPr>
        <w:t>区江东中路228号华泰证券广场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w:t>
      </w:r>
      <w:proofErr w:type="gramStart"/>
      <w:r>
        <w:rPr>
          <w:rFonts w:ascii="宋体" w:hAnsi="宋体"/>
          <w:sz w:val="24"/>
        </w:rPr>
        <w:t>豪</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（50）名称：德</w:t>
      </w:r>
      <w:proofErr w:type="gramStart"/>
      <w:r>
        <w:rPr>
          <w:rFonts w:ascii="宋体" w:hAnsi="宋体"/>
          <w:sz w:val="24"/>
        </w:rPr>
        <w:t>邦</w:t>
      </w:r>
      <w:proofErr w:type="gramEnd"/>
      <w:r>
        <w:rPr>
          <w:rFonts w:ascii="宋体" w:hAnsi="宋体"/>
          <w:sz w:val="24"/>
        </w:rPr>
        <w:t>证券有限责任公司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法定代表人：姚文平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（51）名称：山西证券股份有限公司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住所：山西省太原市府西街69号山西国际贸易中心东塔楼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办公地址：山西省太原市府西街69号山西国际贸易中心东塔楼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法定代表人：侯巍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电话：0351—8686815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谢武兵</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客户服务电话：400-666-1618、95573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网址：www.i618.com.cn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（52）名称：联储证券有限责任公司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住所：深圳市福田区福田街道岗厦社区深南大道南侧金地中心大厦9楼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办公地址：北京市朝阳区安定路5号院3号楼中建财富国际中心27层联储证券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法定代表人：吕春卫</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传真：010-86499401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联系人： </w:t>
      </w:r>
      <w:proofErr w:type="gramStart"/>
      <w:r>
        <w:rPr>
          <w:rFonts w:ascii="宋体" w:hAnsi="宋体"/>
          <w:sz w:val="24"/>
        </w:rPr>
        <w:t>祝博文</w:t>
      </w:r>
      <w:proofErr w:type="gramEnd"/>
      <w:r>
        <w:rPr>
          <w:rFonts w:ascii="宋体" w:hAnsi="宋体"/>
          <w:sz w:val="24"/>
        </w:rPr>
        <w:t>、张婉婷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w:t>
      </w:r>
      <w:proofErr w:type="gramStart"/>
      <w:r>
        <w:rPr>
          <w:rFonts w:ascii="宋体" w:hAnsi="宋体"/>
          <w:sz w:val="24"/>
        </w:rPr>
        <w:t>服电话</w:t>
      </w:r>
      <w:proofErr w:type="gramEnd"/>
      <w:r>
        <w:rPr>
          <w:rFonts w:ascii="宋体" w:hAnsi="宋体"/>
          <w:sz w:val="24"/>
        </w:rPr>
        <w:t>: 400-620-6868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www.lczq.com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（53）名称：恒泰证券股份有限公司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住所：内蒙古呼和浩特市新城区新华东街111号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法定代表人：庞介民</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联系人：王旭华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网址：www.cnht.com.cn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（54）名称：中国中金财富证券有限公司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（55）名称：中信证券华南股份有限公司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胡伏云</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（56）名称：国信证券股份有限公司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（57）名称：方正证券股份有限公司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法定代表人：雷杰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（58）名称：华</w:t>
      </w:r>
      <w:proofErr w:type="gramStart"/>
      <w:r>
        <w:rPr>
          <w:rFonts w:ascii="宋体" w:hAnsi="宋体"/>
          <w:sz w:val="24"/>
        </w:rPr>
        <w:t>宝证券</w:t>
      </w:r>
      <w:proofErr w:type="gramEnd"/>
      <w:r>
        <w:rPr>
          <w:rFonts w:ascii="宋体" w:hAnsi="宋体"/>
          <w:sz w:val="24"/>
        </w:rPr>
        <w:t>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w:t>
      </w:r>
      <w:proofErr w:type="gramStart"/>
      <w:r>
        <w:rPr>
          <w:rFonts w:ascii="宋体" w:hAnsi="宋体"/>
          <w:sz w:val="24"/>
        </w:rPr>
        <w:t>新区世纪</w:t>
      </w:r>
      <w:proofErr w:type="gramEnd"/>
      <w:r>
        <w:rPr>
          <w:rFonts w:ascii="宋体" w:hAnsi="宋体"/>
          <w:sz w:val="24"/>
        </w:rPr>
        <w:t>大道100号上海环球金融中心57楼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w:t>
      </w:r>
      <w:proofErr w:type="gramStart"/>
      <w:r>
        <w:rPr>
          <w:rFonts w:ascii="宋体" w:hAnsi="宋体"/>
          <w:sz w:val="24"/>
        </w:rPr>
        <w:t>申万宏</w:t>
      </w:r>
      <w:proofErr w:type="gramEnd"/>
      <w:r>
        <w:rPr>
          <w:rFonts w:ascii="宋体" w:hAnsi="宋体"/>
          <w:sz w:val="24"/>
        </w:rPr>
        <w:t>源西部证券有限公司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（60）名称：西部证券股份有限公司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住所：陕西省西安市新城区东新街 319 号 8 幢 10000 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办公地址：陕西省西安市新城区东新街 319 号 8 幢 10000 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法定代表人：徐朝晖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电话：029-87211668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联系人：张吉安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网址：www.west95582.com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（61）名称：广发证券股份有限公司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w:t>
      </w:r>
      <w:proofErr w:type="gramStart"/>
      <w:r>
        <w:rPr>
          <w:rFonts w:ascii="宋体" w:hAnsi="宋体"/>
          <w:sz w:val="24"/>
        </w:rPr>
        <w:t>马场路</w:t>
      </w:r>
      <w:proofErr w:type="gramEnd"/>
      <w:r>
        <w:rPr>
          <w:rFonts w:ascii="宋体" w:hAnsi="宋体"/>
          <w:sz w:val="24"/>
        </w:rPr>
        <w:t>26号广发证券大厦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马梦洁</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（62）名称：国联证券股份有限公司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住所：江苏省无锡市金融一街8号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办公地址：江苏省无锡市金融一街8号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法定代表人：姚志勇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联系电话：0510-82831662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传真：0510-82830162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联系人：吕胜强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网址：www.glsc.com.cn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（63）名称：天风证券股份有限公司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注册地址：湖北省武汉市东湖新技术开发区</w:t>
      </w:r>
      <w:proofErr w:type="gramStart"/>
      <w:r>
        <w:rPr>
          <w:rFonts w:ascii="宋体" w:hAnsi="宋体"/>
          <w:sz w:val="24"/>
        </w:rPr>
        <w:t>关东园</w:t>
      </w:r>
      <w:proofErr w:type="gramEnd"/>
      <w:r>
        <w:rPr>
          <w:rFonts w:ascii="宋体" w:hAnsi="宋体"/>
          <w:sz w:val="24"/>
        </w:rPr>
        <w:t>路2号高科大厦4楼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办公地址：武汉市武昌区中南路99号保利广场A座37楼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法定代表人：余磊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联系电话：027-87107535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传真：027-87618863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联系人：王雅薇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客户服务电话：95391 / 400-800-5000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网址：www.tfzq.com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（64）名称：中</w:t>
      </w:r>
      <w:proofErr w:type="gramStart"/>
      <w:r>
        <w:rPr>
          <w:rFonts w:ascii="宋体" w:hAnsi="宋体"/>
          <w:sz w:val="24"/>
        </w:rPr>
        <w:t>邮证券</w:t>
      </w:r>
      <w:proofErr w:type="gramEnd"/>
      <w:r>
        <w:rPr>
          <w:rFonts w:ascii="宋体" w:hAnsi="宋体"/>
          <w:sz w:val="24"/>
        </w:rPr>
        <w:t>有限责任公司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w:t>
      </w:r>
      <w:proofErr w:type="gramStart"/>
      <w:r>
        <w:rPr>
          <w:rFonts w:ascii="宋体" w:hAnsi="宋体"/>
          <w:sz w:val="24"/>
        </w:rPr>
        <w:t>唐延路</w:t>
      </w:r>
      <w:proofErr w:type="gramEnd"/>
      <w:r>
        <w:rPr>
          <w:rFonts w:ascii="宋体" w:hAnsi="宋体"/>
          <w:sz w:val="24"/>
        </w:rPr>
        <w:t>5号（陕西邮政信息大厦9-11层）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w:t>
      </w:r>
      <w:proofErr w:type="gramStart"/>
      <w:r>
        <w:rPr>
          <w:rFonts w:ascii="宋体" w:hAnsi="宋体"/>
          <w:sz w:val="24"/>
        </w:rPr>
        <w:t>东城区珠市</w:t>
      </w:r>
      <w:proofErr w:type="gramEnd"/>
      <w:r>
        <w:rPr>
          <w:rFonts w:ascii="宋体" w:hAnsi="宋体"/>
          <w:sz w:val="24"/>
        </w:rPr>
        <w:t>口东大街17号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法定代表人：郭成林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电话：010-67017788-8914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传真：010-67017788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联系人：史蕾</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客户服务电话：4008-888-005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网址：www.cnpsec.com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（65）名称：开源证券股份有限公司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注册地址：陕西省西安市高新区</w:t>
      </w:r>
      <w:proofErr w:type="gramStart"/>
      <w:r>
        <w:rPr>
          <w:rFonts w:ascii="宋体" w:hAnsi="宋体"/>
          <w:sz w:val="24"/>
        </w:rPr>
        <w:t>锦业路一号</w:t>
      </w:r>
      <w:proofErr w:type="gramEnd"/>
      <w:r>
        <w:rPr>
          <w:rFonts w:ascii="宋体" w:hAnsi="宋体"/>
          <w:sz w:val="24"/>
        </w:rPr>
        <w:t>都市之门B座5层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办公地址：陕西省西安市高新区</w:t>
      </w:r>
      <w:proofErr w:type="gramStart"/>
      <w:r>
        <w:rPr>
          <w:rFonts w:ascii="宋体" w:hAnsi="宋体"/>
          <w:sz w:val="24"/>
        </w:rPr>
        <w:t>锦业路一号</w:t>
      </w:r>
      <w:proofErr w:type="gramEnd"/>
      <w:r>
        <w:rPr>
          <w:rFonts w:ascii="宋体" w:hAnsi="宋体"/>
          <w:sz w:val="24"/>
        </w:rPr>
        <w:t>都市之门B座5层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电话：13709210036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联系人：赵东会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网址：www.kysec.cn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w:t>
      </w:r>
      <w:proofErr w:type="gramStart"/>
      <w:r>
        <w:rPr>
          <w:rFonts w:ascii="宋体" w:hAnsi="宋体"/>
          <w:sz w:val="24"/>
        </w:rPr>
        <w:t>国元证券</w:t>
      </w:r>
      <w:proofErr w:type="gramEnd"/>
      <w:r>
        <w:rPr>
          <w:rFonts w:ascii="宋体" w:hAnsi="宋体"/>
          <w:sz w:val="24"/>
        </w:rPr>
        <w:t>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住所：中国安徽省合肥市梅山路18号安徽国际金融中心A座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办公地址：中国安徽省合肥市梅山路18号安徽国际金融中心A座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法定代表人：俞仕新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联系电话：0551-62207400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传真：0551-62207148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联系人：汪先哲</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网址：www.gyzq.com.cn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（67）名称：深圳市新兰德证券投资咨询有限公司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电话：（010）58325395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（68）名称：上海大智慧基金销售有限公司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新区杨</w:t>
      </w:r>
      <w:proofErr w:type="gramEnd"/>
      <w:r>
        <w:rPr>
          <w:rFonts w:ascii="宋体" w:hAnsi="宋体"/>
          <w:sz w:val="24"/>
        </w:rPr>
        <w:t>高南路428号1号楼10-11层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新区杨</w:t>
      </w:r>
      <w:proofErr w:type="gramEnd"/>
      <w:r>
        <w:rPr>
          <w:rFonts w:ascii="宋体" w:hAnsi="宋体"/>
          <w:sz w:val="24"/>
        </w:rPr>
        <w:t>高南路428号1号楼10-11层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w:t>
      </w:r>
      <w:proofErr w:type="gramStart"/>
      <w:r>
        <w:rPr>
          <w:rFonts w:ascii="宋体" w:hAnsi="宋体"/>
          <w:sz w:val="24"/>
        </w:rPr>
        <w:t>蜓</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（69）名称：上海利得基金销售有限公司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w:t>
      </w:r>
      <w:proofErr w:type="gramStart"/>
      <w:r>
        <w:rPr>
          <w:rFonts w:ascii="宋体" w:hAnsi="宋体"/>
          <w:sz w:val="24"/>
        </w:rPr>
        <w:t>峨</w:t>
      </w:r>
      <w:proofErr w:type="gramEnd"/>
      <w:r>
        <w:rPr>
          <w:rFonts w:ascii="宋体" w:hAnsi="宋体"/>
          <w:sz w:val="24"/>
        </w:rPr>
        <w:t>山路91弄61号陆家</w:t>
      </w:r>
      <w:proofErr w:type="gramStart"/>
      <w:r>
        <w:rPr>
          <w:rFonts w:ascii="宋体" w:hAnsi="宋体"/>
          <w:sz w:val="24"/>
        </w:rPr>
        <w:t>嘴软件园10号</w:t>
      </w:r>
      <w:proofErr w:type="gramEnd"/>
      <w:r>
        <w:rPr>
          <w:rFonts w:ascii="宋体" w:hAnsi="宋体"/>
          <w:sz w:val="24"/>
        </w:rPr>
        <w:t>楼12楼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w:t>
      </w:r>
      <w:proofErr w:type="gramStart"/>
      <w:r>
        <w:rPr>
          <w:rFonts w:ascii="宋体" w:hAnsi="宋体"/>
          <w:sz w:val="24"/>
        </w:rPr>
        <w:t>峨</w:t>
      </w:r>
      <w:proofErr w:type="gramEnd"/>
      <w:r>
        <w:rPr>
          <w:rFonts w:ascii="宋体" w:hAnsi="宋体"/>
          <w:sz w:val="24"/>
        </w:rPr>
        <w:t>山路91弄61号陆家</w:t>
      </w:r>
      <w:proofErr w:type="gramStart"/>
      <w:r>
        <w:rPr>
          <w:rFonts w:ascii="宋体" w:hAnsi="宋体"/>
          <w:sz w:val="24"/>
        </w:rPr>
        <w:t>嘴软件园10号</w:t>
      </w:r>
      <w:proofErr w:type="gramEnd"/>
      <w:r>
        <w:rPr>
          <w:rFonts w:ascii="宋体" w:hAnsi="宋体"/>
          <w:sz w:val="24"/>
        </w:rPr>
        <w:t>楼12楼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（70）名称：上海</w:t>
      </w:r>
      <w:proofErr w:type="gramStart"/>
      <w:r>
        <w:rPr>
          <w:rFonts w:ascii="宋体" w:hAnsi="宋体"/>
          <w:sz w:val="24"/>
        </w:rPr>
        <w:t>凯</w:t>
      </w:r>
      <w:proofErr w:type="gramEnd"/>
      <w:r>
        <w:rPr>
          <w:rFonts w:ascii="宋体" w:hAnsi="宋体"/>
          <w:sz w:val="24"/>
        </w:rPr>
        <w:t>石财富基金销售有限公司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w:t>
      </w:r>
      <w:proofErr w:type="gramStart"/>
      <w:r>
        <w:rPr>
          <w:rFonts w:ascii="宋体" w:hAnsi="宋体"/>
          <w:sz w:val="24"/>
        </w:rPr>
        <w:t>凯石大厦</w:t>
      </w:r>
      <w:proofErr w:type="gramEnd"/>
      <w:r>
        <w:rPr>
          <w:rFonts w:ascii="宋体" w:hAnsi="宋体"/>
          <w:sz w:val="24"/>
        </w:rPr>
        <w:t>4楼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客服电话：4000 178 000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（71）名称：北京虹点基金销售有限公司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（72）名称：上海天天基金销售有限公司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（73）名称：和讯信息科技有限公司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w:t>
      </w:r>
      <w:proofErr w:type="gramStart"/>
      <w:r>
        <w:rPr>
          <w:rFonts w:ascii="宋体" w:hAnsi="宋体"/>
          <w:sz w:val="24"/>
        </w:rPr>
        <w:t>22号泛利大厦</w:t>
      </w:r>
      <w:proofErr w:type="gramEnd"/>
      <w:r>
        <w:rPr>
          <w:rFonts w:ascii="宋体" w:hAnsi="宋体"/>
          <w:sz w:val="24"/>
        </w:rPr>
        <w:t>10层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w:t>
      </w:r>
      <w:proofErr w:type="gramStart"/>
      <w:r>
        <w:rPr>
          <w:rFonts w:ascii="宋体" w:hAnsi="宋体"/>
          <w:sz w:val="24"/>
        </w:rPr>
        <w:t>22号泛利大厦</w:t>
      </w:r>
      <w:proofErr w:type="gramEnd"/>
      <w:r>
        <w:rPr>
          <w:rFonts w:ascii="宋体" w:hAnsi="宋体"/>
          <w:sz w:val="24"/>
        </w:rPr>
        <w:t>10层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（74）名称：上海好买基金销售有限公司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住所：上海市虹口区场中路685弄37号4号楼449室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（75）名称：上海长</w:t>
      </w:r>
      <w:proofErr w:type="gramStart"/>
      <w:r>
        <w:rPr>
          <w:rFonts w:ascii="宋体" w:hAnsi="宋体"/>
          <w:sz w:val="24"/>
        </w:rPr>
        <w:t>量基金</w:t>
      </w:r>
      <w:proofErr w:type="gramEnd"/>
      <w:r>
        <w:rPr>
          <w:rFonts w:ascii="宋体" w:hAnsi="宋体"/>
          <w:sz w:val="24"/>
        </w:rPr>
        <w:t>销售投资顾问有限公司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w:t>
      </w:r>
      <w:proofErr w:type="gramStart"/>
      <w:r>
        <w:rPr>
          <w:rFonts w:ascii="宋体" w:hAnsi="宋体"/>
          <w:sz w:val="24"/>
        </w:rPr>
        <w:t>景国际</w:t>
      </w:r>
      <w:proofErr w:type="gramEnd"/>
      <w:r>
        <w:rPr>
          <w:rFonts w:ascii="宋体" w:hAnsi="宋体"/>
          <w:sz w:val="24"/>
        </w:rPr>
        <w:t>B座16层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（76）名称：深圳</w:t>
      </w:r>
      <w:proofErr w:type="gramStart"/>
      <w:r>
        <w:rPr>
          <w:rFonts w:ascii="宋体" w:hAnsi="宋体"/>
          <w:sz w:val="24"/>
        </w:rPr>
        <w:t>众禄基金</w:t>
      </w:r>
      <w:proofErr w:type="gramEnd"/>
      <w:r>
        <w:rPr>
          <w:rFonts w:ascii="宋体" w:hAnsi="宋体"/>
          <w:sz w:val="24"/>
        </w:rPr>
        <w:t>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（77）名称：蚂蚁（杭州）基金销售有限公司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w:t>
      </w:r>
      <w:proofErr w:type="gramStart"/>
      <w:r>
        <w:rPr>
          <w:rFonts w:ascii="宋体" w:hAnsi="宋体"/>
          <w:sz w:val="24"/>
        </w:rPr>
        <w:t>一</w:t>
      </w:r>
      <w:proofErr w:type="gramEnd"/>
      <w:r>
        <w:rPr>
          <w:rFonts w:ascii="宋体" w:hAnsi="宋体"/>
          <w:sz w:val="24"/>
        </w:rPr>
        <w:t>西路969号3幢5层599室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客户服务电话：95188-8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（78）名称：天</w:t>
      </w:r>
      <w:proofErr w:type="gramStart"/>
      <w:r>
        <w:rPr>
          <w:rFonts w:ascii="宋体" w:hAnsi="宋体"/>
          <w:sz w:val="24"/>
        </w:rPr>
        <w:t>相投资</w:t>
      </w:r>
      <w:proofErr w:type="gramEnd"/>
      <w:r>
        <w:rPr>
          <w:rFonts w:ascii="宋体" w:hAnsi="宋体"/>
          <w:sz w:val="24"/>
        </w:rPr>
        <w:t>顾问有限公司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（79）名称：一路财富（北京）信息科技有限公司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（80）名称：北京</w:t>
      </w:r>
      <w:proofErr w:type="gramStart"/>
      <w:r>
        <w:rPr>
          <w:rFonts w:ascii="宋体" w:hAnsi="宋体"/>
          <w:sz w:val="24"/>
        </w:rPr>
        <w:t>展恒基金</w:t>
      </w:r>
      <w:proofErr w:type="gramEnd"/>
      <w:r>
        <w:rPr>
          <w:rFonts w:ascii="宋体" w:hAnsi="宋体"/>
          <w:sz w:val="24"/>
        </w:rPr>
        <w:t>销售股份有限公司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（81）名称：上海联泰基金销售有限公司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住所：中国（上海）自由贸易试验区富特北路277号3层310室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凌秋艳</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（82）名称：珠海盈米财富管理有限公司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w:t>
      </w:r>
      <w:proofErr w:type="gramStart"/>
      <w:r>
        <w:rPr>
          <w:rFonts w:ascii="宋体" w:hAnsi="宋体"/>
          <w:sz w:val="24"/>
        </w:rPr>
        <w:t>琶</w:t>
      </w:r>
      <w:proofErr w:type="gramEnd"/>
      <w:r>
        <w:rPr>
          <w:rFonts w:ascii="宋体" w:hAnsi="宋体"/>
          <w:sz w:val="24"/>
        </w:rPr>
        <w:t>洲大道东1号保利国际广场南塔12楼B1201-1203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w:t>
      </w:r>
      <w:proofErr w:type="gramStart"/>
      <w:r>
        <w:rPr>
          <w:rFonts w:ascii="宋体" w:hAnsi="宋体"/>
          <w:sz w:val="24"/>
        </w:rPr>
        <w:t>嫦</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（83）名称：上海基</w:t>
      </w:r>
      <w:proofErr w:type="gramStart"/>
      <w:r>
        <w:rPr>
          <w:rFonts w:ascii="宋体" w:hAnsi="宋体"/>
          <w:sz w:val="24"/>
        </w:rPr>
        <w:t>煜</w:t>
      </w:r>
      <w:proofErr w:type="gramEnd"/>
      <w:r>
        <w:rPr>
          <w:rFonts w:ascii="宋体" w:hAnsi="宋体"/>
          <w:sz w:val="24"/>
        </w:rPr>
        <w:t>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w:t>
      </w:r>
      <w:proofErr w:type="gramStart"/>
      <w:r>
        <w:rPr>
          <w:rFonts w:ascii="宋体" w:hAnsi="宋体"/>
          <w:sz w:val="24"/>
        </w:rPr>
        <w:t>宜信普泽</w:t>
      </w:r>
      <w:proofErr w:type="gramEnd"/>
      <w:r>
        <w:rPr>
          <w:rFonts w:ascii="宋体" w:hAnsi="宋体"/>
          <w:sz w:val="24"/>
        </w:rPr>
        <w:t>投资顾问（北京）有限公司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法定代表人：沈伟桦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（85）名称：浙江同花</w:t>
      </w:r>
      <w:proofErr w:type="gramStart"/>
      <w:r>
        <w:rPr>
          <w:rFonts w:ascii="宋体" w:hAnsi="宋体"/>
          <w:sz w:val="24"/>
        </w:rPr>
        <w:t>顺基金</w:t>
      </w:r>
      <w:proofErr w:type="gramEnd"/>
      <w:r>
        <w:rPr>
          <w:rFonts w:ascii="宋体" w:hAnsi="宋体"/>
          <w:sz w:val="24"/>
        </w:rPr>
        <w:t>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w:t>
      </w:r>
      <w:proofErr w:type="gramStart"/>
      <w:r>
        <w:rPr>
          <w:rFonts w:ascii="宋体" w:hAnsi="宋体"/>
          <w:sz w:val="24"/>
        </w:rPr>
        <w:t>翠柏路</w:t>
      </w:r>
      <w:proofErr w:type="gramEnd"/>
      <w:r>
        <w:rPr>
          <w:rFonts w:ascii="宋体" w:hAnsi="宋体"/>
          <w:sz w:val="24"/>
        </w:rPr>
        <w:t>7号电子商务产业园2号楼 2楼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凌</w:t>
      </w:r>
      <w:proofErr w:type="gramEnd"/>
      <w:r>
        <w:rPr>
          <w:rFonts w:ascii="宋体" w:hAnsi="宋体"/>
          <w:sz w:val="24"/>
        </w:rPr>
        <w:t>顺平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（86）名称：诺亚正行(上海)基金销售投资顾问有限公司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（87）名称：中信期货有限公司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电话：010-60833754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w:t>
      </w:r>
      <w:proofErr w:type="gramStart"/>
      <w:r>
        <w:rPr>
          <w:rFonts w:ascii="宋体" w:hAnsi="宋体"/>
          <w:sz w:val="24"/>
        </w:rPr>
        <w:t>莹</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（88）名称：上海陆金</w:t>
      </w:r>
      <w:proofErr w:type="gramStart"/>
      <w:r>
        <w:rPr>
          <w:rFonts w:ascii="宋体" w:hAnsi="宋体"/>
          <w:sz w:val="24"/>
        </w:rPr>
        <w:t>所资产</w:t>
      </w:r>
      <w:proofErr w:type="gramEnd"/>
      <w:r>
        <w:rPr>
          <w:rFonts w:ascii="宋体" w:hAnsi="宋体"/>
          <w:sz w:val="24"/>
        </w:rPr>
        <w:t>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宁博宇</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（89）名称：北京钱景财富投资管理有限公司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（90）名称：北京中</w:t>
      </w:r>
      <w:proofErr w:type="gramStart"/>
      <w:r>
        <w:rPr>
          <w:rFonts w:ascii="宋体" w:hAnsi="宋体"/>
          <w:sz w:val="24"/>
        </w:rPr>
        <w:t>植基金</w:t>
      </w:r>
      <w:proofErr w:type="gramEnd"/>
      <w:r>
        <w:rPr>
          <w:rFonts w:ascii="宋体" w:hAnsi="宋体"/>
          <w:sz w:val="24"/>
        </w:rPr>
        <w:t>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w:t>
      </w:r>
      <w:proofErr w:type="gramStart"/>
      <w:r>
        <w:rPr>
          <w:rFonts w:ascii="宋体" w:hAnsi="宋体"/>
          <w:sz w:val="24"/>
        </w:rPr>
        <w:t>嘉盛中心</w:t>
      </w:r>
      <w:proofErr w:type="gramEnd"/>
      <w:r>
        <w:rPr>
          <w:rFonts w:ascii="宋体" w:hAnsi="宋体"/>
          <w:sz w:val="24"/>
        </w:rPr>
        <w:t>30层3001室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客户服务电话：4007868868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（91）名称：北京汇成基金销售有限公司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w:t>
      </w:r>
      <w:proofErr w:type="gramStart"/>
      <w:r>
        <w:rPr>
          <w:rFonts w:ascii="宋体" w:hAnsi="宋体"/>
          <w:sz w:val="24"/>
        </w:rPr>
        <w:t>环球财讯中心</w:t>
      </w:r>
      <w:proofErr w:type="gramEnd"/>
      <w:r>
        <w:rPr>
          <w:rFonts w:ascii="宋体" w:hAnsi="宋体"/>
          <w:sz w:val="24"/>
        </w:rPr>
        <w:t>D座4层401-2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（92）名称：奕丰基金销售有限公司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（93）名称：北京</w:t>
      </w:r>
      <w:proofErr w:type="gramStart"/>
      <w:r>
        <w:rPr>
          <w:rFonts w:ascii="宋体" w:hAnsi="宋体"/>
          <w:sz w:val="24"/>
        </w:rPr>
        <w:t>创金启富基金</w:t>
      </w:r>
      <w:proofErr w:type="gramEnd"/>
      <w:r>
        <w:rPr>
          <w:rFonts w:ascii="宋体" w:hAnsi="宋体"/>
          <w:sz w:val="24"/>
        </w:rPr>
        <w:t>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w:t>
      </w:r>
      <w:proofErr w:type="gramStart"/>
      <w:r>
        <w:rPr>
          <w:rFonts w:ascii="宋体" w:hAnsi="宋体"/>
          <w:sz w:val="24"/>
        </w:rPr>
        <w:t>水大厦</w:t>
      </w:r>
      <w:proofErr w:type="gramEnd"/>
      <w:r>
        <w:rPr>
          <w:rFonts w:ascii="宋体" w:hAnsi="宋体"/>
          <w:sz w:val="24"/>
        </w:rPr>
        <w:t>215A</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（94）名称：上海云湾投资管理有限公司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（95）名称：中证金牛（北京）投资咨询有限公司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w:t>
      </w:r>
      <w:proofErr w:type="gramStart"/>
      <w:r>
        <w:rPr>
          <w:rFonts w:ascii="宋体" w:hAnsi="宋体"/>
          <w:sz w:val="24"/>
        </w:rPr>
        <w:t>环球财讯中心</w:t>
      </w:r>
      <w:proofErr w:type="gramEnd"/>
      <w:r>
        <w:rPr>
          <w:rFonts w:ascii="宋体" w:hAnsi="宋体"/>
          <w:sz w:val="24"/>
        </w:rPr>
        <w:t>A座5层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联系人： </w:t>
      </w:r>
      <w:proofErr w:type="gramStart"/>
      <w:r>
        <w:rPr>
          <w:rFonts w:ascii="宋体" w:hAnsi="宋体"/>
          <w:sz w:val="24"/>
        </w:rPr>
        <w:t>孟汉霄</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（96）名称：北京新</w:t>
      </w:r>
      <w:proofErr w:type="gramStart"/>
      <w:r>
        <w:rPr>
          <w:rFonts w:ascii="宋体" w:hAnsi="宋体"/>
          <w:sz w:val="24"/>
        </w:rPr>
        <w:t>浪仓石基金</w:t>
      </w:r>
      <w:proofErr w:type="gramEnd"/>
      <w:r>
        <w:rPr>
          <w:rFonts w:ascii="宋体" w:hAnsi="宋体"/>
          <w:sz w:val="24"/>
        </w:rPr>
        <w:t>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（97）名称：北京肯特瑞基金销售有限公司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 北京市海淀区西三旗建材城中路12号17号平房157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w:t>
      </w:r>
      <w:proofErr w:type="gramStart"/>
      <w:r>
        <w:rPr>
          <w:rFonts w:ascii="宋体" w:hAnsi="宋体"/>
          <w:sz w:val="24"/>
        </w:rPr>
        <w:t>经济技术开发区科创十一</w:t>
      </w:r>
      <w:proofErr w:type="gramEnd"/>
      <w:r>
        <w:rPr>
          <w:rFonts w:ascii="宋体" w:hAnsi="宋体"/>
          <w:sz w:val="24"/>
        </w:rPr>
        <w:t>街18号院京东集团总部A座15层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（98）名称：北京雪球基金销售有限公司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办公地址：北京市朝阳区创远路 34 </w:t>
      </w:r>
      <w:proofErr w:type="gramStart"/>
      <w:r>
        <w:rPr>
          <w:rFonts w:ascii="宋体" w:hAnsi="宋体"/>
          <w:sz w:val="24"/>
        </w:rPr>
        <w:t>号院融新</w:t>
      </w:r>
      <w:proofErr w:type="gramEnd"/>
      <w:r>
        <w:rPr>
          <w:rFonts w:ascii="宋体" w:hAnsi="宋体"/>
          <w:sz w:val="24"/>
        </w:rPr>
        <w:t>科技中心 C 座 17 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w:t>
      </w:r>
      <w:proofErr w:type="gramStart"/>
      <w:r>
        <w:rPr>
          <w:rFonts w:ascii="宋体" w:hAnsi="宋体"/>
          <w:sz w:val="24"/>
        </w:rPr>
        <w:t>芳</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w:t>
      </w:r>
      <w:proofErr w:type="gramStart"/>
      <w:r>
        <w:rPr>
          <w:rFonts w:ascii="宋体" w:hAnsi="宋体"/>
          <w:sz w:val="24"/>
        </w:rPr>
        <w:t>凤凰金</w:t>
      </w:r>
      <w:proofErr w:type="gramEnd"/>
      <w:r>
        <w:rPr>
          <w:rFonts w:ascii="宋体" w:hAnsi="宋体"/>
          <w:sz w:val="24"/>
        </w:rPr>
        <w:t>信（银川）投资管理有限公司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w:t>
      </w:r>
      <w:proofErr w:type="gramStart"/>
      <w:r>
        <w:rPr>
          <w:rFonts w:ascii="宋体" w:hAnsi="宋体"/>
          <w:sz w:val="24"/>
        </w:rPr>
        <w:t>凤区阅</w:t>
      </w:r>
      <w:proofErr w:type="gramEnd"/>
      <w:r>
        <w:rPr>
          <w:rFonts w:ascii="宋体" w:hAnsi="宋体"/>
          <w:sz w:val="24"/>
        </w:rPr>
        <w:t>海湾中央商务区万寿路142号14层1402(750000)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w:t>
      </w:r>
      <w:proofErr w:type="gramStart"/>
      <w:r>
        <w:rPr>
          <w:rFonts w:ascii="宋体" w:hAnsi="宋体"/>
          <w:sz w:val="24"/>
        </w:rPr>
        <w:t>朝阳区紫月</w:t>
      </w:r>
      <w:proofErr w:type="gramEnd"/>
      <w:r>
        <w:rPr>
          <w:rFonts w:ascii="宋体" w:hAnsi="宋体"/>
          <w:sz w:val="24"/>
        </w:rPr>
        <w:t>路</w:t>
      </w:r>
      <w:proofErr w:type="gramStart"/>
      <w:r>
        <w:rPr>
          <w:rFonts w:ascii="宋体" w:hAnsi="宋体"/>
          <w:sz w:val="24"/>
        </w:rPr>
        <w:t>18号院朝来</w:t>
      </w:r>
      <w:proofErr w:type="gramEnd"/>
      <w:r>
        <w:rPr>
          <w:rFonts w:ascii="宋体" w:hAnsi="宋体"/>
          <w:sz w:val="24"/>
        </w:rPr>
        <w:t>高科技产业园18号楼 (100000)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（100）名称：深圳市金斧子基金销售有限公司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办公地址：深圳市南山区粤海街道科苑路科兴科学园B3单元7楼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赖任军</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（101）名称：格</w:t>
      </w:r>
      <w:proofErr w:type="gramStart"/>
      <w:r>
        <w:rPr>
          <w:rFonts w:ascii="宋体" w:hAnsi="宋体"/>
          <w:sz w:val="24"/>
        </w:rPr>
        <w:t>上富信投资</w:t>
      </w:r>
      <w:proofErr w:type="gramEnd"/>
      <w:r>
        <w:rPr>
          <w:rFonts w:ascii="宋体" w:hAnsi="宋体"/>
          <w:sz w:val="24"/>
        </w:rPr>
        <w:t>顾问有限公司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（102）名称：上海万得基金销售有限公司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（103）名称：天津万家财富资产管理有限公司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w:t>
      </w:r>
      <w:proofErr w:type="gramStart"/>
      <w:r>
        <w:rPr>
          <w:rFonts w:ascii="宋体" w:hAnsi="宋体"/>
          <w:sz w:val="24"/>
        </w:rPr>
        <w:t>滨海浙商大厦</w:t>
      </w:r>
      <w:proofErr w:type="gramEnd"/>
      <w:r>
        <w:rPr>
          <w:rFonts w:ascii="宋体" w:hAnsi="宋体"/>
          <w:sz w:val="24"/>
        </w:rPr>
        <w:t>公寓2-2413室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传真：（010）59013707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w:t>
      </w:r>
      <w:proofErr w:type="gramStart"/>
      <w:r>
        <w:rPr>
          <w:rFonts w:ascii="宋体" w:hAnsi="宋体"/>
          <w:sz w:val="24"/>
        </w:rPr>
        <w:t>芳</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（104）名称：上海挖财金融信息服务有限公司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（105）名称：嘉实财富管理有限公司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新区世纪</w:t>
      </w:r>
      <w:proofErr w:type="gramEnd"/>
      <w:r>
        <w:rPr>
          <w:rFonts w:ascii="宋体" w:hAnsi="宋体"/>
          <w:sz w:val="24"/>
        </w:rPr>
        <w:t>大道8号上海国金中心办公楼二期53层5312-15单元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（106）名称：南京苏宁基金销售有限公司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 www.snjijin.com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（107）名称：北京度小满基金销售有限公司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w:t>
      </w:r>
      <w:proofErr w:type="gramStart"/>
      <w:r>
        <w:rPr>
          <w:rFonts w:ascii="宋体" w:hAnsi="宋体"/>
          <w:sz w:val="24"/>
        </w:rPr>
        <w:t>地十街</w:t>
      </w:r>
      <w:proofErr w:type="gramEnd"/>
      <w:r>
        <w:rPr>
          <w:rFonts w:ascii="宋体" w:hAnsi="宋体"/>
          <w:sz w:val="24"/>
        </w:rPr>
        <w:t>10号1幢1层101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w:t>
      </w:r>
      <w:proofErr w:type="gramStart"/>
      <w:r>
        <w:rPr>
          <w:rFonts w:ascii="宋体" w:hAnsi="宋体"/>
          <w:sz w:val="24"/>
        </w:rPr>
        <w:t>奎</w:t>
      </w:r>
      <w:proofErr w:type="gramEnd"/>
      <w:r>
        <w:rPr>
          <w:rFonts w:ascii="宋体" w:hAnsi="宋体"/>
          <w:sz w:val="24"/>
        </w:rPr>
        <w:t>科大厦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w:t>
      </w:r>
      <w:proofErr w:type="gramStart"/>
      <w:r>
        <w:rPr>
          <w:rFonts w:ascii="宋体" w:hAnsi="宋体"/>
          <w:sz w:val="24"/>
        </w:rPr>
        <w:t>腾安基金</w:t>
      </w:r>
      <w:proofErr w:type="gramEnd"/>
      <w:r>
        <w:rPr>
          <w:rFonts w:ascii="宋体" w:hAnsi="宋体"/>
          <w:sz w:val="24"/>
        </w:rPr>
        <w:t>销售（深圳）有限公司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w:t>
      </w:r>
      <w:proofErr w:type="gramStart"/>
      <w:r>
        <w:rPr>
          <w:rFonts w:ascii="宋体" w:hAnsi="宋体"/>
          <w:sz w:val="24"/>
        </w:rPr>
        <w:t>33号腾讯滨海</w:t>
      </w:r>
      <w:proofErr w:type="gramEnd"/>
      <w:r>
        <w:rPr>
          <w:rFonts w:ascii="宋体" w:hAnsi="宋体"/>
          <w:sz w:val="24"/>
        </w:rPr>
        <w:t>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（109）名称：北京唐鼎耀华投资咨询有限公司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w:t>
      </w:r>
      <w:proofErr w:type="gramStart"/>
      <w:r>
        <w:rPr>
          <w:rFonts w:ascii="宋体" w:hAnsi="宋体"/>
          <w:sz w:val="24"/>
        </w:rPr>
        <w:t>百泉街10号</w:t>
      </w:r>
      <w:proofErr w:type="gramEnd"/>
      <w:r>
        <w:rPr>
          <w:rFonts w:ascii="宋体" w:hAnsi="宋体"/>
          <w:sz w:val="24"/>
        </w:rPr>
        <w:t>2栋236室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（110）名称：上海华夏财富投资管理有限公司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 北京市西城区金融大街33号通泰大厦B座8层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法定代表人： </w:t>
      </w:r>
      <w:proofErr w:type="gramStart"/>
      <w:r>
        <w:rPr>
          <w:rFonts w:ascii="宋体" w:hAnsi="宋体"/>
          <w:sz w:val="24"/>
        </w:rPr>
        <w:t>毛淮平</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（111）名称：江苏汇林保大基金销售有限公司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（112）名称：</w:t>
      </w:r>
      <w:proofErr w:type="gramStart"/>
      <w:r>
        <w:rPr>
          <w:rFonts w:ascii="宋体" w:hAnsi="宋体"/>
          <w:sz w:val="24"/>
        </w:rPr>
        <w:t>玄元保险</w:t>
      </w:r>
      <w:proofErr w:type="gramEnd"/>
      <w:r>
        <w:rPr>
          <w:rFonts w:ascii="宋体" w:hAnsi="宋体"/>
          <w:sz w:val="24"/>
        </w:rPr>
        <w:t>代理有限公司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（113）名称：阳光人寿保险股份有限公司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联系人：王超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（114）名称：大连</w:t>
      </w:r>
      <w:proofErr w:type="gramStart"/>
      <w:r>
        <w:rPr>
          <w:rFonts w:ascii="宋体" w:hAnsi="宋体"/>
          <w:sz w:val="24"/>
        </w:rPr>
        <w:t>网金基金</w:t>
      </w:r>
      <w:proofErr w:type="gramEnd"/>
      <w:r>
        <w:rPr>
          <w:rFonts w:ascii="宋体" w:hAnsi="宋体"/>
          <w:sz w:val="24"/>
        </w:rPr>
        <w:t>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（115）名称：中国人寿保险股份有限公司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w:t>
      </w:r>
      <w:proofErr w:type="gramStart"/>
      <w:r>
        <w:rPr>
          <w:rFonts w:ascii="宋体" w:hAnsi="宋体"/>
          <w:sz w:val="24"/>
        </w:rPr>
        <w:t>寿广场</w:t>
      </w:r>
      <w:proofErr w:type="gramEnd"/>
      <w:r>
        <w:rPr>
          <w:rFonts w:ascii="宋体" w:hAnsi="宋体"/>
          <w:sz w:val="24"/>
        </w:rPr>
        <w:t>A座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（116）名称：</w:t>
      </w:r>
      <w:proofErr w:type="gramStart"/>
      <w:r>
        <w:rPr>
          <w:rFonts w:ascii="宋体" w:hAnsi="宋体"/>
          <w:sz w:val="24"/>
        </w:rPr>
        <w:t>和耕传承</w:t>
      </w:r>
      <w:proofErr w:type="gramEnd"/>
      <w:r>
        <w:rPr>
          <w:rFonts w:ascii="宋体" w:hAnsi="宋体"/>
          <w:sz w:val="24"/>
        </w:rPr>
        <w:t>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（117）名称：</w:t>
      </w:r>
      <w:proofErr w:type="gramStart"/>
      <w:r>
        <w:rPr>
          <w:rFonts w:ascii="宋体" w:hAnsi="宋体"/>
          <w:sz w:val="24"/>
        </w:rPr>
        <w:t>北京植信基金</w:t>
      </w:r>
      <w:proofErr w:type="gramEnd"/>
      <w:r>
        <w:rPr>
          <w:rFonts w:ascii="宋体" w:hAnsi="宋体"/>
          <w:sz w:val="24"/>
        </w:rPr>
        <w:t>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办公地址：北京市朝阳区惠河南路</w:t>
      </w:r>
      <w:proofErr w:type="gramStart"/>
      <w:r>
        <w:rPr>
          <w:rFonts w:ascii="宋体" w:hAnsi="宋体"/>
          <w:sz w:val="24"/>
        </w:rPr>
        <w:t>盛世龙</w:t>
      </w:r>
      <w:proofErr w:type="gramEnd"/>
      <w:r>
        <w:rPr>
          <w:rFonts w:ascii="宋体" w:hAnsi="宋体"/>
          <w:sz w:val="24"/>
        </w:rPr>
        <w:t>源10号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w:t>
      </w:r>
      <w:proofErr w:type="gramStart"/>
      <w:r>
        <w:rPr>
          <w:rFonts w:ascii="宋体" w:hAnsi="宋体"/>
          <w:sz w:val="24"/>
        </w:rPr>
        <w:t>喆</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（118）名称：上海</w:t>
      </w:r>
      <w:proofErr w:type="gramStart"/>
      <w:r>
        <w:rPr>
          <w:rFonts w:ascii="宋体" w:hAnsi="宋体"/>
          <w:sz w:val="24"/>
        </w:rPr>
        <w:t>钜</w:t>
      </w:r>
      <w:proofErr w:type="gramEnd"/>
      <w:r>
        <w:rPr>
          <w:rFonts w:ascii="宋体" w:hAnsi="宋体"/>
          <w:sz w:val="24"/>
        </w:rPr>
        <w:t>派</w:t>
      </w:r>
      <w:proofErr w:type="gramStart"/>
      <w:r>
        <w:rPr>
          <w:rFonts w:ascii="宋体" w:hAnsi="宋体"/>
          <w:sz w:val="24"/>
        </w:rPr>
        <w:t>钰茂基金</w:t>
      </w:r>
      <w:proofErr w:type="gramEnd"/>
      <w:r>
        <w:rPr>
          <w:rFonts w:ascii="宋体" w:hAnsi="宋体"/>
          <w:sz w:val="24"/>
        </w:rPr>
        <w:t>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w:t>
      </w:r>
      <w:proofErr w:type="gramStart"/>
      <w:r>
        <w:rPr>
          <w:rFonts w:ascii="宋体" w:hAnsi="宋体"/>
          <w:sz w:val="24"/>
        </w:rPr>
        <w:t>弄中庚</w:t>
      </w:r>
      <w:proofErr w:type="gramEnd"/>
      <w:r>
        <w:rPr>
          <w:rFonts w:ascii="宋体" w:hAnsi="宋体"/>
          <w:sz w:val="24"/>
        </w:rPr>
        <w:t>环球创意中心T2栋9层</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洪思夷</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w:t>
      </w:r>
      <w:proofErr w:type="gramStart"/>
      <w:r>
        <w:rPr>
          <w:rFonts w:ascii="宋体" w:hAnsi="宋体"/>
          <w:sz w:val="24"/>
        </w:rPr>
        <w:t>世</w:t>
      </w:r>
      <w:proofErr w:type="gramEnd"/>
      <w:r>
        <w:rPr>
          <w:rFonts w:ascii="宋体" w:hAnsi="宋体"/>
          <w:sz w:val="24"/>
        </w:rPr>
        <w:t>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（119）名称：济安财富（北京）基金销售有限公司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基金管理人可根据有关法律法规的要求，选择其它符合要求的机构代理销售本基金，并在管理人网站公示。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法定代表人：于文强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联系人：孙睿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经办律师：黎明、孙睿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w:t>
      </w:r>
      <w:proofErr w:type="gramStart"/>
      <w:r>
        <w:rPr>
          <w:rFonts w:ascii="宋体" w:hAnsi="宋体"/>
          <w:sz w:val="24"/>
        </w:rPr>
        <w:t>星展银行</w:t>
      </w:r>
      <w:proofErr w:type="gramEnd"/>
      <w:r>
        <w:rPr>
          <w:rFonts w:ascii="宋体" w:hAnsi="宋体"/>
          <w:sz w:val="24"/>
        </w:rPr>
        <w:t>大厦507单元01室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w:t>
      </w:r>
      <w:proofErr w:type="gramStart"/>
      <w:r>
        <w:rPr>
          <w:rFonts w:ascii="宋体" w:hAnsi="宋体"/>
          <w:sz w:val="24"/>
        </w:rPr>
        <w:t>新区东育路</w:t>
      </w:r>
      <w:proofErr w:type="gramEnd"/>
      <w:r>
        <w:rPr>
          <w:rFonts w:ascii="宋体" w:hAnsi="宋体"/>
          <w:sz w:val="24"/>
        </w:rPr>
        <w:t>588号前</w:t>
      </w:r>
      <w:proofErr w:type="gramStart"/>
      <w:r>
        <w:rPr>
          <w:rFonts w:ascii="宋体" w:hAnsi="宋体"/>
          <w:sz w:val="24"/>
        </w:rPr>
        <w:t>滩中心</w:t>
      </w:r>
      <w:proofErr w:type="gramEnd"/>
      <w:r>
        <w:rPr>
          <w:rFonts w:ascii="宋体" w:hAnsi="宋体"/>
          <w:sz w:val="24"/>
        </w:rPr>
        <w:t>42楼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金诗涛</w:t>
      </w:r>
      <w:proofErr w:type="gramEnd"/>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w:t>
      </w:r>
      <w:proofErr w:type="gramStart"/>
      <w:r>
        <w:rPr>
          <w:rFonts w:ascii="宋体" w:hAnsi="宋体"/>
          <w:sz w:val="24"/>
        </w:rPr>
        <w:t>金诗涛</w:t>
      </w:r>
      <w:proofErr w:type="gramEnd"/>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9" w:name="_Toc135751485"/>
      <w:r>
        <w:rPr>
          <w:rFonts w:ascii="Times New Roman" w:hAnsi="Times New Roman"/>
          <w:sz w:val="30"/>
        </w:rPr>
        <w:lastRenderedPageBreak/>
        <w:t>六、基金的历史沿革</w:t>
      </w:r>
      <w:bookmarkEnd w:id="9"/>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新成长混合型证券投资基金由交银施罗德新成长股票型证券投资基金变更而来，交银施罗德新成长股票型证券投资基金由基金管理人依照《基金法》、《运作办法》、基金合同及其他有关规定，并经中国证监会2014年3月11日证监许可【2014】277号文准予募集注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新成长股票型证券投资基金为契约型开放式股票型基金。基金存续期间为不定期。该基金募集期间基金份额净值为人民币1.00元，按初始面值发售。自2014年4月10日至2014年4月30日进行发售。本基金设立募集期共募集391,615,340.98份基金份额，有效认购户数为3,526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中国人民共和国证券投资基金法》、《公开募集证券投资基金运作管理办法》、《关于实施&lt;公开募集证券投资基金运作管理办法&gt;有关问题的规定》等相关法律法规及基金合同的约定，经基金管理人与基金托管人协商一致，报中国证监会备案并公告，本基金类型变更为混合型基金，相应变更基金名称并对应修改基金合同和托管协议相关表述，无需召开基金份额持有人大会。自2015年8月8日起，本基金正式变更为交银施罗德新成长混合型证券投资基金，由《交银施罗德新成长股票型证券投资基金基金合同》修订而成的《交银施罗德新成长混合型证券投资基金基金合同》自该日起生效。</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10" w:name="_Toc135751486"/>
      <w:r>
        <w:rPr>
          <w:rFonts w:ascii="Times New Roman" w:hAnsi="Times New Roman"/>
          <w:sz w:val="30"/>
        </w:rPr>
        <w:lastRenderedPageBreak/>
        <w:t>七、基金的存续</w:t>
      </w:r>
      <w:bookmarkEnd w:id="10"/>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11" w:name="_Toc135751487"/>
      <w:r>
        <w:rPr>
          <w:rFonts w:ascii="Times New Roman" w:hAnsi="Times New Roman"/>
          <w:sz w:val="30"/>
        </w:rPr>
        <w:lastRenderedPageBreak/>
        <w:t>八、基金份额的申购与赎回</w:t>
      </w:r>
      <w:bookmarkEnd w:id="11"/>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本基金直销机构为本基金管理人以及本基金管理人的网上直销交易平台。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个人投资者可以通过基金管理人网上直销交易平台办理开户、本基金的申购、赎回、定期定额投资、转换等业务，具体交易细则请参阅基金管理人网站。网上直销交易平台网址：www.fund001.com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本基金的代销机构参见本招募说明书“五、相关服务机构”章节或拨打本公司客户服务电话进行咨询。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投资人可通过上述销售机构办理基金申购、赎回业务的营业场所或按上述销售机构提供的其他方式进行申购或赎回。本基金管理人可根据情况变更或增减基金代销机构，并在管理人网站公示。</w:t>
      </w:r>
    </w:p>
    <w:p w:rsidR="002A5B28" w:rsidRDefault="00A82654">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管理人或其指定的代销机构开通电话、传真或网上等交易方式，投资人可以通过上述方式进行申购与赎回。{a+</w:t>
      </w:r>
      <w:proofErr w:type="gramStart"/>
      <w:r>
        <w:rPr>
          <w:rFonts w:ascii="宋体" w:hAnsi="宋体"/>
          <w:sz w:val="24"/>
        </w:rPr>
        <w:t>1}{</w:t>
      </w:r>
      <w:proofErr w:type="gramEnd"/>
      <w:r>
        <w:rPr>
          <w:rFonts w:ascii="宋体" w:hAnsi="宋体"/>
          <w:sz w:val="24"/>
        </w:rPr>
        <w:t>not_title}</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w:t>
      </w:r>
      <w:r>
        <w:rPr>
          <w:rFonts w:ascii="宋体" w:hAnsi="宋体"/>
          <w:sz w:val="24"/>
        </w:rPr>
        <w:lastRenderedPageBreak/>
        <w:t>所、深圳证券交易所的正常交易日的交易时间，但基金管理人根据法律法规、中国证监会的要求或基金合同的规定公告暂停申购、赎回时除外。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本基金已于2014年8月8日起开放申购业务。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本基金已于2014年8月8日起开放赎回业务。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w:t>
      </w:r>
      <w:proofErr w:type="gramStart"/>
      <w:r>
        <w:rPr>
          <w:rFonts w:ascii="宋体" w:hAnsi="宋体"/>
          <w:sz w:val="24"/>
        </w:rPr>
        <w:t>且登记</w:t>
      </w:r>
      <w:proofErr w:type="gramEnd"/>
      <w:r>
        <w:rPr>
          <w:rFonts w:ascii="宋体" w:hAnsi="宋体"/>
          <w:sz w:val="24"/>
        </w:rPr>
        <w:t>机构确认接受的，其基金份额申购、赎回价格为下一开放日基金份额申购、赎回的价格。</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（三）申购与赎回的原则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通过基金管理人网上直销交易平台办</w:t>
      </w:r>
      <w:r>
        <w:rPr>
          <w:rFonts w:ascii="宋体" w:hAnsi="宋体"/>
          <w:sz w:val="24"/>
        </w:rPr>
        <w:lastRenderedPageBreak/>
        <w:t>理基金申购业务的不受直销机构单笔申购最低金额的限制，申购最低金额为单笔1元。本基金直销机构单笔申购最低金额可由基金管理人酌情调整。各代销机构接受申购申请的最低金额为单笔1元，如果代销机构业务规则规定的最低单笔申购金额高于1元，以代销机构的规定为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每个工作日投资人在单个交易账户保留的本基金份额余额少于1份时，若当日该账户同时有基金份额减少类业务（如赎回、转换出等）被确认，</w:t>
      </w:r>
      <w:proofErr w:type="gramStart"/>
      <w:r>
        <w:rPr>
          <w:rFonts w:ascii="宋体" w:hAnsi="宋体"/>
          <w:sz w:val="24"/>
        </w:rPr>
        <w:t>则基金</w:t>
      </w:r>
      <w:proofErr w:type="gramEnd"/>
      <w:r>
        <w:rPr>
          <w:rFonts w:ascii="宋体" w:hAnsi="宋体"/>
          <w:sz w:val="24"/>
        </w:rPr>
        <w:t>管理人有权将投资人在该账户保留的本基金份额一次性全部赎回。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保留余额的数量限制，基金管理人必须在调整实施前依照《信息披露办法》的有关规定在指定媒介上刊登公告并报中国证监会备案。</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投资人递交赎回申请，赎回成立；登记机构确认赎回时，赎回生效。投资人赎回申请成功后，基金管理人将在T＋7日（包括该日) 内支付赎回款项。在发生巨额</w:t>
      </w:r>
      <w:r>
        <w:rPr>
          <w:rFonts w:ascii="宋体" w:hAnsi="宋体"/>
          <w:sz w:val="24"/>
        </w:rPr>
        <w:lastRenderedPageBreak/>
        <w:t>赎回时，款项的支付办法参照基金合同有关条款处理。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 （T日），在正常情况下，本基金登记机构在T+1日（包括该日）内对该交易的有效性进行确认。T日提交的有效申请，投资人应在T+2日后 (包括该日) 及时到销售网点柜台或以销售机构规定的其他方式查询申请的确认情况。若申购不成功，则申购款项退还给投资人。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（3）基金管理人可在法律法规允许的范围内，对上述登记办理时间进行调整，并于开始实施前按照《信息披露办法》的有关规定在指定媒介上公告并报中国证监会备案。</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本基金提供两种申购费用的支付模式。投资者可以选择前端收费模式，即在申购时支付申购费用；也可以选择后端收费模式，即在赎回时才支付相应的申购费用，该费用随基金份额的持有时间递减。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本基金的申购费用由基金申购人承担，不列入基金财产，主要用于本基金的市场推广、销售、登记等各项费用。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2A5B28">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前端申购费率</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300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300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万元（含）至</w:t>
            </w:r>
            <w:r>
              <w:rPr>
                <w:rFonts w:ascii="Times New Roman" w:hAnsi="Times New Roman"/>
                <w:color w:val="000000"/>
                <w:kern w:val="0"/>
                <w:sz w:val="25"/>
                <w:szCs w:val="24"/>
              </w:rPr>
              <w:t>1000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1000</w:t>
            </w:r>
            <w:r>
              <w:rPr>
                <w:rFonts w:ascii="Times New Roman" w:hAnsi="Times New Roman"/>
                <w:color w:val="000000"/>
                <w:kern w:val="0"/>
                <w:sz w:val="25"/>
                <w:szCs w:val="24"/>
              </w:rPr>
              <w:t>万元以上（含</w:t>
            </w:r>
            <w:r>
              <w:rPr>
                <w:rFonts w:ascii="Times New Roman" w:hAnsi="Times New Roman"/>
                <w:color w:val="000000"/>
                <w:kern w:val="0"/>
                <w:sz w:val="25"/>
                <w:szCs w:val="24"/>
              </w:rPr>
              <w:t>1000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2A5B28">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后端申购费率</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因红利自动再投资而产生的基金份额，不收取相应的申购费用。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本基金对通过基金管理人直销柜台申购前端基金份额的养老金客户实施特定申购费率。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通过基金管理人直销柜台申购本基金前端基金份额的养老金客户特定申购费率如下表：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2A5B28">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前端特定申购费率</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300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0.36%</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300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万元（含）至</w:t>
            </w:r>
            <w:r>
              <w:rPr>
                <w:rFonts w:ascii="Times New Roman" w:hAnsi="Times New Roman"/>
                <w:color w:val="000000"/>
                <w:kern w:val="0"/>
                <w:sz w:val="25"/>
                <w:szCs w:val="24"/>
              </w:rPr>
              <w:t>1000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1000</w:t>
            </w:r>
            <w:r>
              <w:rPr>
                <w:rFonts w:ascii="Times New Roman" w:hAnsi="Times New Roman"/>
                <w:color w:val="000000"/>
                <w:kern w:val="0"/>
                <w:sz w:val="25"/>
                <w:szCs w:val="24"/>
              </w:rPr>
              <w:t>万元以上（含</w:t>
            </w:r>
            <w:r>
              <w:rPr>
                <w:rFonts w:ascii="Times New Roman" w:hAnsi="Times New Roman"/>
                <w:color w:val="000000"/>
                <w:kern w:val="0"/>
                <w:sz w:val="25"/>
                <w:szCs w:val="24"/>
              </w:rPr>
              <w:t>1000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w:t>
      </w:r>
      <w:proofErr w:type="gramStart"/>
      <w:r>
        <w:rPr>
          <w:rFonts w:ascii="宋体" w:hAnsi="宋体"/>
          <w:sz w:val="24"/>
        </w:rPr>
        <w:t>基金基金</w:t>
      </w:r>
      <w:proofErr w:type="gramEnd"/>
      <w:r>
        <w:rPr>
          <w:rFonts w:ascii="宋体" w:hAnsi="宋体"/>
          <w:sz w:val="24"/>
        </w:rPr>
        <w:t>份额申购业务的投资者，享受</w:t>
      </w:r>
      <w:r>
        <w:rPr>
          <w:rFonts w:ascii="宋体" w:hAnsi="宋体"/>
          <w:sz w:val="24"/>
        </w:rPr>
        <w:lastRenderedPageBreak/>
        <w:t>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w:t>
      </w:r>
      <w:proofErr w:type="gramStart"/>
      <w:r>
        <w:rPr>
          <w:rFonts w:ascii="宋体" w:hAnsi="宋体"/>
          <w:sz w:val="24"/>
        </w:rPr>
        <w:t>基金基金</w:t>
      </w:r>
      <w:proofErr w:type="gramEnd"/>
      <w:r>
        <w:rPr>
          <w:rFonts w:ascii="宋体" w:hAnsi="宋体"/>
          <w:sz w:val="24"/>
        </w:rPr>
        <w:t>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赎回费用由赎回基金份额的基金份额持有人承担，在基金份额持有人赎回基金份额时收取，对持续持有期少于7日的投资人收取不低于1.5%的赎回费，对持续持有期大于等于7日但少于30日的投资人收取不低于0.75%的赎回费，并将上述赎回费全额计入基金财产；对持续持有期大于等于30日但少于3个月的投资人收取不低于0.5%的赎回费，并将不低于赎回费总额的75%计入基金财产；对持续持有期大于等于3个月但少于6个月的投资人收取不低于0.5%的赎回费，并将不低于赎回费总额的50%计入基金财产；对持续持有期长于6个月的投资人，应当将不低于赎回费总额的25%计入基金财产；上述“月”指的是30个自然日；其余用于支付登记费和其他必要的手续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2A5B28">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0.75%</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年（含）</w:t>
            </w:r>
            <w:r>
              <w:rPr>
                <w:rFonts w:ascii="Times New Roman" w:hAnsi="Times New Roman"/>
                <w:color w:val="000000"/>
                <w:kern w:val="0"/>
                <w:sz w:val="25"/>
                <w:szCs w:val="24"/>
              </w:rPr>
              <w:t>—2</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0.25%</w:t>
            </w:r>
          </w:p>
        </w:tc>
      </w:tr>
      <w:tr w:rsidR="002A5B28">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2A5B28" w:rsidRDefault="002A5B28">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年以上（含）</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w:t>
      </w:r>
      <w:r>
        <w:rPr>
          <w:rFonts w:ascii="宋体" w:hAnsi="宋体"/>
          <w:sz w:val="24"/>
        </w:rPr>
        <w:lastRenderedPageBreak/>
        <w:t>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（1）申购的有效份额为净申购金额除以当日的基金份额净值，有效份额单位为份，申购份额计算结果按四舍五入方法，保留到小数点后2位，由此产生的收益或损失由基金财产承担。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有效赎回份额乘以当日基金份额净值并扣除相应的费用（如有），赎回金额单位为元。赎回金额计算结果按四舍五入方法，保留到小数点后2位，由此产生的收益或损失由基金财产承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申购可以采取前端收费模式和后端收费模式。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T日基金份额净值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proofErr w:type="gramStart"/>
      <w:r>
        <w:rPr>
          <w:rFonts w:ascii="宋体" w:hAnsi="宋体"/>
          <w:sz w:val="24"/>
        </w:rPr>
        <w:t>一</w:t>
      </w:r>
      <w:proofErr w:type="gramEnd"/>
      <w:r>
        <w:rPr>
          <w:rFonts w:ascii="宋体" w:hAnsi="宋体"/>
          <w:sz w:val="24"/>
        </w:rPr>
        <w:t>：某投资者（非养老金客户）投资40,000元申购本基金，假设申购当日基金份额净值为1.040元，如果其选择前端收费方式，申购费率为1.5%，则其可得到的申购份额为：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申购份额=（40,000-591.13）/1.040=37,893.14份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即：某投资者（非养老金客户）投资40,000元申购本基金，假设申购当日基金份额净值为1.040元，如果其选择前端收费方式，则其可得到37,893.14份基金份额。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例二：某养老金客户投资100,000元通过基金管理人的直销柜台申购本基金的前端基金份额，假设申购当日基金份额净值为1.040元，申购费率为0.6%，则其可得到的申购份额为：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净申购金额=100,000/（1+0.6 %）=99403.58元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申购费用=100,000-99403.58=596.42元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申购份额=（100,000-596.42）/1.040=95,580.37份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即：该养老金客户投资100,000元通过基金管理人的直销柜台申购本基金的前端基金份额，假设申购当日基金份额净值为1.040元，则其可得到95,580.37份基金份额。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申购份额＝申购总金额/T日基金份额净值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当投资者提出赎回时，后端申购费用的计算方法为：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后端申购费用＝赎回份额×申购日基金份额净值×后端申购费率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例三：某投资者投资40,000元申购本基金，假设申购当日基金份额净值为1.040元，如果其选择后端收费方式，则其可得到的申购份额为：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 ＝ 38,461.54份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即：投资者投资40,000元申购本基金，假设申购当日基金份额净值为1.040元，则可得到38,461.54份基金份额，但其在赎回时需根据其持有时间按对应的后端申购费率交纳后端申购费用。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赎回金额为按实际确认的有效赎回份额乘以当日基金份额净值并扣除相应的费用，赎回金额单位为元，计算结果保留到小数点后两位，第三位四舍五入。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（1）前端基金份额的赎回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如果投资者在认（申）购时选择交纳前端认（申）购费用，则赎回金额的计算方法如下：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赎回费用=赎回份额×T日基金份额净值×赎回费率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赎回金额=赎回份额×T日基金份额净值-赎回费用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例四：某投资者赎回持有的10,000份前端基金份额，对应的赎回费率为0.5%，假设赎回当日基金份额净值是1.016元，则其可得到的赎回金额为：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10,000×1.016×0.5% ＝ 50.80元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10,000×1.016-50.80 ＝ 10,109.20元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即：投资者赎回本基金10,000份前端基金份额，对应的赎回费率为0.5%，假设赎回当日基金份额净值是1.016元，则其可得到的赎回金额为10,109.20元。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（2）后端基金份额的赎回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如果投资者在认（申）购时选择交纳后端认（申）购费用，则赎回金额的计算方法如下：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赎回总额＝赎回份额×T日基金份额净值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后端认（申）购费用＝赎回份额×认（申）</w:t>
      </w:r>
      <w:proofErr w:type="gramStart"/>
      <w:r>
        <w:rPr>
          <w:rFonts w:ascii="宋体" w:hAnsi="宋体"/>
          <w:sz w:val="24"/>
        </w:rPr>
        <w:t>购日基金</w:t>
      </w:r>
      <w:proofErr w:type="gramEnd"/>
      <w:r>
        <w:rPr>
          <w:rFonts w:ascii="宋体" w:hAnsi="宋体"/>
          <w:sz w:val="24"/>
        </w:rPr>
        <w:t>份额净值×后端认（申）购费率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赎回金额＝赎回总额－后端认（申）购费用－赎回费用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例五：某投资者赎回通过后端认购持有的10,000份基金份额，对应的后端认购费率为1.6%，赎回费率为0.5%，假设赎回当日基金份额净值是1.016元，则其可得到的赎回金额为：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赎回总额=10,000×1.016=10,160.00元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后端认购费用 = 10,000×1.00×1.6% = 160.00元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10,000×1.016×0.5% ＝ 50.80元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10,160-160.00-50.80 ＝ 9,949.20元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通过后端认购所得本基金10,000份基金份额，对应的赎回费率为0.5%，假设赎回当日基金份额净值是1.016元，投资者对应的后端认购费率是1.6%，认购时的基金份额初始面值为1.00元，则其可得到的赎回金额为9,949.20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例六：某投资者赎回通过后端申购持有的10,000份基金份额，对应的后端申购费率是1.8%，赎回费率为0.5%，假设赎回当日基金份额净值是1.016元，申购时的基金份额净值为1.010元，则其可得到的赎回金额为：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赎回总额=10,000×1.016=10,160.00元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后端申购费用=10,000×1.010×1.8%=181.80元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赎回费用=10,160×0.5%=50.80元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即：投资者赎回本基金10,000份基金份额，对应的赎回费率为0.5%，假设赎回当日基金份额净值是1.016元，投资者对应的后端申购费率是1.8%，申购时的基金净值为1.010元，则其可得到的赎回金额为9,927.40元。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基金份额净值＝基金资产净值总额/发行在外的基金份额总数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本基金T日的基金份额净值在当天收市后计算，并在T＋1日（包括该日）内公告。遇特殊情况，经中国证监会同意，可以适当延迟计算或公告。本</w:t>
      </w:r>
      <w:proofErr w:type="gramStart"/>
      <w:r>
        <w:rPr>
          <w:rFonts w:ascii="宋体" w:hAnsi="宋体"/>
          <w:sz w:val="24"/>
        </w:rPr>
        <w:t>基金基金</w:t>
      </w:r>
      <w:proofErr w:type="gramEnd"/>
      <w:r>
        <w:rPr>
          <w:rFonts w:ascii="宋体" w:hAnsi="宋体"/>
          <w:sz w:val="24"/>
        </w:rPr>
        <w:t>份额净值的计算，保留到小数点后3位，小数点后第4位四舍五入，由此误差产生的收益或损失由基金财产承担。</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（八）拒绝或暂停申购的情形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3、证券、期货交易所交易时间非正常停市，导致基金管理人无法计算当日基金资产净值。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4、基金管理人认为接受某笔或某些申购申请可能会影响或损害现有基金份额持有人利益时。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5、基金资产规模过大，使基金管理人无法找到合适的投资品种，或其他可能对基金业绩产生负面影响，从而损害现有基金份额持有人利益的情形。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6、基金管理人、基金托管人、基金销售机构或登记机构的异常情况导致基金销售系统、基金注册登记系统或基金会计系统无法正常运行。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公允价值存在重大不确定性时，经与基金托管人协商确认后，基金管理人应当暂停接受基金申购申请。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8、基金管理人接受某笔或者某些申购申请有可能导致单一投资者持有基金份</w:t>
      </w:r>
      <w:r>
        <w:rPr>
          <w:rFonts w:ascii="宋体" w:hAnsi="宋体"/>
          <w:sz w:val="24"/>
        </w:rPr>
        <w:lastRenderedPageBreak/>
        <w:t>额的比例超过50%，或者变相规避50%集中度的情形。出现上述情形时，基金管理人有权将上述申购申请全部或部分确认失败。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9、法律法规规定或中国证监会认定的其他情形。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发生上述第1、2、3、5、6、7、9项暂停申购情形之一</w:t>
      </w:r>
      <w:proofErr w:type="gramStart"/>
      <w:r>
        <w:rPr>
          <w:rFonts w:ascii="宋体" w:hAnsi="宋体"/>
          <w:sz w:val="24"/>
        </w:rPr>
        <w:t>且基金</w:t>
      </w:r>
      <w:proofErr w:type="gramEnd"/>
      <w:r>
        <w:rPr>
          <w:rFonts w:ascii="宋体" w:hAnsi="宋体"/>
          <w:sz w:val="24"/>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（九）暂停赎回或延缓支付赎回款项的情形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3、证券、期货交易所交易时间非正常停市，导致基金管理人无法计算当日基金资产净值。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公允价值存在重大不确定性时，经与基金托管人协商确认后，基金管理人应当暂停接受基金赎回申请或延缓支付赎回款项。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w:t>
      </w:r>
      <w:proofErr w:type="gramStart"/>
      <w:r>
        <w:rPr>
          <w:rFonts w:ascii="宋体" w:hAnsi="宋体"/>
          <w:sz w:val="24"/>
        </w:rPr>
        <w:t>且基金</w:t>
      </w:r>
      <w:proofErr w:type="gramEnd"/>
      <w:r>
        <w:rPr>
          <w:rFonts w:ascii="宋体" w:hAnsi="宋体"/>
          <w:sz w:val="24"/>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w:t>
      </w:r>
      <w:r>
        <w:rPr>
          <w:rFonts w:ascii="宋体" w:hAnsi="宋体"/>
          <w:sz w:val="24"/>
        </w:rPr>
        <w:lastRenderedPageBreak/>
        <w:t>换中转出申请份额总数后扣除申购申请份额总数及基金转换中转入申请份额总数后的余额)超过前一开放日的基金总份额的10%，即认为是发生了巨额赎回。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一开放日的基金份额净值为基础计算赎回金额，以此类推，直到全部赎回为止。如投资人在提交赎回申请时未作明确选择，投资人未能赎回部分作自动延期赎回处理。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 发生巨额赎回，如基金管理人认为有必要，可暂停接受基金的赎回申请；已经接受的赎回申请可以延缓支付赎回款项，但不得超过20个工作日，并应当在指定媒介上进行公告。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当发生上述延期赎回并延期办理时，基金管理人应当通过邮寄、传真、刊登公告或者通知代销机构代为告知等方式在3个交易日内通知基金份额持有人，说明有</w:t>
      </w:r>
      <w:r>
        <w:rPr>
          <w:rFonts w:ascii="宋体" w:hAnsi="宋体"/>
          <w:sz w:val="24"/>
        </w:rPr>
        <w:lastRenderedPageBreak/>
        <w:t>关处理方法，并在2日内在指定媒介上刊登公告。</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（十一）暂停申购或赎回的公告和重新开放申购或赎回的公告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2、暂停结束，基金重新开放申购或赎回时，基金管理人应依照《信息披露办法》的有关规定，不迟于重新开放日，在指定媒介上刊登基金重新开放申购或赎回公告，并公布最近一个开放日的基金份额净值。</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（十二）基金的</w:t>
      </w:r>
      <w:proofErr w:type="gramStart"/>
      <w:r w:rsidRPr="00BB248E">
        <w:rPr>
          <w:rFonts w:ascii="宋体" w:hAnsi="宋体" w:hint="eastAsia"/>
          <w:b/>
          <w:kern w:val="0"/>
          <w:sz w:val="24"/>
        </w:rPr>
        <w:t>非交易</w:t>
      </w:r>
      <w:proofErr w:type="gramEnd"/>
      <w:r w:rsidRPr="00BB248E">
        <w:rPr>
          <w:rFonts w:ascii="宋体" w:hAnsi="宋体" w:hint="eastAsia"/>
          <w:b/>
          <w:kern w:val="0"/>
          <w:sz w:val="24"/>
        </w:rPr>
        <w:t>过户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w:t>
      </w:r>
      <w:proofErr w:type="gramStart"/>
      <w:r>
        <w:rPr>
          <w:rFonts w:ascii="宋体" w:hAnsi="宋体"/>
          <w:sz w:val="24"/>
        </w:rPr>
        <w:t>非交易</w:t>
      </w:r>
      <w:proofErr w:type="gramEnd"/>
      <w:r>
        <w:rPr>
          <w:rFonts w:ascii="宋体" w:hAnsi="宋体"/>
          <w:sz w:val="24"/>
        </w:rPr>
        <w:t>过户是指基金登记机构受理继承、捐赠和司法强制执行等情形而产生的</w:t>
      </w:r>
      <w:proofErr w:type="gramStart"/>
      <w:r>
        <w:rPr>
          <w:rFonts w:ascii="宋体" w:hAnsi="宋体"/>
          <w:sz w:val="24"/>
        </w:rPr>
        <w:t>非交易</w:t>
      </w:r>
      <w:proofErr w:type="gramEnd"/>
      <w:r>
        <w:rPr>
          <w:rFonts w:ascii="宋体" w:hAnsi="宋体"/>
          <w:sz w:val="24"/>
        </w:rPr>
        <w:t>过户以及登记机构认可、符合法律法规的其它</w:t>
      </w:r>
      <w:proofErr w:type="gramStart"/>
      <w:r>
        <w:rPr>
          <w:rFonts w:ascii="宋体" w:hAnsi="宋体"/>
          <w:sz w:val="24"/>
        </w:rPr>
        <w:t>非交易</w:t>
      </w:r>
      <w:proofErr w:type="gramEnd"/>
      <w:r>
        <w:rPr>
          <w:rFonts w:ascii="宋体" w:hAnsi="宋体"/>
          <w:sz w:val="24"/>
        </w:rPr>
        <w:t>过户。无论在上述何种情况下，接受划转的主体必须是依法可以持有本</w:t>
      </w:r>
      <w:proofErr w:type="gramStart"/>
      <w:r>
        <w:rPr>
          <w:rFonts w:ascii="宋体" w:hAnsi="宋体"/>
          <w:sz w:val="24"/>
        </w:rPr>
        <w:t>基金基金</w:t>
      </w:r>
      <w:proofErr w:type="gramEnd"/>
      <w:r>
        <w:rPr>
          <w:rFonts w:ascii="宋体" w:hAnsi="宋体"/>
          <w:sz w:val="24"/>
        </w:rPr>
        <w:t>份额的投资人。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w:t>
      </w:r>
      <w:proofErr w:type="gramStart"/>
      <w:r>
        <w:rPr>
          <w:rFonts w:ascii="宋体" w:hAnsi="宋体"/>
          <w:sz w:val="24"/>
        </w:rPr>
        <w:t>捐赠指</w:t>
      </w:r>
      <w:proofErr w:type="gramEnd"/>
      <w:r>
        <w:rPr>
          <w:rFonts w:ascii="宋体" w:hAnsi="宋体"/>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sz w:val="24"/>
        </w:rPr>
        <w:t>非交易</w:t>
      </w:r>
      <w:proofErr w:type="gramEnd"/>
      <w:r>
        <w:rPr>
          <w:rFonts w:ascii="宋体" w:hAnsi="宋体"/>
          <w:sz w:val="24"/>
        </w:rPr>
        <w:t>过户必须提供基金登记机构要求提供的相关资料，对于符合条件的</w:t>
      </w:r>
      <w:proofErr w:type="gramStart"/>
      <w:r>
        <w:rPr>
          <w:rFonts w:ascii="宋体" w:hAnsi="宋体"/>
          <w:sz w:val="24"/>
        </w:rPr>
        <w:t>非交易过户申请按</w:t>
      </w:r>
      <w:proofErr w:type="gramEnd"/>
      <w:r>
        <w:rPr>
          <w:rFonts w:ascii="宋体" w:hAnsi="宋体"/>
          <w:sz w:val="24"/>
        </w:rPr>
        <w:t>基金登记机构的规定办理，并按基金登记机构规定的标准收费。</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（十三）基金的转托管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（十四）定期定额投资计划</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2014年8月5日刊登公告自2014年8月8日起开通定期定额投资计划业务，具体开通销售机构名单和业务规则参见相关公告。</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（十五）定期定额赎回业务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投资人可通过中国农业银行股份有限公司申请办理本基金的定期定额赎回业</w:t>
      </w:r>
      <w:r>
        <w:rPr>
          <w:rFonts w:ascii="宋体" w:hAnsi="宋体"/>
          <w:sz w:val="24"/>
        </w:rPr>
        <w:lastRenderedPageBreak/>
        <w:t>务。定期定额赎回业务是指投资人可以委托中国农业银行股份有限公司每月固定时间从指定的基金账户代投资人赎回固定份额的基金。本基金2014年8月5日刊登公告自2014年8月8日起在中国农业银行股份有限公司下属各代销网点开通定期定额赎回业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95599）。</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（十六）基金份额的冻结和解冻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（十七）基金上市交易和场内申购赎回业务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未来系统条件允许的情况下，基金管理人可以根据相关证券交易所上市交易规则安排本基金上市交易和/或开通场内申购赎回业务事宜。具体上市交易和/或开通场内申购赎回的安排由基金管理人届时提前发布公告，并告知基金托管人与相关机构。场内申购赎回业务按照证券交易所及登记机构的相关业务规则办理。</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（十八）其他业务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如相关法律法规允许基金管理人办理基金份额的质押业务或其他基金业务，基金管理人可制定相应的业务规则并开展相关业务，并依照《信息披露办法》的有关规定进行公告。</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12" w:name="_Toc135751488"/>
      <w:r>
        <w:rPr>
          <w:rFonts w:ascii="Times New Roman" w:hAnsi="Times New Roman"/>
          <w:sz w:val="30"/>
        </w:rPr>
        <w:lastRenderedPageBreak/>
        <w:t>九、基金的转换</w:t>
      </w:r>
      <w:bookmarkEnd w:id="12"/>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本基金2014年10月9日刊登公告自2014年10月14日起开放日常转换业务。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w:t>
      </w:r>
      <w:proofErr w:type="gramStart"/>
      <w:r>
        <w:rPr>
          <w:rFonts w:ascii="宋体" w:hAnsi="宋体"/>
          <w:sz w:val="24"/>
        </w:rPr>
        <w:t>归基金</w:t>
      </w:r>
      <w:proofErr w:type="gramEnd"/>
      <w:r>
        <w:rPr>
          <w:rFonts w:ascii="宋体" w:hAnsi="宋体"/>
          <w:sz w:val="24"/>
        </w:rPr>
        <w:t>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本基金遵循“份额转换”的原则，单笔转换份额不得低于1份。基金持有人可将其全部或部分基金份额转换成其它基金，单笔转换申请不受转入基金最低申购限额限制。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w:t>
      </w:r>
      <w:proofErr w:type="gramStart"/>
      <w:r>
        <w:rPr>
          <w:rFonts w:ascii="宋体" w:hAnsi="宋体"/>
          <w:sz w:val="24"/>
        </w:rPr>
        <w:t>基金基金</w:t>
      </w:r>
      <w:proofErr w:type="gramEnd"/>
      <w:r>
        <w:rPr>
          <w:rFonts w:ascii="宋体" w:hAnsi="宋体"/>
          <w:sz w:val="24"/>
        </w:rPr>
        <w:t>份额余额少于该基金的最低保留余额时，若当日该账户同时有该基金的基金份额减少类业务（如赎回、转换出等）被确认，基金管理人有权将投资人在该账户保留的该</w:t>
      </w:r>
      <w:proofErr w:type="gramStart"/>
      <w:r>
        <w:rPr>
          <w:rFonts w:ascii="宋体" w:hAnsi="宋体"/>
          <w:sz w:val="24"/>
        </w:rPr>
        <w:t>基金基金</w:t>
      </w:r>
      <w:proofErr w:type="gramEnd"/>
      <w:r>
        <w:rPr>
          <w:rFonts w:ascii="宋体" w:hAnsi="宋体"/>
          <w:sz w:val="24"/>
        </w:rPr>
        <w:t>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w:t>
      </w:r>
      <w:proofErr w:type="gramStart"/>
      <w:r>
        <w:rPr>
          <w:rFonts w:ascii="宋体" w:hAnsi="宋体"/>
          <w:sz w:val="24"/>
        </w:rPr>
        <w:t>遇固定</w:t>
      </w:r>
      <w:proofErr w:type="gramEnd"/>
      <w:r>
        <w:rPr>
          <w:rFonts w:ascii="宋体" w:hAnsi="宋体"/>
          <w:sz w:val="24"/>
        </w:rPr>
        <w:t>费用，则按实际产生补差费用收取。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w:t>
      </w:r>
      <w:r>
        <w:rPr>
          <w:rFonts w:ascii="宋体" w:hAnsi="宋体"/>
          <w:sz w:val="24"/>
        </w:rPr>
        <w:lastRenderedPageBreak/>
        <w:t>转入基金的后端申购费。后端申购补差费用按照转出份额持有时间对应分档的转出基金后端申购费率减去转入基金后端申购费率差额进行补差。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6、基金管理人可以根据法律法规及基金合同的规定对上述收费方式和费率进行调整，并应于调整后的收费方式和费率在实施前依照《信息披露办法》的有关规定在中国证监会指定媒介上公告。</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w:t>
      </w:r>
      <w:proofErr w:type="gramStart"/>
      <w:r>
        <w:rPr>
          <w:rFonts w:ascii="宋体" w:hAnsi="宋体"/>
          <w:sz w:val="24"/>
        </w:rPr>
        <w:t>待支付</w:t>
      </w:r>
      <w:proofErr w:type="gramEnd"/>
      <w:r>
        <w:rPr>
          <w:rFonts w:ascii="宋体" w:hAnsi="宋体"/>
          <w:sz w:val="24"/>
        </w:rPr>
        <w:t>收益（仅限转出基金为货币市场基金的情形，否则A为0）。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w:t>
      </w:r>
      <w:proofErr w:type="gramStart"/>
      <w:r>
        <w:rPr>
          <w:rFonts w:ascii="宋体" w:hAnsi="宋体"/>
          <w:sz w:val="24"/>
        </w:rPr>
        <w:t>归基金</w:t>
      </w:r>
      <w:proofErr w:type="gramEnd"/>
      <w:r>
        <w:rPr>
          <w:rFonts w:ascii="宋体" w:hAnsi="宋体"/>
          <w:sz w:val="24"/>
        </w:rPr>
        <w:t>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proofErr w:type="gramStart"/>
      <w:r>
        <w:rPr>
          <w:rFonts w:ascii="宋体" w:hAnsi="宋体"/>
          <w:sz w:val="24"/>
        </w:rPr>
        <w:t>一</w:t>
      </w:r>
      <w:proofErr w:type="gramEnd"/>
      <w:r>
        <w:rPr>
          <w:rFonts w:ascii="宋体" w:hAnsi="宋体"/>
          <w:sz w:val="24"/>
        </w:rPr>
        <w:t>：某投资者持有交</w:t>
      </w:r>
      <w:proofErr w:type="gramStart"/>
      <w:r>
        <w:rPr>
          <w:rFonts w:ascii="宋体" w:hAnsi="宋体"/>
          <w:sz w:val="24"/>
        </w:rPr>
        <w:t>银趋势</w:t>
      </w:r>
      <w:proofErr w:type="gramEnd"/>
      <w:r>
        <w:rPr>
          <w:rFonts w:ascii="宋体" w:hAnsi="宋体"/>
          <w:sz w:val="24"/>
        </w:rPr>
        <w:t>前端收费模式的A类基金份额100,000份，持有期</w:t>
      </w:r>
      <w:r>
        <w:rPr>
          <w:rFonts w:ascii="宋体" w:hAnsi="宋体"/>
          <w:sz w:val="24"/>
        </w:rPr>
        <w:lastRenderedPageBreak/>
        <w:t>半年，转换申请当日交</w:t>
      </w:r>
      <w:proofErr w:type="gramStart"/>
      <w:r>
        <w:rPr>
          <w:rFonts w:ascii="宋体" w:hAnsi="宋体"/>
          <w:sz w:val="24"/>
        </w:rPr>
        <w:t>银趋势</w:t>
      </w:r>
      <w:proofErr w:type="gramEnd"/>
      <w:r>
        <w:rPr>
          <w:rFonts w:ascii="宋体" w:hAnsi="宋体"/>
          <w:sz w:val="24"/>
        </w:rPr>
        <w:t>的A类基金份额净值为1.0100元，交</w:t>
      </w:r>
      <w:proofErr w:type="gramStart"/>
      <w:r>
        <w:rPr>
          <w:rFonts w:ascii="宋体" w:hAnsi="宋体"/>
          <w:sz w:val="24"/>
        </w:rPr>
        <w:t>银成长</w:t>
      </w:r>
      <w:proofErr w:type="gramEnd"/>
      <w:r>
        <w:rPr>
          <w:rFonts w:ascii="宋体" w:hAnsi="宋体"/>
          <w:sz w:val="24"/>
        </w:rPr>
        <w:t>的基金份额净值为2.2700元。若该投资者将100,000份交</w:t>
      </w:r>
      <w:proofErr w:type="gramStart"/>
      <w:r>
        <w:rPr>
          <w:rFonts w:ascii="宋体" w:hAnsi="宋体"/>
          <w:sz w:val="24"/>
        </w:rPr>
        <w:t>银趋势</w:t>
      </w:r>
      <w:proofErr w:type="gramEnd"/>
      <w:r>
        <w:rPr>
          <w:rFonts w:ascii="宋体" w:hAnsi="宋体"/>
          <w:sz w:val="24"/>
        </w:rPr>
        <w:t>前端A类基金份额转换为交</w:t>
      </w:r>
      <w:proofErr w:type="gramStart"/>
      <w:r>
        <w:rPr>
          <w:rFonts w:ascii="宋体" w:hAnsi="宋体"/>
          <w:sz w:val="24"/>
        </w:rPr>
        <w:t>银成长</w:t>
      </w:r>
      <w:proofErr w:type="gramEnd"/>
      <w:r>
        <w:rPr>
          <w:rFonts w:ascii="宋体" w:hAnsi="宋体"/>
          <w:sz w:val="24"/>
        </w:rPr>
        <w:t>前端基金份额，则转入交</w:t>
      </w:r>
      <w:proofErr w:type="gramStart"/>
      <w:r>
        <w:rPr>
          <w:rFonts w:ascii="宋体" w:hAnsi="宋体"/>
          <w:sz w:val="24"/>
        </w:rPr>
        <w:t>银成长</w:t>
      </w:r>
      <w:proofErr w:type="gramEnd"/>
      <w:r>
        <w:rPr>
          <w:rFonts w:ascii="宋体" w:hAnsi="宋体"/>
          <w:sz w:val="24"/>
        </w:rPr>
        <w:t>确认的基金份额为：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w:t>
      </w:r>
      <w:proofErr w:type="gramStart"/>
      <w:r>
        <w:rPr>
          <w:rFonts w:ascii="宋体" w:hAnsi="宋体"/>
          <w:sz w:val="24"/>
        </w:rPr>
        <w:t>银趋势</w:t>
      </w:r>
      <w:proofErr w:type="gramEnd"/>
      <w:r>
        <w:rPr>
          <w:rFonts w:ascii="宋体" w:hAnsi="宋体"/>
          <w:sz w:val="24"/>
        </w:rPr>
        <w:t>的A类基金份额净值为1.0100元。若该投资者将1,000,000份交银增利A类基金份额转换为交</w:t>
      </w:r>
      <w:proofErr w:type="gramStart"/>
      <w:r>
        <w:rPr>
          <w:rFonts w:ascii="宋体" w:hAnsi="宋体"/>
          <w:sz w:val="24"/>
        </w:rPr>
        <w:t>银趋势</w:t>
      </w:r>
      <w:proofErr w:type="gramEnd"/>
      <w:r>
        <w:rPr>
          <w:rFonts w:ascii="宋体" w:hAnsi="宋体"/>
          <w:sz w:val="24"/>
        </w:rPr>
        <w:t>前端A类基金份额，则转入交</w:t>
      </w:r>
      <w:proofErr w:type="gramStart"/>
      <w:r>
        <w:rPr>
          <w:rFonts w:ascii="宋体" w:hAnsi="宋体"/>
          <w:sz w:val="24"/>
        </w:rPr>
        <w:t>银趋势</w:t>
      </w:r>
      <w:proofErr w:type="gramEnd"/>
      <w:r>
        <w:rPr>
          <w:rFonts w:ascii="宋体" w:hAnsi="宋体"/>
          <w:sz w:val="24"/>
        </w:rPr>
        <w:t>确认的A类基金份额为：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w:t>
      </w:r>
      <w:proofErr w:type="gramStart"/>
      <w:r>
        <w:rPr>
          <w:rFonts w:ascii="宋体" w:hAnsi="宋体"/>
          <w:sz w:val="24"/>
        </w:rPr>
        <w:t>银货币A级基金</w:t>
      </w:r>
      <w:proofErr w:type="gramEnd"/>
      <w:r>
        <w:rPr>
          <w:rFonts w:ascii="宋体" w:hAnsi="宋体"/>
          <w:sz w:val="24"/>
        </w:rPr>
        <w:t>份额100,000份，该100,000份基金份额未结转的</w:t>
      </w:r>
      <w:proofErr w:type="gramStart"/>
      <w:r>
        <w:rPr>
          <w:rFonts w:ascii="宋体" w:hAnsi="宋体"/>
          <w:sz w:val="24"/>
        </w:rPr>
        <w:t>待支付</w:t>
      </w:r>
      <w:proofErr w:type="gramEnd"/>
      <w:r>
        <w:rPr>
          <w:rFonts w:ascii="宋体" w:hAnsi="宋体"/>
          <w:sz w:val="24"/>
        </w:rPr>
        <w:t>收益为61.52元，转换申请当日交银增利A类基金份额净值为1.2700元，交</w:t>
      </w:r>
      <w:proofErr w:type="gramStart"/>
      <w:r>
        <w:rPr>
          <w:rFonts w:ascii="宋体" w:hAnsi="宋体"/>
          <w:sz w:val="24"/>
        </w:rPr>
        <w:t>银货币</w:t>
      </w:r>
      <w:proofErr w:type="gramEnd"/>
      <w:r>
        <w:rPr>
          <w:rFonts w:ascii="宋体" w:hAnsi="宋体"/>
          <w:sz w:val="24"/>
        </w:rPr>
        <w:t>的基金份额净值为1.00元。若该投资者将100,000份交</w:t>
      </w:r>
      <w:proofErr w:type="gramStart"/>
      <w:r>
        <w:rPr>
          <w:rFonts w:ascii="宋体" w:hAnsi="宋体"/>
          <w:sz w:val="24"/>
        </w:rPr>
        <w:t>银货币A级基金</w:t>
      </w:r>
      <w:proofErr w:type="gramEnd"/>
      <w:r>
        <w:rPr>
          <w:rFonts w:ascii="宋体" w:hAnsi="宋体"/>
          <w:sz w:val="24"/>
        </w:rPr>
        <w:t>份额转换为交银增利A类基金份额，则转入确认的交银增利A类基金份额为：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转出确认金额=100,000×1.00=100,000元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w:t>
      </w:r>
      <w:proofErr w:type="gramStart"/>
      <w:r>
        <w:rPr>
          <w:rFonts w:ascii="宋体" w:hAnsi="宋体"/>
          <w:sz w:val="24"/>
        </w:rPr>
        <w:t>待支付</w:t>
      </w:r>
      <w:proofErr w:type="gramEnd"/>
      <w:r>
        <w:rPr>
          <w:rFonts w:ascii="宋体" w:hAnsi="宋体"/>
          <w:sz w:val="24"/>
        </w:rPr>
        <w:t>收益（仅限转出基金为货币市场基金的情形，否则A为0）。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w:t>
      </w:r>
      <w:proofErr w:type="gramStart"/>
      <w:r>
        <w:rPr>
          <w:rFonts w:ascii="宋体" w:hAnsi="宋体"/>
          <w:sz w:val="24"/>
        </w:rPr>
        <w:t>归基金</w:t>
      </w:r>
      <w:proofErr w:type="gramEnd"/>
      <w:r>
        <w:rPr>
          <w:rFonts w:ascii="宋体" w:hAnsi="宋体"/>
          <w:sz w:val="24"/>
        </w:rPr>
        <w:t>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w:t>
      </w:r>
      <w:proofErr w:type="gramStart"/>
      <w:r>
        <w:rPr>
          <w:rFonts w:ascii="宋体" w:hAnsi="宋体"/>
          <w:sz w:val="24"/>
        </w:rPr>
        <w:t>银主题</w:t>
      </w:r>
      <w:proofErr w:type="gramEnd"/>
      <w:r>
        <w:rPr>
          <w:rFonts w:ascii="宋体" w:hAnsi="宋体"/>
          <w:sz w:val="24"/>
        </w:rPr>
        <w:t>后端收费模式的A类基金份额100,000份，持有期一年半，转换申请当日交</w:t>
      </w:r>
      <w:proofErr w:type="gramStart"/>
      <w:r>
        <w:rPr>
          <w:rFonts w:ascii="宋体" w:hAnsi="宋体"/>
          <w:sz w:val="24"/>
        </w:rPr>
        <w:t>银主题</w:t>
      </w:r>
      <w:proofErr w:type="gramEnd"/>
      <w:r>
        <w:rPr>
          <w:rFonts w:ascii="宋体" w:hAnsi="宋体"/>
          <w:sz w:val="24"/>
        </w:rPr>
        <w:t>的A类基金份额净值为1.2500元，交银稳健的基金份额净值为2.2700元。若该投资者将100,000份交</w:t>
      </w:r>
      <w:proofErr w:type="gramStart"/>
      <w:r>
        <w:rPr>
          <w:rFonts w:ascii="宋体" w:hAnsi="宋体"/>
          <w:sz w:val="24"/>
        </w:rPr>
        <w:t>银主题</w:t>
      </w:r>
      <w:proofErr w:type="gramEnd"/>
      <w:r>
        <w:rPr>
          <w:rFonts w:ascii="宋体" w:hAnsi="宋体"/>
          <w:sz w:val="24"/>
        </w:rPr>
        <w:t>后端A类基金份额转换为交银稳健后端基金份额，则转入交银稳健确认的基金份额为：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w:t>
      </w:r>
      <w:proofErr w:type="gramStart"/>
      <w:r>
        <w:rPr>
          <w:rFonts w:ascii="宋体" w:hAnsi="宋体"/>
          <w:sz w:val="24"/>
        </w:rPr>
        <w:t>银货币</w:t>
      </w:r>
      <w:proofErr w:type="gramEnd"/>
      <w:r>
        <w:rPr>
          <w:rFonts w:ascii="宋体" w:hAnsi="宋体"/>
          <w:sz w:val="24"/>
        </w:rPr>
        <w:t>的基金份额净值为1.00元。若该投资者将100,000份交银先锋后端A类基金份额转换为交银</w:t>
      </w:r>
      <w:r>
        <w:rPr>
          <w:rFonts w:ascii="宋体" w:hAnsi="宋体"/>
          <w:sz w:val="24"/>
        </w:rPr>
        <w:lastRenderedPageBreak/>
        <w:t>货币，则转入交</w:t>
      </w:r>
      <w:proofErr w:type="gramStart"/>
      <w:r>
        <w:rPr>
          <w:rFonts w:ascii="宋体" w:hAnsi="宋体"/>
          <w:sz w:val="24"/>
        </w:rPr>
        <w:t>银货币</w:t>
      </w:r>
      <w:proofErr w:type="gramEnd"/>
      <w:r>
        <w:rPr>
          <w:rFonts w:ascii="宋体" w:hAnsi="宋体"/>
          <w:sz w:val="24"/>
        </w:rPr>
        <w:t>的基金份额为：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w:t>
      </w:r>
      <w:proofErr w:type="gramStart"/>
      <w:r>
        <w:rPr>
          <w:rFonts w:ascii="宋体" w:hAnsi="宋体"/>
          <w:sz w:val="24"/>
        </w:rPr>
        <w:t>银货币A级基金</w:t>
      </w:r>
      <w:proofErr w:type="gramEnd"/>
      <w:r>
        <w:rPr>
          <w:rFonts w:ascii="宋体" w:hAnsi="宋体"/>
          <w:sz w:val="24"/>
        </w:rPr>
        <w:t>份额100,000份，该100,000份基金份额未结转的</w:t>
      </w:r>
      <w:proofErr w:type="gramStart"/>
      <w:r>
        <w:rPr>
          <w:rFonts w:ascii="宋体" w:hAnsi="宋体"/>
          <w:sz w:val="24"/>
        </w:rPr>
        <w:t>待支付</w:t>
      </w:r>
      <w:proofErr w:type="gramEnd"/>
      <w:r>
        <w:rPr>
          <w:rFonts w:ascii="宋体" w:hAnsi="宋体"/>
          <w:sz w:val="24"/>
        </w:rPr>
        <w:t>收益为61.52元，转换申请当日交银增利B类基金份额净值为1.2700元，交</w:t>
      </w:r>
      <w:proofErr w:type="gramStart"/>
      <w:r>
        <w:rPr>
          <w:rFonts w:ascii="宋体" w:hAnsi="宋体"/>
          <w:sz w:val="24"/>
        </w:rPr>
        <w:t>银货币</w:t>
      </w:r>
      <w:proofErr w:type="gramEnd"/>
      <w:r>
        <w:rPr>
          <w:rFonts w:ascii="宋体" w:hAnsi="宋体"/>
          <w:sz w:val="24"/>
        </w:rPr>
        <w:t>的基金份额净值为1.00元。若该投资者将100,000份交</w:t>
      </w:r>
      <w:proofErr w:type="gramStart"/>
      <w:r>
        <w:rPr>
          <w:rFonts w:ascii="宋体" w:hAnsi="宋体"/>
          <w:sz w:val="24"/>
        </w:rPr>
        <w:t>银货币A级基金</w:t>
      </w:r>
      <w:proofErr w:type="gramEnd"/>
      <w:r>
        <w:rPr>
          <w:rFonts w:ascii="宋体" w:hAnsi="宋体"/>
          <w:sz w:val="24"/>
        </w:rPr>
        <w:t>份额转换为交银增利B类基金份额，则转入确认的交银增利B类基金份额为：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w:t>
      </w:r>
      <w:r>
        <w:rPr>
          <w:rFonts w:ascii="宋体" w:hAnsi="宋体"/>
          <w:sz w:val="24"/>
        </w:rPr>
        <w:lastRenderedPageBreak/>
        <w:t>只能转换到前端收费模式的其他基金，后端收费模式的基金只能转换到后端收费模式的其他基金。货币市场基金、债券基金C类基金份额与其他基金之间的转换不受上述收费模式的限制。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w:t>
      </w:r>
      <w:proofErr w:type="gramStart"/>
      <w:r>
        <w:rPr>
          <w:rFonts w:ascii="宋体" w:hAnsi="宋体"/>
          <w:sz w:val="24"/>
        </w:rPr>
        <w:t>固定价</w:t>
      </w:r>
      <w:proofErr w:type="gramEnd"/>
      <w:r>
        <w:rPr>
          <w:rFonts w:ascii="宋体" w:hAnsi="宋体"/>
          <w:sz w:val="24"/>
        </w:rPr>
        <w:t>1.00元）。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w:t>
      </w:r>
      <w:proofErr w:type="gramStart"/>
      <w:r>
        <w:rPr>
          <w:rFonts w:ascii="宋体" w:hAnsi="宋体"/>
          <w:sz w:val="24"/>
        </w:rPr>
        <w:t>待支付</w:t>
      </w:r>
      <w:proofErr w:type="gramEnd"/>
      <w:r>
        <w:rPr>
          <w:rFonts w:ascii="宋体" w:hAnsi="宋体"/>
          <w:sz w:val="24"/>
        </w:rPr>
        <w:t>收益，该收益将一并计入转出金额并折算为转入基金的基金份额，但收益部分不收取转换费用。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w:t>
      </w:r>
      <w:proofErr w:type="gramStart"/>
      <w:r>
        <w:rPr>
          <w:rFonts w:ascii="宋体" w:hAnsi="宋体"/>
          <w:sz w:val="24"/>
        </w:rPr>
        <w:t>申请总</w:t>
      </w:r>
      <w:proofErr w:type="gramEnd"/>
      <w:r>
        <w:rPr>
          <w:rFonts w:ascii="宋体" w:hAnsi="宋体"/>
          <w:sz w:val="24"/>
        </w:rPr>
        <w:t>份额加上基金转换中转出</w:t>
      </w:r>
      <w:proofErr w:type="gramStart"/>
      <w:r>
        <w:rPr>
          <w:rFonts w:ascii="宋体" w:hAnsi="宋体"/>
          <w:sz w:val="24"/>
        </w:rPr>
        <w:t>申请总</w:t>
      </w:r>
      <w:proofErr w:type="gramEnd"/>
      <w:r>
        <w:rPr>
          <w:rFonts w:ascii="宋体" w:hAnsi="宋体"/>
          <w:sz w:val="24"/>
        </w:rPr>
        <w:t>份额后扣除申购</w:t>
      </w:r>
      <w:proofErr w:type="gramStart"/>
      <w:r>
        <w:rPr>
          <w:rFonts w:ascii="宋体" w:hAnsi="宋体"/>
          <w:sz w:val="24"/>
        </w:rPr>
        <w:t>申请总</w:t>
      </w:r>
      <w:proofErr w:type="gramEnd"/>
      <w:r>
        <w:rPr>
          <w:rFonts w:ascii="宋体" w:hAnsi="宋体"/>
          <w:sz w:val="24"/>
        </w:rPr>
        <w:t>份额及基金转换中转入</w:t>
      </w:r>
      <w:proofErr w:type="gramStart"/>
      <w:r>
        <w:rPr>
          <w:rFonts w:ascii="宋体" w:hAnsi="宋体"/>
          <w:sz w:val="24"/>
        </w:rPr>
        <w:t>申请总</w:t>
      </w:r>
      <w:proofErr w:type="gramEnd"/>
      <w:r>
        <w:rPr>
          <w:rFonts w:ascii="宋体" w:hAnsi="宋体"/>
          <w:sz w:val="24"/>
        </w:rPr>
        <w:t>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13" w:name="_Toc135751489"/>
      <w:r>
        <w:rPr>
          <w:rFonts w:ascii="Times New Roman" w:hAnsi="Times New Roman"/>
          <w:sz w:val="30"/>
        </w:rPr>
        <w:lastRenderedPageBreak/>
        <w:t>十、基金的投资</w:t>
      </w:r>
      <w:bookmarkEnd w:id="13"/>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（一）投资目标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深入挖掘经济转型背景下的投资机会，自下而上精选个股，力争实现基金资产的长期稳定增值。</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（二）投资范围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w:t>
      </w:r>
      <w:proofErr w:type="gramStart"/>
      <w:r>
        <w:rPr>
          <w:rFonts w:ascii="宋体" w:hAnsi="宋体"/>
          <w:sz w:val="24"/>
        </w:rPr>
        <w:t>含存托</w:t>
      </w:r>
      <w:proofErr w:type="gramEnd"/>
      <w:r>
        <w:rPr>
          <w:rFonts w:ascii="宋体" w:hAnsi="宋体"/>
          <w:sz w:val="24"/>
        </w:rPr>
        <w:t>凭证）占基金资产的60%-95%，其中投资于经过严格品质筛选、未来预期成长性良好的公司股票不低于非现金基金资产的80%；其余资产投资于债券、中期票据、货币市场工具、权证、资产支持证券、股指期货以及法律法规或中国证监会允许基金投资的其他证券品种；每个交易日日终在扣除股指期货合约需缴纳的交易保证金后，基金保留的现金或者投资于到期日在一年以内的政府债券的比例合计不低于基金资产净值的5%，其中现金不包括结算备付金、存出保证金和应收申购款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（三）投资策略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研究优势，在经济转型大背景下，分析和判断宏观经济运行变化和政府产业政策等多因素影响，积极挖掘不同行业和子行业景气度新变化下的个股投资机会，通过团队对个股深入的基本面研究和细致的实地调研，精选公司品质良好、成长具有可持续性、定价相对合理的股票进行投资，以谋求超额收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本基金将通过“自上而下”的定性分析和定量分析相结合形成对不同资产市场表现的预测和判断，确定基金资产在股票、债券及货币市场工具等各类别资产间的</w:t>
      </w:r>
      <w:r>
        <w:rPr>
          <w:rFonts w:ascii="宋体" w:hAnsi="宋体"/>
          <w:sz w:val="24"/>
        </w:rPr>
        <w:lastRenderedPageBreak/>
        <w:t>分配比例，并随着各类证券风险收益特征的相对变化，动态调整组合中各类资产的比例，以规避或控制市场风险，提高基金收益率。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2、个股选择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对象重点为经过严格品质筛选和价值评估，成长具有可持续性、定价相对合理的成长型公司。本基金将充分发挥研究团队自下而上的选股能力，基于对个股深入的基本面研究和细致的实地调研，精选股票构建股票投资组合。具体分以下几个层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筛选出在公司治理、财务及管理品质上符合基本品质要求的公司，构建备选股票池。主要筛选指标包括：</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盈利能力指标（如P/E、P/Cash Flow、P/FCF、P/S、P/EBIT等）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经营效率指标（如ROE、ROA、Return on operating assets等）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财务状况指标（如D/A、流动比率等）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（2）行业及成长性评估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定量与定性相结合的评价方法，评估其行业地位和业绩成长性。本基金在全球经济的框架下，结合中长期中国经济结构调整优化的方向，通过对宏观经济运行趋势、产业环境、产业政策和行业竞争格局等多因素的分析和预测，确定宏观及行业经济变量的变动对不同行业的潜在影响，得出各行业的相对投资价值与投资时机。具体操作中，本基金从经济周期因素评估、行业政策因素评估和行业基本面指标评估（包括行业生命周期、行业发展趋势和发展空间、行业内竞争态势、行业收入及利润增长情况等）三个方面</w:t>
      </w:r>
      <w:proofErr w:type="gramStart"/>
      <w:r>
        <w:rPr>
          <w:rFonts w:ascii="宋体" w:hAnsi="宋体"/>
          <w:sz w:val="24"/>
        </w:rPr>
        <w:t>评估高</w:t>
      </w:r>
      <w:proofErr w:type="gramEnd"/>
      <w:r>
        <w:rPr>
          <w:rFonts w:ascii="宋体" w:hAnsi="宋体"/>
          <w:sz w:val="24"/>
        </w:rPr>
        <w:t>成长性行业。本基金重点关注的行业包括：成为未来中国经济增长新动力的行业，受国家政策重点扶持的新兴和战略性行业，顺应中国经济结构调整方向的行业，以及受国内外宏观经济运行有利因素影响具备高成长特性的行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行业的成长性评估之外，本基金将基于对相关个股深入的基本面研究和细致的实地调研，结合交银施罗德企业成长性评价体系从宏观环境、行业前景、公司质量和成长性质量四个方面对企业的成长性进行综合评价。本基金将重点关注符合以下任</w:t>
      </w:r>
      <w:proofErr w:type="gramStart"/>
      <w:r>
        <w:rPr>
          <w:rFonts w:ascii="宋体" w:hAnsi="宋体"/>
          <w:sz w:val="24"/>
        </w:rPr>
        <w:t>一</w:t>
      </w:r>
      <w:proofErr w:type="gramEnd"/>
      <w:r>
        <w:rPr>
          <w:rFonts w:ascii="宋体" w:hAnsi="宋体"/>
          <w:sz w:val="24"/>
        </w:rPr>
        <w:t>情形的公司：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公司未来预期销售收入、主营业务收入、息税前利润等成长性财务指标处于行业前列或高于市场平均水平；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公司的市场占有率高于行业平均水平；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公司拥有难以为竞争对手模仿的竞争优势，如在资源、技术、人才、资金、经营许可证、销售网络等方面的优势；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公司在技术上或商业模式上具有突出的创新，代表行业发展的方向，或直接受益于经济转型；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公司治理结构完善、拥有良好管理团队，具备清晰的公司发展战略，企业经营具备持续成长潜力；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本基金投资于满足上述条件的股票占非现金基金资产的比例不低于80%。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（3）多元化价值评估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对上述核心股票池中的重点公司进行内在价值的评估和成长性跟踪研究，在明确的价值评估基础上选择定价相对合理且成长性可持续的投资标的。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（4）存托凭证的投资策略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在债券投资方面，本基金可投资于国债、央行票据、金融债、企业债和</w:t>
      </w:r>
      <w:proofErr w:type="gramStart"/>
      <w:r>
        <w:rPr>
          <w:rFonts w:ascii="宋体" w:hAnsi="宋体"/>
          <w:sz w:val="24"/>
        </w:rPr>
        <w:t>可</w:t>
      </w:r>
      <w:proofErr w:type="gramEnd"/>
      <w:r>
        <w:rPr>
          <w:rFonts w:ascii="宋体" w:hAnsi="宋体"/>
          <w:sz w:val="24"/>
        </w:rPr>
        <w:t>转换债券等债券品种。本基金的债券投资采取主动的投资管理方式，获得与风险想匹配的投资收益，以实现在一定程度上规避股票市场的系统性风险和保证基金资产的流动性。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w:t>
      </w:r>
      <w:proofErr w:type="gramStart"/>
      <w:r>
        <w:rPr>
          <w:rFonts w:ascii="宋体" w:hAnsi="宋体"/>
          <w:sz w:val="24"/>
        </w:rPr>
        <w:t>作出</w:t>
      </w:r>
      <w:proofErr w:type="gramEnd"/>
      <w:r>
        <w:rPr>
          <w:rFonts w:ascii="宋体" w:hAnsi="宋体"/>
          <w:sz w:val="24"/>
        </w:rPr>
        <w:t>判断，运用数量化工具，对未来市场利率趋势及市场信用环境变化</w:t>
      </w:r>
      <w:proofErr w:type="gramStart"/>
      <w:r>
        <w:rPr>
          <w:rFonts w:ascii="宋体" w:hAnsi="宋体"/>
          <w:sz w:val="24"/>
        </w:rPr>
        <w:t>作出</w:t>
      </w:r>
      <w:proofErr w:type="gramEnd"/>
      <w:r>
        <w:rPr>
          <w:rFonts w:ascii="宋体" w:hAnsi="宋体"/>
          <w:sz w:val="24"/>
        </w:rPr>
        <w:t>预测，并综合考虑利率变化对不同债券品种的影响、收益率水平、信用风险的大小、流动性的好坏等因素，构造债券组合。在具体操作中，本基金</w:t>
      </w:r>
      <w:proofErr w:type="gramStart"/>
      <w:r>
        <w:rPr>
          <w:rFonts w:ascii="宋体" w:hAnsi="宋体"/>
          <w:sz w:val="24"/>
        </w:rPr>
        <w:t>运用久期控制</w:t>
      </w:r>
      <w:proofErr w:type="gramEnd"/>
      <w:r>
        <w:rPr>
          <w:rFonts w:ascii="宋体" w:hAnsi="宋体"/>
          <w:sz w:val="24"/>
        </w:rPr>
        <w:t>策略、期限结构配置策略、类属配置策略、骑乘策略、杠杆放大策略和换</w:t>
      </w:r>
      <w:proofErr w:type="gramStart"/>
      <w:r>
        <w:rPr>
          <w:rFonts w:ascii="宋体" w:hAnsi="宋体"/>
          <w:sz w:val="24"/>
        </w:rPr>
        <w:t>券</w:t>
      </w:r>
      <w:proofErr w:type="gramEnd"/>
      <w:r>
        <w:rPr>
          <w:rFonts w:ascii="宋体" w:hAnsi="宋体"/>
          <w:sz w:val="24"/>
        </w:rPr>
        <w:t>等多种策略，获取债券市场的长期稳定收益。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4、权证投资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5、资产支持证券投资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本基金投资资产支持证券将综合</w:t>
      </w:r>
      <w:proofErr w:type="gramStart"/>
      <w:r>
        <w:rPr>
          <w:rFonts w:ascii="宋体" w:hAnsi="宋体"/>
          <w:sz w:val="24"/>
        </w:rPr>
        <w:t>运用久期管理</w:t>
      </w:r>
      <w:proofErr w:type="gramEnd"/>
      <w:r>
        <w:rPr>
          <w:rFonts w:ascii="宋体" w:hAnsi="宋体"/>
          <w:sz w:val="24"/>
        </w:rPr>
        <w:t>、收益率曲线、</w:t>
      </w:r>
      <w:proofErr w:type="gramStart"/>
      <w:r>
        <w:rPr>
          <w:rFonts w:ascii="宋体" w:hAnsi="宋体"/>
          <w:sz w:val="24"/>
        </w:rPr>
        <w:t>个券</w:t>
      </w:r>
      <w:proofErr w:type="gramEnd"/>
      <w:r>
        <w:rPr>
          <w:rFonts w:ascii="宋体" w:hAnsi="宋体"/>
          <w:sz w:val="24"/>
        </w:rPr>
        <w:t>选择和把握市场交易机会等积极策略，在严格控制风险的情况下，通过信用研究和流动性管理，选择风险调整后的收益高的品种进行投资，以期获得长期稳定收益。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6、股指期货投资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w:t>
      </w:r>
      <w:proofErr w:type="gramStart"/>
      <w:r>
        <w:rPr>
          <w:rFonts w:ascii="宋体" w:hAnsi="宋体"/>
          <w:sz w:val="24"/>
        </w:rPr>
        <w:t>含存托</w:t>
      </w:r>
      <w:proofErr w:type="gramEnd"/>
      <w:r>
        <w:rPr>
          <w:rFonts w:ascii="宋体" w:hAnsi="宋体"/>
          <w:sz w:val="24"/>
        </w:rPr>
        <w:t>凭证）占基金资产的60%-95%，其中投资于经过严格品质筛选、未来预期成长性良好的公司股票不低于非现金基金资产的80%；其余资产投资于债券、中期票据、货币市场工具、权证、资产支持证券、股指期货以及法律法规或中国证监会允许基金投资的其他证券品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（2）每个交易日日终在扣除股指期货合约需缴纳的交易保证金后，保持不低于基金资产净值5%的现金或者到期日在一年以内的政府债券，其中现金不包括结算备付金、存出保证金和应收申购款等；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（3）本基金持有一家上市公司的股票，其市值不超过基金资产净值的10%；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（6）本基金管理人管理的全部基金持有的同一权证，不得超过该权证的 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w:t>
      </w:r>
      <w:r>
        <w:rPr>
          <w:rFonts w:ascii="宋体" w:hAnsi="宋体"/>
          <w:sz w:val="24"/>
        </w:rPr>
        <w:lastRenderedPageBreak/>
        <w:t>净值的0.5%；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（15）本基金在任何交易日日终，持有的买入股指期货合约价值，不得超过基金资产净值的10%；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（17）本基金在任何交易日日终，持有的卖出期货合约价值不得超过基金持有的股票总市值的20%；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（18）本基金所持有的股票市值和买入、卖出股指期货合约价值，合计（轧差计算）应当符合基金合同关于股票投资比例的有关约定，即占基金资产的60%-95%；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（19）本基金在任何交易日内交易（不包括平仓）的股指期货合约的成交金额不得超过上一交易日基金资产净值的20%；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（20）本基金管理人管理的全部开放式基金（包括开放式基金以及处于开放期的定期开放基金）持有一家上市公司发行的可流通股票，不得超过该上市公司可流</w:t>
      </w:r>
      <w:r>
        <w:rPr>
          <w:rFonts w:ascii="宋体" w:hAnsi="宋体"/>
          <w:sz w:val="24"/>
        </w:rPr>
        <w:lastRenderedPageBreak/>
        <w:t>通股票的15%；本基金管理人管理的全部投资组合持有一家上市公司发行的可流通股票，不得超过该上市公司可流通股票的30%；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（22）本基金与私募类</w:t>
      </w:r>
      <w:proofErr w:type="gramStart"/>
      <w:r>
        <w:rPr>
          <w:rFonts w:ascii="宋体" w:hAnsi="宋体"/>
          <w:sz w:val="24"/>
        </w:rPr>
        <w:t>证券资管产品</w:t>
      </w:r>
      <w:proofErr w:type="gramEnd"/>
      <w:r>
        <w:rPr>
          <w:rFonts w:ascii="宋体" w:hAnsi="宋体"/>
          <w:sz w:val="24"/>
        </w:rPr>
        <w:t>及中国证监会认定的其他主体为交易对手开展逆回购交易的，可接受质押品的资质要求应当与基金合同约定的投资范围保持一致；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（23）本基金投资存托凭证的比例限制依照境内上市交易的股票执行；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（24）法律法规及中国证监会规定的和《基金合同》约定的其他投资限制。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12）、（21）、（22）项以外，因证券、期货市场波动、证券发行人合并、基金规模变动、股权分置改革中支付对价等基金管理人之外的因素致使基金投资比例不符合上述规定投资比例的，基金管理人应当在10个交易日内进行调整。法律法规另有规定的，从其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基金管理人应当自基金合同生效之日起6个月内使基金的投资组合比例符合基金合同的有关约定。基金托管人对基金的投资的监督与检查自基金合同生效之日起开始。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如法律、行政法规或监管部门取消上述禁止性规定，如适用于本基金，基金管理人在履行适当程序后，本基金可不受上述规定的限制。</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（五）业绩比较基准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75%×富时中国A600成长指数+25%×中证综合债券指数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其中股票投资比较基准为富时中国A600成长指数，债券投资比较基准为中证综合债券指数。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本基金采用富时中国A600成长指数作为股票投资部分的业绩比较基准主要基于以下原因：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富时中国A600成长指数是富时依据国际指数编制标准，结合中国的实际情况为中国资本市场编制的富时中国风格指数系列之一，旨在反映以收益和收入增长特征为主的、具有可识别成长特点的股票投资组合。富时中国风格指数系列于2003年12月12日开始计算，于2004年4月30日正式发布。富时中国A600成长指数具有以下特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1、本基金的股票投资对象是具有高成长特性的行业和股票，而富时中国A600成长指数具有相似的风格；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2、该指数遵循富时指数一致的基本编制方法，保证全球范围内的可比性；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3、该指数编制方法的透明度高；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4、该指数遵循全球行业分类标准（GICS），容易被全球投资者广泛接受。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此，富时中国A600成长指数是目前衡量本基金股票投资业绩的理想基准。同时，根据本基金的目标资产配置比例来分配权重，本基金的业绩比较基准中加入了中证综合债券指数并按照本基金的目标资产配置比例来安排。</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（六）风险收益特征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其风险和预期收益高于债券型基金和货币市场基金，低于股票型基金。属于承担较高风险、预期收益较高的证券投资基金品种。根据2017年7月1日施行的《证券期货投资者适当性管理办法》，基金管理人和销售机构已对本基金重新进行风险评级。风险评级行为不改变本基金的实质性风险收益特</w:t>
      </w:r>
      <w:r>
        <w:rPr>
          <w:rFonts w:ascii="宋体" w:hAnsi="宋体"/>
          <w:sz w:val="24"/>
        </w:rPr>
        <w:lastRenderedPageBreak/>
        <w:t>征。但由于风险等级分类标准的变化，本基金的风险等级表述可能有相应变化，具体风险评级结果应以基金管理人和销售机构提供的评级结果为准。</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（七）基金管理人代表基金行使股东及债权人权利的处理原则及方法</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1、基金管理人按照国家有关规定代表基金独立行使股东及债权人权利，保护基金份额持有人的利益；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（八）基金的融资融券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本基金可以根据有关法律法规和政策的有关规定进行融资、融券。</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（九）投资决策依据和投资流程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w:t>
      </w:r>
      <w:proofErr w:type="gramStart"/>
      <w:r>
        <w:rPr>
          <w:rFonts w:ascii="宋体" w:hAnsi="宋体"/>
          <w:sz w:val="24"/>
        </w:rPr>
        <w:t>规</w:t>
      </w:r>
      <w:proofErr w:type="gramEnd"/>
      <w:r>
        <w:rPr>
          <w:rFonts w:ascii="宋体" w:hAnsi="宋体"/>
          <w:sz w:val="24"/>
        </w:rPr>
        <w:t>的前提下得到高效的执行。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w:t>
      </w:r>
      <w:r>
        <w:rPr>
          <w:rFonts w:ascii="宋体" w:hAnsi="宋体"/>
          <w:sz w:val="24"/>
        </w:rPr>
        <w:lastRenderedPageBreak/>
        <w:t>作，又责任明确，在各自职责内按照业务程序独立工作并合理地相互制衡。具体的投资管理程序如下：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w:t>
      </w:r>
      <w:proofErr w:type="gramStart"/>
      <w:r>
        <w:rPr>
          <w:rFonts w:ascii="宋体" w:hAnsi="宋体"/>
          <w:sz w:val="24"/>
        </w:rPr>
        <w:t>通过风控系统</w:t>
      </w:r>
      <w:proofErr w:type="gramEnd"/>
      <w:r>
        <w:rPr>
          <w:rFonts w:ascii="宋体" w:hAnsi="宋体"/>
          <w:sz w:val="24"/>
        </w:rPr>
        <w:t>的自动合</w:t>
      </w:r>
      <w:proofErr w:type="gramStart"/>
      <w:r>
        <w:rPr>
          <w:rFonts w:ascii="宋体" w:hAnsi="宋体"/>
          <w:sz w:val="24"/>
        </w:rPr>
        <w:t>规</w:t>
      </w:r>
      <w:proofErr w:type="gramEnd"/>
      <w:r>
        <w:rPr>
          <w:rFonts w:ascii="宋体" w:hAnsi="宋体"/>
          <w:sz w:val="24"/>
        </w:rPr>
        <w:t>核查后，由中央交易室执行，中央交易室对交易情况及时反馈；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w:t>
      </w:r>
      <w:proofErr w:type="gramStart"/>
      <w:r>
        <w:rPr>
          <w:rFonts w:ascii="宋体" w:hAnsi="宋体"/>
          <w:sz w:val="24"/>
        </w:rPr>
        <w:t>作出</w:t>
      </w:r>
      <w:proofErr w:type="gramEnd"/>
      <w:r>
        <w:rPr>
          <w:rFonts w:ascii="宋体" w:hAnsi="宋体"/>
          <w:sz w:val="24"/>
        </w:rPr>
        <w:t>调整。</w:t>
      </w:r>
    </w:p>
    <w:p w:rsidR="002A5B28" w:rsidRDefault="00A82654">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（十）基金投资组合报告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本基金托管人招商银行根据本基金合同规定，于2023年04月20日复核了本报告中的财务指标、净值表现和投资组合报告等内容，保证复核内容不存在虚假记载、误导性陈述或者重大遗漏。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本报告期为2023年01月01日至03月31日。本报告财务资料未经审计师审计。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9,155,944,940.51</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89.62</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9,155,944,940.51</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89.62</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582,682,242.01</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5.70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582,682,242.01</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5.70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w:t>
            </w:r>
            <w:proofErr w:type="gramStart"/>
            <w:r>
              <w:rPr>
                <w:rFonts w:ascii="Times New Roman" w:hAnsi="Times New Roman"/>
                <w:color w:val="000000"/>
                <w:kern w:val="0"/>
                <w:sz w:val="25"/>
                <w:szCs w:val="24"/>
              </w:rPr>
              <w:t>品投资</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452,498,836.93</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4.43</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25,399,394.11</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0.25</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10,216,525,413.56</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60,254.28</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5,575,121,679.45</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55.14</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150,220,002.48</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1.49</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107,715.03</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510,090.28</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658,923,291.04</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6.52</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362,036,266.91</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3.58</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255,376.17</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433,244,997.08</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4.28</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43,810.16</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1,151,669,334.51</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11.39</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185,383.79</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823,442,974.94</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8.14</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R</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123,764.39</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9,155,944,940.51</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90.55</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12"/>
        <w:gridCol w:w="1594"/>
        <w:gridCol w:w="1594"/>
        <w:gridCol w:w="1595"/>
        <w:gridCol w:w="1760"/>
        <w:gridCol w:w="1595"/>
      </w:tblGrid>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600519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贵州茅台</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550,062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1,001,112,840.00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9.90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300750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宁德时代</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2,365,995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960,712,269.75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9.50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002304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洋河股份</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5,279,873</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873,607,786.58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8.64</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603882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金域医学</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9,103,044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798,720,616.40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7.90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600690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海尔智家</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30,639,361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694,900,707.48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6.87</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002352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顺丰控股</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11,896,888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658,849,657.44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6.52</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603259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proofErr w:type="gramStart"/>
            <w:r>
              <w:rPr>
                <w:rFonts w:ascii="Times New Roman" w:hAnsi="Times New Roman"/>
                <w:color w:val="000000"/>
                <w:kern w:val="0"/>
                <w:sz w:val="25"/>
                <w:szCs w:val="24"/>
              </w:rPr>
              <w:t>药明康德</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7,954,180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632,357,310.00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6.25</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300347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泰格医药</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5,388,511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515,734,387.81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5.10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600809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山西汾酒</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1,836,327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500,215,474.80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4.95</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600309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万华化学</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3,886,018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372,591,405.84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3.68</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582,678,893.56</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5.76</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582,678,893.56</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5.76</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w:t>
            </w:r>
            <w:proofErr w:type="gramStart"/>
            <w:r>
              <w:rPr>
                <w:rFonts w:ascii="Times New Roman" w:hAnsi="Times New Roman"/>
                <w:color w:val="000000"/>
                <w:kern w:val="0"/>
                <w:sz w:val="25"/>
                <w:szCs w:val="24"/>
              </w:rPr>
              <w:t>券</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3,348.45</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582,682,242.01</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5.76</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2204109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农发贴现</w:t>
            </w:r>
            <w:r>
              <w:rPr>
                <w:rFonts w:ascii="Times New Roman" w:hAnsi="Times New Roman"/>
                <w:color w:val="000000"/>
                <w:kern w:val="0"/>
                <w:sz w:val="25"/>
                <w:szCs w:val="24"/>
              </w:rPr>
              <w:t>09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2,200,000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219,501,049.72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2.17</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220408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08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2,000,000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201,400,547.95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1.99</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220206</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国开</w:t>
            </w:r>
            <w:r>
              <w:rPr>
                <w:rFonts w:ascii="Times New Roman" w:hAnsi="Times New Roman"/>
                <w:color w:val="000000"/>
                <w:kern w:val="0"/>
                <w:sz w:val="25"/>
                <w:szCs w:val="24"/>
              </w:rPr>
              <w:t>06</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900,000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91,376,358.90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0.90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220411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700,000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70,400,936.99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0.70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113665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汇通转债</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2,348.41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11.2 基金投资的前十名股票是否超出基金合同规定的备选股票库</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2,319,422.00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15,252,987.02</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7,826,985.09</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25,399,394.11</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w:t>
      </w:r>
      <w:proofErr w:type="gramStart"/>
      <w:r>
        <w:rPr>
          <w:rFonts w:ascii="宋体" w:hAnsi="宋体"/>
          <w:sz w:val="24"/>
        </w:rPr>
        <w:t>期末前</w:t>
      </w:r>
      <w:proofErr w:type="gramEnd"/>
      <w:r>
        <w:rPr>
          <w:rFonts w:ascii="宋体" w:hAnsi="宋体"/>
          <w:sz w:val="24"/>
        </w:rPr>
        <w:t>十名股票中存在流通受限情况的说明</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流通受限部分的公允价值（元）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流通受限情况说明</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603882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金域医学</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99,643,240.00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0.99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right"/>
              <w:rPr>
                <w:rFonts w:ascii="宋体" w:hAnsi="宋体"/>
                <w:color w:val="000000"/>
                <w:kern w:val="0"/>
                <w:sz w:val="25"/>
                <w:szCs w:val="24"/>
              </w:rPr>
            </w:pPr>
            <w:r>
              <w:rPr>
                <w:rFonts w:ascii="Times New Roman" w:hAnsi="Times New Roman"/>
                <w:color w:val="000000"/>
                <w:kern w:val="0"/>
                <w:sz w:val="25"/>
                <w:szCs w:val="24"/>
              </w:rPr>
              <w:t>限售股</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14" w:name="_Toc135751490"/>
      <w:r>
        <w:rPr>
          <w:rFonts w:ascii="Times New Roman" w:hAnsi="Times New Roman"/>
          <w:sz w:val="30"/>
        </w:rPr>
        <w:lastRenderedPageBreak/>
        <w:t>十一、基金的业绩</w:t>
      </w:r>
      <w:bookmarkEnd w:id="14"/>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2.15%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0.97%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2.43%</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-0.28%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0.27%</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-15.08%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1.38%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-19.40%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1.16%</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4.32%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0.22%</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3.67%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1.30%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0.48%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1.10%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3.19%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55.98%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33.43%</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22.55%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0.13%</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58.20%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1.10%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36.62%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1.01%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21.58%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-15.99%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-23.70%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7.71%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0.39%</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33.59%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10.32%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0.55%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23.27%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0.25%</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2.44%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1.65%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-14.95%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1.27%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17.39%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0.38%</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66.11%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2.64%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16.29%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1.96%</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49.82%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0.68%</w:t>
            </w:r>
          </w:p>
        </w:tc>
      </w:tr>
      <w:tr w:rsidR="002A5B28">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r>
              <w:rPr>
                <w:rFonts w:ascii="Times New Roman" w:hAnsi="Times New Roman"/>
                <w:color w:val="000000"/>
                <w:kern w:val="0"/>
                <w:sz w:val="25"/>
                <w:szCs w:val="24"/>
              </w:rPr>
              <w:t>2014</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月</w:t>
            </w:r>
            <w:r>
              <w:rPr>
                <w:rFonts w:ascii="Times New Roman" w:hAnsi="Times New Roman"/>
                <w:color w:val="000000"/>
                <w:kern w:val="0"/>
                <w:sz w:val="25"/>
                <w:szCs w:val="24"/>
              </w:rPr>
              <w:t>9</w:t>
            </w:r>
            <w:r>
              <w:rPr>
                <w:rFonts w:ascii="Times New Roman" w:hAnsi="Times New Roman"/>
                <w:color w:val="000000"/>
                <w:kern w:val="0"/>
                <w:sz w:val="25"/>
                <w:szCs w:val="24"/>
              </w:rPr>
              <w:t>日至</w:t>
            </w:r>
            <w:r>
              <w:rPr>
                <w:rFonts w:ascii="Times New Roman" w:hAnsi="Times New Roman"/>
                <w:color w:val="000000"/>
                <w:kern w:val="0"/>
                <w:sz w:val="25"/>
                <w:szCs w:val="24"/>
              </w:rPr>
              <w:t>2014</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8.60%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0.87%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29.10%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0.81%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-20.50%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r>
    </w:tbl>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业绩比较基准自2015年10月1日起，由“75%×富时中国A600成长指数+25%×中信标普全债指数”变更为“75%×富时中国A600成长指数+25%×中证综合债券指数”，下图同。详情见本基金管理人于2015年9月28日发布的《交银施罗德基金管理有限公司关于旗下部分基金业绩比较基准变更并修改基金合同相关内容的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2A5B28" w:rsidRDefault="00A82654">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交银施罗德新成长混合型证券投资基金</w:t>
      </w:r>
    </w:p>
    <w:p w:rsidR="002A5B28" w:rsidRDefault="00A82654">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lastRenderedPageBreak/>
        <w:t>份额累计净值增长率与业绩比较基准收益率的历史走势对比图</w:t>
      </w:r>
    </w:p>
    <w:p w:rsidR="002A5B28" w:rsidRDefault="00A82654">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（2014年5月9日至2023年03月31日）</w:t>
      </w:r>
    </w:p>
    <w:p w:rsidR="002A5B28" w:rsidRDefault="00375F3C">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62600" cy="3429000"/>
            <wp:effectExtent l="0" t="0" r="0" b="0"/>
            <wp:docPr id="3"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3429000"/>
                    </a:xfrm>
                    <a:prstGeom prst="rect">
                      <a:avLst/>
                    </a:prstGeom>
                    <a:noFill/>
                    <a:ln>
                      <a:noFill/>
                    </a:ln>
                  </pic:spPr>
                </pic:pic>
              </a:graphicData>
            </a:graphic>
          </wp:inline>
        </w:drawing>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15" w:name="_Toc135751491"/>
      <w:r>
        <w:rPr>
          <w:rFonts w:ascii="Times New Roman" w:hAnsi="Times New Roman"/>
          <w:sz w:val="30"/>
        </w:rPr>
        <w:lastRenderedPageBreak/>
        <w:t>十二、基金的财产</w:t>
      </w:r>
      <w:bookmarkEnd w:id="15"/>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基金资产总值是指基金拥有的各类有价证券、银行存款本息、基金应收申购款及其他资产的价值总和。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sz w:val="24"/>
        </w:rPr>
        <w:t>律法规</w:t>
      </w:r>
      <w:proofErr w:type="gramEnd"/>
      <w:r>
        <w:rPr>
          <w:rFonts w:ascii="宋体" w:hAnsi="宋体"/>
          <w:sz w:val="24"/>
        </w:rPr>
        <w:t>和《基金合同》的规定处分外，基金财产不得被处分。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sz w:val="24"/>
        </w:rPr>
        <w:t>抵销</w:t>
      </w:r>
      <w:proofErr w:type="gramEnd"/>
      <w:r>
        <w:rPr>
          <w:rFonts w:ascii="宋体" w:hAnsi="宋体"/>
          <w:sz w:val="24"/>
        </w:rPr>
        <w:t>；基金管理人管理运作不同基金的基金财产所产生的债权债务不得相互</w:t>
      </w:r>
      <w:proofErr w:type="gramStart"/>
      <w:r>
        <w:rPr>
          <w:rFonts w:ascii="宋体" w:hAnsi="宋体"/>
          <w:sz w:val="24"/>
        </w:rPr>
        <w:t>抵销</w:t>
      </w:r>
      <w:proofErr w:type="gramEnd"/>
      <w:r>
        <w:rPr>
          <w:rFonts w:ascii="宋体" w:hAnsi="宋体"/>
          <w:sz w:val="24"/>
        </w:rPr>
        <w:t>。</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16" w:name="_Toc135751492"/>
      <w:r>
        <w:rPr>
          <w:rFonts w:ascii="Times New Roman" w:hAnsi="Times New Roman"/>
          <w:sz w:val="30"/>
        </w:rPr>
        <w:lastRenderedPageBreak/>
        <w:t>十三、基金资产的估值</w:t>
      </w:r>
      <w:bookmarkEnd w:id="16"/>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w:t>
      </w:r>
      <w:proofErr w:type="gramStart"/>
      <w:r>
        <w:rPr>
          <w:rFonts w:ascii="宋体" w:hAnsi="宋体"/>
          <w:sz w:val="24"/>
        </w:rPr>
        <w:t>非交易</w:t>
      </w:r>
      <w:proofErr w:type="gramEnd"/>
      <w:r>
        <w:rPr>
          <w:rFonts w:ascii="宋体" w:hAnsi="宋体"/>
          <w:sz w:val="24"/>
        </w:rPr>
        <w:t>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（二）估值对象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基金所拥有的股票、权证、债券、股指期货合约和银行存款本息、应收款项、其它投资等资产及负债。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（三）估值依据及原则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应符合基金合同、《证券投资基金会计核算业务指引》、证监会计字[2007]21号《关于证券投资基金执行&lt;企业会计准则&gt;估值业务及份额净值计价有关事项的通知》、中国证监会[2008]38号公告《关于进一步规范证券投资基金估值业务的指导意见》及其他法律、法规的规定，如法律法规未做明确规定的，参照证券投资基金的行业通行做法处理。资产管理人、资产托管人的估值数据应依据合法的数据来源独立取得。对于固定收益类投资品种的估值应依据中国证券业协会基金估值工作小组的指导意见及指导价格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估值的基本原则：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对存在活跃市场的投资品种，如估值日有市价的，应采用市价确定公允价值。估值日无市价，但最近交易日后经济环境未发生重大变化且证券发行机构未发生影响证券价格的重大事件的，应采用最近交易市价确定公允价值。如估值日无市价，且最近交易日后经济环境发生了重大变化且证券发行机构发生了影响证券价格的重大事件的，应参考类似投资品种的现行市价及重大变化因素，调整最近交易市价，确定公允价值。有充足证据表明最近交易市价不能真实反映公允价值的，应对最近交易的市价进行调整，确定公允价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对不存在活跃市场的投资品种，应采用市场参与者普遍认同，且被以往市场实际交易价格验证具有可靠性的估值技术确定公允价值。运用估值技术得出的结果，应反映估值日在公平条件下进行正常商业交易所采用的交易价格。采用估值技术确定公允价值时，应尽可能使用市场参与者在定价时考虑的所有市场参数，并应通过定期校验，确保估值技术的有效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（3）有充足理由表明按以上估值原则仍不能客观反映相关投资品种的公允价</w:t>
      </w:r>
      <w:r>
        <w:rPr>
          <w:rFonts w:ascii="宋体" w:hAnsi="宋体"/>
          <w:sz w:val="24"/>
        </w:rPr>
        <w:lastRenderedPageBreak/>
        <w:t>值的，资产管理人应根据具体情况与托管人进行商定，按最能恰当反映公允价值的价格估值。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（四）估值方法</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（4）交易所上市不存在活跃市场的有价证券，采用估值技术确定公允价值。交易所上市的资产支持证券，采用估值技术确定公允价值，在估值技术难以可靠计量公允价值的情况下，按成本估值。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（2）首次公开发行未上市的股票、债券和权证，采用估值技术确定公允价值，在估值技术难以可靠计量公允价值的情况下，按成本估值；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（3）首次公开发行有明确锁定期的股票，同一股票在交易所上市后，按交易所上市的同一股票的估值方法估值；非公开发行有明确锁定期的股票，按监管机构或行业协会有关规定确定公允价值。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3、全国银行间债券市场交易的债券、资产支持证券等固定收益品种，采用估值技术确定公允价值。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4、同一债券同时在两个或两个以上市场交易的，按债券所处的市场分别估值。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5、本基金投资股指期货合约，一般以估值当日结算价进行估值，估值当日无结算价的，且最近交易日后经济环境未发生重大变化的，采用最近交易日结算价估值。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7、本基金投资存托凭证的估值核算依照境内上市交易的股票执行。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8、相关法律法规以及监管部门有强制规定的，从其规定。如有新增事项，按法律法规以及监管部门最新规定估值。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1、基金份额净值是按照每个工作日闭市后，基金资产净值除以当日基金份额的余额数量计算，精确到0.001元，小数点后第四位四舍五入。国家另有规定的，从其规定。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基金管理人于每个工作日计算基金资产净值及基金份额净值，并按规定公告。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w:t>
      </w:r>
      <w:proofErr w:type="gramStart"/>
      <w:r>
        <w:rPr>
          <w:rFonts w:ascii="宋体" w:hAnsi="宋体"/>
          <w:sz w:val="24"/>
        </w:rPr>
        <w:t>应每个</w:t>
      </w:r>
      <w:proofErr w:type="gramEnd"/>
      <w:r>
        <w:rPr>
          <w:rFonts w:ascii="宋体" w:hAnsi="宋体"/>
          <w:sz w:val="24"/>
        </w:rPr>
        <w:t>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（六）估值错误的处理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基金管理人和基金托管人将采取必要、适当、合理的措施确保基金资产估值的准确性、及时性。当基金份额净值小数点后第3位以内（含第3位）发生估值错误时，视为基金份额净值错误。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w:t>
      </w:r>
      <w:proofErr w:type="gramStart"/>
      <w:r>
        <w:rPr>
          <w:rFonts w:ascii="宋体" w:hAnsi="宋体"/>
          <w:sz w:val="24"/>
        </w:rPr>
        <w:t>基金基金</w:t>
      </w:r>
      <w:proofErr w:type="gramEnd"/>
      <w:r>
        <w:rPr>
          <w:rFonts w:ascii="宋体" w:hAnsi="宋体"/>
          <w:sz w:val="24"/>
        </w:rPr>
        <w:t>合同的当事人应按照以下约定处理：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w:t>
      </w:r>
      <w:proofErr w:type="gramStart"/>
      <w:r>
        <w:rPr>
          <w:rFonts w:ascii="宋体" w:hAnsi="宋体"/>
          <w:sz w:val="24"/>
        </w:rPr>
        <w:t>不</w:t>
      </w:r>
      <w:proofErr w:type="gramEnd"/>
      <w:r>
        <w:rPr>
          <w:rFonts w:ascii="宋体" w:hAnsi="宋体"/>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（2）根据估值错误处理原则或当事人协商的方法对因估值错误造成的损失进行评估；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（七）暂停估值的情形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4、占基金相当比例的投资品种的估值出现重大转变，而基金管理人为保障基金份额持有人的利益，已决定延迟估值；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5、中国证监会和基金合同认定的其它情形。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（八）基金净值的确认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（九）特殊情形的处理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1、基金管理人或基金托管人按估值方法的第6项进行估值时，所造成的误差不</w:t>
      </w:r>
      <w:r>
        <w:rPr>
          <w:rFonts w:ascii="宋体" w:hAnsi="宋体"/>
          <w:sz w:val="24"/>
        </w:rPr>
        <w:lastRenderedPageBreak/>
        <w:t>作为基金资产估值错误处理。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17" w:name="_Toc135751493"/>
      <w:r>
        <w:rPr>
          <w:rFonts w:ascii="Times New Roman" w:hAnsi="Times New Roman"/>
          <w:sz w:val="30"/>
        </w:rPr>
        <w:lastRenderedPageBreak/>
        <w:t>十四、基金收益与分配</w:t>
      </w:r>
      <w:bookmarkEnd w:id="17"/>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符合有关基金分红条件的前提下，本基金每年收益分配次数最多为10次，每份基金份额每次分配比例不得低于收益分配基准日每份基金份额可供分配利润的10%，若《基金合同》生效不满3个月可不进行收益分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2、本基金收益分配方式分两种：现金分红与红利再投资，投资者可选择现金红利或将现金红利自动转为基金份额进行再投资；若投资者不选择，本基金默认的收益分配方式是现金分红；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3、基金收益分配后基金份额净值不能低于面值，即基金收益分配基准日的基金份额净值减去每单位基金份额收益分配金额后不能低于面值；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4、每一基金份额享有同等分配权；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w:t>
      </w:r>
      <w:proofErr w:type="gramStart"/>
      <w:r>
        <w:rPr>
          <w:rFonts w:ascii="宋体" w:hAnsi="宋体"/>
          <w:sz w:val="24"/>
        </w:rPr>
        <w:t>日距离</w:t>
      </w:r>
      <w:proofErr w:type="gramEnd"/>
      <w:r>
        <w:rPr>
          <w:rFonts w:ascii="宋体" w:hAnsi="宋体"/>
          <w:sz w:val="24"/>
        </w:rPr>
        <w:t>收益分配基准日（即可供分配利润计算截止日）的时间不得超过15个工作日。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法律法规或监管机关另有规定的，从其规定。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w:t>
      </w:r>
      <w:r>
        <w:rPr>
          <w:rFonts w:ascii="宋体" w:hAnsi="宋体"/>
          <w:sz w:val="24"/>
        </w:rPr>
        <w:lastRenderedPageBreak/>
        <w:t>者的现金红利小于一定金额，不足以支付银行转账或其他手续费用时，登记机构可将基金份额持有人的现金红利自动转为基金份额。红利再投资的计算方法，依照《业务规则》执行。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18" w:name="_Toc135751494"/>
      <w:r>
        <w:rPr>
          <w:rFonts w:ascii="Times New Roman" w:hAnsi="Times New Roman"/>
          <w:sz w:val="30"/>
        </w:rPr>
        <w:lastRenderedPageBreak/>
        <w:t>十五、基金的费用与税收</w:t>
      </w:r>
      <w:bookmarkEnd w:id="18"/>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4、《基金合同》生效后与基金相关的会计师费、律师费和诉讼费；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6、基金的证券、期货交易费用；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9、按照国家有关规定和《基金合同》约定，可以在基金财产中列支的其他费用。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本基金的管理费按前一日基金资产净值的1.</w:t>
      </w:r>
      <w:r w:rsidR="00FE0023">
        <w:rPr>
          <w:rFonts w:ascii="宋体" w:hAnsi="宋体"/>
          <w:sz w:val="24"/>
        </w:rPr>
        <w:t>2</w:t>
      </w:r>
      <w:r>
        <w:rPr>
          <w:rFonts w:ascii="宋体" w:hAnsi="宋体"/>
          <w:sz w:val="24"/>
        </w:rPr>
        <w:t>%年费率计提。管理费的计算方法如下：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H＝E×1.</w:t>
      </w:r>
      <w:r w:rsidR="00FE0023">
        <w:rPr>
          <w:rFonts w:ascii="宋体" w:hAnsi="宋体"/>
          <w:sz w:val="24"/>
        </w:rPr>
        <w:t>2</w:t>
      </w:r>
      <w:r>
        <w:rPr>
          <w:rFonts w:ascii="宋体" w:hAnsi="宋体"/>
          <w:sz w:val="24"/>
        </w:rPr>
        <w:t>%÷当年天数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算，逐日累计至每月月末，按月支付，由基金管理人与基金托管人核对一致后，基金托管人于次月前5个工作日内从基金财产中一次性支付给基金管理人。若遇法定节假日、公休假或不可抗力致使无法按时支付的，支付日期顺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本基金的托管费按前一日基金资产净值的0.2%的年费率计提。托管费的计算方法如下：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H＝E×0.2%÷当年天数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E为前一日的基金资产净值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算，逐日累计至每月月末，按月支付，由基金管理人与基金托管人核对一致后，基金托管人于次月前5个工作日内从基金财产中一次性支取。若遇法定节假日、公休日或不可抗力致使无法按时支付的，支付日期顺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账户开户费用：证券账户开户费由基金托管人在开户时先行垫付，产品在证券账户开户后一个月内成立的，自证券账户开户后一个月内由基金托管人从委托资产中扣划；如证券账户开户后一个月内产品未能成立，由基金管理人在收到基金托管人缴费通知后的5个工作日内支付给基金托管人，基金托管人不承担垫付开户费用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3、上述“（一）基金费用的种类中第3－9项费用”，根据有关法规及相应协议规定，按费用实际支出金额列入当期费用，由基金托管人从基金财产中支付。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（四）基金管理人和基金托管人可根据基金发展情况调整基金管理费率、基金托管费率等相关费率。降低基金管理费率、基金托管费率，无须召开基金份额持有</w:t>
      </w:r>
      <w:r>
        <w:rPr>
          <w:rFonts w:ascii="宋体" w:hAnsi="宋体"/>
          <w:sz w:val="24"/>
        </w:rPr>
        <w:lastRenderedPageBreak/>
        <w:t>人大会。基金管理人必须依照有关规定于新的费率实施日前在指定媒介上刊登公告。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（五）基金税收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19" w:name="_Toc135751495"/>
      <w:r>
        <w:rPr>
          <w:rFonts w:ascii="Times New Roman" w:hAnsi="Times New Roman"/>
          <w:sz w:val="30"/>
        </w:rPr>
        <w:lastRenderedPageBreak/>
        <w:t>十六、基金的会计与审计</w:t>
      </w:r>
      <w:bookmarkEnd w:id="19"/>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1、基金管理人聘请与基金管理人、基金托管人相互独立的具有证券、期货相关从业资格的会计师事务所及其注册会计师对本基金的年度财务报表进行审计。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20" w:name="_Toc135751496"/>
      <w:r>
        <w:rPr>
          <w:rFonts w:ascii="Times New Roman" w:hAnsi="Times New Roman"/>
          <w:sz w:val="30"/>
        </w:rPr>
        <w:lastRenderedPageBreak/>
        <w:t>十七、基金的信息披露</w:t>
      </w:r>
      <w:bookmarkEnd w:id="20"/>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（一）本基金的信息披露应符合《基金法》、《运作办法》、《信息披露办法》、《流动性规定》、《基金合同》及其他有关规定。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（四）本基金公开披露的信息应采用中文文本。同时采用外文文本的，基金信息披露义务人应保证不同文本的内容一致。不同文本之间发生歧义的，以中文文本为准。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（1）《基金合同》是界定《基金合同》当事人的各项权利、义务关系，明确基金份额持有人大会召开的规则及具体程序，说明基金产品的特性等涉及基金投资者重大利益的事项的法律文件。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《基金合同》生效后，在开始办理基金份额申购或者赎回前，基金管理人应当至少每周在指定网站披露一次基金份额净值和基金份额累计净值。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在开始办理基金份额申购或者赎回后，基金管理人应当在不晚于每个开放日的次日，通过指定网站、基金销售机构网站或者营业网点披露开放日的基金份额净值和基金份额累计净值。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基金管理人应当在不晚于半年度和年度最后一日的次日，在指定网站披露半年度和年度最后一日的基金份额净值和基金份额累计净值。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w:t>
      </w:r>
      <w:proofErr w:type="gramStart"/>
      <w:r>
        <w:rPr>
          <w:rFonts w:ascii="宋体" w:hAnsi="宋体"/>
          <w:sz w:val="24"/>
        </w:rPr>
        <w:t>明基金</w:t>
      </w:r>
      <w:proofErr w:type="gramEnd"/>
      <w:r>
        <w:rPr>
          <w:rFonts w:ascii="宋体" w:hAnsi="宋体"/>
          <w:sz w:val="24"/>
        </w:rPr>
        <w:t>份额申购、赎回价格的计算方式及有关申购、赎回费率，并保证投资者能够在基金销售机构网站或营业网点查阅或者复制前述信息资料。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前款所称重大事件，是指可能对基金份额持有人权益或者基金份额的价格产生重大影响的下列事件：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（15）管理费、托管费、申购费、赎回费等费用计提标准、计提方式和费率发生变更；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（16）基金份额净值计价错误</w:t>
      </w:r>
      <w:proofErr w:type="gramStart"/>
      <w:r>
        <w:rPr>
          <w:rFonts w:ascii="宋体" w:hAnsi="宋体"/>
          <w:sz w:val="24"/>
        </w:rPr>
        <w:t>达基金</w:t>
      </w:r>
      <w:proofErr w:type="gramEnd"/>
      <w:r>
        <w:rPr>
          <w:rFonts w:ascii="宋体" w:hAnsi="宋体"/>
          <w:sz w:val="24"/>
        </w:rPr>
        <w:t>份额净值百分之零点五；</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（18）本基金发生巨额赎回并延期办理；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（22）基金信息披露义务人认为可能对基金份额持有人权益或者基金份额的价格产生重大影响的其他事项或中国证监会规定的其他事项。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w:t>
      </w:r>
      <w:proofErr w:type="gramStart"/>
      <w:r>
        <w:rPr>
          <w:rFonts w:ascii="宋体" w:hAnsi="宋体"/>
          <w:sz w:val="24"/>
        </w:rPr>
        <w:t>作出</w:t>
      </w:r>
      <w:proofErr w:type="gramEnd"/>
      <w:r>
        <w:rPr>
          <w:rFonts w:ascii="宋体" w:hAnsi="宋体"/>
          <w:sz w:val="24"/>
        </w:rPr>
        <w:t>清算报告。清算报告应当经过具有证券、期货相关业务资格的会计师事务所审计，并由律师事务所出具法律意见书。清算组应当将清算报告登载在指定网站上，并将清算报告提示性公告登载在指定报刊上。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投资股指期货，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12、中国证监会规定的其他信息。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基金信息披露义务人公开披露基金信息，应当符合中国证监会相关基金信息披露内容与格式准则等法律法规规定。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w:t>
      </w:r>
      <w:proofErr w:type="gramStart"/>
      <w:r>
        <w:rPr>
          <w:rFonts w:ascii="宋体" w:hAnsi="宋体"/>
          <w:sz w:val="24"/>
        </w:rPr>
        <w:t>不</w:t>
      </w:r>
      <w:proofErr w:type="gramEnd"/>
      <w:r>
        <w:rPr>
          <w:rFonts w:ascii="宋体" w:hAnsi="宋体"/>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（八）本基金信息披露事项以法律法规规定及本章节约定的内容为准。</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21" w:name="_Toc135751497"/>
      <w:r>
        <w:rPr>
          <w:rFonts w:ascii="Times New Roman" w:hAnsi="Times New Roman"/>
          <w:sz w:val="30"/>
        </w:rPr>
        <w:lastRenderedPageBreak/>
        <w:t>十八、风险揭示</w:t>
      </w:r>
      <w:bookmarkEnd w:id="21"/>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w:t>
      </w:r>
      <w:proofErr w:type="gramStart"/>
      <w:r>
        <w:rPr>
          <w:rFonts w:ascii="宋体" w:hAnsi="宋体"/>
          <w:sz w:val="24"/>
        </w:rPr>
        <w:t>规</w:t>
      </w:r>
      <w:proofErr w:type="gramEnd"/>
      <w:r>
        <w:rPr>
          <w:rFonts w:ascii="宋体" w:hAnsi="宋体"/>
          <w:sz w:val="24"/>
        </w:rPr>
        <w:t>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人将可能无法及时赎回持有的全部基金份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w:t>
      </w:r>
      <w:proofErr w:type="gramStart"/>
      <w:r>
        <w:rPr>
          <w:rFonts w:ascii="宋体" w:hAnsi="宋体"/>
          <w:sz w:val="24"/>
        </w:rPr>
        <w:t>等判断</w:t>
      </w:r>
      <w:proofErr w:type="gramEnd"/>
      <w:r>
        <w:rPr>
          <w:rFonts w:ascii="宋体" w:hAnsi="宋体"/>
          <w:sz w:val="24"/>
        </w:rPr>
        <w:t>基金是否和投资人的风险承受能力相适应。</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分红等行为导致基金份额净值变化，不会改变基金的风险收益特征，不会降低基金投资风险或提高基金投资收益。以1元初始面值开展基金募集或因分红等行为导致基金份额净值调整至1元初始面值或1元附近，在市场波动等因素的影响下，基金投资仍有可能出现亏损或基金净值仍有可能低于初始面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基金份额持有人须了解并承受以下风险：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w:t>
      </w:r>
      <w:proofErr w:type="gramStart"/>
      <w:r>
        <w:rPr>
          <w:rFonts w:ascii="宋体" w:hAnsi="宋体"/>
          <w:sz w:val="24"/>
        </w:rPr>
        <w:t>仓位</w:t>
      </w:r>
      <w:proofErr w:type="gramEnd"/>
      <w:r>
        <w:rPr>
          <w:rFonts w:ascii="宋体" w:hAnsi="宋体"/>
          <w:sz w:val="24"/>
        </w:rPr>
        <w:t>调整的困难，导致流动性风险，可能影响基</w:t>
      </w:r>
      <w:r>
        <w:rPr>
          <w:rFonts w:ascii="宋体" w:hAnsi="宋体"/>
          <w:sz w:val="24"/>
        </w:rPr>
        <w:lastRenderedPageBreak/>
        <w:t>金份额净值。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w:t>
      </w:r>
      <w:proofErr w:type="gramStart"/>
      <w:r>
        <w:rPr>
          <w:rFonts w:ascii="宋体" w:hAnsi="宋体"/>
          <w:sz w:val="24"/>
        </w:rPr>
        <w:t>券</w:t>
      </w:r>
      <w:proofErr w:type="gramEnd"/>
      <w:r>
        <w:rPr>
          <w:rFonts w:ascii="宋体" w:hAnsi="宋体"/>
          <w:sz w:val="24"/>
        </w:rPr>
        <w:t>方面未有高集中度的特征，综合评估在正常市场环境下本基金的流动性风险适中。</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一开放日的基金份额净值为基础计算赎回金额，以此类推，直到全部赎回为止。如投资人在提交赎回申请时未作明确选择，投资人未能赎回部分作自动延期赎回处理。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（四）信用风险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（五）本基金投资策略所特有的风险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1、本基金为混合型基金，将维持较高的股票持仓比例，如果股票市场出现整体下跌，本基金的净值表现将受到影响。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宏观经济趋势、政策以及上市公司基本面研究是否准确、深入，以及对成长型股票的优选和判断是否科学、准确将影响本基金的收益。基本面研究及上市公司分析的错误均可能导致所选择的证券不能完全符合本基金的预期目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3、本基金可投资创业板股票，创业板个股上市后的前五个交易日不设价格涨跌幅限制，第六个交易日开始涨跌幅限制比例为20%。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（六）投资股指期货的特定风险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可投资于股指期货，股指期货作为一种金融衍生品，其价值取决于一种或多种基础资产或指数，其评价主要源自于对挂钩资产的价格与价格波动的预期。投资股指期货所面临的风险主要是市场风险、流动性风险、</w:t>
      </w:r>
      <w:proofErr w:type="gramStart"/>
      <w:r>
        <w:rPr>
          <w:rFonts w:ascii="宋体" w:hAnsi="宋体"/>
          <w:sz w:val="24"/>
        </w:rPr>
        <w:t>基差风险</w:t>
      </w:r>
      <w:proofErr w:type="gramEnd"/>
      <w:r>
        <w:rPr>
          <w:rFonts w:ascii="宋体" w:hAnsi="宋体"/>
          <w:sz w:val="24"/>
        </w:rPr>
        <w:t>、保证金风险、信用风险和操作风险。具体为：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（1）市场风险是指由于股指期货价格变动而给投资者带来的风险。市场风险是股指期货投资中最主要的风险。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（2）流动性风险是指由于股指期货合约无法及时变现所带来的风险。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proofErr w:type="gramStart"/>
      <w:r>
        <w:rPr>
          <w:rFonts w:ascii="宋体" w:hAnsi="宋体"/>
          <w:sz w:val="24"/>
        </w:rPr>
        <w:t>基差风险</w:t>
      </w:r>
      <w:proofErr w:type="gramEnd"/>
      <w:r>
        <w:rPr>
          <w:rFonts w:ascii="宋体" w:hAnsi="宋体"/>
          <w:sz w:val="24"/>
        </w:rPr>
        <w:t>是指股指期货合约价格和指数价格之间的价格差的波动所造成的风险，以及不同股指期货合约价格之间价格差的波动所造成的期现价差风险。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（4）保证金风险是指由于无法及时筹措资金满足建立或者维持股指期货合约头寸所要求的保证金而带来的风险。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（5）信用风险是指期货经纪公司违约而产生损失的风险。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（6）操作风险是指由于内部流程的不完善，业务人员出现差错或者疏漏，或者系统出现故障等原因造成损失的风险。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此外，由于衍生品通常具有杠杆效应，价格波动比标的工具更为剧烈，并且其定价相当复杂，不适当的估值也有可能使基金资产面临损失风险。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w:t>
      </w:r>
      <w:proofErr w:type="gramStart"/>
      <w:r>
        <w:rPr>
          <w:rFonts w:ascii="宋体" w:hAnsi="宋体"/>
          <w:sz w:val="24"/>
        </w:rPr>
        <w:t>科创板股票</w:t>
      </w:r>
      <w:proofErr w:type="gramEnd"/>
      <w:r>
        <w:rPr>
          <w:rFonts w:ascii="宋体" w:hAnsi="宋体"/>
          <w:sz w:val="24"/>
        </w:rPr>
        <w:t>的特定风险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w:t>
      </w:r>
      <w:proofErr w:type="gramStart"/>
      <w:r>
        <w:rPr>
          <w:rFonts w:ascii="宋体" w:hAnsi="宋体"/>
          <w:sz w:val="24"/>
        </w:rPr>
        <w:t>科创板股票</w:t>
      </w:r>
      <w:proofErr w:type="gramEnd"/>
      <w:r>
        <w:rPr>
          <w:rFonts w:ascii="宋体" w:hAnsi="宋体"/>
          <w:sz w:val="24"/>
        </w:rPr>
        <w:t>或选择不将基金资产投资于</w:t>
      </w:r>
      <w:proofErr w:type="gramStart"/>
      <w:r>
        <w:rPr>
          <w:rFonts w:ascii="宋体" w:hAnsi="宋体"/>
          <w:sz w:val="24"/>
        </w:rPr>
        <w:t>科创板</w:t>
      </w:r>
      <w:proofErr w:type="gramEnd"/>
      <w:r>
        <w:rPr>
          <w:rFonts w:ascii="宋体" w:hAnsi="宋体"/>
          <w:sz w:val="24"/>
        </w:rPr>
        <w:t>股票，基金资产并非必然投资于</w:t>
      </w:r>
      <w:proofErr w:type="gramStart"/>
      <w:r>
        <w:rPr>
          <w:rFonts w:ascii="宋体" w:hAnsi="宋体"/>
          <w:sz w:val="24"/>
        </w:rPr>
        <w:t>科创板</w:t>
      </w:r>
      <w:proofErr w:type="gramEnd"/>
      <w:r>
        <w:rPr>
          <w:rFonts w:ascii="宋体" w:hAnsi="宋体"/>
          <w:sz w:val="24"/>
        </w:rPr>
        <w:t>股票。基金资产投资于</w:t>
      </w:r>
      <w:proofErr w:type="gramStart"/>
      <w:r>
        <w:rPr>
          <w:rFonts w:ascii="宋体" w:hAnsi="宋体"/>
          <w:sz w:val="24"/>
        </w:rPr>
        <w:t>科创板</w:t>
      </w:r>
      <w:proofErr w:type="gramEnd"/>
      <w:r>
        <w:rPr>
          <w:rFonts w:ascii="宋体" w:hAnsi="宋体"/>
          <w:sz w:val="24"/>
        </w:rPr>
        <w:t>股票，会</w:t>
      </w:r>
      <w:proofErr w:type="gramStart"/>
      <w:r>
        <w:rPr>
          <w:rFonts w:ascii="宋体" w:hAnsi="宋体"/>
          <w:sz w:val="24"/>
        </w:rPr>
        <w:t>面临科创板机制</w:t>
      </w:r>
      <w:proofErr w:type="gramEnd"/>
      <w:r>
        <w:rPr>
          <w:rFonts w:ascii="宋体" w:hAnsi="宋体"/>
          <w:sz w:val="24"/>
        </w:rPr>
        <w:t>下因投资标的、市场制度以及交易规则等差异带来的特有风险，包括但不限于市场风险、流动性风险、退市风险、集中度风险、系统性风险、政策风险等。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Pr>
          <w:rFonts w:ascii="宋体" w:hAnsi="宋体"/>
          <w:sz w:val="24"/>
        </w:rPr>
        <w:t>个</w:t>
      </w:r>
      <w:proofErr w:type="gramEnd"/>
      <w:r>
        <w:rPr>
          <w:rFonts w:ascii="宋体" w:hAnsi="宋体"/>
          <w:sz w:val="24"/>
        </w:rPr>
        <w:t>股市</w:t>
      </w:r>
      <w:proofErr w:type="gramStart"/>
      <w:r>
        <w:rPr>
          <w:rFonts w:ascii="宋体" w:hAnsi="宋体"/>
          <w:sz w:val="24"/>
        </w:rPr>
        <w:t>场风险</w:t>
      </w:r>
      <w:proofErr w:type="gramEnd"/>
      <w:r>
        <w:rPr>
          <w:rFonts w:ascii="宋体" w:hAnsi="宋体"/>
          <w:sz w:val="24"/>
        </w:rPr>
        <w:t>加大。</w:t>
      </w:r>
    </w:p>
    <w:p w:rsidR="002A5B28" w:rsidRDefault="00A82654">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个股上市前五日无涨跌停限制，第六日开始涨跌幅限制在正负20%以内，个股波动幅度较其他股票加大，市场风险随之上升。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lastRenderedPageBreak/>
        <w:t>科创板整体</w:t>
      </w:r>
      <w:proofErr w:type="gramEnd"/>
      <w:r>
        <w:rPr>
          <w:rFonts w:ascii="宋体" w:hAnsi="宋体"/>
          <w:sz w:val="24"/>
        </w:rPr>
        <w:t>投资门槛较高，个人投资者必须满足交易满两年并且资金在50万以上才可参与，二级市场上个人投资者参与度相对较低，机构持有个股大量流通盘导致个股流动性较差，基金组合存在无法及时变</w:t>
      </w:r>
      <w:proofErr w:type="gramStart"/>
      <w:r>
        <w:rPr>
          <w:rFonts w:ascii="宋体" w:hAnsi="宋体"/>
          <w:sz w:val="24"/>
        </w:rPr>
        <w:t>现及其</w:t>
      </w:r>
      <w:proofErr w:type="gramEnd"/>
      <w:r>
        <w:rPr>
          <w:rFonts w:ascii="宋体" w:hAnsi="宋体"/>
          <w:sz w:val="24"/>
        </w:rPr>
        <w:t>他相关流动性风险。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科创板退</w:t>
      </w:r>
      <w:proofErr w:type="gramEnd"/>
      <w:r>
        <w:rPr>
          <w:rFonts w:ascii="宋体" w:hAnsi="宋体"/>
          <w:sz w:val="24"/>
        </w:rPr>
        <w:t>市制度较主板更为严格，退</w:t>
      </w:r>
      <w:proofErr w:type="gramStart"/>
      <w:r>
        <w:rPr>
          <w:rFonts w:ascii="宋体" w:hAnsi="宋体"/>
          <w:sz w:val="24"/>
        </w:rPr>
        <w:t>市时间</w:t>
      </w:r>
      <w:proofErr w:type="gramEnd"/>
      <w:r>
        <w:rPr>
          <w:rFonts w:ascii="宋体" w:hAnsi="宋体"/>
          <w:sz w:val="24"/>
        </w:rPr>
        <w:t>更短，退</w:t>
      </w:r>
      <w:proofErr w:type="gramStart"/>
      <w:r>
        <w:rPr>
          <w:rFonts w:ascii="宋体" w:hAnsi="宋体"/>
          <w:sz w:val="24"/>
        </w:rPr>
        <w:t>市速度</w:t>
      </w:r>
      <w:proofErr w:type="gramEnd"/>
      <w:r>
        <w:rPr>
          <w:rFonts w:ascii="宋体" w:hAnsi="宋体"/>
          <w:sz w:val="24"/>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Pr>
          <w:rFonts w:ascii="宋体" w:hAnsi="宋体"/>
          <w:sz w:val="24"/>
        </w:rPr>
        <w:t>市风险</w:t>
      </w:r>
      <w:proofErr w:type="gramEnd"/>
      <w:r>
        <w:rPr>
          <w:rFonts w:ascii="宋体" w:hAnsi="宋体"/>
          <w:sz w:val="24"/>
        </w:rPr>
        <w:t>更大。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为新设板块，初期可投标的较少，投资者容易集中投资于少量个股，市场可能存在高集中度状况，整体存在集中度风险。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科创板企业</w:t>
      </w:r>
      <w:proofErr w:type="gramEnd"/>
      <w:r>
        <w:rPr>
          <w:rFonts w:ascii="宋体" w:hAnsi="宋体"/>
          <w:sz w:val="24"/>
        </w:rPr>
        <w:t>均为市场认可度较高的科技创新企业，在企业经营及盈利模式上存在趋同，所以</w:t>
      </w:r>
      <w:proofErr w:type="gramStart"/>
      <w:r>
        <w:rPr>
          <w:rFonts w:ascii="宋体" w:hAnsi="宋体"/>
          <w:sz w:val="24"/>
        </w:rPr>
        <w:t>科创板</w:t>
      </w:r>
      <w:proofErr w:type="gramEnd"/>
      <w:r>
        <w:rPr>
          <w:rFonts w:ascii="宋体" w:hAnsi="宋体"/>
          <w:sz w:val="24"/>
        </w:rPr>
        <w:t>个股相关性较高，市场表现不佳时，系统性风险将更为显著。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w:t>
      </w:r>
      <w:proofErr w:type="gramStart"/>
      <w:r>
        <w:rPr>
          <w:rFonts w:ascii="宋体" w:hAnsi="宋体"/>
          <w:sz w:val="24"/>
        </w:rPr>
        <w:t>科创板企业</w:t>
      </w:r>
      <w:proofErr w:type="gramEnd"/>
      <w:r>
        <w:rPr>
          <w:rFonts w:ascii="宋体" w:hAnsi="宋体"/>
          <w:sz w:val="24"/>
        </w:rPr>
        <w:t>带来较大影响，国际经济形势变化对战略新兴产业及</w:t>
      </w:r>
      <w:proofErr w:type="gramStart"/>
      <w:r>
        <w:rPr>
          <w:rFonts w:ascii="宋体" w:hAnsi="宋体"/>
          <w:sz w:val="24"/>
        </w:rPr>
        <w:t>科创板</w:t>
      </w:r>
      <w:proofErr w:type="gramEnd"/>
      <w:r>
        <w:rPr>
          <w:rFonts w:ascii="宋体" w:hAnsi="宋体"/>
          <w:sz w:val="24"/>
        </w:rPr>
        <w:t>个股也会带来政策影响。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（八）投资存托凭证的特定风险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w:t>
      </w:r>
      <w:proofErr w:type="gramStart"/>
      <w:r>
        <w:rPr>
          <w:rFonts w:ascii="宋体" w:hAnsi="宋体"/>
          <w:sz w:val="24"/>
        </w:rPr>
        <w:t>托协议</w:t>
      </w:r>
      <w:proofErr w:type="gramEnd"/>
      <w:r>
        <w:rPr>
          <w:rFonts w:ascii="宋体" w:hAnsi="宋体"/>
          <w:sz w:val="24"/>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w:t>
      </w:r>
      <w:r>
        <w:rPr>
          <w:rFonts w:ascii="宋体" w:hAnsi="宋体"/>
          <w:sz w:val="24"/>
        </w:rPr>
        <w:lastRenderedPageBreak/>
        <w:t>托凭证或选择不将基金资产投资于存托凭证，基金资产并非必然投资存托凭证。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（九）其他风险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22" w:name="_Toc135751498"/>
      <w:r>
        <w:rPr>
          <w:rFonts w:ascii="Times New Roman" w:hAnsi="Times New Roman"/>
          <w:sz w:val="30"/>
        </w:rPr>
        <w:lastRenderedPageBreak/>
        <w:t>十九、基金合同的变更、终止与基金财产的清算</w:t>
      </w:r>
      <w:bookmarkEnd w:id="22"/>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w:t>
      </w:r>
      <w:proofErr w:type="gramStart"/>
      <w:r>
        <w:rPr>
          <w:rFonts w:ascii="宋体" w:hAnsi="宋体"/>
          <w:sz w:val="24"/>
        </w:rPr>
        <w:t>开基金</w:t>
      </w:r>
      <w:proofErr w:type="gramEnd"/>
      <w:r>
        <w:rPr>
          <w:rFonts w:ascii="宋体" w:hAnsi="宋体"/>
          <w:sz w:val="24"/>
        </w:rPr>
        <w:t>份额持有人大会决议通过。对于可不经基金份额持有人大会决议通过的事项，由基金管理人和基金托管人同意后变更并公告，并报中国证监会备案。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w:t>
      </w:r>
      <w:proofErr w:type="gramStart"/>
      <w:r>
        <w:rPr>
          <w:rFonts w:ascii="宋体" w:hAnsi="宋体"/>
          <w:sz w:val="24"/>
        </w:rPr>
        <w:t>自决议</w:t>
      </w:r>
      <w:proofErr w:type="gramEnd"/>
      <w:r>
        <w:rPr>
          <w:rFonts w:ascii="宋体" w:hAnsi="宋体"/>
          <w:sz w:val="24"/>
        </w:rPr>
        <w:t>生效后依照《信息披露办法》的规定在指定媒介公告。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（5）聘请会计师事务所对清算报告进行外部审计，聘请律师事务所对清算报告出具法律意见书；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w:t>
      </w:r>
      <w:proofErr w:type="gramStart"/>
      <w:r>
        <w:rPr>
          <w:rFonts w:ascii="宋体" w:hAnsi="宋体"/>
          <w:sz w:val="24"/>
        </w:rPr>
        <w:t>遇基金</w:t>
      </w:r>
      <w:proofErr w:type="gramEnd"/>
      <w:r>
        <w:rPr>
          <w:rFonts w:ascii="宋体" w:hAnsi="宋体"/>
          <w:sz w:val="24"/>
        </w:rPr>
        <w:t>持有的有价证券出现长期休市、停牌或其他流通受限的情形除外。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23" w:name="_Toc135751499"/>
      <w:r>
        <w:rPr>
          <w:rFonts w:ascii="Times New Roman" w:hAnsi="Times New Roman"/>
          <w:sz w:val="30"/>
        </w:rPr>
        <w:lastRenderedPageBreak/>
        <w:t>二十、基金合同内容摘要</w:t>
      </w:r>
      <w:bookmarkEnd w:id="23"/>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（一）基金份额持有人、基金管理人和基金托管人的权利与义务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13）在法律法规允许的前提下，为基金的利益依法为基金进行融资融券；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15）选择、更换律师事务所、会计师事务所、证券经纪商、期货经纪机构或其他为基金提供服务的外部机构；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w:t>
      </w:r>
      <w:r>
        <w:rPr>
          <w:rFonts w:ascii="宋体" w:hAnsi="宋体"/>
          <w:sz w:val="24"/>
        </w:rPr>
        <w:lastRenderedPageBreak/>
        <w:t>回、转换和</w:t>
      </w:r>
      <w:proofErr w:type="gramStart"/>
      <w:r>
        <w:rPr>
          <w:rFonts w:ascii="宋体" w:hAnsi="宋体"/>
          <w:sz w:val="24"/>
        </w:rPr>
        <w:t>非交易</w:t>
      </w:r>
      <w:proofErr w:type="gramEnd"/>
      <w:r>
        <w:rPr>
          <w:rFonts w:ascii="宋体" w:hAnsi="宋体"/>
          <w:sz w:val="24"/>
        </w:rPr>
        <w:t>过户等业务规则；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1）依法募集资金，办理或者委托经中国证监会认定的其他机构代为办理基金份额的发售、申购、赎回和登记事宜；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15）依据《基金法》、《基金合同》及其他有关规定召集基金份额持有人大会或配合基金托管人、基金份额持有人依法召集基金份额持有人大会；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27）根据投资的需要开立股指期货业务相关账户及交易编码；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28）法律法规及中国证监会规定的和《基金合同》约定的其他义务。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1）自《基金合同》生效之日起，依法</w:t>
      </w:r>
      <w:proofErr w:type="gramStart"/>
      <w:r>
        <w:rPr>
          <w:rFonts w:ascii="宋体" w:hAnsi="宋体"/>
          <w:sz w:val="24"/>
        </w:rPr>
        <w:t>律法规</w:t>
      </w:r>
      <w:proofErr w:type="gramEnd"/>
      <w:r>
        <w:rPr>
          <w:rFonts w:ascii="宋体" w:hAnsi="宋体"/>
          <w:sz w:val="24"/>
        </w:rPr>
        <w:t>和《基金合同》的规定安全保管基金财产；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4）根据相关市场规则，为基金开设资金账户、证券账户等投资所需账户、协助开立股指期货业务相关账户及交易编码、为基金办理证券交易资金清算；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6）按规定开设基金财产的资金账户和证券账户等投资所需账户，协助开立股指期货业务相关账户及交易编码，按照《基金合同》的约定，根据基金管理人的投资指令，及时办理清算、交割事宜；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8）复核、审查基金管理人计算的基金资产净值、基金份额净值、基金份额申</w:t>
      </w:r>
      <w:r>
        <w:rPr>
          <w:rFonts w:ascii="宋体" w:hAnsi="宋体"/>
          <w:sz w:val="24"/>
        </w:rPr>
        <w:lastRenderedPageBreak/>
        <w:t>购、赎回价格；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w:t>
      </w:r>
      <w:proofErr w:type="gramStart"/>
      <w:r>
        <w:rPr>
          <w:rFonts w:ascii="宋体" w:hAnsi="宋体"/>
          <w:sz w:val="24"/>
        </w:rPr>
        <w:t>基金基金</w:t>
      </w:r>
      <w:proofErr w:type="gramEnd"/>
      <w:r>
        <w:rPr>
          <w:rFonts w:ascii="宋体" w:hAnsi="宋体"/>
          <w:sz w:val="24"/>
        </w:rPr>
        <w:t>份额的行为即视为对《基金合同》的承认和接受，基金投资者</w:t>
      </w:r>
      <w:proofErr w:type="gramStart"/>
      <w:r>
        <w:rPr>
          <w:rFonts w:ascii="宋体" w:hAnsi="宋体"/>
          <w:sz w:val="24"/>
        </w:rPr>
        <w:t>自依据</w:t>
      </w:r>
      <w:proofErr w:type="gramEnd"/>
      <w:r>
        <w:rPr>
          <w:rFonts w:ascii="宋体" w:hAnsi="宋体"/>
          <w:sz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每份基金份额具有同等的合法权益。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3）依法并按照基金合同的规定申请赎回其持有的基金份额；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2）了解所投资基金产品，了解自身风险承受能力，自行承担投资风险；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4）缴纳基金认购、申购款项及法律法规和《基金合同》所规定的费用；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（二）基金份额持有人大会召集、议事及表决的程序和规则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5）提高基金管理人、基金托管人的报酬标准，但法律法规要求提高该等报酬标准的除外；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12）对基金当事人权利和义务产生重大影响的其他事项；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（2）以下情况可由基金管理人和基金托管人协商后修改，不需召开基金份额持有人大会：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1）调低基金管理费、基金托管费和其他应由本基金或基金份额持有人承担的费用；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3）在法律法规和《基金合同》规定的范围内调整本基金的申购费率、调低赎回费率、在不影响现有基金份额持有人利益的前提下变更或增加收费方式；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w:t>
      </w:r>
      <w:proofErr w:type="gramStart"/>
      <w:r>
        <w:rPr>
          <w:rFonts w:ascii="宋体" w:hAnsi="宋体"/>
          <w:sz w:val="24"/>
        </w:rPr>
        <w:t>因相应</w:t>
      </w:r>
      <w:proofErr w:type="gramEnd"/>
      <w:r>
        <w:rPr>
          <w:rFonts w:ascii="宋体" w:hAnsi="宋体"/>
          <w:sz w:val="24"/>
        </w:rPr>
        <w:t>的法律法规发生变动而应当对《基金合同》进行修改；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6）在法律法规允许的情况下基金推出新业务或服务；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7）按照法律法规和《基金合同》规定不需召开基金份额持有人大会的以外的其他情形。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 60日内召开；基金管理人决定不召集，基金托管人仍认为有必要召开的，应当由基金托管人自行召集；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3、召开基金份额持有人大会的通知时间、通知内容、通知方式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w:t>
      </w:r>
      <w:proofErr w:type="gramStart"/>
      <w:r>
        <w:rPr>
          <w:rFonts w:ascii="宋体" w:hAnsi="宋体"/>
          <w:sz w:val="24"/>
        </w:rPr>
        <w:t>拟审议</w:t>
      </w:r>
      <w:proofErr w:type="gramEnd"/>
      <w:r>
        <w:rPr>
          <w:rFonts w:ascii="宋体" w:hAnsi="宋体"/>
          <w:sz w:val="24"/>
        </w:rPr>
        <w:t>的事项、议事程序和表决方式；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sz w:val="24"/>
        </w:rPr>
        <w:t>拒不派</w:t>
      </w:r>
      <w:proofErr w:type="gramEnd"/>
      <w:r>
        <w:rPr>
          <w:rFonts w:ascii="宋体" w:hAnsi="宋体"/>
          <w:sz w:val="24"/>
        </w:rPr>
        <w:t>代表对表决意见的计票进行监督的，不影响表决意见的计票效力。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基金份额持有人大会可通过现场开会方式、通讯开会方式或法律法规和监管机关允许的其他方式召开，会议的召开方式由会议召集人确定。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（2）通讯开会。通讯开会系指基金份额持有人将其对表决事项的投票以书面形式在表决截至日以前送达至召集人指定的地址。通讯开会应以书面方式进行表决。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表出具书面意见的，基金份额持有人所持有的基金份额不小于在权益登记日基金总份额的二分之一（含二分之一）；若本人直接出具书面意见或授权他人代表出具书面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书面意见或授权他人代表出具书面意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在法律法规和监管机关允许的情况下，经会议通知载明，本基金可采用网络、电话等其他非书面方式由基金份额持有人向其授权代表进行授权；本基金亦可采用网络、电话等其他非现场方式或者以非现场方式与现场方式结合的方式召开基金份额持有人大会并表决，会议程序比照现场开会和通讯方式开会的程序进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sz w:val="24"/>
        </w:rPr>
        <w:t>作出</w:t>
      </w:r>
      <w:proofErr w:type="gramEnd"/>
      <w:r>
        <w:rPr>
          <w:rFonts w:ascii="宋体" w:hAnsi="宋体"/>
          <w:sz w:val="24"/>
        </w:rPr>
        <w:t>的决议的效力。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w:t>
      </w:r>
      <w:proofErr w:type="gramStart"/>
      <w:r>
        <w:rPr>
          <w:rFonts w:ascii="宋体" w:hAnsi="宋体"/>
          <w:sz w:val="24"/>
        </w:rPr>
        <w:t>册</w:t>
      </w:r>
      <w:proofErr w:type="gramEnd"/>
      <w:r>
        <w:rPr>
          <w:rFonts w:ascii="宋体" w:hAnsi="宋体"/>
          <w:sz w:val="24"/>
        </w:rPr>
        <w:t>载明参加会议人员姓名（或单位名称）、身份证明文件号码、持有或代表有表决权的基金份额、委托人姓名（或单位名称）和联系方式等事项。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6、表决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sz w:val="24"/>
        </w:rPr>
        <w:t>或大会</w:t>
      </w:r>
      <w:proofErr w:type="gramEnd"/>
      <w:r>
        <w:rPr>
          <w:rFonts w:ascii="宋体" w:hAnsi="宋体"/>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w:t>
      </w:r>
      <w:proofErr w:type="gramStart"/>
      <w:r>
        <w:rPr>
          <w:rFonts w:ascii="宋体" w:hAnsi="宋体"/>
          <w:sz w:val="24"/>
        </w:rPr>
        <w:t>数要求</w:t>
      </w:r>
      <w:proofErr w:type="gramEnd"/>
      <w:r>
        <w:rPr>
          <w:rFonts w:ascii="宋体" w:hAnsi="宋体"/>
          <w:sz w:val="24"/>
        </w:rPr>
        <w:t>进行重新清点。监票人应当进行重新清</w:t>
      </w:r>
      <w:r>
        <w:rPr>
          <w:rFonts w:ascii="宋体" w:hAnsi="宋体"/>
          <w:sz w:val="24"/>
        </w:rPr>
        <w:lastRenderedPageBreak/>
        <w:t>点，重新清点以一次为限。重新清点后，大会主持人应当当场公布重新清点结果。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sz w:val="24"/>
        </w:rPr>
        <w:t>人拒派</w:t>
      </w:r>
      <w:proofErr w:type="gramEnd"/>
      <w:r>
        <w:rPr>
          <w:rFonts w:ascii="宋体" w:hAnsi="宋体"/>
          <w:sz w:val="24"/>
        </w:rPr>
        <w:t>代表对书面表决意见的计票进行监督的，不影响计票和表决结果。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基金份额持有人大会的决议自完成备案手续之日起生效。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或监管部门对基金份额持有人大会召开事由、召开条件、议事程序、表决条件等另有规定的，凡是直接引用法律法规的部分，如将来法律法规修改导致相关内容被取消或变更的，基金管理人提前公告后，可直接对本部分内容进行修改和调整，无需召开基金份额持有人大会审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（三）基金合同解除和终止的事由、程序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w:t>
      </w:r>
      <w:proofErr w:type="gramStart"/>
      <w:r>
        <w:rPr>
          <w:rFonts w:ascii="宋体" w:hAnsi="宋体"/>
          <w:sz w:val="24"/>
        </w:rPr>
        <w:t>开基金</w:t>
      </w:r>
      <w:proofErr w:type="gramEnd"/>
      <w:r>
        <w:rPr>
          <w:rFonts w:ascii="宋体" w:hAnsi="宋体"/>
          <w:sz w:val="24"/>
        </w:rPr>
        <w:t>份额持有人大会决议通过。对于可不经基金份额持有人大会决议通过的事项，由基金管理人和基金托管人同意后变更并公告，并报中国证监会备案。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w:t>
      </w:r>
      <w:proofErr w:type="gramStart"/>
      <w:r>
        <w:rPr>
          <w:rFonts w:ascii="宋体" w:hAnsi="宋体"/>
          <w:sz w:val="24"/>
        </w:rPr>
        <w:t>自决议</w:t>
      </w:r>
      <w:proofErr w:type="gramEnd"/>
      <w:r>
        <w:rPr>
          <w:rFonts w:ascii="宋体" w:hAnsi="宋体"/>
          <w:sz w:val="24"/>
        </w:rPr>
        <w:t>生效后依照《信息披露办法》的规定在指定媒介公告。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2、《基金合同》的终止事由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w:t>
      </w:r>
      <w:proofErr w:type="gramStart"/>
      <w:r>
        <w:rPr>
          <w:rFonts w:ascii="宋体" w:hAnsi="宋体"/>
          <w:sz w:val="24"/>
        </w:rPr>
        <w:t>遇基金</w:t>
      </w:r>
      <w:proofErr w:type="gramEnd"/>
      <w:r>
        <w:rPr>
          <w:rFonts w:ascii="宋体" w:hAnsi="宋体"/>
          <w:sz w:val="24"/>
        </w:rPr>
        <w:t>持有的有价证券出现长期休市、停牌或其他流通受限的情形除外。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5、基金财产清算剩余资产的分配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（四）争议解决方式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（五）基金合同存放及投资者取得基金合同的方式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24" w:name="_Toc135751500"/>
      <w:r>
        <w:rPr>
          <w:rFonts w:ascii="Times New Roman" w:hAnsi="Times New Roman"/>
          <w:sz w:val="30"/>
        </w:rPr>
        <w:lastRenderedPageBreak/>
        <w:t>二十一、托管协议的内容摘要</w:t>
      </w:r>
      <w:bookmarkEnd w:id="24"/>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 2005年8月4日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批准设立机关：中国证券监督管理委员会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批准设立文号：证</w:t>
      </w:r>
      <w:proofErr w:type="gramStart"/>
      <w:r>
        <w:rPr>
          <w:rFonts w:ascii="宋体" w:hAnsi="宋体"/>
          <w:sz w:val="24"/>
        </w:rPr>
        <w:t>监基金字</w:t>
      </w:r>
      <w:proofErr w:type="gramEnd"/>
      <w:r>
        <w:rPr>
          <w:rFonts w:ascii="宋体" w:hAnsi="宋体"/>
          <w:sz w:val="24"/>
        </w:rPr>
        <w:t>[2005]128号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名称：招商银行股份有限公司(简称：招商银行)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住所：深圳市深南大道7088号招商银行大厦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办公地址：深圳市深南大道7088号招商银行大厦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邮政编码：518040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法定代表人：李建红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成立时间：1987年4月8日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基金托管业务批准文号：证</w:t>
      </w:r>
      <w:proofErr w:type="gramStart"/>
      <w:r>
        <w:rPr>
          <w:rFonts w:ascii="宋体" w:hAnsi="宋体"/>
          <w:sz w:val="24"/>
        </w:rPr>
        <w:t>监基金字</w:t>
      </w:r>
      <w:proofErr w:type="gramEnd"/>
      <w:r>
        <w:rPr>
          <w:rFonts w:ascii="宋体" w:hAnsi="宋体"/>
          <w:sz w:val="24"/>
        </w:rPr>
        <w:t>[2002]83号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注册资本：人民币252.20亿元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w:t>
      </w:r>
      <w:r>
        <w:rPr>
          <w:rFonts w:ascii="宋体" w:hAnsi="宋体"/>
          <w:sz w:val="24"/>
        </w:rPr>
        <w:lastRenderedPageBreak/>
        <w:t>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（1）本基金将投资于以下金融工具：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于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（2）本基金不得投资于相关法律、法规、部门规章及《基金合同》禁止投资的投资工具。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基金管理人发送的不符合基金合同规定的投资行为，基金托管人可以拒绝执行，并书面通知基金管理人；对于已经执行的投资，基金托管人发现该投资行为不符合基金合同的规定的，基金托管人应书面通知基金管理人进行整改，并将该情况报告中国证监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合同明确约定基金投资风格或证券选择标准的，基金管理人应事先向基金托管人提供投资品种池，以便基金托管人对基金实际投资是否符合基金合同关于证券选择标准的约定进行监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本基金的投融资比例：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股票资产（</w:t>
      </w:r>
      <w:proofErr w:type="gramStart"/>
      <w:r>
        <w:rPr>
          <w:rFonts w:ascii="宋体" w:hAnsi="宋体"/>
          <w:sz w:val="24"/>
        </w:rPr>
        <w:t>含存托</w:t>
      </w:r>
      <w:proofErr w:type="gramEnd"/>
      <w:r>
        <w:rPr>
          <w:rFonts w:ascii="宋体" w:hAnsi="宋体"/>
          <w:sz w:val="24"/>
        </w:rPr>
        <w:t>凭证）占基金资产的60%-95%，其中投资于经过严格品质筛选、未来预期成长性良好的公司股票不低于非现金基金资产的80%；其余资产投资于债券、中期票据、货币市场工具、权证、资产支持证券、股指期货以及法律法规或中国证监会允许基金投资的其他证券品种；每个交易日日终在扣除股指期货合约需缴纳的交易保证金后，基金保留的现金或者投资于到期日在一年以内的政府债券</w:t>
      </w:r>
      <w:r>
        <w:rPr>
          <w:rFonts w:ascii="宋体" w:hAnsi="宋体"/>
          <w:sz w:val="24"/>
        </w:rPr>
        <w:lastRenderedPageBreak/>
        <w:t>的比例合计不低于基金资产净值的5%，其中现金不包括结算备付金、存出保证金和应收申购款等。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本基金投资组合遵循以下投资限制：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w:t>
      </w:r>
      <w:proofErr w:type="gramStart"/>
      <w:r>
        <w:rPr>
          <w:rFonts w:ascii="宋体" w:hAnsi="宋体"/>
          <w:sz w:val="24"/>
        </w:rPr>
        <w:t>含存托</w:t>
      </w:r>
      <w:proofErr w:type="gramEnd"/>
      <w:r>
        <w:rPr>
          <w:rFonts w:ascii="宋体" w:hAnsi="宋体"/>
          <w:sz w:val="24"/>
        </w:rPr>
        <w:t>凭证）占基金资产的60%-95%，其中投资于经过严格品质筛选、未来预期成长性良好的公司股票不低于非现金基金资产的80%；其余资产投资于债券、中期票据、货币市场工具、权证、资产支持证券、股指期货以及法律法规或中国证监会允许基金投资的其他证券品种；</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（2）每个交易日日终在扣除股指期货合约需缴纳的交易保证金后，保持不低于基金资产净值5%的现金或者到期日在一年以内的政府债券，其中现金不包括结算备付金、存出保证金和应收申购款等；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（3）本基金持有一家上市公司的股票，其市值不超过基金资产净值的10%；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（6）本基金管理人管理的全部基金持有的同一权证，不得超过该权证的10%；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w:t>
      </w:r>
      <w:r>
        <w:rPr>
          <w:rFonts w:ascii="宋体" w:hAnsi="宋体"/>
          <w:sz w:val="24"/>
        </w:rPr>
        <w:lastRenderedPageBreak/>
        <w:t>产，本基金所申报的股票数量不超过拟发行股票公司本次发行股票的总量；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（15）本基金在任何交易日日终，持有的买入股指期货合约价值，不得超过基金资产净值的10%；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（17）本基金在任何交易日日终，持有的卖出期货合约价值不得超过基金持有的股票总市值的20%；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（18）本基金所持有的股票市值和买入、卖出股指期货合约价值，合计（轧差计算）应当符合基金合同关于股票投资比例的有关约定，即占基金资产的60%-95%；</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（19）本基金在任何交易日内交易（不包括平仓）的股指期货合约的成交金额不得超过上一交易日基金资产净值的20%；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管理人管理并由本基金托管人托管的全部开放式基金（包括开放式基金以及处于开放期的定期开放基金）持有一家上市公司发行的可流通股票，不得超过该上市公司可流通股票的15%；本基金管理人管理并由本基金托管人托管的全部投资组合持有一家上市公司发行的可流通股票，不得超过该上市公司可流通股票的30%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（22）本基金与私募类</w:t>
      </w:r>
      <w:proofErr w:type="gramStart"/>
      <w:r>
        <w:rPr>
          <w:rFonts w:ascii="宋体" w:hAnsi="宋体"/>
          <w:sz w:val="24"/>
        </w:rPr>
        <w:t>证券资管产品</w:t>
      </w:r>
      <w:proofErr w:type="gramEnd"/>
      <w:r>
        <w:rPr>
          <w:rFonts w:ascii="宋体" w:hAnsi="宋体"/>
          <w:sz w:val="24"/>
        </w:rPr>
        <w:t>及中国证监会认定的其他主体为交易对手开展逆回购交易的，可接受质押品的资质要求应当与基金合同约定的投资范围保持一致；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（23）本基金投资存托凭证的比例限制依照境内上市交易的股票执行；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（24）法律法规及中国证监会规定的和《基金合同》约定的其他投资限制。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基金管理人应当自基金合同生效日起6个月内使基金的投资组合比例符合基金合同的有关约定。基金托管人对基金的投资的监督与检查自本基金合同生效之日起开始。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12）、（21）、（22）项以外，因证券、期货市场波动、证券发行人合并、基金规模变动、股权分置改革中支付对价等基金管理人之外的原因导致投资组合不符合上述规定的，基金管理人应在10个交易日内进行调整。法律法规另有规定的，从其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及监管政策等对基金合同约定的投资禁止行为和投资组合比例限制进行变更的，本基金以相应调整变更后的禁止行为和投资比例限制规定为准。《基金法》及其他有关法律法规或监管部门取消上述限制的，履行适当程序后，基金不受上述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w:t>
      </w:r>
      <w:proofErr w:type="gramStart"/>
      <w:r>
        <w:rPr>
          <w:rFonts w:ascii="宋体" w:hAnsi="宋体"/>
          <w:sz w:val="24"/>
        </w:rPr>
        <w:t>方发行</w:t>
      </w:r>
      <w:proofErr w:type="gramEnd"/>
      <w:r>
        <w:rPr>
          <w:rFonts w:ascii="宋体" w:hAnsi="宋体"/>
          <w:sz w:val="24"/>
        </w:rPr>
        <w:t>的证券名单。基金管理人和基金托管人有责任确保关联交易名单的真实性、准确性、完整性，并负责及时将更新后的名单发送给对方。</w:t>
      </w:r>
    </w:p>
    <w:p w:rsidR="002A5B28" w:rsidRDefault="00A82654">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托管人发现基金管理人与关联交易名单中列示的关联方进行法律法规禁止基金从事的关联交易时，基金托管人应及时提醒基金管理人采取必要措施阻止该关联交易的发生，如基金托管人提醒基金管理人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（1）本基金的存款银行应是具有证券投资基金托管资格、证券投资基金代销</w:t>
      </w:r>
      <w:r>
        <w:rPr>
          <w:rFonts w:ascii="宋体" w:hAnsi="宋体"/>
          <w:sz w:val="24"/>
        </w:rPr>
        <w:lastRenderedPageBreak/>
        <w:t>业务资格或合格境外基金投资人托管人资格的商业银行。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（2）单只基金投资定期存款的比例不得超过基金资产净值的30%；存放在具有基金托管资格的同一银行存款不得超过基金资产净值的30%。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有关法律法规或监管部门制定或修改新的定期存款投资政策，基金公司履行适当程序后，可相应调整投资组合限制的规定。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负责对本基金存款银行的评估与研究，建立健全银行定期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负责控制信用风险。信用风险主要包括存款银行的信用等级、存款银行的支付能力等涉及到存款银行选择方面的风险。因未勤勉尽责而选择存款银行不当造成基金财产损失的，由基金管理人承担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负责控制流动性风险，并承担因未勤勉尽责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3）基金管理人须加强内部风险控制制度的建设。如因基金管理人员工的职务行为导致基金财产受到损失的，需由基金管理人承担由此造成的损失。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4）基金管理人与基金托管人在开展基金存款业务时，应严格遵守《基金法》、《运作办法》等有关法律法规，以及国家有关账户管理、利率管理、支付结算等的各项规定。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本基金投资银行存款应符合如下规定：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（1）基金管理人、基金托管人应当与存款银行建立定期对账机制，确保基金银行存款业务账目及核算的真实、准确。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（3）基金托管人应加强对基金银行存款业务的监督与核查，严格审查、复核相关协议、账户资料、投资指令、存款证实书等有关文件，切实履行托管职责。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（4）基金管理人与基金托管人在开展基金存款业务时，应严格遵守《基金法》、《运作办法》等有关法律法规，以及国家有关账户管理、利率管理、支付结算等的各项规定。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5、基金投资银行存款协议的签订、账户开设与管理、投资指令与资金划拨、账目核对、到期兑付、提前支取和文件保管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（1）基金投资银行存款协议的签订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符合资格的存款银行，基金管理人应与存款银行总行或其授权分行签订《基金存款业务总体合作协议》（以下简称《总体合作协议》），确定《存款协议书》的格式范本。《总体合作协议》和《存款协议书》的格式范本由基金托管人与基金管理人共同商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2）基金管理人应在《存款协议书》中明确存款证实书或其他有效存款凭证的办理方式、邮寄地址、联系人和联系电话，以及存款证实书或其他有效凭证在邮寄过程中遗失后，存款余额的确认及兑付办法。</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3）由存款银行指定的存放存款的分支机构（以下简称存款分支机构）寄送存款证实书或其他有效存款凭证的，基金管理人应在《存款协议书》中规定基金托管人可向存款分支机构的上级行发出存款余额</w:t>
      </w:r>
      <w:proofErr w:type="gramStart"/>
      <w:r>
        <w:rPr>
          <w:rFonts w:ascii="宋体" w:hAnsi="宋体"/>
          <w:sz w:val="24"/>
        </w:rPr>
        <w:t>询</w:t>
      </w:r>
      <w:proofErr w:type="gramEnd"/>
      <w:r>
        <w:rPr>
          <w:rFonts w:ascii="宋体" w:hAnsi="宋体"/>
          <w:sz w:val="24"/>
        </w:rPr>
        <w:t>证函，存款分支机构及其上级行应予配合。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4）基金管理人应在《存款协议书》中规定，基金存放到期或提前兑付的资金应全部划转到指定的基金托管</w:t>
      </w:r>
      <w:proofErr w:type="gramStart"/>
      <w:r>
        <w:rPr>
          <w:rFonts w:ascii="宋体" w:hAnsi="宋体"/>
          <w:sz w:val="24"/>
        </w:rPr>
        <w:t>帐户</w:t>
      </w:r>
      <w:proofErr w:type="gramEnd"/>
      <w:r>
        <w:rPr>
          <w:rFonts w:ascii="宋体" w:hAnsi="宋体"/>
          <w:sz w:val="24"/>
        </w:rPr>
        <w:t>，并在《存款协议书》写明</w:t>
      </w:r>
      <w:proofErr w:type="gramStart"/>
      <w:r>
        <w:rPr>
          <w:rFonts w:ascii="宋体" w:hAnsi="宋体"/>
          <w:sz w:val="24"/>
        </w:rPr>
        <w:t>帐户</w:t>
      </w:r>
      <w:proofErr w:type="gramEnd"/>
      <w:r>
        <w:rPr>
          <w:rFonts w:ascii="宋体" w:hAnsi="宋体"/>
          <w:sz w:val="24"/>
        </w:rPr>
        <w:t>名称和</w:t>
      </w:r>
      <w:proofErr w:type="gramStart"/>
      <w:r>
        <w:rPr>
          <w:rFonts w:ascii="宋体" w:hAnsi="宋体"/>
          <w:sz w:val="24"/>
        </w:rPr>
        <w:t>帐号</w:t>
      </w:r>
      <w:proofErr w:type="gramEnd"/>
      <w:r>
        <w:rPr>
          <w:rFonts w:ascii="宋体" w:hAnsi="宋体"/>
          <w:sz w:val="24"/>
        </w:rPr>
        <w:t>，未划入指定</w:t>
      </w:r>
      <w:proofErr w:type="gramStart"/>
      <w:r>
        <w:rPr>
          <w:rFonts w:ascii="宋体" w:hAnsi="宋体"/>
          <w:sz w:val="24"/>
        </w:rPr>
        <w:t>帐户</w:t>
      </w:r>
      <w:proofErr w:type="gramEnd"/>
      <w:r>
        <w:rPr>
          <w:rFonts w:ascii="宋体" w:hAnsi="宋体"/>
          <w:sz w:val="24"/>
        </w:rPr>
        <w:t>的，由存款银行承担一切责任。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5）基金托管人依据相关法规对《总体合作协议》和《存款证实书》的内容进行复核，审查存款银行资格等。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（2）银行存款</w:t>
      </w:r>
      <w:proofErr w:type="gramStart"/>
      <w:r>
        <w:rPr>
          <w:rFonts w:ascii="宋体" w:hAnsi="宋体"/>
          <w:sz w:val="24"/>
        </w:rPr>
        <w:t>帐户</w:t>
      </w:r>
      <w:proofErr w:type="gramEnd"/>
      <w:r>
        <w:rPr>
          <w:rFonts w:ascii="宋体" w:hAnsi="宋体"/>
          <w:sz w:val="24"/>
        </w:rPr>
        <w:t>的开设与管理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1）基金投资于银行存款时，基金托管人应当依据基金管理人与存款银行签订的《总体合作协议》，以基金的名义在存款银行总行或授权分行指定的分支机构开立银行</w:t>
      </w:r>
      <w:proofErr w:type="gramStart"/>
      <w:r>
        <w:rPr>
          <w:rFonts w:ascii="宋体" w:hAnsi="宋体"/>
          <w:sz w:val="24"/>
        </w:rPr>
        <w:t>帐户</w:t>
      </w:r>
      <w:proofErr w:type="gramEnd"/>
      <w:r>
        <w:rPr>
          <w:rFonts w:ascii="宋体" w:hAnsi="宋体"/>
          <w:sz w:val="24"/>
        </w:rPr>
        <w:t>。</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2）银行存款的预留印鉴由基金托管人保管和使用。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（3）存款投资指令的发送与执行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1）基金管理人发送投资指令应采用加密传真方式或双方约定的其他方式。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存款投资指令包括存款资金划拨指令、提前支取存款指令等。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基金管理人应按照法律法规和基金合同及托管协议的规定向基金托管人发送存款投资指令。对于基金管理人依约定程序发出的指令，基金管理人不得否认其效力。</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指令发出后，基金管理人应及时以电话方式向基金托管人确认。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基金管理人在发送投资指令时，应为基金托管人执行投资指令留出执行指令所必需的时间。投资指令传输不及时、未能留出足够的划款时间，导致资金未能及时到帐所造成的损失由基金管理人承担。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2）投资指令的确认</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指定专人接收基金管理人的指令，预先通知基金管理人其名单，并与基金管理人商定指令发送和接收方式。投资指令到达基金托管人后，基金托管人应指定专人立即审慎验证有关内容及印鉴和签名的表面一致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3）投资指令的执行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基金托管人验证投资指令后，应及时执行。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若因基金托管人过错致使资金未能及时到帐或者投资指令执行差错所造成的损失由基金托管人承担。投资指令执行完毕，基金托管人应及时通知基金管理人。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托管人未能执行或仅可部分执行投资指令（无论因基金托管</w:t>
      </w:r>
      <w:proofErr w:type="gramStart"/>
      <w:r>
        <w:rPr>
          <w:rFonts w:ascii="宋体" w:hAnsi="宋体"/>
          <w:sz w:val="24"/>
        </w:rPr>
        <w:t>人原因</w:t>
      </w:r>
      <w:proofErr w:type="gramEnd"/>
      <w:r>
        <w:rPr>
          <w:rFonts w:ascii="宋体" w:hAnsi="宋体"/>
          <w:sz w:val="24"/>
        </w:rPr>
        <w:t>还是基金管理人原因），基金托管人应及时电话通知基金管理人。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（4）资金划拨、账目核对及到期兑付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1）资金划拨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基金管理人的划拨指令，经基金托管人审核无误后应在规定期限内执行。存款资金只能存放于存款银行总行或者其授权分行指定的分支机构。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2）存款证实书等存款凭证领取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款银行分支机构应为基金开具存款证实书或其他有效存款凭证名称，该存款证实书为基金托管人存款确认或到期提款的有效凭证。资金到账当日，由存款银行分支机构指定的会计主管传真一份存款证实书复印件并与基金托管人电话确认收妥后，用双方约定的方式将存款证实书原件寄送基金托管人指定联系人；若开户行代为保管存单的，由存款行分支机构指定会计主管传真一份存款证实书复印件并与基金托管人电话确认收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3）存款证实书等存款凭证的遗失补办</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款证实书在邮寄过程中遗失的，由基金托管人向存款银行提出补办申请，基金管理人应督促存款银行尽快补办存款证实书或基金托管人兑付时可作为兑付依据的存款证明文件，并按以上2）的方式以双方约定的方式寄送给托管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4）账目核对</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每个工作日，基金管理人应与基金托管人核对各项银行存款投资余额及应计利息。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定期存款行负责于每个月的最后一个工作日提供加盖存款行公章的本基金存放在该机构的存款余额证明寄送至基金托管人指定联系人，并配合基金托管人招商银行股份有限公司对“存款证实书”的</w:t>
      </w:r>
      <w:proofErr w:type="gramStart"/>
      <w:r>
        <w:rPr>
          <w:rFonts w:ascii="宋体" w:hAnsi="宋体"/>
          <w:sz w:val="24"/>
        </w:rPr>
        <w:t>询</w:t>
      </w:r>
      <w:proofErr w:type="gramEnd"/>
      <w:r>
        <w:rPr>
          <w:rFonts w:ascii="宋体" w:hAnsi="宋体"/>
          <w:sz w:val="24"/>
        </w:rPr>
        <w:t>证，并在</w:t>
      </w:r>
      <w:proofErr w:type="gramStart"/>
      <w:r>
        <w:rPr>
          <w:rFonts w:ascii="宋体" w:hAnsi="宋体"/>
          <w:sz w:val="24"/>
        </w:rPr>
        <w:t>询</w:t>
      </w:r>
      <w:proofErr w:type="gramEnd"/>
      <w:r>
        <w:rPr>
          <w:rFonts w:ascii="宋体" w:hAnsi="宋体"/>
          <w:sz w:val="24"/>
        </w:rPr>
        <w:t>证函上加盖存款行公章寄送至基金托管人指定联系人。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5）到期兑付</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基金管理人提前通知基金托管人通过双方约定的方式将存款证实书原件或其他存款证明原件寄给存款银行分支机构指定的会计主管。存款行未收到存款证实书原件的，应与基金托管人电话询问。存款到期</w:t>
      </w:r>
      <w:proofErr w:type="gramStart"/>
      <w:r>
        <w:rPr>
          <w:rFonts w:ascii="宋体" w:hAnsi="宋体"/>
          <w:sz w:val="24"/>
        </w:rPr>
        <w:t>前基金</w:t>
      </w:r>
      <w:proofErr w:type="gramEnd"/>
      <w:r>
        <w:rPr>
          <w:rFonts w:ascii="宋体" w:hAnsi="宋体"/>
          <w:sz w:val="24"/>
        </w:rPr>
        <w:t>管理人与存款行确认存款证实</w:t>
      </w:r>
      <w:proofErr w:type="gramStart"/>
      <w:r>
        <w:rPr>
          <w:rFonts w:ascii="宋体" w:hAnsi="宋体"/>
          <w:sz w:val="24"/>
        </w:rPr>
        <w:t>书收到</w:t>
      </w:r>
      <w:proofErr w:type="gramEnd"/>
      <w:r>
        <w:rPr>
          <w:rFonts w:ascii="宋体" w:hAnsi="宋体"/>
          <w:sz w:val="24"/>
        </w:rPr>
        <w:t>并于到期日兑付存款本息事宜。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存款到期日未收到存款本息或存款本息金额不符时，通知基金管理人与存款行接洽存款到账时间及利息补付事宜。基金管理人应将接洽结果告知基金托管人，基金托管人收妥存款本息的当日通知基金管理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款证实书在邮寄过程中遗失的，存款行应立即通知基金托管人，基金托管人在原存款证实书复印件上加盖公章并出具相关证明文件后，与存款行指定会计主管电话确认后，存款行分支机构应在到期日将存款本息划至指定基金账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如果存款到期日为法定节假日，存款行顺延至到期后第一个工作日支付，存款行需按当期利率和实际延期天数支付延期利息。</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（5）提前支取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如果在存款期限内，由于基金规模发生缩减的原因或者出于流动性管理的需要，经与定期存款</w:t>
      </w:r>
      <w:proofErr w:type="gramStart"/>
      <w:r>
        <w:rPr>
          <w:rFonts w:ascii="宋体" w:hAnsi="宋体"/>
          <w:sz w:val="24"/>
        </w:rPr>
        <w:t>行友好</w:t>
      </w:r>
      <w:proofErr w:type="gramEnd"/>
      <w:r>
        <w:rPr>
          <w:rFonts w:ascii="宋体" w:hAnsi="宋体"/>
          <w:sz w:val="24"/>
        </w:rPr>
        <w:t>协商，基金管理人可以提前支取全部资金，但应继续按原有利率计提利息，因提前支取导致的利息损失应由基金管理人承担。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提前支取的具体事项按照基金管理人与存款行签订的《存款协议书》执行。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（6）银行存款相关文件的保管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资金存入存款银行当日，存款行分支机构开具存款证实书或其他有效存款凭证，同时传真复印件给基金托管人和基金管理人，并寄送原件给托管人代为保管；若存款行代为保管存单原件，存款行传真复印件给基金托管人和基金管理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基金资金存入存款银行当日，存款银行分支机构开具存款证实书或其他有效存款凭证，并寄送基金托管人。基金托管人收到存款证实书或其他有效存款凭证后，将复印件传真给基金管理人。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2）存款证实书或其他有效存款凭证原件由基金托管人保管。基金托管人发现基金管理人在选择存款银行时有违反有关法律法规的规定及《基金合同》的约定的行为，应及时以书面形式通知基金管理人在10 </w:t>
      </w:r>
      <w:proofErr w:type="gramStart"/>
      <w:r>
        <w:rPr>
          <w:rFonts w:ascii="宋体" w:hAnsi="宋体"/>
          <w:sz w:val="24"/>
        </w:rPr>
        <w:t>个</w:t>
      </w:r>
      <w:proofErr w:type="gramEnd"/>
      <w:r>
        <w:rPr>
          <w:rFonts w:ascii="宋体" w:hAnsi="宋体"/>
          <w:sz w:val="24"/>
        </w:rPr>
        <w:t xml:space="preserve">工作日内纠正。基金管理人对基金托管人通知的违规事项未能在10 </w:t>
      </w:r>
      <w:proofErr w:type="gramStart"/>
      <w:r>
        <w:rPr>
          <w:rFonts w:ascii="宋体" w:hAnsi="宋体"/>
          <w:sz w:val="24"/>
        </w:rPr>
        <w:t>个</w:t>
      </w:r>
      <w:proofErr w:type="gramEnd"/>
      <w:r>
        <w:rPr>
          <w:rFonts w:ascii="宋体" w:hAnsi="宋体"/>
          <w:sz w:val="24"/>
        </w:rPr>
        <w:t xml:space="preserve">工作日内纠正的，基金托管人应报告中国证监会。基金托管人发现基金管理人有重大违规行为，应立即报告中国证监会，同时通知基金管理人在10 </w:t>
      </w:r>
      <w:proofErr w:type="gramStart"/>
      <w:r>
        <w:rPr>
          <w:rFonts w:ascii="宋体" w:hAnsi="宋体"/>
          <w:sz w:val="24"/>
        </w:rPr>
        <w:t>个</w:t>
      </w:r>
      <w:proofErr w:type="gramEnd"/>
      <w:r>
        <w:rPr>
          <w:rFonts w:ascii="宋体" w:hAnsi="宋体"/>
          <w:sz w:val="24"/>
        </w:rPr>
        <w:t>工作日内纠正或拒绝结算，</w:t>
      </w:r>
      <w:proofErr w:type="gramStart"/>
      <w:r>
        <w:rPr>
          <w:rFonts w:ascii="宋体" w:hAnsi="宋体"/>
          <w:sz w:val="24"/>
        </w:rPr>
        <w:t>若基金</w:t>
      </w:r>
      <w:proofErr w:type="gramEnd"/>
      <w:r>
        <w:rPr>
          <w:rFonts w:ascii="宋体" w:hAnsi="宋体"/>
          <w:sz w:val="24"/>
        </w:rPr>
        <w:t>管理人拒不执行造成基金财产的损失，基金托管人不承担任何责任。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及结算方式的，应向基金托管人说明理由，并在与交易对手发生交易前1个交易</w:t>
      </w:r>
      <w:proofErr w:type="gramStart"/>
      <w:r>
        <w:rPr>
          <w:rFonts w:ascii="宋体" w:hAnsi="宋体"/>
          <w:sz w:val="24"/>
        </w:rPr>
        <w:t>日内与</w:t>
      </w:r>
      <w:proofErr w:type="gramEnd"/>
      <w:r>
        <w:rPr>
          <w:rFonts w:ascii="宋体" w:hAnsi="宋体"/>
          <w:sz w:val="24"/>
        </w:rPr>
        <w:t>基金托管人协商解决。基金管理人与基金托管人完成确认后，被确认调整的名单开始生效。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w:t>
      </w:r>
      <w:r>
        <w:rPr>
          <w:rFonts w:ascii="宋体" w:hAnsi="宋体"/>
          <w:sz w:val="24"/>
        </w:rPr>
        <w:lastRenderedPageBreak/>
        <w:t>没有按照事先约定的交易对手进行交易时，基金托管人应及时提醒基金管理人，基金托管人不承担由此造成的任何损失和责任。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7、本基金投资流通受限证券，应遵守《关于规范基金投资非公开发行证券行为的紧急通知》、《关于基金投资非公开发行股票等流通受限证券有关问题的通知》等有关法律法规规定。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协议所称的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sz w:val="24"/>
        </w:rPr>
        <w:t>券</w:t>
      </w:r>
      <w:proofErr w:type="gramEnd"/>
      <w:r>
        <w:rPr>
          <w:rFonts w:ascii="宋体" w:hAnsi="宋体"/>
          <w:sz w:val="24"/>
        </w:rPr>
        <w:t>等流通受限证券。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本基金可以投资经中国证监会批准的非公开发行证券，且限于由中国证券登记结算有限责任公司或中央国债登记结算有限责任公司负责登记和存管的，并可在证券交易所或全国银行间债券市场交易的证券。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基金不得投资未经中国证监会批准的非公开发行证券。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基金参与非公开发行证券的认购，不得预付任何形式的保证金，法律法规或中国证监会另有规定的除外。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基金不得投资有</w:t>
      </w:r>
      <w:proofErr w:type="gramStart"/>
      <w:r>
        <w:rPr>
          <w:rFonts w:ascii="宋体" w:hAnsi="宋体"/>
          <w:sz w:val="24"/>
        </w:rPr>
        <w:t>锁定期但锁定</w:t>
      </w:r>
      <w:proofErr w:type="gramEnd"/>
      <w:r>
        <w:rPr>
          <w:rFonts w:ascii="宋体" w:hAnsi="宋体"/>
          <w:sz w:val="24"/>
        </w:rPr>
        <w:t>期不明确的证券，且锁定期不得超过本基金的剩余期限，但法律法规或中国证监会另有规定的除外。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基金管理人应至少</w:t>
      </w:r>
      <w:proofErr w:type="gramStart"/>
      <w:r>
        <w:rPr>
          <w:rFonts w:ascii="宋体" w:hAnsi="宋体"/>
          <w:sz w:val="24"/>
        </w:rPr>
        <w:t>于首次</w:t>
      </w:r>
      <w:proofErr w:type="gramEnd"/>
      <w:r>
        <w:rPr>
          <w:rFonts w:ascii="宋体" w:hAnsi="宋体"/>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按法律法规承担所有损失。对本基金因流通受限证券导致的流动性风险，基金托管人不承担任何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Pr>
          <w:rFonts w:ascii="宋体" w:hAnsi="宋体"/>
          <w:sz w:val="24"/>
        </w:rPr>
        <w:t>于拟执行</w:t>
      </w:r>
      <w:proofErr w:type="gramEnd"/>
      <w:r>
        <w:rPr>
          <w:rFonts w:ascii="宋体" w:hAnsi="宋体"/>
          <w:sz w:val="24"/>
        </w:rPr>
        <w:t>投资指令前两个工作日将上述信息书面发至基金托管人，保证基金托管人有足够的时间进行审核。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由于基金管理人未及时提供有关证券的具体的必要的信息致使托管人无法审核认购指令而影响认购款项划拨的，基金托管人免于承担责任。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应当对投资中期票据业务进行研究，认真评估中期票据投资业务的风险，本着审慎、勤勉尽责的原则进行中期票据的投资业务。基金管理人根据法律、法规、监管部门的规定，制定了经公司董事会批准的《基金投资中期票据管理办法》（以下简称《制度》），以规范对中期票据的投资决策流程、风险控制。基金管理人《制度》的内容与本协议不一致的，以本协议的约定为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（1）基金投资中期票据应遵循以下投资限制：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1）中期票据属于固定收益类证券，基金投资中期票据应符合法律、法规及《基金合同》中关于该基金投资固定收益类证券的相关比例及期限限制；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2）基金管理人管理的全部公</w:t>
      </w:r>
      <w:proofErr w:type="gramStart"/>
      <w:r>
        <w:rPr>
          <w:rFonts w:ascii="宋体" w:hAnsi="宋体"/>
          <w:sz w:val="24"/>
        </w:rPr>
        <w:t>募基金</w:t>
      </w:r>
      <w:proofErr w:type="gramEnd"/>
      <w:r>
        <w:rPr>
          <w:rFonts w:ascii="宋体" w:hAnsi="宋体"/>
          <w:sz w:val="24"/>
        </w:rPr>
        <w:t>投资于一家企业发行的单期中期票据合计不超过该期证券的10%；</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（2）基金托管人对基金管理人流动性风险处置的监督职责限于：</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投资中期票据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w:t>
      </w:r>
      <w:r>
        <w:rPr>
          <w:rFonts w:ascii="宋体" w:hAnsi="宋体"/>
          <w:sz w:val="24"/>
        </w:rPr>
        <w:lastRenderedPageBreak/>
        <w:t>管理人违规事项未能在限期内纠正的，基金托管人应报告中国证监会。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（3）如因市场变化，基金管理人投资的中期票据超过投资比例的，基金托管人有权要求基金管理人在10个交易日内将中期票据调整至规定的比例要求。法律法规另有规定的，从其规定。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w:t>
      </w:r>
      <w:proofErr w:type="gramStart"/>
      <w:r>
        <w:rPr>
          <w:rFonts w:ascii="宋体" w:hAnsi="宋体"/>
          <w:sz w:val="24"/>
        </w:rPr>
        <w:t>若基金</w:t>
      </w:r>
      <w:proofErr w:type="gramEnd"/>
      <w:r>
        <w:rPr>
          <w:rFonts w:ascii="宋体" w:hAnsi="宋体"/>
          <w:sz w:val="24"/>
        </w:rPr>
        <w:t>托管人发现基金管理人依据交易程序已经生效的指令违反法律、行政法规和其他有关规定，或者违反基金合同约定的，应当立即通知基金管理人及时纠正，由此造成的损失由基金管理人承担。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托管人发现基金管理人有重大违规行为，基金管理人无正当理由，拒绝、阻挠对方根据本协议规定行使监督权，或采取拖延、欺诈等手段妨碍对方进行有效监督，情节严重或经基金托管人提出警告仍不改正的，应及时报告中国证监会，同时通知基金管理人限期纠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w:t>
      </w:r>
      <w:r>
        <w:rPr>
          <w:rFonts w:ascii="宋体" w:hAnsi="宋体"/>
          <w:sz w:val="24"/>
        </w:rPr>
        <w:lastRenderedPageBreak/>
        <w:t>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Pr>
          <w:rFonts w:ascii="宋体" w:hAnsi="宋体"/>
          <w:sz w:val="24"/>
        </w:rPr>
        <w:t>供基金</w:t>
      </w:r>
      <w:proofErr w:type="gramEnd"/>
      <w:r>
        <w:rPr>
          <w:rFonts w:ascii="宋体" w:hAnsi="宋体"/>
          <w:sz w:val="24"/>
        </w:rPr>
        <w:t>管理人核查托管财产的完整性和真实性。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4、基金管理人发现基金托管人有重大违规行为，应及时报告中国证监会，同时通知基金托管人限期纠正，并将纠正结果报告中国证监会。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（3）基金托管人按照规定开设基金财产的资金账户和证券账户等投资所需账户，协助开立股指期货业务相关账户及交易编码。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未经基金管理人的正当指令，不得自行运用、处分、分配基金的任何资产。不属于基金托管人实际有效控制下的实物证券在基金托管人保管期间的损坏、灭失，由此产生的责任应由基金托管人不承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w:t>
      </w:r>
      <w:r>
        <w:rPr>
          <w:rFonts w:ascii="宋体" w:hAnsi="宋体"/>
          <w:sz w:val="24"/>
        </w:rPr>
        <w:lastRenderedPageBreak/>
        <w:t>人应及时通知基金管理人采取措施进行催收。基金管理人未及时催收给基金财产造成损失的，基金管理人应负责向有关当事人追偿基金财产的损失。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（7）基金托管人应安全、完整地保管基金资产；未经基金管理人的正当指令，不得自行运用、处分、分配基金的任何资产。不属于基金托管人实际有效控制下的实物证券的损坏、灭失，基金托管人不承担责任。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托管人对因为基金管理人投资产生的存放或存管在基金托管人以外机构的基金资产，或交由期货公司或证券公司负责清算交收的基金资产（包括但不限于期货保证金账户内的资金、期货合约等）及其收益，在依约履行对存托在第三方的基金资产进行余额查询等措施后由于该等机构或该机构会员单位等本协议当事人外第三方的欺诈、疏忽、过失或破产等原因给基金资产造成的损失等不承担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（9）除依据法律法规和基金合同的规定外，基金托管人不得委托第三人托管基金财产。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（1）基金募集期间募集认购款项应存于基金认购专用账户。该账户由基金管理人或基金管理人委托的登记机构开立并管理。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募集到的属于基金财产的全部资金划入基金托管人为本基金开立的基金银行账户，同时在规定时间内，基金管理人应聘请具有从事证券相关业务资格的会计师事务所进行验资，出具验资报告。出具的验资报告由参加验资的2名或2名以上中国注册会计师签字方为有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proofErr w:type="gramStart"/>
      <w:r>
        <w:rPr>
          <w:rFonts w:ascii="宋体" w:hAnsi="宋体"/>
          <w:sz w:val="24"/>
        </w:rPr>
        <w:t>若基金</w:t>
      </w:r>
      <w:proofErr w:type="gramEnd"/>
      <w:r>
        <w:rPr>
          <w:rFonts w:ascii="宋体" w:hAnsi="宋体"/>
          <w:sz w:val="24"/>
        </w:rPr>
        <w:t>募集期限届满，未能达到基金备案的条件，由基金管理人按规定办理退款等事宜。</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（1）基金托管人以本基金的名义在其营业机构开立基金的银行账户，保管基金的银行存款，并根据基金管理人的指令办理资金收付。本基金的银行预留印鉴由基金托管人刻制、保管和使用。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（2）基金银行账户的开立和使用，限于满足开展本基金业务的需要。基金托管人和基金管理人不得假借本基金的名义开立任何其他银行账户；亦不得使用基金</w:t>
      </w:r>
      <w:r>
        <w:rPr>
          <w:rFonts w:ascii="宋体" w:hAnsi="宋体"/>
          <w:sz w:val="24"/>
        </w:rPr>
        <w:lastRenderedPageBreak/>
        <w:t>的任何账户进行本基金业务以外的活动。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（3）基金银行账户的开立和管理应符合法律法规及银行业监督管理机构的有关规定。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（1）基金托管人在中国证券登记结算有限责任公司上海分公司、深圳分公司为基金开立基金托管人与本基金联名的证券账户。</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价差资金等的收取按照中国证券登记结算有限责任公司的规定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（5）若中国证监会或其他监管机构在本托管协议订立日之后允许基金从事其他投资品种的投资业务，涉及相关账户的开立、使用的，若无相关规定，</w:t>
      </w:r>
      <w:proofErr w:type="gramStart"/>
      <w:r>
        <w:rPr>
          <w:rFonts w:ascii="宋体" w:hAnsi="宋体"/>
          <w:sz w:val="24"/>
        </w:rPr>
        <w:t>则基金</w:t>
      </w:r>
      <w:proofErr w:type="gramEnd"/>
      <w:r>
        <w:rPr>
          <w:rFonts w:ascii="宋体" w:hAnsi="宋体"/>
          <w:sz w:val="24"/>
        </w:rPr>
        <w:t>托管人比照上述关于账户开立、使用的规定执行。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银行间市场登记结算机构的有关规定，以本基金的名义在银行间市场登记结算机构开立债券托管账户，并代表本基金进行银行间市场债券的结算。基金管理人和基金托管人共同代表基金签订全国银行间债券市场债券回购主协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（1）因业务发展需要而开立的其他账户，可以根据法律法规和基金合同的规定，由基金管理人协助基金托管人按照有关法律法规和本合同的约定协商后开立。新账户按有关规定使用并管理。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财产投资的有关实物证券、银行存款开户证实书等有价凭证按约定由基金托管人存放于基金托管人的保管库，或存入中央国债登记结算有限责任公司、中国证券登记结算有限责任公司上海分公司/深圳分公司或票据营业中心的代保管库，实物保管凭证由基金托管人持有。有价凭证的购买和转让，由基金托管人根据基金管理人的指令办理。基金托管人对由上述存放机构及基金托管人以外机构实际有效控制的有价凭证不承担保管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财产有关的重大合同的原件分别由基金管理人、基金托管人保管。除本协议另有规定外，基金管理人代表本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15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（五）基金资产净值计算与复核</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基金资产净值是指基金资产总值减去负债后的价值。</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基金份额净值是指基金资产净值除以基金份额总数，基金份额净值的计算，精确到0.001元，小数点后第四位四舍五入，国家另有规定的，从其规定。</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基金管理人每个工作日计算基金资产净值及基金份额净值，经基金托管人复核，按规定公告。但基金管理人根据法律法规或基金合同的规定暂停估值时除外。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基金管理人每工作日对基金资产进行估值后，将基金份额净值结果发送基金托管人，经基金托管人复核无误后，由基金管理人依据基金合同和相关法律法规的规定对外公布。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（六）基金份额持有人名册的登记与保管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托管人要求或编制半年报和年报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（八）托管协议的变更与终止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本协议双方当事人经协商一致，可以对协议进行修改。修改后的新协议，其内容不得与基金合同的规定有任何冲突。基金托管协议的变更报中国证监会备案。</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2、基金托管协议终止出现的情形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25" w:name="_Toc135751501"/>
      <w:r>
        <w:rPr>
          <w:rFonts w:ascii="Times New Roman" w:hAnsi="Times New Roman"/>
          <w:sz w:val="30"/>
        </w:rPr>
        <w:lastRenderedPageBreak/>
        <w:t>二十二、对基金份额持有人的服务</w:t>
      </w:r>
      <w:bookmarkEnd w:id="25"/>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w:t>
      </w:r>
      <w:proofErr w:type="gramStart"/>
      <w:r>
        <w:rPr>
          <w:rFonts w:ascii="宋体" w:hAnsi="宋体"/>
          <w:sz w:val="24"/>
        </w:rPr>
        <w:t>人客户</w:t>
      </w:r>
      <w:proofErr w:type="gramEnd"/>
      <w:r>
        <w:rPr>
          <w:rFonts w:ascii="宋体" w:hAnsi="宋体"/>
          <w:sz w:val="24"/>
        </w:rPr>
        <w:t>服务中心（400-700-5000，021-61055000）联系。</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服务，个人投资者可以直接通过本基金管理人的网上直销交易平台办理开户和本基金前端基金份额的申购、赎回、定期定额投资和转换等业务。本公司暂不开展网上直销后端基金份额的认/申购业务，通过转托管转入网上直销账户的后端收费模式的基金份额只能办理赎回业务。通过网上直销交易平台办理本基金前端基金份额申购和定期定额投资业务的个人投资者将享受前端申购费率的优惠，通过网上直销交易平台进行基金转换，从各基金招募说明书所载的零申购费率的基金转换</w:t>
      </w:r>
      <w:proofErr w:type="gramStart"/>
      <w:r>
        <w:rPr>
          <w:rFonts w:ascii="宋体" w:hAnsi="宋体"/>
          <w:sz w:val="24"/>
        </w:rPr>
        <w:t>入非零申购</w:t>
      </w:r>
      <w:proofErr w:type="gramEnd"/>
      <w:r>
        <w:rPr>
          <w:rFonts w:ascii="宋体" w:hAnsi="宋体"/>
          <w:sz w:val="24"/>
        </w:rPr>
        <w:t>费率的基金，转出与转入基金的前端申购补差费率将享受优惠，其他费率标准不变。具体优惠费率请参见公司网站列示的网上直销交易平台申购、定期定额投资及转换费率表或相关公告。基金网上直销交易平台已开通的银行卡及各银行卡交易金额限额请参阅本基金管理人网站。</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在条件成熟的时候，本基金管理人将根据基金网上直销业务的发展状况，适时调整可用于网上直销交易平台的银行卡种类，敬请投资人留意相关公告。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（三）信息咨询、查询服务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w:t>
      </w:r>
      <w:proofErr w:type="gramStart"/>
      <w:r>
        <w:rPr>
          <w:rFonts w:ascii="宋体" w:hAnsi="宋体"/>
          <w:sz w:val="24"/>
        </w:rPr>
        <w:t>人客户</w:t>
      </w:r>
      <w:proofErr w:type="gramEnd"/>
      <w:r>
        <w:rPr>
          <w:rFonts w:ascii="宋体" w:hAnsi="宋体"/>
          <w:sz w:val="24"/>
        </w:rPr>
        <w:t>服务电话（400-700-5000，021-61055000）或登录本基金管理人网站（www.fund001.com）进行咨询、查询。</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w:t>
      </w:r>
      <w:proofErr w:type="gramStart"/>
      <w:r>
        <w:rPr>
          <w:rFonts w:ascii="宋体" w:hAnsi="宋体"/>
          <w:sz w:val="24"/>
        </w:rPr>
        <w:t>人客户</w:t>
      </w:r>
      <w:proofErr w:type="gramEnd"/>
      <w:r>
        <w:rPr>
          <w:rFonts w:ascii="宋体" w:hAnsi="宋体"/>
          <w:sz w:val="24"/>
        </w:rPr>
        <w:t>服务电话修改基金查询密码。</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投资人可以拨打本基金管理</w:t>
      </w:r>
      <w:proofErr w:type="gramStart"/>
      <w:r>
        <w:rPr>
          <w:rFonts w:ascii="宋体" w:hAnsi="宋体"/>
          <w:sz w:val="24"/>
        </w:rPr>
        <w:t>人客户</w:t>
      </w:r>
      <w:proofErr w:type="gramEnd"/>
      <w:r>
        <w:rPr>
          <w:rFonts w:ascii="宋体" w:hAnsi="宋体"/>
          <w:sz w:val="24"/>
        </w:rPr>
        <w:t>服务电话投诉直销机构的人员和服务。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（四）基金转换业务</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本基金已开通转换业务，具体实施方法请参见相关公告。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（五）定期定额投资计划</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本基金已开通定期定额投资业务，具体实施方法请参见相关公告。</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（六）如本招募说明书存在任何您/</w:t>
      </w:r>
      <w:proofErr w:type="gramStart"/>
      <w:r>
        <w:rPr>
          <w:rFonts w:ascii="宋体" w:hAnsi="宋体"/>
          <w:sz w:val="24"/>
        </w:rPr>
        <w:t>贵机构</w:t>
      </w:r>
      <w:proofErr w:type="gramEnd"/>
      <w:r>
        <w:rPr>
          <w:rFonts w:ascii="宋体" w:hAnsi="宋体"/>
          <w:sz w:val="24"/>
        </w:rPr>
        <w:t>无法理解的内容，请通过上述方式联系基金管理人。</w:t>
      </w:r>
      <w:proofErr w:type="gramStart"/>
      <w:r>
        <w:rPr>
          <w:rFonts w:ascii="宋体" w:hAnsi="宋体"/>
          <w:sz w:val="24"/>
        </w:rPr>
        <w:t>请确保</w:t>
      </w:r>
      <w:proofErr w:type="gramEnd"/>
      <w:r>
        <w:rPr>
          <w:rFonts w:ascii="宋体" w:hAnsi="宋体"/>
          <w:sz w:val="24"/>
        </w:rPr>
        <w:t>投资前，您/</w:t>
      </w:r>
      <w:proofErr w:type="gramStart"/>
      <w:r>
        <w:rPr>
          <w:rFonts w:ascii="宋体" w:hAnsi="宋体"/>
          <w:sz w:val="24"/>
        </w:rPr>
        <w:t>贵机构</w:t>
      </w:r>
      <w:proofErr w:type="gramEnd"/>
      <w:r>
        <w:rPr>
          <w:rFonts w:ascii="宋体" w:hAnsi="宋体"/>
          <w:sz w:val="24"/>
        </w:rPr>
        <w:t>已经全面理解了本招募说明书。</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26" w:name="_Toc135751502"/>
      <w:r>
        <w:rPr>
          <w:rFonts w:ascii="Times New Roman" w:hAnsi="Times New Roman"/>
          <w:sz w:val="30"/>
        </w:rPr>
        <w:lastRenderedPageBreak/>
        <w:t>二十三、其他应披露事项</w:t>
      </w:r>
      <w:bookmarkEnd w:id="26"/>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交银施罗德新成长混合型证券投资基金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交银施罗德新成长混合型证券投资</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交银施罗德新成长混合型证券投资基金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w:t>
            </w:r>
            <w:proofErr w:type="gramStart"/>
            <w:r>
              <w:rPr>
                <w:rFonts w:ascii="Times New Roman" w:hAnsi="Times New Roman"/>
                <w:color w:val="000000"/>
                <w:kern w:val="0"/>
                <w:sz w:val="25"/>
                <w:szCs w:val="24"/>
              </w:rPr>
              <w:t>邮证券</w:t>
            </w:r>
            <w:proofErr w:type="gramEnd"/>
            <w:r>
              <w:rPr>
                <w:rFonts w:ascii="Times New Roman" w:hAnsi="Times New Roman"/>
                <w:color w:val="000000"/>
                <w:kern w:val="0"/>
                <w:sz w:val="25"/>
                <w:szCs w:val="24"/>
              </w:rPr>
              <w:t>有限责任公司为旗下基金销售机构的公告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2022-07-28</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交银施罗德基金管理有限公司关于增加开源证券股份有限公司为旗下基金销售机构的公告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2022-08-12</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交银施罗德新成长混合型证券投资基金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w:t>
            </w:r>
            <w:proofErr w:type="gramStart"/>
            <w:r>
              <w:rPr>
                <w:rFonts w:ascii="Times New Roman" w:hAnsi="Times New Roman"/>
                <w:color w:val="000000"/>
                <w:kern w:val="0"/>
                <w:sz w:val="25"/>
                <w:szCs w:val="24"/>
              </w:rPr>
              <w:t>国元证券</w:t>
            </w:r>
            <w:proofErr w:type="gramEnd"/>
            <w:r>
              <w:rPr>
                <w:rFonts w:ascii="Times New Roman" w:hAnsi="Times New Roman"/>
                <w:color w:val="000000"/>
                <w:kern w:val="0"/>
                <w:sz w:val="25"/>
                <w:szCs w:val="24"/>
              </w:rPr>
              <w:t>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2022-09-23</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w:t>
            </w:r>
            <w:proofErr w:type="gramStart"/>
            <w:r>
              <w:rPr>
                <w:rFonts w:ascii="Times New Roman" w:hAnsi="Times New Roman"/>
                <w:color w:val="000000"/>
                <w:kern w:val="0"/>
                <w:sz w:val="25"/>
                <w:szCs w:val="24"/>
              </w:rPr>
              <w:t>固有资金</w:t>
            </w:r>
            <w:proofErr w:type="gramEnd"/>
            <w:r>
              <w:rPr>
                <w:rFonts w:ascii="Times New Roman" w:hAnsi="Times New Roman"/>
                <w:color w:val="000000"/>
                <w:kern w:val="0"/>
                <w:sz w:val="25"/>
                <w:szCs w:val="24"/>
              </w:rPr>
              <w:t>拟购买旗下</w:t>
            </w:r>
            <w:proofErr w:type="gramStart"/>
            <w:r>
              <w:rPr>
                <w:rFonts w:ascii="Times New Roman" w:hAnsi="Times New Roman"/>
                <w:color w:val="000000"/>
                <w:kern w:val="0"/>
                <w:sz w:val="25"/>
                <w:szCs w:val="24"/>
              </w:rPr>
              <w:t>偏股型</w:t>
            </w:r>
            <w:proofErr w:type="gramEnd"/>
            <w:r>
              <w:rPr>
                <w:rFonts w:ascii="Times New Roman" w:hAnsi="Times New Roman"/>
                <w:color w:val="000000"/>
                <w:kern w:val="0"/>
                <w:sz w:val="25"/>
                <w:szCs w:val="24"/>
              </w:rPr>
              <w:t>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11</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交银施罗德新成长混合型证券投资基金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交银施罗德基金管理有限公司关于旗下部分基金投资非公开发行股票的公告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2022-11-30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交银施罗德新成长混合型证券投资基金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交银施罗德基金管理有限公司关于增加南京银行股份有限公司为旗下基金销售机构的公告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2023-03-03</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交银施罗德新成长混合型证券投资基金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2A5B28">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交银施罗德新成长混合型证券投资基金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2A5B28" w:rsidRDefault="00A82654">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bl>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27" w:name="_Toc135751503"/>
      <w:r>
        <w:rPr>
          <w:rFonts w:ascii="Times New Roman" w:hAnsi="Times New Roman"/>
          <w:sz w:val="30"/>
        </w:rPr>
        <w:lastRenderedPageBreak/>
        <w:t>二十四、招募说明书的存放及查阅方式</w:t>
      </w:r>
      <w:bookmarkEnd w:id="27"/>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住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A82654"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2A5B28" w:rsidRDefault="00A82654">
      <w:pPr>
        <w:pStyle w:val="1"/>
        <w:snapToGrid w:val="0"/>
        <w:spacing w:beforeLines="0" w:before="240" w:after="240"/>
        <w:rPr>
          <w:rFonts w:ascii="宋体" w:hAnsi="宋体"/>
          <w:szCs w:val="30"/>
        </w:rPr>
      </w:pPr>
      <w:bookmarkStart w:id="28" w:name="_Toc135751504"/>
      <w:r>
        <w:rPr>
          <w:rFonts w:ascii="Times New Roman" w:hAnsi="Times New Roman"/>
          <w:sz w:val="30"/>
        </w:rPr>
        <w:lastRenderedPageBreak/>
        <w:t>二十五、备查文件</w:t>
      </w:r>
      <w:bookmarkEnd w:id="28"/>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（一）中国证监会准予交银施罗德新成长股票型证券投资基金募集注册的文件</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（二）《交银施罗德新成长混合型证券投资基金基金合同》</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（三）《交银施罗德新成长混合型证券投资基金托管协议》</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（六）关于申请募集注册交银施罗德新成长股票型证券投资基金的法律意见书</w:t>
      </w:r>
    </w:p>
    <w:p w:rsidR="002A5B28" w:rsidRDefault="00A826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（七）中国证监会要求的其他文件</w:t>
      </w:r>
    </w:p>
    <w:sectPr w:rsidR="002A5B28">
      <w:footerReference w:type="default" r:id="rId14"/>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D6" w:rsidRDefault="00EE04D6">
      <w:r>
        <w:separator/>
      </w:r>
    </w:p>
  </w:endnote>
  <w:endnote w:type="continuationSeparator" w:id="0">
    <w:p w:rsidR="00EE04D6" w:rsidRDefault="00EE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28" w:rsidRDefault="00375F3C">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28" w:rsidRDefault="00A82654">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0574C5">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2A5B28" w:rsidRDefault="00A82654">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0574C5">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28" w:rsidRDefault="00375F3C">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28" w:rsidRDefault="00A82654">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0574C5">
                            <w:rPr>
                              <w:rFonts w:ascii="Times New Roman" w:hAnsi="Times New Roman"/>
                              <w:noProof/>
                              <w:kern w:val="0"/>
                              <w:sz w:val="18"/>
                              <w:szCs w:val="18"/>
                            </w:rPr>
                            <w:t>7</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2A5B28" w:rsidRDefault="00A82654">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0574C5">
                      <w:rPr>
                        <w:rFonts w:ascii="Times New Roman" w:hAnsi="Times New Roman"/>
                        <w:noProof/>
                        <w:kern w:val="0"/>
                        <w:sz w:val="18"/>
                        <w:szCs w:val="18"/>
                      </w:rPr>
                      <w:t>7</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D6" w:rsidRDefault="00EE04D6">
      <w:r>
        <w:separator/>
      </w:r>
    </w:p>
  </w:footnote>
  <w:footnote w:type="continuationSeparator" w:id="0">
    <w:p w:rsidR="00EE04D6" w:rsidRDefault="00EE0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D0" w:rsidRDefault="00375F3C">
    <w:pPr>
      <w:pStyle w:val="a3"/>
      <w:jc w:val="right"/>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2A5B28" w:rsidRDefault="00A82654">
    <w:pPr>
      <w:pStyle w:val="a3"/>
      <w:jc w:val="right"/>
      <w:rPr>
        <w:rFonts w:ascii="宋体" w:hAnsi="宋体"/>
      </w:rPr>
    </w:pPr>
    <w:r>
      <w:rPr>
        <w:rFonts w:ascii="宋体" w:hAnsi="宋体" w:hint="eastAsia"/>
      </w:rPr>
      <w:t>交银施罗德新成长混合型证券投资基金(更新)招募说明书(2023年第1号)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28" w:rsidRDefault="002A5B28">
    <w:pPr>
      <w:pStyle w:val="11"/>
      <w:jc w:val="right"/>
    </w:pPr>
  </w:p>
  <w:p w:rsidR="002A5B28" w:rsidRDefault="002A5B28">
    <w:pPr>
      <w:pStyle w:val="11"/>
      <w:jc w:val="right"/>
    </w:pPr>
  </w:p>
  <w:p w:rsidR="002A5B28" w:rsidRDefault="002A5B28">
    <w:pPr>
      <w:pStyle w:val="a3"/>
      <w:jc w:val="right"/>
    </w:pPr>
  </w:p>
  <w:p w:rsidR="009E65D0" w:rsidRDefault="00375F3C">
    <w:pPr>
      <w:pStyle w:val="a3"/>
      <w:jc w:val="right"/>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2A5B28" w:rsidRDefault="00A82654">
    <w:pPr>
      <w:pStyle w:val="a3"/>
      <w:jc w:val="right"/>
      <w:rPr>
        <w:rFonts w:ascii="宋体" w:hAnsi="宋体"/>
      </w:rPr>
    </w:pPr>
    <w:r>
      <w:rPr>
        <w:rFonts w:ascii="宋体" w:hAnsi="宋体" w:hint="eastAsia"/>
      </w:rPr>
      <w:t>交银施罗德新成长混合型证券投资基金(更新)招募说明书(2023年第</w:t>
    </w:r>
    <w:r w:rsidR="00FE0023">
      <w:rPr>
        <w:rFonts w:ascii="宋体" w:hAnsi="宋体" w:hint="eastAsia"/>
      </w:rPr>
      <w:t>2</w:t>
    </w:r>
    <w:r>
      <w:rPr>
        <w:rFonts w:ascii="宋体" w:hAnsi="宋体" w:hint="eastAsia"/>
      </w:rPr>
      <w:t>号)</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28" w:rsidRDefault="002A5B28">
    <w:pPr>
      <w:pStyle w:val="a3"/>
      <w:jc w:val="right"/>
    </w:pPr>
  </w:p>
  <w:p w:rsidR="002A5B28" w:rsidRDefault="002A5B28">
    <w:pPr>
      <w:pStyle w:val="a3"/>
      <w:jc w:val="right"/>
    </w:pPr>
  </w:p>
  <w:p w:rsidR="002A5B28" w:rsidRDefault="002A5B28">
    <w:pPr>
      <w:pStyle w:val="a3"/>
      <w:jc w:val="right"/>
    </w:pPr>
  </w:p>
  <w:p w:rsidR="009E65D0" w:rsidRDefault="00375F3C">
    <w:pPr>
      <w:pStyle w:val="a3"/>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2A5B28" w:rsidRDefault="00A82654">
    <w:pPr>
      <w:pStyle w:val="a3"/>
      <w:jc w:val="right"/>
      <w:rPr>
        <w:rFonts w:ascii="宋体" w:hAnsi="宋体"/>
      </w:rPr>
    </w:pPr>
    <w:r>
      <w:rPr>
        <w:rFonts w:ascii="宋体" w:hAnsi="宋体" w:hint="eastAsia"/>
      </w:rPr>
      <w:t>交银施罗德新成长混合型证券投资基金(更新)招募说明书(2023年第</w:t>
    </w:r>
    <w:r w:rsidR="00FE0023">
      <w:rPr>
        <w:rFonts w:ascii="宋体" w:hAnsi="宋体" w:hint="eastAsia"/>
      </w:rPr>
      <w:t>2</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clean"/>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574C5"/>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B28"/>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75F3C"/>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2BC"/>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77C8A"/>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654"/>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27D4A"/>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04D6"/>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0023"/>
    <w:rsid w:val="00FE3FF3"/>
    <w:rsid w:val="00FE6576"/>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4AE742-D4E2-4B33-8D6E-9EAE677E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17215</Words>
  <Characters>98128</Characters>
  <Application>Microsoft Office Word</Application>
  <DocSecurity>0</DocSecurity>
  <Lines>817</Lines>
  <Paragraphs>230</Paragraphs>
  <ScaleCrop>false</ScaleCrop>
  <Company>Microsoft</Company>
  <LinksUpToDate>false</LinksUpToDate>
  <CharactersWithSpaces>115113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孙文婷</cp:lastModifiedBy>
  <cp:revision>5</cp:revision>
  <cp:lastPrinted>2013-02-18T03:10:00Z</cp:lastPrinted>
  <dcterms:created xsi:type="dcterms:W3CDTF">2023-07-07T10:52:00Z</dcterms:created>
  <dcterms:modified xsi:type="dcterms:W3CDTF">2023-07-10T08:04:00Z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