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FC0" w:rsidRPr="00EB07BC" w:rsidRDefault="00E40CBF">
      <w:pPr>
        <w:rPr>
          <w:sz w:val="32"/>
        </w:rPr>
      </w:pPr>
      <w:bookmarkStart w:id="0" w:name="_GoBack"/>
      <w:bookmarkEnd w:id="0"/>
    </w:p>
    <w:p w:rsidR="00C92FC0" w:rsidRPr="00EB07BC" w:rsidRDefault="00E40CBF">
      <w:pPr>
        <w:rPr>
          <w:sz w:val="32"/>
        </w:rPr>
      </w:pPr>
    </w:p>
    <w:p w:rsidR="00C92FC0" w:rsidRPr="00EB07BC" w:rsidRDefault="00E40CBF">
      <w:pPr>
        <w:rPr>
          <w:sz w:val="32"/>
        </w:rPr>
      </w:pPr>
    </w:p>
    <w:p w:rsidR="00C92FC0" w:rsidRPr="00EB07BC" w:rsidRDefault="00BA70AD">
      <w:pPr>
        <w:jc w:val="center"/>
        <w:rPr>
          <w:sz w:val="32"/>
        </w:rPr>
      </w:pPr>
      <w:r>
        <w:rPr>
          <w:noProof/>
        </w:rPr>
        <w:drawing>
          <wp:inline distT="0" distB="0" distL="0" distR="0">
            <wp:extent cx="4343400" cy="571500"/>
            <wp:effectExtent l="0" t="0" r="0" b="0"/>
            <wp:docPr id="5"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rsidR="005B1FF5" w:rsidRDefault="005B1FF5">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rsidR="005B1FF5" w:rsidRDefault="005B1FF5">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rsidR="005B1FF5" w:rsidRDefault="000B1B0D">
      <w:pPr>
        <w:autoSpaceDE w:val="0"/>
        <w:autoSpaceDN w:val="0"/>
        <w:adjustRightInd w:val="0"/>
        <w:snapToGrid w:val="0"/>
        <w:spacing w:before="63" w:line="360" w:lineRule="auto"/>
        <w:ind w:rightChars="6" w:right="13"/>
        <w:jc w:val="center"/>
        <w:rPr>
          <w:rFonts w:ascii="黑体" w:hAnsi="黑体"/>
          <w:b/>
          <w:spacing w:val="2"/>
          <w:w w:val="99"/>
          <w:kern w:val="0"/>
          <w:position w:val="-4"/>
          <w:sz w:val="44"/>
          <w:szCs w:val="44"/>
        </w:rPr>
      </w:pPr>
      <w:r>
        <w:rPr>
          <w:rFonts w:ascii="Times New Roman" w:hAnsi="Times New Roman"/>
          <w:b/>
          <w:spacing w:val="2"/>
          <w:w w:val="99"/>
          <w:kern w:val="0"/>
          <w:position w:val="-4"/>
          <w:sz w:val="44"/>
          <w:szCs w:val="44"/>
        </w:rPr>
        <w:t>交银施罗德国企改革灵活配置混合型证券投资基金</w:t>
      </w:r>
    </w:p>
    <w:p w:rsidR="005B1FF5" w:rsidRDefault="000B1B0D">
      <w:pPr>
        <w:autoSpaceDE w:val="0"/>
        <w:autoSpaceDN w:val="0"/>
        <w:adjustRightInd w:val="0"/>
        <w:snapToGrid w:val="0"/>
        <w:spacing w:before="63" w:line="360" w:lineRule="auto"/>
        <w:ind w:rightChars="6" w:right="13"/>
        <w:jc w:val="center"/>
        <w:rPr>
          <w:rFonts w:ascii="宋体" w:hAnsi="宋体"/>
          <w:b/>
          <w:kern w:val="0"/>
          <w:sz w:val="44"/>
          <w:szCs w:val="44"/>
        </w:rPr>
      </w:pPr>
      <w:r>
        <w:rPr>
          <w:rFonts w:ascii="宋体" w:hAnsi="宋体"/>
          <w:b/>
          <w:spacing w:val="2"/>
          <w:w w:val="99"/>
          <w:kern w:val="0"/>
          <w:sz w:val="44"/>
          <w:szCs w:val="44"/>
        </w:rPr>
        <w:t>(更新)招募说明书</w:t>
      </w:r>
    </w:p>
    <w:p w:rsidR="005B1FF5" w:rsidRDefault="000B1B0D">
      <w:pPr>
        <w:snapToGrid w:val="0"/>
        <w:spacing w:line="360" w:lineRule="auto"/>
        <w:jc w:val="center"/>
        <w:rPr>
          <w:rFonts w:ascii="宋体" w:hAnsi="宋体"/>
          <w:b/>
          <w:sz w:val="30"/>
          <w:szCs w:val="30"/>
        </w:rPr>
      </w:pPr>
      <w:r>
        <w:rPr>
          <w:rFonts w:ascii="Times New Roman" w:hAnsi="Times New Roman"/>
          <w:b/>
          <w:color w:val="000000"/>
          <w:sz w:val="32"/>
          <w:szCs w:val="32"/>
        </w:rPr>
        <w:t>(2023</w:t>
      </w:r>
      <w:r>
        <w:rPr>
          <w:rFonts w:ascii="Times New Roman" w:hAnsi="Times New Roman"/>
          <w:b/>
          <w:color w:val="000000"/>
          <w:sz w:val="32"/>
          <w:szCs w:val="32"/>
        </w:rPr>
        <w:t>年第</w:t>
      </w:r>
      <w:r w:rsidR="00DE4ABF">
        <w:rPr>
          <w:rFonts w:ascii="Times New Roman" w:hAnsi="Times New Roman" w:hint="eastAsia"/>
          <w:b/>
          <w:color w:val="000000"/>
          <w:sz w:val="32"/>
          <w:szCs w:val="32"/>
        </w:rPr>
        <w:t>3</w:t>
      </w:r>
      <w:r>
        <w:rPr>
          <w:rFonts w:ascii="Times New Roman" w:hAnsi="Times New Roman"/>
          <w:b/>
          <w:color w:val="000000"/>
          <w:sz w:val="32"/>
          <w:szCs w:val="32"/>
        </w:rPr>
        <w:t>号</w:t>
      </w:r>
      <w:r>
        <w:rPr>
          <w:rFonts w:ascii="Times New Roman" w:hAnsi="Times New Roman"/>
          <w:b/>
          <w:color w:val="000000"/>
          <w:sz w:val="32"/>
          <w:szCs w:val="32"/>
        </w:rPr>
        <w:t>)</w:t>
      </w:r>
    </w:p>
    <w:p w:rsidR="005B1FF5" w:rsidRDefault="005B1FF5">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5B1FF5" w:rsidRDefault="005B1FF5">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5B1FF5" w:rsidRDefault="005B1FF5">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5B1FF5" w:rsidRDefault="005B1FF5">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5B1FF5" w:rsidRDefault="005B1FF5">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5B1FF5" w:rsidRDefault="005B1FF5">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5B1FF5" w:rsidRDefault="000B1B0D">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基金管理人：交银施罗德基金管理有限公司</w:t>
      </w:r>
    </w:p>
    <w:p w:rsidR="005B1FF5" w:rsidRDefault="000B1B0D">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基金托管人：中国农业银行股份有限公司</w:t>
      </w:r>
    </w:p>
    <w:p w:rsidR="005B1FF5" w:rsidRDefault="005B1FF5">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5B1FF5" w:rsidRDefault="005B1FF5">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5B1FF5" w:rsidRDefault="000B1B0D">
      <w:pPr>
        <w:autoSpaceDE w:val="0"/>
        <w:autoSpaceDN w:val="0"/>
        <w:adjustRightInd w:val="0"/>
        <w:snapToGrid w:val="0"/>
        <w:spacing w:line="360" w:lineRule="auto"/>
        <w:ind w:rightChars="6" w:right="13"/>
        <w:jc w:val="center"/>
        <w:rPr>
          <w:rFonts w:ascii="宋体" w:hAnsi="宋体"/>
          <w:b/>
          <w:kern w:val="0"/>
          <w:sz w:val="28"/>
          <w:szCs w:val="32"/>
        </w:rPr>
      </w:pPr>
      <w:r>
        <w:rPr>
          <w:rFonts w:ascii="Times New Roman" w:hAnsi="Times New Roman"/>
          <w:b/>
          <w:spacing w:val="2"/>
          <w:w w:val="99"/>
          <w:kern w:val="0"/>
          <w:sz w:val="28"/>
          <w:szCs w:val="32"/>
        </w:rPr>
        <w:t>二〇二三年</w:t>
      </w:r>
      <w:r w:rsidR="00DE4ABF">
        <w:rPr>
          <w:rFonts w:ascii="Times New Roman" w:hAnsi="Times New Roman" w:hint="eastAsia"/>
          <w:b/>
          <w:spacing w:val="2"/>
          <w:w w:val="99"/>
          <w:kern w:val="0"/>
          <w:sz w:val="28"/>
          <w:szCs w:val="32"/>
        </w:rPr>
        <w:t>七</w:t>
      </w:r>
      <w:r>
        <w:rPr>
          <w:rFonts w:ascii="Times New Roman" w:hAnsi="Times New Roman"/>
          <w:b/>
          <w:spacing w:val="2"/>
          <w:w w:val="99"/>
          <w:kern w:val="0"/>
          <w:sz w:val="28"/>
          <w:szCs w:val="32"/>
        </w:rPr>
        <w:t>月</w:t>
      </w:r>
    </w:p>
    <w:p w:rsidR="005B1FF5" w:rsidRDefault="005B1FF5">
      <w:pPr>
        <w:autoSpaceDE w:val="0"/>
        <w:autoSpaceDN w:val="0"/>
        <w:adjustRightInd w:val="0"/>
        <w:snapToGrid w:val="0"/>
        <w:spacing w:line="360" w:lineRule="auto"/>
        <w:ind w:left="1347" w:rightChars="6" w:right="13"/>
        <w:rPr>
          <w:rFonts w:ascii="宋体" w:hAnsi="宋体"/>
          <w:kern w:val="0"/>
          <w:sz w:val="32"/>
          <w:szCs w:val="32"/>
        </w:rPr>
        <w:sectPr w:rsidR="005B1FF5">
          <w:headerReference w:type="default" r:id="rId9"/>
          <w:footerReference w:type="default" r:id="rId10"/>
          <w:headerReference w:type="first" r:id="rId11"/>
          <w:pgSz w:w="11920" w:h="16840"/>
          <w:pgMar w:top="1560" w:right="1680" w:bottom="280" w:left="1680" w:header="0" w:footer="1073" w:gutter="0"/>
          <w:pgNumType w:start="1"/>
          <w:cols w:space="720"/>
          <w:titlePg/>
          <w:docGrid w:linePitch="286"/>
        </w:sectPr>
      </w:pPr>
    </w:p>
    <w:p w:rsidR="005B1FF5" w:rsidRDefault="000B1B0D">
      <w:pPr>
        <w:pStyle w:val="1"/>
        <w:snapToGrid w:val="0"/>
        <w:spacing w:beforeLines="0" w:before="240" w:after="240"/>
        <w:rPr>
          <w:rFonts w:ascii="宋体" w:hAnsi="宋体"/>
          <w:kern w:val="0"/>
        </w:rPr>
      </w:pPr>
      <w:bookmarkStart w:id="1" w:name="_Toc324920538"/>
      <w:bookmarkStart w:id="2" w:name="_Toc496884613"/>
      <w:bookmarkStart w:id="3" w:name="_Toc137828447"/>
      <w:r>
        <w:rPr>
          <w:rFonts w:ascii="Times New Roman" w:hAnsi="Times New Roman"/>
          <w:kern w:val="0"/>
        </w:rPr>
        <w:lastRenderedPageBreak/>
        <w:t>重要提示</w:t>
      </w:r>
      <w:bookmarkEnd w:id="1"/>
      <w:bookmarkEnd w:id="2"/>
      <w:bookmarkEnd w:id="3"/>
    </w:p>
    <w:p w:rsidR="005B1FF5" w:rsidRDefault="000B1B0D">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交银施罗德国企改革灵活配置混合型证券投资基金（以下简称</w:t>
      </w:r>
      <w:r>
        <w:rPr>
          <w:rFonts w:ascii="Times New Roman" w:hAnsi="Times New Roman"/>
          <w:kern w:val="0"/>
          <w:sz w:val="24"/>
        </w:rPr>
        <w:t>“</w:t>
      </w:r>
      <w:r>
        <w:rPr>
          <w:rFonts w:ascii="Times New Roman" w:hAnsi="Times New Roman"/>
          <w:kern w:val="0"/>
          <w:sz w:val="24"/>
        </w:rPr>
        <w:t>本基金</w:t>
      </w:r>
      <w:r>
        <w:rPr>
          <w:rFonts w:ascii="Times New Roman" w:hAnsi="Times New Roman"/>
          <w:kern w:val="0"/>
          <w:sz w:val="24"/>
        </w:rPr>
        <w:t>”</w:t>
      </w:r>
      <w:r>
        <w:rPr>
          <w:rFonts w:ascii="Times New Roman" w:hAnsi="Times New Roman"/>
          <w:kern w:val="0"/>
          <w:sz w:val="24"/>
        </w:rPr>
        <w:t>）经</w:t>
      </w:r>
      <w:r>
        <w:rPr>
          <w:rFonts w:ascii="Times New Roman" w:hAnsi="Times New Roman"/>
          <w:kern w:val="0"/>
          <w:sz w:val="24"/>
        </w:rPr>
        <w:t>2015</w:t>
      </w:r>
      <w:r>
        <w:rPr>
          <w:rFonts w:ascii="Times New Roman" w:hAnsi="Times New Roman"/>
          <w:kern w:val="0"/>
          <w:sz w:val="24"/>
        </w:rPr>
        <w:t>年</w:t>
      </w:r>
      <w:r>
        <w:rPr>
          <w:rFonts w:ascii="Times New Roman" w:hAnsi="Times New Roman"/>
          <w:kern w:val="0"/>
          <w:sz w:val="24"/>
        </w:rPr>
        <w:t>4</w:t>
      </w:r>
      <w:r>
        <w:rPr>
          <w:rFonts w:ascii="Times New Roman" w:hAnsi="Times New Roman"/>
          <w:kern w:val="0"/>
          <w:sz w:val="24"/>
        </w:rPr>
        <w:t>月</w:t>
      </w:r>
      <w:r>
        <w:rPr>
          <w:rFonts w:ascii="Times New Roman" w:hAnsi="Times New Roman"/>
          <w:kern w:val="0"/>
          <w:sz w:val="24"/>
        </w:rPr>
        <w:t>14</w:t>
      </w:r>
      <w:r>
        <w:rPr>
          <w:rFonts w:ascii="Times New Roman" w:hAnsi="Times New Roman"/>
          <w:kern w:val="0"/>
          <w:sz w:val="24"/>
        </w:rPr>
        <w:t>日中国证券监督管理委员会（以下简称</w:t>
      </w:r>
      <w:r>
        <w:rPr>
          <w:rFonts w:ascii="Times New Roman" w:hAnsi="Times New Roman"/>
          <w:kern w:val="0"/>
          <w:sz w:val="24"/>
        </w:rPr>
        <w:t>“</w:t>
      </w:r>
      <w:r>
        <w:rPr>
          <w:rFonts w:ascii="Times New Roman" w:hAnsi="Times New Roman"/>
          <w:kern w:val="0"/>
          <w:sz w:val="24"/>
        </w:rPr>
        <w:t>中国证监会</w:t>
      </w:r>
      <w:r>
        <w:rPr>
          <w:rFonts w:ascii="Times New Roman" w:hAnsi="Times New Roman"/>
          <w:kern w:val="0"/>
          <w:sz w:val="24"/>
        </w:rPr>
        <w:t>”</w:t>
      </w:r>
      <w:r>
        <w:rPr>
          <w:rFonts w:ascii="Times New Roman" w:hAnsi="Times New Roman"/>
          <w:kern w:val="0"/>
          <w:sz w:val="24"/>
        </w:rPr>
        <w:t>）证监许可【</w:t>
      </w:r>
      <w:r>
        <w:rPr>
          <w:rFonts w:ascii="Times New Roman" w:hAnsi="Times New Roman"/>
          <w:kern w:val="0"/>
          <w:sz w:val="24"/>
        </w:rPr>
        <w:t>2015</w:t>
      </w:r>
      <w:r>
        <w:rPr>
          <w:rFonts w:ascii="Times New Roman" w:hAnsi="Times New Roman"/>
          <w:kern w:val="0"/>
          <w:sz w:val="24"/>
        </w:rPr>
        <w:t>】</w:t>
      </w:r>
      <w:r>
        <w:rPr>
          <w:rFonts w:ascii="Times New Roman" w:hAnsi="Times New Roman"/>
          <w:kern w:val="0"/>
          <w:sz w:val="24"/>
        </w:rPr>
        <w:t>613</w:t>
      </w:r>
      <w:r>
        <w:rPr>
          <w:rFonts w:ascii="Times New Roman" w:hAnsi="Times New Roman"/>
          <w:kern w:val="0"/>
          <w:sz w:val="24"/>
        </w:rPr>
        <w:t>号文准予募集注册。本基金基金合同于</w:t>
      </w:r>
      <w:r>
        <w:rPr>
          <w:rFonts w:ascii="Times New Roman" w:hAnsi="Times New Roman"/>
          <w:kern w:val="0"/>
          <w:sz w:val="24"/>
        </w:rPr>
        <w:t>2015</w:t>
      </w:r>
      <w:r>
        <w:rPr>
          <w:rFonts w:ascii="Times New Roman" w:hAnsi="Times New Roman"/>
          <w:kern w:val="0"/>
          <w:sz w:val="24"/>
        </w:rPr>
        <w:t>年</w:t>
      </w:r>
      <w:r>
        <w:rPr>
          <w:rFonts w:ascii="Times New Roman" w:hAnsi="Times New Roman"/>
          <w:kern w:val="0"/>
          <w:sz w:val="24"/>
        </w:rPr>
        <w:t>6</w:t>
      </w:r>
      <w:r>
        <w:rPr>
          <w:rFonts w:ascii="Times New Roman" w:hAnsi="Times New Roman"/>
          <w:kern w:val="0"/>
          <w:sz w:val="24"/>
        </w:rPr>
        <w:t>月</w:t>
      </w:r>
      <w:r>
        <w:rPr>
          <w:rFonts w:ascii="Times New Roman" w:hAnsi="Times New Roman"/>
          <w:kern w:val="0"/>
          <w:sz w:val="24"/>
        </w:rPr>
        <w:t>10</w:t>
      </w:r>
      <w:r>
        <w:rPr>
          <w:rFonts w:ascii="Times New Roman" w:hAnsi="Times New Roman"/>
          <w:kern w:val="0"/>
          <w:sz w:val="24"/>
        </w:rPr>
        <w:t>日正式生效。</w:t>
      </w:r>
    </w:p>
    <w:p w:rsidR="005B1FF5" w:rsidRDefault="000B1B0D">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保证招募说明书的内容真实、准确、完整。本招募说明书经中国证监会注册，但中国证监会对本基金募集的注册，并不表明其对本基金的价值和收益作出实质性判断或保证，也不表明投资于本基金没有风险。中国证监会不对基金的投资价值及市场前景等作出实质性判断或者保证。</w:t>
      </w:r>
    </w:p>
    <w:p w:rsidR="005B1FF5" w:rsidRDefault="000B1B0D">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5B1FF5" w:rsidRDefault="000B1B0D">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流动性风险（包括实施侧袋机制时的特定风险）；交易对手违约风险；投资股指期货的特定风险；投资科创板股票的特定风险；投资本基金特有的其他风险等等。本基金是一只混合型基金，其风险和预期收益高于债券型基金和货币市场基金，低于股票型基金。属于承担较高风险、预期收益较高的证券投资基金品种。</w:t>
      </w:r>
    </w:p>
    <w:p w:rsidR="005B1FF5" w:rsidRDefault="000B1B0D">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w:t>
      </w:r>
      <w:r>
        <w:rPr>
          <w:rFonts w:ascii="Times New Roman" w:hAnsi="Times New Roman"/>
          <w:kern w:val="0"/>
          <w:sz w:val="24"/>
        </w:rPr>
        <w:t>“</w:t>
      </w:r>
      <w:r>
        <w:rPr>
          <w:rFonts w:ascii="Times New Roman" w:hAnsi="Times New Roman"/>
          <w:kern w:val="0"/>
          <w:sz w:val="24"/>
        </w:rPr>
        <w:t>风险揭示</w:t>
      </w:r>
      <w:r>
        <w:rPr>
          <w:rFonts w:ascii="Times New Roman" w:hAnsi="Times New Roman"/>
          <w:kern w:val="0"/>
          <w:sz w:val="24"/>
        </w:rPr>
        <w:t>”</w:t>
      </w:r>
      <w:r>
        <w:rPr>
          <w:rFonts w:ascii="Times New Roman" w:hAnsi="Times New Roman"/>
          <w:kern w:val="0"/>
          <w:sz w:val="24"/>
        </w:rPr>
        <w:t>章节内容。</w:t>
      </w:r>
    </w:p>
    <w:p w:rsidR="005B1FF5" w:rsidRDefault="000B1B0D">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本基金可根据投资策略需要或市场环境的变化，选择将部分基金资产投资于存托凭证或选择不将基金资产投资于存托凭证，基金资产并非必然投资存托凭证。</w:t>
      </w:r>
    </w:p>
    <w:p w:rsidR="005B1FF5" w:rsidRDefault="000B1B0D">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投资有风险，投资人在投资本基金前应认真阅读本基金的招募说明书、基金</w:t>
      </w:r>
      <w:r>
        <w:rPr>
          <w:rFonts w:ascii="Times New Roman" w:hAnsi="Times New Roman"/>
          <w:kern w:val="0"/>
          <w:sz w:val="24"/>
        </w:rPr>
        <w:lastRenderedPageBreak/>
        <w:t>合同、基金产品资料概要等信息披露文件。基金的过往业绩并不代表未来表现。基金管理人管理的其他基金的业绩并不构成对本基金业绩表现的保证。基金管理人提醒投资者基金投资的</w:t>
      </w:r>
      <w:r>
        <w:rPr>
          <w:rFonts w:ascii="Times New Roman" w:hAnsi="Times New Roman"/>
          <w:kern w:val="0"/>
          <w:sz w:val="24"/>
        </w:rPr>
        <w:t>“</w:t>
      </w:r>
      <w:r>
        <w:rPr>
          <w:rFonts w:ascii="Times New Roman" w:hAnsi="Times New Roman"/>
          <w:kern w:val="0"/>
          <w:sz w:val="24"/>
        </w:rPr>
        <w:t>买者自负</w:t>
      </w:r>
      <w:r>
        <w:rPr>
          <w:rFonts w:ascii="Times New Roman" w:hAnsi="Times New Roman"/>
          <w:kern w:val="0"/>
          <w:sz w:val="24"/>
        </w:rPr>
        <w:t>”</w:t>
      </w:r>
      <w:r>
        <w:rPr>
          <w:rFonts w:ascii="Times New Roman" w:hAnsi="Times New Roman"/>
          <w:kern w:val="0"/>
          <w:sz w:val="24"/>
        </w:rPr>
        <w:t>原则，在投资者作出投资决策后，基金运营状况与基金净值变化引致的投资风险，由投资者自行负责。</w:t>
      </w:r>
    </w:p>
    <w:p w:rsidR="005B1FF5" w:rsidRDefault="00DE4ABF">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hint="eastAsia"/>
          <w:kern w:val="0"/>
          <w:sz w:val="24"/>
        </w:rPr>
        <w:t>本次更新招募说明书主要对调整管理费率和</w:t>
      </w:r>
      <w:r>
        <w:rPr>
          <w:rFonts w:ascii="Times New Roman" w:hAnsi="Times New Roman"/>
          <w:kern w:val="0"/>
          <w:sz w:val="24"/>
        </w:rPr>
        <w:t>/</w:t>
      </w:r>
      <w:r>
        <w:rPr>
          <w:rFonts w:ascii="Times New Roman" w:hAnsi="Times New Roman" w:hint="eastAsia"/>
          <w:kern w:val="0"/>
          <w:sz w:val="24"/>
        </w:rPr>
        <w:t>或托管费率相关事项进行了相应更新，更新截止日为</w:t>
      </w:r>
      <w:r>
        <w:rPr>
          <w:rFonts w:ascii="Times New Roman" w:hAnsi="Times New Roman"/>
          <w:kern w:val="0"/>
          <w:sz w:val="24"/>
        </w:rPr>
        <w:t>2023</w:t>
      </w:r>
      <w:r>
        <w:rPr>
          <w:rFonts w:ascii="Times New Roman" w:hAnsi="Times New Roman" w:hint="eastAsia"/>
          <w:kern w:val="0"/>
          <w:sz w:val="24"/>
        </w:rPr>
        <w:t>年</w:t>
      </w:r>
      <w:r>
        <w:rPr>
          <w:rFonts w:ascii="Times New Roman" w:hAnsi="Times New Roman"/>
          <w:kern w:val="0"/>
          <w:sz w:val="24"/>
        </w:rPr>
        <w:t>07</w:t>
      </w:r>
      <w:r>
        <w:rPr>
          <w:rFonts w:ascii="Times New Roman" w:hAnsi="Times New Roman" w:hint="eastAsia"/>
          <w:kern w:val="0"/>
          <w:sz w:val="24"/>
        </w:rPr>
        <w:t>月</w:t>
      </w:r>
      <w:r>
        <w:rPr>
          <w:rFonts w:ascii="Times New Roman" w:hAnsi="Times New Roman"/>
          <w:kern w:val="0"/>
          <w:sz w:val="24"/>
        </w:rPr>
        <w:t>10</w:t>
      </w:r>
      <w:r>
        <w:rPr>
          <w:rFonts w:ascii="Times New Roman" w:hAnsi="Times New Roman" w:hint="eastAsia"/>
          <w:kern w:val="0"/>
          <w:sz w:val="24"/>
        </w:rPr>
        <w:t>日，除非另有说明，</w:t>
      </w:r>
      <w:r w:rsidR="000B1B0D">
        <w:rPr>
          <w:rFonts w:ascii="Times New Roman" w:hAnsi="Times New Roman"/>
          <w:kern w:val="0"/>
          <w:sz w:val="24"/>
        </w:rPr>
        <w:t>本招募说明书</w:t>
      </w:r>
      <w:r>
        <w:rPr>
          <w:rFonts w:ascii="Times New Roman" w:hAnsi="Times New Roman" w:hint="eastAsia"/>
          <w:kern w:val="0"/>
          <w:sz w:val="24"/>
        </w:rPr>
        <w:t>其他</w:t>
      </w:r>
      <w:r w:rsidR="000B1B0D">
        <w:rPr>
          <w:rFonts w:ascii="Times New Roman" w:hAnsi="Times New Roman"/>
          <w:kern w:val="0"/>
          <w:sz w:val="24"/>
        </w:rPr>
        <w:t>所载内容截止日为</w:t>
      </w:r>
      <w:r w:rsidR="000B1B0D">
        <w:rPr>
          <w:rFonts w:ascii="Times New Roman" w:hAnsi="Times New Roman"/>
          <w:kern w:val="0"/>
          <w:sz w:val="24"/>
        </w:rPr>
        <w:t>2023</w:t>
      </w:r>
      <w:r w:rsidR="000B1B0D">
        <w:rPr>
          <w:rFonts w:ascii="Times New Roman" w:hAnsi="Times New Roman"/>
          <w:kern w:val="0"/>
          <w:sz w:val="24"/>
        </w:rPr>
        <w:t>年</w:t>
      </w:r>
      <w:r w:rsidR="000B1B0D">
        <w:rPr>
          <w:rFonts w:ascii="Times New Roman" w:hAnsi="Times New Roman"/>
          <w:kern w:val="0"/>
          <w:sz w:val="24"/>
        </w:rPr>
        <w:t>05</w:t>
      </w:r>
      <w:r w:rsidR="000B1B0D">
        <w:rPr>
          <w:rFonts w:ascii="Times New Roman" w:hAnsi="Times New Roman"/>
          <w:kern w:val="0"/>
          <w:sz w:val="24"/>
        </w:rPr>
        <w:t>月</w:t>
      </w:r>
      <w:r w:rsidR="000B1B0D">
        <w:rPr>
          <w:rFonts w:ascii="Times New Roman" w:hAnsi="Times New Roman"/>
          <w:kern w:val="0"/>
          <w:sz w:val="24"/>
        </w:rPr>
        <w:t>27</w:t>
      </w:r>
      <w:r w:rsidR="000B1B0D">
        <w:rPr>
          <w:rFonts w:ascii="Times New Roman" w:hAnsi="Times New Roman"/>
          <w:kern w:val="0"/>
          <w:sz w:val="24"/>
        </w:rPr>
        <w:t>日，有关财务数据和净值表现截止日为</w:t>
      </w:r>
      <w:r w:rsidR="000B1B0D">
        <w:rPr>
          <w:rFonts w:ascii="Times New Roman" w:hAnsi="Times New Roman"/>
          <w:kern w:val="0"/>
          <w:sz w:val="24"/>
        </w:rPr>
        <w:t>2023</w:t>
      </w:r>
      <w:r w:rsidR="000B1B0D">
        <w:rPr>
          <w:rFonts w:ascii="Times New Roman" w:hAnsi="Times New Roman"/>
          <w:kern w:val="0"/>
          <w:sz w:val="24"/>
        </w:rPr>
        <w:t>年</w:t>
      </w:r>
      <w:r w:rsidR="000B1B0D">
        <w:rPr>
          <w:rFonts w:ascii="Times New Roman" w:hAnsi="Times New Roman"/>
          <w:kern w:val="0"/>
          <w:sz w:val="24"/>
        </w:rPr>
        <w:t>03</w:t>
      </w:r>
      <w:r w:rsidR="000B1B0D">
        <w:rPr>
          <w:rFonts w:ascii="Times New Roman" w:hAnsi="Times New Roman"/>
          <w:kern w:val="0"/>
          <w:sz w:val="24"/>
        </w:rPr>
        <w:t>月</w:t>
      </w:r>
      <w:r w:rsidR="000B1B0D">
        <w:rPr>
          <w:rFonts w:ascii="Times New Roman" w:hAnsi="Times New Roman"/>
          <w:kern w:val="0"/>
          <w:sz w:val="24"/>
        </w:rPr>
        <w:t>31</w:t>
      </w:r>
      <w:r w:rsidR="000B1B0D">
        <w:rPr>
          <w:rFonts w:ascii="Times New Roman" w:hAnsi="Times New Roman"/>
          <w:kern w:val="0"/>
          <w:sz w:val="24"/>
        </w:rPr>
        <w:t>日。本招募说明书所载的财务数据未经审计。</w:t>
      </w:r>
    </w:p>
    <w:p w:rsidR="005B1FF5" w:rsidRDefault="005B1FF5">
      <w:pPr>
        <w:autoSpaceDE w:val="0"/>
        <w:autoSpaceDN w:val="0"/>
        <w:adjustRightInd w:val="0"/>
        <w:snapToGrid w:val="0"/>
        <w:spacing w:before="51" w:line="360" w:lineRule="auto"/>
        <w:ind w:left="120" w:rightChars="6" w:right="13" w:firstLine="480"/>
        <w:rPr>
          <w:rFonts w:ascii="宋体" w:hAnsi="宋体"/>
          <w:kern w:val="0"/>
          <w:szCs w:val="24"/>
        </w:rPr>
        <w:sectPr w:rsidR="005B1FF5">
          <w:headerReference w:type="default" r:id="rId12"/>
          <w:pgSz w:w="11920" w:h="16840"/>
          <w:pgMar w:top="1440" w:right="1680" w:bottom="280" w:left="1680" w:header="0" w:footer="1073" w:gutter="0"/>
          <w:pgNumType w:start="1"/>
          <w:cols w:space="720"/>
        </w:sectPr>
      </w:pPr>
    </w:p>
    <w:p w:rsidR="004E7511" w:rsidRPr="004E7511" w:rsidRDefault="000B1B0D" w:rsidP="004E7511">
      <w:pPr>
        <w:pStyle w:val="ad"/>
        <w:snapToGrid w:val="0"/>
        <w:spacing w:after="240" w:line="360" w:lineRule="auto"/>
        <w:jc w:val="center"/>
        <w:rPr>
          <w:rFonts w:ascii="宋体" w:hAnsi="宋体"/>
          <w:noProof/>
          <w:sz w:val="24"/>
        </w:rPr>
      </w:pPr>
      <w:r w:rsidRPr="004E7511">
        <w:rPr>
          <w:rFonts w:ascii="宋体" w:hAnsi="宋体"/>
          <w:color w:val="000000"/>
          <w:position w:val="-4"/>
          <w:sz w:val="24"/>
          <w:szCs w:val="30"/>
        </w:rPr>
        <w:lastRenderedPageBreak/>
        <w:t>目</w:t>
      </w:r>
      <w:r w:rsidRPr="004E7511">
        <w:rPr>
          <w:rFonts w:ascii="宋体" w:hAnsi="宋体"/>
          <w:color w:val="000000"/>
          <w:position w:val="-4"/>
          <w:sz w:val="24"/>
          <w:szCs w:val="30"/>
        </w:rPr>
        <w:tab/>
        <w:t>录</w:t>
      </w:r>
      <w:r w:rsidR="004E7511" w:rsidRPr="004E7511">
        <w:rPr>
          <w:rFonts w:ascii="宋体" w:hAnsi="宋体"/>
          <w:color w:val="000000"/>
          <w:position w:val="-4"/>
          <w:sz w:val="24"/>
          <w:szCs w:val="30"/>
        </w:rPr>
        <w:fldChar w:fldCharType="begin"/>
      </w:r>
      <w:r w:rsidR="004E7511" w:rsidRPr="004E7511">
        <w:rPr>
          <w:rFonts w:ascii="宋体" w:hAnsi="宋体"/>
          <w:color w:val="000000"/>
          <w:position w:val="-4"/>
          <w:sz w:val="24"/>
          <w:szCs w:val="30"/>
        </w:rPr>
        <w:instrText xml:space="preserve"> TOC \o "1-3" \f - \h \t "-1" </w:instrText>
      </w:r>
      <w:r w:rsidR="004E7511" w:rsidRPr="004E7511">
        <w:rPr>
          <w:rFonts w:ascii="宋体" w:hAnsi="宋体"/>
          <w:color w:val="000000"/>
          <w:position w:val="-4"/>
          <w:sz w:val="24"/>
          <w:szCs w:val="30"/>
        </w:rPr>
        <w:fldChar w:fldCharType="separate"/>
      </w:r>
    </w:p>
    <w:p w:rsidR="004E7511" w:rsidRPr="008B7535" w:rsidRDefault="00E40CBF" w:rsidP="004E7511">
      <w:pPr>
        <w:pStyle w:val="10"/>
        <w:tabs>
          <w:tab w:val="right" w:leader="dot" w:pos="8550"/>
        </w:tabs>
        <w:spacing w:line="360" w:lineRule="auto"/>
        <w:rPr>
          <w:rFonts w:ascii="宋体" w:hAnsi="宋体"/>
          <w:noProof/>
          <w:sz w:val="24"/>
        </w:rPr>
      </w:pPr>
      <w:hyperlink w:anchor="_Toc137828447" w:history="1">
        <w:r w:rsidR="004E7511" w:rsidRPr="004E7511">
          <w:rPr>
            <w:rStyle w:val="aa"/>
            <w:rFonts w:ascii="宋体" w:hAnsi="宋体" w:hint="eastAsia"/>
            <w:noProof/>
            <w:kern w:val="0"/>
            <w:sz w:val="24"/>
          </w:rPr>
          <w:t>重要提示</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_Toc137828447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1</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48" w:history="1">
        <w:r w:rsidR="004E7511" w:rsidRPr="004E7511">
          <w:rPr>
            <w:rStyle w:val="aa"/>
            <w:rFonts w:ascii="宋体" w:hAnsi="宋体" w:hint="eastAsia"/>
            <w:noProof/>
            <w:sz w:val="24"/>
          </w:rPr>
          <w:t>一、绪言</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_Toc137828448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4</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49" w:history="1">
        <w:r w:rsidR="004E7511" w:rsidRPr="004E7511">
          <w:rPr>
            <w:rStyle w:val="aa"/>
            <w:rFonts w:ascii="宋体" w:hAnsi="宋体" w:hint="eastAsia"/>
            <w:noProof/>
            <w:sz w:val="24"/>
          </w:rPr>
          <w:t>二、释义</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_Toc137828449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5</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50" w:history="1">
        <w:r w:rsidR="004E7511" w:rsidRPr="004E7511">
          <w:rPr>
            <w:rStyle w:val="aa"/>
            <w:rFonts w:ascii="宋体" w:hAnsi="宋体" w:hint="eastAsia"/>
            <w:noProof/>
            <w:sz w:val="24"/>
          </w:rPr>
          <w:t>三、基金管理人</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_Toc137828450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11</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51" w:history="1">
        <w:r w:rsidR="004E7511" w:rsidRPr="004E7511">
          <w:rPr>
            <w:rStyle w:val="aa"/>
            <w:rFonts w:ascii="宋体" w:hAnsi="宋体" w:hint="eastAsia"/>
            <w:noProof/>
            <w:sz w:val="24"/>
          </w:rPr>
          <w:t>四、基金托管人</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_Toc137828451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19</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52" w:history="1">
        <w:r w:rsidR="004E7511" w:rsidRPr="004E7511">
          <w:rPr>
            <w:rStyle w:val="aa"/>
            <w:rFonts w:ascii="宋体" w:hAnsi="宋体" w:hint="eastAsia"/>
            <w:noProof/>
            <w:sz w:val="24"/>
          </w:rPr>
          <w:t>五、相关服务机构</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_Toc137828452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22</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53" w:history="1">
        <w:r w:rsidR="004E7511" w:rsidRPr="004E7511">
          <w:rPr>
            <w:rStyle w:val="aa"/>
            <w:rFonts w:ascii="宋体" w:hAnsi="宋体" w:hint="eastAsia"/>
            <w:noProof/>
            <w:sz w:val="24"/>
          </w:rPr>
          <w:t>六、基金的募集</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_Toc137828453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56</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54" w:history="1">
        <w:r w:rsidR="004E7511" w:rsidRPr="004E7511">
          <w:rPr>
            <w:rStyle w:val="aa"/>
            <w:rFonts w:ascii="宋体" w:hAnsi="宋体" w:hint="eastAsia"/>
            <w:noProof/>
            <w:sz w:val="24"/>
          </w:rPr>
          <w:t>七、基金合同的生效</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_Toc137828454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57</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55" w:history="1">
        <w:r w:rsidR="004E7511" w:rsidRPr="004E7511">
          <w:rPr>
            <w:rStyle w:val="aa"/>
            <w:rFonts w:ascii="宋体" w:hAnsi="宋体" w:hint="eastAsia"/>
            <w:noProof/>
            <w:sz w:val="24"/>
          </w:rPr>
          <w:t>八、基金份额的申购与赎回</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_Toc137828455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58</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56" w:history="1">
        <w:r w:rsidR="004E7511" w:rsidRPr="004E7511">
          <w:rPr>
            <w:rStyle w:val="aa"/>
            <w:rFonts w:ascii="宋体" w:hAnsi="宋体" w:hint="eastAsia"/>
            <w:noProof/>
            <w:sz w:val="24"/>
          </w:rPr>
          <w:t>九、基金的转换</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_Toc137828456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72</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57" w:history="1">
        <w:r w:rsidR="004E7511" w:rsidRPr="004E7511">
          <w:rPr>
            <w:rStyle w:val="aa"/>
            <w:rFonts w:ascii="宋体" w:hAnsi="宋体" w:hint="eastAsia"/>
            <w:noProof/>
            <w:sz w:val="24"/>
          </w:rPr>
          <w:t>十、基金的投资</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_Toc137828457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79</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58" w:history="1">
        <w:r w:rsidR="004E7511" w:rsidRPr="004E7511">
          <w:rPr>
            <w:rStyle w:val="aa"/>
            <w:rFonts w:ascii="宋体" w:hAnsi="宋体" w:hint="eastAsia"/>
            <w:noProof/>
            <w:sz w:val="24"/>
          </w:rPr>
          <w:t>十一、基金的业绩</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_Toc137828458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93</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59" w:history="1">
        <w:r w:rsidR="004E7511" w:rsidRPr="004E7511">
          <w:rPr>
            <w:rStyle w:val="aa"/>
            <w:rFonts w:ascii="宋体" w:hAnsi="宋体" w:hint="eastAsia"/>
            <w:noProof/>
            <w:sz w:val="24"/>
          </w:rPr>
          <w:t>十二、基金的财产</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_Toc137828459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96</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60" w:history="1">
        <w:r w:rsidR="004E7511" w:rsidRPr="004E7511">
          <w:rPr>
            <w:rStyle w:val="aa"/>
            <w:rFonts w:ascii="宋体" w:hAnsi="宋体" w:hint="eastAsia"/>
            <w:noProof/>
            <w:sz w:val="24"/>
          </w:rPr>
          <w:t>十三、基金资产的估值</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_Toc137828460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97</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61" w:history="1">
        <w:r w:rsidR="004E7511" w:rsidRPr="004E7511">
          <w:rPr>
            <w:rStyle w:val="aa"/>
            <w:rFonts w:ascii="宋体" w:hAnsi="宋体" w:hint="eastAsia"/>
            <w:noProof/>
            <w:sz w:val="24"/>
          </w:rPr>
          <w:t>十四、基金收益与分配</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_Toc137828461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102</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62" w:history="1">
        <w:r w:rsidR="004E7511" w:rsidRPr="004E7511">
          <w:rPr>
            <w:rStyle w:val="aa"/>
            <w:rFonts w:ascii="宋体" w:hAnsi="宋体" w:hint="eastAsia"/>
            <w:noProof/>
            <w:sz w:val="24"/>
          </w:rPr>
          <w:t>十五、基金的费用与税收</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_Toc137828462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104</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63" w:history="1">
        <w:r w:rsidR="004E7511" w:rsidRPr="004E7511">
          <w:rPr>
            <w:rStyle w:val="aa"/>
            <w:rFonts w:ascii="宋体" w:hAnsi="宋体" w:hint="eastAsia"/>
            <w:noProof/>
            <w:sz w:val="24"/>
          </w:rPr>
          <w:t>十六、基金的会计与审计</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_Toc137828463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107</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64" w:history="1">
        <w:r w:rsidR="004E7511" w:rsidRPr="004E7511">
          <w:rPr>
            <w:rStyle w:val="aa"/>
            <w:rFonts w:ascii="宋体" w:hAnsi="宋体" w:hint="eastAsia"/>
            <w:noProof/>
            <w:sz w:val="24"/>
          </w:rPr>
          <w:t>十七、基金的信息披露</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_Toc137828464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108</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65" w:history="1">
        <w:r w:rsidR="004E7511" w:rsidRPr="004E7511">
          <w:rPr>
            <w:rStyle w:val="aa"/>
            <w:rFonts w:ascii="宋体" w:hAnsi="宋体" w:hint="eastAsia"/>
            <w:noProof/>
            <w:sz w:val="24"/>
          </w:rPr>
          <w:t>十八、侧袋机制</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_Toc137828465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115</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66" w:history="1">
        <w:r w:rsidR="004E7511" w:rsidRPr="004E7511">
          <w:rPr>
            <w:rStyle w:val="aa"/>
            <w:rFonts w:ascii="宋体" w:hAnsi="宋体" w:hint="eastAsia"/>
            <w:noProof/>
            <w:sz w:val="24"/>
          </w:rPr>
          <w:t>十九、风险揭示</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_Toc137828466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118</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67" w:history="1">
        <w:r w:rsidR="004E7511" w:rsidRPr="004E7511">
          <w:rPr>
            <w:rStyle w:val="aa"/>
            <w:rFonts w:ascii="宋体" w:hAnsi="宋体" w:hint="eastAsia"/>
            <w:noProof/>
            <w:sz w:val="24"/>
          </w:rPr>
          <w:t>二十、基金合同的变更、终止与基金财产的清算</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_Toc137828467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125</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68" w:history="1">
        <w:r w:rsidR="004E7511" w:rsidRPr="004E7511">
          <w:rPr>
            <w:rStyle w:val="aa"/>
            <w:rFonts w:ascii="宋体" w:hAnsi="宋体" w:hint="eastAsia"/>
            <w:noProof/>
            <w:sz w:val="24"/>
          </w:rPr>
          <w:t>二十一、基金合同内容摘要</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_Toc137828468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127</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69" w:history="1">
        <w:r w:rsidR="004E7511" w:rsidRPr="004E7511">
          <w:rPr>
            <w:rStyle w:val="aa"/>
            <w:rFonts w:ascii="宋体" w:hAnsi="宋体" w:hint="eastAsia"/>
            <w:noProof/>
            <w:sz w:val="24"/>
          </w:rPr>
          <w:t>二十二、托管协议的内容摘要</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_Toc137828469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143</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70" w:history="1">
        <w:r w:rsidR="004E7511" w:rsidRPr="004E7511">
          <w:rPr>
            <w:rStyle w:val="aa"/>
            <w:rFonts w:ascii="宋体" w:hAnsi="宋体" w:hint="eastAsia"/>
            <w:noProof/>
            <w:sz w:val="24"/>
          </w:rPr>
          <w:t>二十三、对基金份额持有人的服务</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_Toc137828470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157</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71" w:history="1">
        <w:r w:rsidR="004E7511" w:rsidRPr="004E7511">
          <w:rPr>
            <w:rStyle w:val="aa"/>
            <w:rFonts w:ascii="宋体" w:hAnsi="宋体" w:hint="eastAsia"/>
            <w:noProof/>
            <w:sz w:val="24"/>
          </w:rPr>
          <w:t>二十四、其他应披露事项</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_Toc137828471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159</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72" w:history="1">
        <w:r w:rsidR="004E7511" w:rsidRPr="004E7511">
          <w:rPr>
            <w:rStyle w:val="aa"/>
            <w:rFonts w:ascii="宋体" w:hAnsi="宋体" w:hint="eastAsia"/>
            <w:noProof/>
            <w:sz w:val="24"/>
          </w:rPr>
          <w:t>二十五、招募说明书的存放及查阅方式</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_Toc137828472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165</w:t>
        </w:r>
        <w:r w:rsidR="004E7511" w:rsidRPr="004E7511">
          <w:rPr>
            <w:rFonts w:ascii="宋体" w:hAnsi="宋体"/>
            <w:noProof/>
            <w:sz w:val="24"/>
          </w:rPr>
          <w:fldChar w:fldCharType="end"/>
        </w:r>
      </w:hyperlink>
    </w:p>
    <w:p w:rsidR="004E7511" w:rsidRPr="008B7535" w:rsidRDefault="00E40CBF" w:rsidP="004E7511">
      <w:pPr>
        <w:pStyle w:val="10"/>
        <w:tabs>
          <w:tab w:val="right" w:leader="dot" w:pos="8550"/>
        </w:tabs>
        <w:spacing w:line="360" w:lineRule="auto"/>
        <w:rPr>
          <w:rFonts w:ascii="宋体" w:hAnsi="宋体"/>
          <w:noProof/>
          <w:sz w:val="24"/>
        </w:rPr>
      </w:pPr>
      <w:hyperlink w:anchor="_Toc137828473" w:history="1">
        <w:r w:rsidR="004E7511" w:rsidRPr="004E7511">
          <w:rPr>
            <w:rStyle w:val="aa"/>
            <w:rFonts w:ascii="宋体" w:hAnsi="宋体" w:hint="eastAsia"/>
            <w:noProof/>
            <w:sz w:val="24"/>
          </w:rPr>
          <w:t>二十六、备查文件</w:t>
        </w:r>
        <w:r w:rsidR="004E7511" w:rsidRPr="004E7511">
          <w:rPr>
            <w:rFonts w:ascii="宋体" w:hAnsi="宋体"/>
            <w:noProof/>
            <w:sz w:val="24"/>
          </w:rPr>
          <w:tab/>
        </w:r>
        <w:r w:rsidR="004E7511" w:rsidRPr="004E7511">
          <w:rPr>
            <w:rFonts w:ascii="宋体" w:hAnsi="宋体"/>
            <w:noProof/>
            <w:sz w:val="24"/>
          </w:rPr>
          <w:fldChar w:fldCharType="begin"/>
        </w:r>
        <w:r w:rsidR="004E7511" w:rsidRPr="004E7511">
          <w:rPr>
            <w:rFonts w:ascii="宋体" w:hAnsi="宋体"/>
            <w:noProof/>
            <w:sz w:val="24"/>
          </w:rPr>
          <w:instrText xml:space="preserve"> PAGEREF _Toc137828473 \h </w:instrText>
        </w:r>
        <w:r w:rsidR="004E7511" w:rsidRPr="004E7511">
          <w:rPr>
            <w:rFonts w:ascii="宋体" w:hAnsi="宋体"/>
            <w:noProof/>
            <w:sz w:val="24"/>
          </w:rPr>
        </w:r>
        <w:r w:rsidR="004E7511" w:rsidRPr="004E7511">
          <w:rPr>
            <w:rFonts w:ascii="宋体" w:hAnsi="宋体"/>
            <w:noProof/>
            <w:sz w:val="24"/>
          </w:rPr>
          <w:fldChar w:fldCharType="separate"/>
        </w:r>
        <w:r w:rsidR="004E7511" w:rsidRPr="004E7511">
          <w:rPr>
            <w:rFonts w:ascii="宋体" w:hAnsi="宋体"/>
            <w:noProof/>
            <w:sz w:val="24"/>
          </w:rPr>
          <w:t>166</w:t>
        </w:r>
        <w:r w:rsidR="004E7511" w:rsidRPr="004E7511">
          <w:rPr>
            <w:rFonts w:ascii="宋体" w:hAnsi="宋体"/>
            <w:noProof/>
            <w:sz w:val="24"/>
          </w:rPr>
          <w:fldChar w:fldCharType="end"/>
        </w:r>
      </w:hyperlink>
    </w:p>
    <w:p w:rsidR="005B1FF5" w:rsidRPr="004E7511" w:rsidRDefault="004E7511" w:rsidP="004E7511">
      <w:pPr>
        <w:pStyle w:val="ad"/>
        <w:snapToGrid w:val="0"/>
        <w:spacing w:after="240" w:line="360" w:lineRule="auto"/>
        <w:jc w:val="center"/>
        <w:rPr>
          <w:rFonts w:ascii="宋体" w:hAnsi="宋体"/>
          <w:color w:val="000000"/>
          <w:sz w:val="24"/>
        </w:rPr>
      </w:pPr>
      <w:r w:rsidRPr="004E7511">
        <w:rPr>
          <w:rFonts w:ascii="宋体" w:hAnsi="宋体"/>
          <w:color w:val="000000"/>
          <w:position w:val="-4"/>
          <w:sz w:val="24"/>
          <w:szCs w:val="30"/>
        </w:rPr>
        <w:lastRenderedPageBreak/>
        <w:fldChar w:fldCharType="end"/>
      </w:r>
    </w:p>
    <w:p w:rsidR="005B1FF5" w:rsidRDefault="005B1FF5">
      <w:pPr>
        <w:autoSpaceDE w:val="0"/>
        <w:autoSpaceDN w:val="0"/>
        <w:adjustRightInd w:val="0"/>
        <w:snapToGrid w:val="0"/>
        <w:spacing w:line="360" w:lineRule="auto"/>
        <w:ind w:left="120" w:rightChars="6" w:right="13"/>
        <w:rPr>
          <w:rFonts w:ascii="宋体" w:hAnsi="宋体"/>
          <w:kern w:val="0"/>
          <w:szCs w:val="24"/>
        </w:rPr>
        <w:sectPr w:rsidR="005B1FF5">
          <w:pgSz w:w="11920" w:h="16840"/>
          <w:pgMar w:top="1480" w:right="1680" w:bottom="280" w:left="1680" w:header="0" w:footer="1073" w:gutter="0"/>
          <w:cols w:space="720"/>
        </w:sectPr>
      </w:pPr>
    </w:p>
    <w:p w:rsidR="005B1FF5" w:rsidRDefault="000B1B0D">
      <w:pPr>
        <w:pStyle w:val="1"/>
        <w:snapToGrid w:val="0"/>
        <w:spacing w:beforeLines="0" w:before="240" w:after="240"/>
        <w:rPr>
          <w:rFonts w:ascii="宋体" w:hAnsi="宋体"/>
          <w:szCs w:val="30"/>
        </w:rPr>
      </w:pPr>
      <w:bookmarkStart w:id="4" w:name="_Toc137828448"/>
      <w:r>
        <w:rPr>
          <w:rFonts w:ascii="Times New Roman" w:hAnsi="Times New Roman"/>
          <w:sz w:val="30"/>
        </w:rPr>
        <w:lastRenderedPageBreak/>
        <w:t>一、绪言</w:t>
      </w:r>
      <w:bookmarkEnd w:id="4"/>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国企改革灵活配置混合型证券投资基金招募说明书》（以下简称“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规定》”)和其他相关法律法规的规定以及《交银施罗德国企改革灵活配置混合型证券投资基金基金合同》（以下简称“基金合同”）编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根据本基金的基金合同编写，并经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5" w:name="_Toc137828449"/>
      <w:r>
        <w:rPr>
          <w:rFonts w:ascii="Times New Roman" w:hAnsi="Times New Roman"/>
          <w:sz w:val="30"/>
        </w:rPr>
        <w:lastRenderedPageBreak/>
        <w:t>二、释义</w:t>
      </w:r>
      <w:bookmarkEnd w:id="5"/>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在本招募说明书中，除非文意另有所指，下列词语或简称具有如下含义：</w:t>
      </w:r>
    </w:p>
    <w:tbl>
      <w:tblPr>
        <w:tblW w:w="5000" w:type="pct"/>
        <w:tblCellMar>
          <w:left w:w="0" w:type="dxa"/>
          <w:right w:w="0" w:type="dxa"/>
        </w:tblCellMar>
        <w:tblLook w:val="0000" w:firstRow="0" w:lastRow="0" w:firstColumn="0" w:lastColumn="0" w:noHBand="0" w:noVBand="0"/>
      </w:tblPr>
      <w:tblGrid>
        <w:gridCol w:w="4325"/>
        <w:gridCol w:w="4325"/>
      </w:tblGrid>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基金或本基金</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指交银施罗德国企改革灵活配置混合型证券投资基金</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基金管理人或本基金管理人</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指交银施罗德基金管理有限公司</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基金托管人或本基金托管人</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指中国农业银行股份有限公司</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《基金合同》或基金合同</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指《交银施罗德国企改革灵活配置混合型证券投资基金基金合同》及对基金合同的任何有效修订和补充</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托管协议</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指基金管理人与基金托管人就本基金签订之《交银施罗德国企改革灵活配置混合型证券投资基金托管协议》及对该托管协议的任何有效修订和补充</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招募说明书或《招募说明书》或本招募说明书</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指《交银施罗德国企改革灵活配置混合型证券投资基金招募说明书》及其更新</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基金份额发售公告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指《交银施罗德国企改革灵活配置混合型证券投资基金基金份额发售公告》</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基金产品资料概要</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《交银施罗德国企改革灵活配置混合型证券投资基金基金产品资料概要》及其更新</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法律法规</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指中国现行有效并公布实施的法律、行政法规、规范性文件、司法解释、行政规章以及其他对基金合同当事人有约束力的决定、决议、通知等</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《基金法》</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w:t>
            </w:r>
            <w:r>
              <w:rPr>
                <w:rFonts w:ascii="Times New Roman" w:hAnsi="Times New Roman"/>
                <w:color w:val="000000"/>
                <w:kern w:val="0"/>
                <w:sz w:val="25"/>
                <w:szCs w:val="24"/>
              </w:rPr>
              <w:t>2003</w:t>
            </w:r>
            <w:r>
              <w:rPr>
                <w:rFonts w:ascii="Times New Roman" w:hAnsi="Times New Roman"/>
                <w:color w:val="000000"/>
                <w:kern w:val="0"/>
                <w:sz w:val="25"/>
                <w:szCs w:val="24"/>
              </w:rPr>
              <w:t>年</w:t>
            </w:r>
            <w:r>
              <w:rPr>
                <w:rFonts w:ascii="Times New Roman" w:hAnsi="Times New Roman"/>
                <w:color w:val="000000"/>
                <w:kern w:val="0"/>
                <w:sz w:val="25"/>
                <w:szCs w:val="24"/>
              </w:rPr>
              <w:t>10</w:t>
            </w:r>
            <w:r>
              <w:rPr>
                <w:rFonts w:ascii="Times New Roman" w:hAnsi="Times New Roman"/>
                <w:color w:val="000000"/>
                <w:kern w:val="0"/>
                <w:sz w:val="25"/>
                <w:szCs w:val="24"/>
              </w:rPr>
              <w:t>月</w:t>
            </w:r>
            <w:r>
              <w:rPr>
                <w:rFonts w:ascii="Times New Roman" w:hAnsi="Times New Roman"/>
                <w:color w:val="000000"/>
                <w:kern w:val="0"/>
                <w:sz w:val="25"/>
                <w:szCs w:val="24"/>
              </w:rPr>
              <w:t>28</w:t>
            </w:r>
            <w:r>
              <w:rPr>
                <w:rFonts w:ascii="Times New Roman" w:hAnsi="Times New Roman"/>
                <w:color w:val="000000"/>
                <w:kern w:val="0"/>
                <w:sz w:val="25"/>
                <w:szCs w:val="24"/>
              </w:rPr>
              <w:t>日经第十届全国人民代表大会常务委员会第五次会议通过，并经</w:t>
            </w:r>
            <w:r>
              <w:rPr>
                <w:rFonts w:ascii="Times New Roman" w:hAnsi="Times New Roman"/>
                <w:color w:val="000000"/>
                <w:kern w:val="0"/>
                <w:sz w:val="25"/>
                <w:szCs w:val="24"/>
              </w:rPr>
              <w:t>2012</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28</w:t>
            </w:r>
            <w:r>
              <w:rPr>
                <w:rFonts w:ascii="Times New Roman" w:hAnsi="Times New Roman"/>
                <w:color w:val="000000"/>
                <w:kern w:val="0"/>
                <w:sz w:val="25"/>
                <w:szCs w:val="24"/>
              </w:rPr>
              <w:t>日第十一届全国人民代表大会常务委员会第三十次会议修订，自</w:t>
            </w:r>
            <w:r>
              <w:rPr>
                <w:rFonts w:ascii="Times New Roman" w:hAnsi="Times New Roman"/>
                <w:color w:val="000000"/>
                <w:kern w:val="0"/>
                <w:sz w:val="25"/>
                <w:szCs w:val="24"/>
              </w:rPr>
              <w:t>2013</w:t>
            </w:r>
            <w:r>
              <w:rPr>
                <w:rFonts w:ascii="Times New Roman" w:hAnsi="Times New Roman"/>
                <w:color w:val="000000"/>
                <w:kern w:val="0"/>
                <w:sz w:val="25"/>
                <w:szCs w:val="24"/>
              </w:rPr>
              <w:t>年</w:t>
            </w:r>
            <w:r>
              <w:rPr>
                <w:rFonts w:ascii="Times New Roman" w:hAnsi="Times New Roman"/>
                <w:color w:val="000000"/>
                <w:kern w:val="0"/>
                <w:sz w:val="25"/>
                <w:szCs w:val="24"/>
              </w:rPr>
              <w:t>6</w:t>
            </w:r>
            <w:r>
              <w:rPr>
                <w:rFonts w:ascii="Times New Roman" w:hAnsi="Times New Roman"/>
                <w:color w:val="000000"/>
                <w:kern w:val="0"/>
                <w:sz w:val="25"/>
                <w:szCs w:val="24"/>
              </w:rPr>
              <w:t>月</w:t>
            </w:r>
            <w:r>
              <w:rPr>
                <w:rFonts w:ascii="Times New Roman" w:hAnsi="Times New Roman"/>
                <w:color w:val="000000"/>
                <w:kern w:val="0"/>
                <w:sz w:val="25"/>
                <w:szCs w:val="24"/>
              </w:rPr>
              <w:t>1</w:t>
            </w:r>
            <w:r>
              <w:rPr>
                <w:rFonts w:ascii="Times New Roman" w:hAnsi="Times New Roman"/>
                <w:color w:val="000000"/>
                <w:kern w:val="0"/>
                <w:sz w:val="25"/>
                <w:szCs w:val="24"/>
              </w:rPr>
              <w:t>日起实施的《中华人民共和国证券投资基金法》及其后颁布机关对其不时做出的修订</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《销售办法》</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指中国证监会</w:t>
            </w:r>
            <w:r>
              <w:rPr>
                <w:rFonts w:ascii="Times New Roman" w:hAnsi="Times New Roman"/>
                <w:color w:val="000000"/>
                <w:kern w:val="0"/>
                <w:sz w:val="25"/>
                <w:szCs w:val="24"/>
              </w:rPr>
              <w:t>2013</w:t>
            </w:r>
            <w:r>
              <w:rPr>
                <w:rFonts w:ascii="Times New Roman" w:hAnsi="Times New Roman"/>
                <w:color w:val="000000"/>
                <w:kern w:val="0"/>
                <w:sz w:val="25"/>
                <w:szCs w:val="24"/>
              </w:rPr>
              <w:t>年</w:t>
            </w:r>
            <w:r>
              <w:rPr>
                <w:rFonts w:ascii="Times New Roman" w:hAnsi="Times New Roman"/>
                <w:color w:val="000000"/>
                <w:kern w:val="0"/>
                <w:sz w:val="25"/>
                <w:szCs w:val="24"/>
              </w:rPr>
              <w:t>3</w:t>
            </w:r>
            <w:r>
              <w:rPr>
                <w:rFonts w:ascii="Times New Roman" w:hAnsi="Times New Roman"/>
                <w:color w:val="000000"/>
                <w:kern w:val="0"/>
                <w:sz w:val="25"/>
                <w:szCs w:val="24"/>
              </w:rPr>
              <w:t>月</w:t>
            </w:r>
            <w:r>
              <w:rPr>
                <w:rFonts w:ascii="Times New Roman" w:hAnsi="Times New Roman"/>
                <w:color w:val="000000"/>
                <w:kern w:val="0"/>
                <w:sz w:val="25"/>
                <w:szCs w:val="24"/>
              </w:rPr>
              <w:t>15</w:t>
            </w:r>
            <w:r>
              <w:rPr>
                <w:rFonts w:ascii="Times New Roman" w:hAnsi="Times New Roman"/>
                <w:color w:val="000000"/>
                <w:kern w:val="0"/>
                <w:sz w:val="25"/>
                <w:szCs w:val="24"/>
              </w:rPr>
              <w:t>日颁布、同年</w:t>
            </w:r>
            <w:r>
              <w:rPr>
                <w:rFonts w:ascii="Times New Roman" w:hAnsi="Times New Roman"/>
                <w:color w:val="000000"/>
                <w:kern w:val="0"/>
                <w:sz w:val="25"/>
                <w:szCs w:val="24"/>
              </w:rPr>
              <w:t>6</w:t>
            </w:r>
            <w:r>
              <w:rPr>
                <w:rFonts w:ascii="Times New Roman" w:hAnsi="Times New Roman"/>
                <w:color w:val="000000"/>
                <w:kern w:val="0"/>
                <w:sz w:val="25"/>
                <w:szCs w:val="24"/>
              </w:rPr>
              <w:t>月</w:t>
            </w:r>
            <w:r>
              <w:rPr>
                <w:rFonts w:ascii="Times New Roman" w:hAnsi="Times New Roman"/>
                <w:color w:val="000000"/>
                <w:kern w:val="0"/>
                <w:sz w:val="25"/>
                <w:szCs w:val="24"/>
              </w:rPr>
              <w:t>1</w:t>
            </w:r>
            <w:r>
              <w:rPr>
                <w:rFonts w:ascii="Times New Roman" w:hAnsi="Times New Roman"/>
                <w:color w:val="000000"/>
                <w:kern w:val="0"/>
                <w:sz w:val="25"/>
                <w:szCs w:val="24"/>
              </w:rPr>
              <w:t>日实施的《证券投资基金销售管理办法》及颁布机关对其不时做出的修订</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《信息披露办法》</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指中国证监会</w:t>
            </w:r>
            <w:r>
              <w:rPr>
                <w:rFonts w:ascii="Times New Roman" w:hAnsi="Times New Roman"/>
                <w:color w:val="000000"/>
                <w:kern w:val="0"/>
                <w:sz w:val="25"/>
                <w:szCs w:val="24"/>
              </w:rPr>
              <w:t>2019</w:t>
            </w:r>
            <w:r>
              <w:rPr>
                <w:rFonts w:ascii="Times New Roman" w:hAnsi="Times New Roman"/>
                <w:color w:val="000000"/>
                <w:kern w:val="0"/>
                <w:sz w:val="25"/>
                <w:szCs w:val="24"/>
              </w:rPr>
              <w:t>年</w:t>
            </w:r>
            <w:r>
              <w:rPr>
                <w:rFonts w:ascii="Times New Roman" w:hAnsi="Times New Roman"/>
                <w:color w:val="000000"/>
                <w:kern w:val="0"/>
                <w:sz w:val="25"/>
                <w:szCs w:val="24"/>
              </w:rPr>
              <w:t>7</w:t>
            </w:r>
            <w:r>
              <w:rPr>
                <w:rFonts w:ascii="Times New Roman" w:hAnsi="Times New Roman"/>
                <w:color w:val="000000"/>
                <w:kern w:val="0"/>
                <w:sz w:val="25"/>
                <w:szCs w:val="24"/>
              </w:rPr>
              <w:t>月</w:t>
            </w:r>
            <w:r>
              <w:rPr>
                <w:rFonts w:ascii="Times New Roman" w:hAnsi="Times New Roman"/>
                <w:color w:val="000000"/>
                <w:kern w:val="0"/>
                <w:sz w:val="25"/>
                <w:szCs w:val="24"/>
              </w:rPr>
              <w:t>26</w:t>
            </w:r>
            <w:r>
              <w:rPr>
                <w:rFonts w:ascii="Times New Roman" w:hAnsi="Times New Roman"/>
                <w:color w:val="000000"/>
                <w:kern w:val="0"/>
                <w:sz w:val="25"/>
                <w:szCs w:val="24"/>
              </w:rPr>
              <w:t>日颁布、同年</w:t>
            </w:r>
            <w:r>
              <w:rPr>
                <w:rFonts w:ascii="Times New Roman" w:hAnsi="Times New Roman"/>
                <w:color w:val="000000"/>
                <w:kern w:val="0"/>
                <w:sz w:val="25"/>
                <w:szCs w:val="24"/>
              </w:rPr>
              <w:t>9</w:t>
            </w:r>
            <w:r>
              <w:rPr>
                <w:rFonts w:ascii="Times New Roman" w:hAnsi="Times New Roman"/>
                <w:color w:val="000000"/>
                <w:kern w:val="0"/>
                <w:sz w:val="25"/>
                <w:szCs w:val="24"/>
              </w:rPr>
              <w:t>月</w:t>
            </w:r>
            <w:r>
              <w:rPr>
                <w:rFonts w:ascii="Times New Roman" w:hAnsi="Times New Roman"/>
                <w:color w:val="000000"/>
                <w:kern w:val="0"/>
                <w:sz w:val="25"/>
                <w:szCs w:val="24"/>
              </w:rPr>
              <w:t>1</w:t>
            </w:r>
            <w:r>
              <w:rPr>
                <w:rFonts w:ascii="Times New Roman" w:hAnsi="Times New Roman"/>
                <w:color w:val="000000"/>
                <w:kern w:val="0"/>
                <w:sz w:val="25"/>
                <w:szCs w:val="24"/>
              </w:rPr>
              <w:t>日实施的《公开募集证券投资基金信息披露管理办法》及颁布机关对其不时做出的修订</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《运作办法》</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指中国证监会</w:t>
            </w:r>
            <w:r>
              <w:rPr>
                <w:rFonts w:ascii="Times New Roman" w:hAnsi="Times New Roman"/>
                <w:color w:val="000000"/>
                <w:kern w:val="0"/>
                <w:sz w:val="25"/>
                <w:szCs w:val="24"/>
              </w:rPr>
              <w:t>2014</w:t>
            </w:r>
            <w:r>
              <w:rPr>
                <w:rFonts w:ascii="Times New Roman" w:hAnsi="Times New Roman"/>
                <w:color w:val="000000"/>
                <w:kern w:val="0"/>
                <w:sz w:val="25"/>
                <w:szCs w:val="24"/>
              </w:rPr>
              <w:t>年</w:t>
            </w:r>
            <w:r>
              <w:rPr>
                <w:rFonts w:ascii="Times New Roman" w:hAnsi="Times New Roman"/>
                <w:color w:val="000000"/>
                <w:kern w:val="0"/>
                <w:sz w:val="25"/>
                <w:szCs w:val="24"/>
              </w:rPr>
              <w:t>7</w:t>
            </w:r>
            <w:r>
              <w:rPr>
                <w:rFonts w:ascii="Times New Roman" w:hAnsi="Times New Roman"/>
                <w:color w:val="000000"/>
                <w:kern w:val="0"/>
                <w:sz w:val="25"/>
                <w:szCs w:val="24"/>
              </w:rPr>
              <w:t>月</w:t>
            </w:r>
            <w:r>
              <w:rPr>
                <w:rFonts w:ascii="Times New Roman" w:hAnsi="Times New Roman"/>
                <w:color w:val="000000"/>
                <w:kern w:val="0"/>
                <w:sz w:val="25"/>
                <w:szCs w:val="24"/>
              </w:rPr>
              <w:t>7</w:t>
            </w:r>
            <w:r>
              <w:rPr>
                <w:rFonts w:ascii="Times New Roman" w:hAnsi="Times New Roman"/>
                <w:color w:val="000000"/>
                <w:kern w:val="0"/>
                <w:sz w:val="25"/>
                <w:szCs w:val="24"/>
              </w:rPr>
              <w:t>日颁布、同年</w:t>
            </w:r>
            <w:r>
              <w:rPr>
                <w:rFonts w:ascii="Times New Roman" w:hAnsi="Times New Roman"/>
                <w:color w:val="000000"/>
                <w:kern w:val="0"/>
                <w:sz w:val="25"/>
                <w:szCs w:val="24"/>
              </w:rPr>
              <w:t>8</w:t>
            </w:r>
            <w:r>
              <w:rPr>
                <w:rFonts w:ascii="Times New Roman" w:hAnsi="Times New Roman"/>
                <w:color w:val="000000"/>
                <w:kern w:val="0"/>
                <w:sz w:val="25"/>
                <w:szCs w:val="24"/>
              </w:rPr>
              <w:t>月</w:t>
            </w:r>
            <w:r>
              <w:rPr>
                <w:rFonts w:ascii="Times New Roman" w:hAnsi="Times New Roman"/>
                <w:color w:val="000000"/>
                <w:kern w:val="0"/>
                <w:sz w:val="25"/>
                <w:szCs w:val="24"/>
              </w:rPr>
              <w:t>8</w:t>
            </w:r>
            <w:r>
              <w:rPr>
                <w:rFonts w:ascii="Times New Roman" w:hAnsi="Times New Roman"/>
                <w:color w:val="000000"/>
                <w:kern w:val="0"/>
                <w:sz w:val="25"/>
                <w:szCs w:val="24"/>
              </w:rPr>
              <w:t>日实施的《公开募集证券投资基金运作管理办法》及颁布机关对其不时做出的修订</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《流动性规定》</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指中国证监会</w:t>
            </w:r>
            <w:r>
              <w:rPr>
                <w:rFonts w:ascii="Times New Roman" w:hAnsi="Times New Roman"/>
                <w:color w:val="000000"/>
                <w:kern w:val="0"/>
                <w:sz w:val="25"/>
                <w:szCs w:val="24"/>
              </w:rPr>
              <w:t>2017</w:t>
            </w:r>
            <w:r>
              <w:rPr>
                <w:rFonts w:ascii="Times New Roman" w:hAnsi="Times New Roman"/>
                <w:color w:val="000000"/>
                <w:kern w:val="0"/>
                <w:sz w:val="25"/>
                <w:szCs w:val="24"/>
              </w:rPr>
              <w:t>年</w:t>
            </w:r>
            <w:r>
              <w:rPr>
                <w:rFonts w:ascii="Times New Roman" w:hAnsi="Times New Roman"/>
                <w:color w:val="000000"/>
                <w:kern w:val="0"/>
                <w:sz w:val="25"/>
                <w:szCs w:val="24"/>
              </w:rPr>
              <w:t>8</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日颁布、同年</w:t>
            </w:r>
            <w:r>
              <w:rPr>
                <w:rFonts w:ascii="Times New Roman" w:hAnsi="Times New Roman"/>
                <w:color w:val="000000"/>
                <w:kern w:val="0"/>
                <w:sz w:val="25"/>
                <w:szCs w:val="24"/>
              </w:rPr>
              <w:t>10</w:t>
            </w:r>
            <w:r>
              <w:rPr>
                <w:rFonts w:ascii="Times New Roman" w:hAnsi="Times New Roman"/>
                <w:color w:val="000000"/>
                <w:kern w:val="0"/>
                <w:sz w:val="25"/>
                <w:szCs w:val="24"/>
              </w:rPr>
              <w:t>月</w:t>
            </w:r>
            <w:r>
              <w:rPr>
                <w:rFonts w:ascii="Times New Roman" w:hAnsi="Times New Roman"/>
                <w:color w:val="000000"/>
                <w:kern w:val="0"/>
                <w:sz w:val="25"/>
                <w:szCs w:val="24"/>
              </w:rPr>
              <w:t>1</w:t>
            </w:r>
            <w:r>
              <w:rPr>
                <w:rFonts w:ascii="Times New Roman" w:hAnsi="Times New Roman"/>
                <w:color w:val="000000"/>
                <w:kern w:val="0"/>
                <w:sz w:val="25"/>
                <w:szCs w:val="24"/>
              </w:rPr>
              <w:t>日实施的《公开募集开放式证券投资基金流动性风险管理规定》及颁布机关对其不时做出的修订</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指中国证券监督管理委员会</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银行业监督管理机构</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指中国人民银行和</w:t>
            </w:r>
            <w:r>
              <w:rPr>
                <w:rFonts w:ascii="Times New Roman" w:hAnsi="Times New Roman"/>
                <w:color w:val="000000"/>
                <w:kern w:val="0"/>
                <w:sz w:val="25"/>
                <w:szCs w:val="24"/>
              </w:rPr>
              <w:t>/</w:t>
            </w:r>
            <w:r>
              <w:rPr>
                <w:rFonts w:ascii="Times New Roman" w:hAnsi="Times New Roman"/>
                <w:color w:val="000000"/>
                <w:kern w:val="0"/>
                <w:sz w:val="25"/>
                <w:szCs w:val="24"/>
              </w:rPr>
              <w:t>或中国银行业监督管理委员会</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基金合同当事人</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指受基金合同约束，根据基金合同享有权利并承担义务的法律主体，包括基金管理人、基金托管人和基金份额持有人</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个人投资者</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指依据有关法律法规规定可投资于证券投资基金的自然人</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机构投资者</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指依法可以投资证券投资基金的、在中华人民共和国境内合法登记并存续或经有关政府部门批准设立并存续的企业法人、事业法人、社会团体或其他组织</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合格境外机构投资者</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指符合《合格境外机构投资者境内证券投资管理办法》及相关法律法规规定可以投资于在中国境内依法募集的证券投资基金的中国境外的机构投资者</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人民币合格境外机构投资者</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指按照《人民币合格境外机构投资者境内证券投资试点办法》及相关法律法规规定，运用来自境外的人民币资金进行中国境内证券投资的境外机构投资者</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投资人或投资者</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指个人投资者、机构投资者、合格境外机构投资者和人民币合格境外机构投资者以及法律法规或中国证监会允许购买证券投资基金的其他投资人的合称</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基金份额持有人</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指依基金合同和招募说明书合法取得基金份额的投资人</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基金销售业务</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指基金管理人或销售机构宣传推介基金，发售基金份额，办理基金份额的申购、赎回、转换、转托管及定期定额投资等业务</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销售机构</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指交银施罗德基金管理有限公司以及符合《销售办法》和中国证监会规定的其他条件，取得基金销售业务资格并与基金管理人签订了基金销售服务协议，办理基金销售业务的机构</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登记业务</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指基金登记、存管、过户、清算和结算业务，具体内容包括投资人基金账户的建立和管理、基金份额登记、基金销售业务的确认、清算和结算、代理发放红利、建立并保管基金份额持有人名册和办理非交易过户等</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登记机构</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指办理登记业务的机构。基金的登记机构为交银施罗德基金管理有限公司或接受交银施罗德基金管理有限公司委托代为办理登记业务的机构</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基金账户</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指登记机构为投资人开立的、记录其持有的、基金管理人所管理的基金份额余额及其变动情况的账户</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基金交易账户</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指销售机构为投资人开立的、记录投资人通过该销售机构办理认购、申购、赎回、转换及转托管等业务而引起的基金份额变动及结余情况的账户</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基金合同生效日</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指基金募集达到法律法规规定及基金合同规定的条件，基金管理人向中国证监会办理基金备案手续完毕，并获得中国证监会书面确认的日期</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基金合同终止日</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指基金合同规定的基金合同终止事由出现后，基金财产清算完毕，清算结果报中国证监会备案并予以公告的日期</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基金募集期</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指自基金份额发售之日起至发售结束之日止的期间，最长不得超过</w:t>
            </w:r>
            <w:r>
              <w:rPr>
                <w:rFonts w:ascii="Times New Roman" w:hAnsi="Times New Roman"/>
                <w:color w:val="000000"/>
                <w:kern w:val="0"/>
                <w:sz w:val="25"/>
                <w:szCs w:val="24"/>
              </w:rPr>
              <w:t>3</w:t>
            </w:r>
            <w:r>
              <w:rPr>
                <w:rFonts w:ascii="Times New Roman" w:hAnsi="Times New Roman"/>
                <w:color w:val="000000"/>
                <w:kern w:val="0"/>
                <w:sz w:val="25"/>
                <w:szCs w:val="24"/>
              </w:rPr>
              <w:t>个月</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存续期</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指基金合同生效至终止之间的不定期期限</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工作日</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指上海证券交易所、深圳证券交易所的正常交易日</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T</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指销售机构在规定时间受理投资人申购、赎回或其他业务申请的开放日</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T+n</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指自</w:t>
            </w:r>
            <w:r>
              <w:rPr>
                <w:rFonts w:ascii="Times New Roman" w:hAnsi="Times New Roman"/>
                <w:color w:val="000000"/>
                <w:kern w:val="0"/>
                <w:sz w:val="25"/>
                <w:szCs w:val="24"/>
              </w:rPr>
              <w:t>T</w:t>
            </w:r>
            <w:r>
              <w:rPr>
                <w:rFonts w:ascii="Times New Roman" w:hAnsi="Times New Roman"/>
                <w:color w:val="000000"/>
                <w:kern w:val="0"/>
                <w:sz w:val="25"/>
                <w:szCs w:val="24"/>
              </w:rPr>
              <w:t>日起第</w:t>
            </w:r>
            <w:r>
              <w:rPr>
                <w:rFonts w:ascii="Times New Roman" w:hAnsi="Times New Roman"/>
                <w:color w:val="000000"/>
                <w:kern w:val="0"/>
                <w:sz w:val="25"/>
                <w:szCs w:val="24"/>
              </w:rPr>
              <w:t>n</w:t>
            </w:r>
            <w:r>
              <w:rPr>
                <w:rFonts w:ascii="Times New Roman" w:hAnsi="Times New Roman"/>
                <w:color w:val="000000"/>
                <w:kern w:val="0"/>
                <w:sz w:val="25"/>
                <w:szCs w:val="24"/>
              </w:rPr>
              <w:t>个工作日</w:t>
            </w:r>
            <w:r>
              <w:rPr>
                <w:rFonts w:ascii="Times New Roman" w:hAnsi="Times New Roman"/>
                <w:color w:val="000000"/>
                <w:kern w:val="0"/>
                <w:sz w:val="25"/>
                <w:szCs w:val="24"/>
              </w:rPr>
              <w:t>(</w:t>
            </w:r>
            <w:r>
              <w:rPr>
                <w:rFonts w:ascii="Times New Roman" w:hAnsi="Times New Roman"/>
                <w:color w:val="000000"/>
                <w:kern w:val="0"/>
                <w:sz w:val="25"/>
                <w:szCs w:val="24"/>
              </w:rPr>
              <w:t>不包含</w:t>
            </w:r>
            <w:r>
              <w:rPr>
                <w:rFonts w:ascii="Times New Roman" w:hAnsi="Times New Roman"/>
                <w:color w:val="000000"/>
                <w:kern w:val="0"/>
                <w:sz w:val="25"/>
                <w:szCs w:val="24"/>
              </w:rPr>
              <w:t>T</w:t>
            </w:r>
            <w:r>
              <w:rPr>
                <w:rFonts w:ascii="Times New Roman" w:hAnsi="Times New Roman"/>
                <w:color w:val="000000"/>
                <w:kern w:val="0"/>
                <w:sz w:val="25"/>
                <w:szCs w:val="24"/>
              </w:rPr>
              <w:t>日</w:t>
            </w:r>
            <w:r>
              <w:rPr>
                <w:rFonts w:ascii="Times New Roman" w:hAnsi="Times New Roman"/>
                <w:color w:val="000000"/>
                <w:kern w:val="0"/>
                <w:sz w:val="25"/>
                <w:szCs w:val="24"/>
              </w:rPr>
              <w:t>)</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开放日</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指为投资人办理基金份额申购、赎回或其他业务的工作日</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开放时间</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指开放日基金接受申购、赎回或其他交易的时间段</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《业务规则》</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中国证券登记结算有限责任公司开放式证券投资基金及证券公司集合资产管理计划份额登记及资金结算业务指南》及其后修订，是规范基金管理人所管理的开放式证券投资基金登记方面的业务规则，由基金管理人和投资人共同遵守</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认购</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指在基金募集期内，投资人根据基金合同和招募说明书的规定申请购买基金份额的行为</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指基金合同生效后，投资人根据基金合同和招募说明书的规定申请购买基金份额的行为</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赎回</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指基金合同生效后，基金份额持有人按基金合同和招募说明书规定的条件要求将基金份额兑换为现金的行为</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基金转换</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指基金份额持有人按照基金合同和基金管理人届时有效公告规定的条件，申请将其持有基金管理人管理的、某一基金的基金份额转换为基金管理人管理的其他基金基金份额的行为</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转托管</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指基金份额持有人在本基金的不同销售机构之间实施的变更所持基金份额销售机构的操作</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定期定额投资计划</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指投资人通过有关销售机构提出申请，约定每期申购日、扣款金额及扣款方式，由指定的销售机构在投资人指定银行账户内自动完成扣款并于每期约定的申购日受理基金申购申请的一种投资方式</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巨额赎回</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指本基金单个开放日，基金净赎回申请（赎回申请份额总数加上基金转换中转出申请份额总数后扣除申购申请份额总数及基金转换中转入申请份额总数后的余额）超过上一开放日基金总份额的</w:t>
            </w:r>
            <w:r>
              <w:rPr>
                <w:rFonts w:ascii="Times New Roman" w:hAnsi="Times New Roman"/>
                <w:color w:val="000000"/>
                <w:kern w:val="0"/>
                <w:sz w:val="25"/>
                <w:szCs w:val="24"/>
              </w:rPr>
              <w:t>10%</w:t>
            </w:r>
            <w:r>
              <w:rPr>
                <w:rFonts w:ascii="Times New Roman" w:hAnsi="Times New Roman"/>
                <w:color w:val="000000"/>
                <w:kern w:val="0"/>
                <w:sz w:val="25"/>
                <w:szCs w:val="24"/>
              </w:rPr>
              <w:t>的情形</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元</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指人民币元</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基金收益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指基金投资所得红利、股息、债券利息、买卖证券价差、银行存款利息、已实现的其他合法收入及因运用基金财产带来的成本和费用的节约</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基金资产总值</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指基金拥有的各类有价证券、股指期货合约、证券投资基金份额、银行存款本息、基金应收申购款及其他资产的价值总和</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基金资产净值</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指基金资产总值减去基金负债后的价值</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基金份额净值</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指计算日基金资产净值除以计算日基金份额总数</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基金资产估值</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指计算评估基金资产和负债的价值，以确定基金资产净值和基金份额净值的过程</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销售服务费</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指从基金财产中计提的，用于本基金市场推广、销售以及基金份额持有人服务的费用</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指在投资人申购时收取申购费用且不从本类别基金资产中计提销售服务费的基金份额</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C</w:t>
            </w:r>
            <w:r>
              <w:rPr>
                <w:rFonts w:ascii="Times New Roman" w:hAnsi="Times New Roman"/>
                <w:color w:val="000000"/>
                <w:kern w:val="0"/>
                <w:sz w:val="25"/>
                <w:szCs w:val="24"/>
              </w:rPr>
              <w:t>类基金份额</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指在投资人申购时不收取申购费用，并从本类别基金资产中计提销售服务费的基金份额</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流动性受限资产</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指由于法律法规、监管、合同或操作障碍等原因无法以合理价格予以变现的资产，包括但不限于到期日在</w:t>
            </w:r>
            <w:r>
              <w:rPr>
                <w:rFonts w:ascii="Times New Roman" w:hAnsi="Times New Roman"/>
                <w:color w:val="000000"/>
                <w:kern w:val="0"/>
                <w:sz w:val="25"/>
                <w:szCs w:val="24"/>
              </w:rPr>
              <w:t>10</w:t>
            </w:r>
            <w:r>
              <w:rPr>
                <w:rFonts w:ascii="Times New Roman" w:hAnsi="Times New Roman"/>
                <w:color w:val="000000"/>
                <w:kern w:val="0"/>
                <w:sz w:val="25"/>
                <w:szCs w:val="24"/>
              </w:rPr>
              <w:t>个交易日以上的逆回购与银行定期存款（含协议约定有条件提前支取的银行存款）、停牌股票、流通受限的新股及非公开发行股票、资产支持证券、因发行人债务违约无法进行转让或交易的债券等</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指定媒介</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指中国证监会指定的用以进行信息披露的全国性报刊及指定互联网网站（包括基金管理人网站、基金托管人网站、中国证监会基金电子披露网站）等媒介</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侧袋机制</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特定资产</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不可抗力</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指基金合同当事人不能预见、不能避免且不能克服的客观事件</w:t>
            </w:r>
          </w:p>
        </w:tc>
      </w:tr>
    </w:tbl>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6" w:name="_Toc137828450"/>
      <w:r>
        <w:rPr>
          <w:rFonts w:ascii="Times New Roman" w:hAnsi="Times New Roman"/>
          <w:sz w:val="30"/>
        </w:rPr>
        <w:lastRenderedPageBreak/>
        <w:t>三、基金管理人</w:t>
      </w:r>
      <w:bookmarkEnd w:id="6"/>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（一）基金管理人概况</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联系人：郭佳敏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电话：（021）61055050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传真：（021）61055034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交银施罗德基金管理有限公司（以下简称“公司”）经中国证监会证监基金字[2005]128号文批准设立。公司股权结构如下：</w:t>
      </w:r>
    </w:p>
    <w:tbl>
      <w:tblPr>
        <w:tblW w:w="5000" w:type="pct"/>
        <w:tblCellMar>
          <w:left w:w="0" w:type="dxa"/>
          <w:right w:w="0" w:type="dxa"/>
        </w:tblCellMar>
        <w:tblLook w:val="0000" w:firstRow="0" w:lastRow="0" w:firstColumn="0" w:lastColumn="0" w:noHBand="0" w:noVBand="0"/>
      </w:tblPr>
      <w:tblGrid>
        <w:gridCol w:w="4325"/>
        <w:gridCol w:w="4325"/>
      </w:tblGrid>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股东名称</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股权比例</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交通银行股份有限公司（以下使用全称或其简称</w:t>
            </w:r>
            <w:r>
              <w:rPr>
                <w:rFonts w:ascii="Times New Roman" w:hAnsi="Times New Roman"/>
                <w:color w:val="000000"/>
                <w:kern w:val="0"/>
                <w:sz w:val="25"/>
                <w:szCs w:val="24"/>
              </w:rPr>
              <w:t>“</w:t>
            </w:r>
            <w:r>
              <w:rPr>
                <w:rFonts w:ascii="Times New Roman" w:hAnsi="Times New Roman"/>
                <w:color w:val="000000"/>
                <w:kern w:val="0"/>
                <w:sz w:val="25"/>
                <w:szCs w:val="24"/>
              </w:rPr>
              <w:t>交通银行</w:t>
            </w:r>
            <w:r>
              <w:rPr>
                <w:rFonts w:ascii="Times New Roman" w:hAnsi="Times New Roman"/>
                <w:color w:val="000000"/>
                <w:kern w:val="0"/>
                <w:sz w:val="25"/>
                <w:szCs w:val="24"/>
              </w:rPr>
              <w:t>”</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65%</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施罗德投资管理有限公司</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30%</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中国国际海运集装箱（集团）股份有限公司</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r>
    </w:tbl>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（二）主要成员情况</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1、基金管理人董事会成员</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阮红女士，董事长，博士。历任交通银行办公室副处长、处长，交通银行海外机构管理部副总经理、总经理，交通银行上海分行副行长，交通银行资产托管部总经理，交通银行投资管理部总经理，交银施罗德基金管理有限公司总经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童洁萍女士，董事，硕士。现任交通银行总行个人金融业务部副总经理。历任交通银行南京分行个人金融业务部副高级经理、江苏省分行个人金融业务部副总经理、总经理、玄武支行行长。</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王贤家先生，董事，学士。现任交通银行总行风险管理部/内控案防办 副总经理。历任交通银行总行国际业务部外汇资金处交易员、澳门分行资金部主管、总行</w:t>
      </w:r>
      <w:r>
        <w:rPr>
          <w:rFonts w:ascii="宋体" w:hAnsi="宋体"/>
          <w:sz w:val="24"/>
        </w:rPr>
        <w:lastRenderedPageBreak/>
        <w:t>金融市场部债券投资部副高级经理、外汇交易部高级经理。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谢卫先生，董事，总经理，博士，高级经济师。现任交银施罗德基金管理有限公司总经理，兼任交银施罗德资产管理(香港)有限公司董事长、交银施罗德资产管理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杜伟麒（Chris Durack）先生，董事，硕士。现任施罗德投资亚太区行政总裁。历任施罗德投资澳大利亚董事兼产品及分销主管、香港行政总裁兼亚太区机构业务主管、澳大利亚行政总裁兼亚太区联席主管等职。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章骏翔先生，副董事长，硕士，美国特许金融分析师(CFA)持证人。现任施罗德投资管理(香港)有限公司亚洲投资风险主管。历任渣打银行（香港）交易风险监控，华宝兴业基金管理有限公司风险管理部总经理，法国安盛投资管理（香港）有限公司亚洲风险经理等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郝爱群女士，独立董事，学士。历任人民银行稽核司副处长、处长，合作司调研员，非银司副巡视员、副司长，银监会非银部副主任，银行监管一部副主任、巡视员，汇金公司派出董事。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2、基金管理人监事会成员</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梅津芝女士，监事长，学士。高级经济师、审计师。现任交通银行工会办公室主任。历任交通银行山西省分行个人金融业务部高级经理，交通银行山西省分行副行长，交通银行个人金融业务部副总经理、私人银行部总经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林凯珊女士，监事，硕士。现任施罗德投资管理（香港）有限公司中国内地及</w:t>
      </w:r>
      <w:r>
        <w:rPr>
          <w:rFonts w:ascii="宋体" w:hAnsi="宋体"/>
          <w:sz w:val="24"/>
        </w:rPr>
        <w:lastRenderedPageBreak/>
        <w:t>中国香港法律部主管。历任香港证券及期货事务监察委员会发牌科经理、的近律师行律师。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刘峥先生，监事，硕士。现任交银施罗德基金管理有限公司综合管理部总经理。历任交通银行上海市分行管理培训生，交通银行总行战略投资部高级投资并购经理，交银施罗德基金管理有限公司总裁办公室高级综合管理经理、副总经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黄伟峰先生，监事，硕士。现任交银施罗德基金管理有限公司市场总监。历任平安人寿保险公司上海分公司行政督导、营销管理经理，交银施罗德基金管理有限公司行政部总经理助理、西部营销中心总经理、机构理财部（上海）总经理兼产品开发部总经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3、基金管理人高级管理人员</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谢卫先生，总经理。简历同上。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印皓女士，副总经理，硕士。历任交通银行研究开发部副主管体改规划员，交通银行市场营销部副主管市场规划员、主管市场规划员，交通银行公司业务部副高级经理、高级经理，交通银行机构业务部高级经理、总经理助理、副总经理，交银施罗德资产管理有限公司董事长。</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马俊先生，副总经理，硕士。历任交通银行总行投资管理部高级投资分析、副高级经理，交银施罗德基金管理有限公司总裁办公室总经理、研究部副总经理、研究总监、综合管理部总经理。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4、本基金基金经理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沈楠先生:基金经理。复旦大学经济学硕士，14年证券投资行业从业经验。2009年至2011年在长江证券担任高级分析师。2011年加入交银施罗德基金管理有限公司，曾任行业分析师、基金经理助理，现任权益部基金经理。现任交银施罗德主题优选灵活配置混合型证券投资基金(2015年05月05日至今)、交银施罗德国企改革灵活配置混合型证券投资基金(2015年06月10日至今)、交银施罗德瑞思混合型证券投资基金（LOF）(2020年02月21日至今)的基金经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5、投资决策委员会成员</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委员：谢卫（总经理）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马俊（副总经理、研究总监）</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王少成（权益投资总监、基金经理）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于海颖（固定收益（公募）投资总监、基金经理）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王崇（权益投资副总监、权益部一级专家、基金经理）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上述人员之间不存在近亲属关系，上述各项人员信息更新截止日为2023年05月27日，期后变动（如有）敬请关注基金管理人发布的相关公告。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（三）基金管理人的职责</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3、对所管理的不同基金财产分别管理、分别记账，进行证券投资；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4、按照基金合同的约定确定基金收益分配方案，及时向基金份额持有人分配收益；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5、进行基金会计核算并编制基金财务会计报告；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6、编制季度报告、中期报告和年度报告；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7、计算并公告基金净值信息，确定基金份额申购、赎回价格；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8、办理与基金财产管理业务活动有关的信息披露事项；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9、按照规定召集基金份额持有人大会；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10、保存基金财产管理业务活动的记录、账册、报表和其他相关资料；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11、以基金管理人名义，代表基金份额持有人利益行使诉讼权利或者实施其他法律行为；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12、有关法律法规和中国证监会规定的其他职责。</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（四）基金管理人的承诺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1、基金管理人承诺不从事违反《中华人民共和国证券法》的行为，并承诺建立健全内部控制制度，采取有效措施，防止违反《中华人民共和国证券法》行为的发生；</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2、基金管理人承诺不从事违反《基金法》的行为，并承诺建立健全内部风险控制制度，采取有效措施，防止下列行为的发生：</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（1）将基金管理人固有财产或者他人财产混同于基金财产从事证券投资；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（2）不公平地对待管理的不同基金财产；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（3）利用基金财产为基金份额持有人以外的第三人牟取利益；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（4）向基金份额持有人违规承诺收益或者承担损失；</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（5）侵占、挪用基金财产；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（6）法律、行政法规和中国证监会禁止的其他行为。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3、基金管理人承诺严格遵守基金合同，并承诺建立健全内部控制制度，采取有效措施，防止违反基金合同行为的发生；</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4、基金管理人承诺加强人员管理，强化职业操守，督促和约束员工遵守国家有关法律法规及行业规范，诚实信用、勤勉尽责；</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5、基金管理人承诺不从事其他法规规定禁止从事的行为。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（五）基金经理承诺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1、依照有关法律法规和基金合同的规定，本着谨慎的原则为基金份额持有人谋取最大利益；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2、不利用职务之便为自己、受雇人或任何第三者谋取利益；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3、不泄露在任职期间知悉的有关证券、基金的商业秘密，尚未依法公开的基金投资内容、基金投资计划等信息，或利用该信息从事或者明示、暗示他人从事相关的交易活动；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4、不以任何形式为其他组织或个人进行证券交易。</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（六）基金管理人的内部控制制度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1、风险管理的原则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（1）全面性原则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公司风险管理必须覆盖公司的所有部门和岗位，渗透各项业务过程和业务环节。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（2）独立性原则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公司设立独立的风险管理部，风险管理部保持高度的独立性和权威性，负责对公司各部门风险控制工作进行监督和检查。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（3）相互制约原则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公司及各部门在内部组织结构的设计上要形成一种相互制约的机制，建立不同岗位之间的制衡体系。</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（4）定性和定量相结合原则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建立完备的风险管理指标体系，使风险管理更具客观性和操作性。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2、风险管理和内部风险控制体系结构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（1）董事会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负责制定公司的风险管理政策，对风险管理负完全的和最终的责任。</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（2）监事会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是公司常设的监事机构，对股东会负责。监事会对公司财务、公司董事、总经理及其他高级管理人员进行监督。</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（3）合规审核及风险管理委员会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（4）风险控制委员会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（5）督察长</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独立行使督察权利；直接对董事会负责；就内部控制制度和执行情况独立地履行检查、评价、报告、建议职能；定期和不定期地向董事会报告公司内部控制执行情况。</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（6）风险管理部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（7）审计部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审计部负责按照公司要求，根据国家法律法规及行业规范，结合公司战略发展及管理目标，对公司内部控制体系的适当性及运行的效果和效率进行独立评价，协</w:t>
      </w:r>
      <w:r>
        <w:rPr>
          <w:rFonts w:ascii="宋体" w:hAnsi="宋体"/>
          <w:sz w:val="24"/>
        </w:rPr>
        <w:lastRenderedPageBreak/>
        <w:t>助促进公司风险管理、控制和治理过程的完善，实现合规经营目标。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（8）法律合规部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（9）业务部门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风险管理是每一个业务部门首要的责任。部门经理对本部门的风险负全部责任，负责履行公司的风险管理程序，负责本部门的风险管理系统的开发、执行和维护，用于识别、监控和降低风险。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3、风险管理和内部风险控制的措施</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（1）建立内控体系，完善内控制度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公司建立、健全了内控体系，通过高管人员关于内控的明确分工，确保各项业务活动有恰当的组织和授权，确保监察活动独立，并得到高管人员的支持，同时置备操作手册，并定期更新。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（2）建立相互分离、相互制衡的内控机制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建立、健全了各项制度，做到基金经理分开，投资决策分开，基金交易集中，形成不同部门、不同岗位之间的制衡机制，从制度上减少和防范风险。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（3）建立、健全岗位责任制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建立、健全了岗位责任制，使每个员工都明确自己的任务、职责，并及时将各自工作领域中的风险隐患上报，以防范和减少风险。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（4）建立风险分类、识别、评估、报告、提示程序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（5）建立有效的内部监控系统</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建立了足够、有效的内部监控系统，如电脑预警系统、投资监控系统，对可能出现的各种风险进行全面和实时的监控。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（6）使用数量化的风险管理手段</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采取数量化、技术化的风险控制手段，建立数量化的风险管理模型，用以提示指数趋势、行业及个股的风险，以便公司及时采取有效的措施，对风险进行分散、</w:t>
      </w:r>
      <w:r>
        <w:rPr>
          <w:rFonts w:ascii="宋体" w:hAnsi="宋体"/>
          <w:sz w:val="24"/>
        </w:rPr>
        <w:lastRenderedPageBreak/>
        <w:t>控制和规避，尽可能地减少损失。</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（7）提供足够的培训</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制定了完整的培训计划，为所有员工提供足够和适当的培训，使员工明确其职责所在，控制风险。</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7" w:name="_Toc137828451"/>
      <w:r>
        <w:rPr>
          <w:rFonts w:ascii="Times New Roman" w:hAnsi="Times New Roman"/>
          <w:sz w:val="30"/>
        </w:rPr>
        <w:lastRenderedPageBreak/>
        <w:t>四、基金托管人</w:t>
      </w:r>
      <w:bookmarkEnd w:id="7"/>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（一）基金托管人情况</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1、基本情况</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名称：中国农业银行股份有限公司（简称中国农业银行）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住所：北京市东城区建国门内大街69号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办公地址：北京市西城区复兴门内大街28号凯晨世贸中心东座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法定代表人：谷澍</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成立日期：2009年1月15日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批准设立机关和批准设立文号：中国银监会银监复[2009]13号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基金托管资格批文及文号：中国证监会证监基字[1998]23号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注册资本：34,998,303.4万元人民币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联系电话：010-66060069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传真：010-68121816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联系人：秦一楠</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中国农业银行是中国第一批开展托管业务的国内商业银行，经验丰富，服务优质，业绩突出，2004年被英国《全球托管人》评为中国“最佳托管银行”。2007年</w:t>
      </w:r>
      <w:r>
        <w:rPr>
          <w:rFonts w:ascii="宋体" w:hAnsi="宋体"/>
          <w:sz w:val="24"/>
        </w:rPr>
        <w:lastRenderedPageBreak/>
        <w:t>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2019年荣获证券时报授予的“2019年度资产托管银行天玑奖”称号；2020年被美国《环球金融》评为中国“最佳托管银行”；2021年荣获全国银行间同业拆借中心首次设立的“银行间本币市场优秀托管行”奖；2022年在权威杂志《财资》年度评选中首次荣获“中国最佳保险托管银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农业银行证券投资基金托管部于1998年5月经中国证监会和中国人民银行批准成立，目前内设风险合规部/综合管理部、业务管理部、客户一部、客户二部、客户三部、客户四部、系统与信息管理部、营运管理部、营运一部、营运二部，拥有先进的安全防范设施和基金托管业务系统。</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2、主要人员情况</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农业银行托管业务部现有员工近283名，其中具有高级职称的专家60名，服务团队成员专业水平高、业务素质好、服务能力强，高级管理层均有20年以上金融从业经验和高级技术职称，精通国内外证券市场的运作。</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3、基金托管业务经营情况</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截止到2023年3月31日，中国农业银行托管的封闭式证券投资基金和开放式证券投资基金共808只。</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（二）基金托管人的内部风险控制制度说明</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1、内部控制目标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2、内部控制组织结构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3、内部控制制度及措施</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（三）基金托管人对基金管理人运作基金进行监督的方法和程序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当基金出现异常交易行为时，基金托管人应当针对不同情况进行以下方式的处理：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1、电话提示。对媒体和舆论反映集中的问题，电话提示基金管理人；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2、书面警示。对本基金投资比例接近超标、资金头寸不足等问题，以书面方式对基金管理人进行提示；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3、书面报告。对投资比例超标、清算资金透支以及其他涉嫌违规交易等行为，书面提示有关基金管理人并报中国证监会。</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8" w:name="_Toc137828452"/>
      <w:r>
        <w:rPr>
          <w:rFonts w:ascii="Times New Roman" w:hAnsi="Times New Roman"/>
          <w:sz w:val="30"/>
        </w:rPr>
        <w:lastRenderedPageBreak/>
        <w:t>五、相关服务机构</w:t>
      </w:r>
      <w:bookmarkEnd w:id="8"/>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（一）基金份额销售机构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1、直销机构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本基金直销机构为本公司直销柜台以及本公司的网上直销交易平台（网站及APP，下同）。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机构名称：交银施罗德基金管理有限公司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个人投资者可以通过本公司网上直销交易平台办理开户、本基金的申购、赎回、定期定额投资、转换等业务，具体交易细则请参阅本公司网站。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网上直销交易平台网址：www. fund001.com。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2、其他销售机构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（1）名称：中国建设银行股份有限公司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住所：北京市西城区金融大街25号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办公地址：北京市西城区金融大街25号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法定代表人：田国立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电话：（010）66275654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传真：（010）66275654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网址：www.ccb.com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（2）名称：中国农业银行股份有限公司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住所：北京市东城区建国门内大街69号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办公地址：北京市西城区复兴门内大街28号凯晨世贸中心东座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法定代表人：周慕冰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联系电话：010-66060069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传真：010-68121816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联系人：贺倩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客户服务电话：95599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网址：www.abchina.com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（3）名称：东莞农村商业银行股份有限公司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住所：东莞市东城区鸿福东路2号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办公地址：东莞市东城区鸿福东路2号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法定代表人：王耀球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电话：（0769）22866254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传真：（0769）22866282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联系人：林培珊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客户服务电话：（0769）961122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网址：www.drcbank.com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（4）名称：上海银行股份有限公司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住所：上海市银城中路168号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办公地址：上海市银城中路168号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法定代表人：金煜</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电话：（021）68475888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传真：（021）68476111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联系人：张萍</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客户服务电话：（021）962888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网址：www.bankofshanghai.com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（5）名称：交通银行股份有限公司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住所：上海市浦东新区银城中路188号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办公地址：上海市浦东新区银城中路188号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法定代表人：任德奇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电话：（021）58781234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传真：（021）58408483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联系人：范瑞波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网址：www.bankcomm.com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（6）名称：江苏江南农村商业银行股份有限公司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住所：江苏省常州市和平中路413号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办公地址：江苏省常州市和平中路413号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法定代表人：陆向阳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电话：0519-80585939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传真：0519-89995170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联系人：蒋姣</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客户服务电话：96005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网址：http://www.jnbank.com.cn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（7）名称：江苏银行股份有限公司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住所：南京市中华路26号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办公地址：南京市中华路26号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法定代表人：夏平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电话：（025）58587018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传真：（025）58587038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联系人：田春慧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客户服务电话：95319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网址：www.jsbchina.cn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（8）名称：平安银行股份有限公司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注册地址：深圳市罗湖区深南东路5047号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办公地址：深圳市深南东路5047号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法人代表：谢永林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电话：0755-22166574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传真：0755-82080406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客服电话：95511-3或95501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网址：bank.pingan.com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（9）名称：宁波银行股份有限公司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住所：宁波市江东区中山东路294号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法定代表人：陆华裕</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电话：（021）63586210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传真：（021）63586215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联系人：胡技勋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客户服务电话：96528（上海地区962528）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网址：www.nbcb.com.cn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（10）名称：招商银行股份有限公司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住所：深圳市福田区深南大道7088号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办公地址：深圳市福田区深南大道7088号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法定代表人：缪建民</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电话：（0755）83198888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传真：（0755）83195109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联系人：季平伟</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网址：www.cmbchina.com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（11）名称：中国光大银行股份有限公司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住所：北京市西城区太平桥大街25号、甲25号中国光大中心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办公地址：北京市西城区太平桥大街25号、甲25号中国光大中心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法定代表人：李晓鹏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电话：（010）63639681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传真：（010）63639709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联系人：刘昭宇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客户服务电话：95595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网址：www.cebbank.com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（12）名称：中信银行股份有限公司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住所：北京市东城区朝阳门北大街9号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办公地址：北京市东城区朝阳门北大街9号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法定代表人：朱鹤新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电话：（010）89936330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传真：（010）85230024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联系人：丰靖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网址：bank.ecitic.com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（13）名称：中国邮政储蓄银行股份有限公司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住所：北京市西城区金融大街3号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办公地址：北京市西城区金融大街3号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法定代表人：李国华</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传真：（010）68858117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联系人：陈春林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网址：www.psbc.com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（14）名称：南京银行股份有限公司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住所：南京市玄武区中山路288号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办公地址：南京市玄武区中山路288号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法定代表人：胡升荣</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电话：025-86776111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传真：025-86775054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客户服务电话：95302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网址：www.njcb.com.cn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（15）名称：上海浦东发展银行股份有限公司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住所：上海市中山东一路12 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办公地址：上海市中山东一路12 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法定代表人：郑杨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电话：（021）61618888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传真：（021）61618888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联系人：朱瑛</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客户服务电话：95528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网址：www.spdb.com.cn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（16）名称：光大证券股份有限公司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住所：上海市静安区新闸路1508号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办公地址：上海市静安区新闸路1508号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法定代表人：薛峰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电话：（021）22169999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传真：（021）22169134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10108998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网址：www.ebscn.com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（17）名称：中国中金财富证券有限公司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住所：深圳市福田区益田路与福中路交界处荣超商务中心A栋第18层-21层及第04层01.02.03.05.11.12.13.15.16.18.19.20.21.22.23单元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办公地址：深圳市福田区益田路6003号荣超商务中心A栋第04、18层至21层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法定代表人：高涛</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电话：（0755）88320851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联系人：胡芷境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客户服务电话：95532/400-600-8008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网址：www.ciccwm.com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（18）名称：华龙证券股份有限公司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住所：兰州市城关区东岗西路638号财富中心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办公地址：兰州市城关区东岗西路638号财富中心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法定代表人：李晓安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电话：（0931）4890208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传真：（0931）4890628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联系人：李昕田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客户服务电话：4006898888、（0931）4890208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网址：www.hlzqgs.com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（19）名称：华宝证券股份有限公司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住所：中国上海市陆家嘴环路166号未来资产大厦27楼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办公地址：中国上海市浦东新区世纪大道100号上海环球金融中心57楼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陈林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电话：（021）68777222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传真：（021）68777822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客户服务电话：400-820-9898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网址：www.cnhbstock.com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（20）名称：国新证券股份有限公司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住所：北京市西城区金融大街8号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办公地址：北京市西城区金融大街8号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法定代表人：宋德清</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电话：（010）58568235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传真：（010）58568062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联系人：黄恒</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客户服务电话：（010）58568118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网址：www.crsec.com.cn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（21）名称：西南证券股份有限公司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住所：重庆市江北区桥北苑8号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办公地址：重庆市江北区桥北苑8号西南证券大厦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法定代表人：吴坚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电话：（023）63786141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传真：（023）63786212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联系人：张煜</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客户服务电话：95355、400-809-6096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网址：www.swsc.com.cn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（22）名称：信达证券股份有限公司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住所：北京市西城区闹市口大街9号院1号楼信达金融中心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办公地址：北京市西城区闹市口大街9号院1号楼信达金融中心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法定代表人：张志刚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电话：（010）63081000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传真：（010）63081344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联系人：尹旭航</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客户服务电话：95321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网址：www.cindasc.com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（23）名称：国金证券股份有限公司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住所：四川省成都市东城根上街95号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办公地址：成都市东城根上街95号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法定代表人：冉云</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电话：（028）86690057，（028）86690058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传真：（028）86690126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联系人：刘婧漪 贾鹏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网址：www.gjzq.com.cn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（24）名称：江海证券有限公司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住所：黑龙江省哈尔滨市香坊区赣水路56号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法定代表人：孙名扬</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电话：（0451）85863719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传真：（0451）82287211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联系人：刘爽</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客户服务电话：400-666-2288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网址：www.jhzq.com.cn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（25）名称：申万宏源西部证券有限公司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住所：新疆乌鲁木齐市建设路2号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办公地址：北京市西城区太平桥大街19号宏源证券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法定代表人：冯戎</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电话：（010）88085858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传真：（010）88085195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联系人：李巍</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客户服务电话：4008-000-562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网址：www.hysec.com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（26）名称：中国银河证券股份有限公司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住所：北京市西城区金融大街35号国际企业大厦C座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办公地址：北京市西城区金融大街35号国际企业大厦C座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法定代表人：陈共炎</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电话：010-83574507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联系人：辛国政</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客户服务电话：400-888-8888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网址：www.chinastock.com.cn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（27）名称：申万宏源证券有限公司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住所：上海市徐汇区长乐路989号世纪商贸广场45层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办公地址：上海市徐汇区长乐路989号世纪商贸广场45层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法定代表人：杨玉成</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电话：（021）33389888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联系人：李清怡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客户服务电话：95523或4008895523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网址：www.sywg.com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（28）名称：国都证券股份有限公司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住所：北京市东城区东直门南大街3号国华投资大厦9层10层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办公地址：北京市东城区东直门南大街3号国华投资大厦9层10层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法定代表人：王少华</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客户服务电话：400-818-8118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网址：www.guodu.com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（29）名称：平安证券股份有限公司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住所：深圳市福田区金田路大中华国际交易广场裙楼8楼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办公地址：深圳市福田区金田路大中华国际交易广场裙楼8楼(518048)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法定代表人：杨宇翔</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电话：（0755）22627802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传真：（0755）82400862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联系人：郑舒丽</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客户服务电话：95511-8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网址：www.pingan.com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（30）名称：华西证券股份有限公司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住所：四川省成都市高新区天府二街198号华西证券大厦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办公地址：四川省成都市高新区天府二街198号华西证券大厦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法定代表人：杨炯洋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电话：（028）86135991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传真：（028）86150400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联系人：周志茹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网址：www.hx168.com.cn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（31）名称：大同证券有限责任公司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注册地址：山西省大同市城区迎宾街15号桐城中央21层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办公地址：太原市长治路 111 号山西世贸中心 A 座 F12、F13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邮政编码：030600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法定代表人：董祥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 话：（0351）4130322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 真：（0351）7219891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客服电话：4007121212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网址：www.dtsbc.com.cn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（32）名称：东莞证券股份有限公司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住所：广东省东莞市莞城区可园南路一号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办公地址：广东省东莞市莞城区可园南路一号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电话：（0769）22115712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传真：（0769）22115712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联系人：李荣</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客户服务电话：95328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网址：www.dgzq.com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（33）名称：第一创业证券股份有限公司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住所：深圳市罗湖区笋岗路12号中民时代广场 B 座25、26层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办公地址：深圳市罗湖区笋岗路12号中民时代广场 B 座25、26层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法定代表人：刘学民</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电话：（0755）25832852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传真：（0755）25831718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联系人：崔国良</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客户服务电话：4008881888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网址：www.firstcapital.com.cn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（34）名称：财通证券股份有限公司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注册地址：杭州市杭大路15号嘉华国际商务中心201、501、502、1103、1601-1615、1701-1716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办公地址：杭州市杭大路15号嘉华国际商务中心201、501、502、1103、1601-1615、1701-1716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沈继宁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电话：0571-87789160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陶志华</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客户服务电话：95336,40086-96336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网址：www.ctsec.com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（35）名称：东方财富证券股份有限公司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住所：西藏自治区拉萨市柳梧新区国际总部城10栋楼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办公地址：上海市徐汇区宛平南路88号东方财富大厦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法定代表人：徐伟琴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电话：（021）021-23586603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传真：（021）021-23586860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联系人：付佳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客户服务电话：95357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网址：http://www.18.cn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（36）名称：安信证券股份有限公司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住所：深圳市福田区金田路4018号安联大厦35层、28层A02单元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办公地址：深圳市福田区金田路4018号安联大厦35层、28层A02单元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法定代表人：黄炎勋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电话：（0755）82558305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传真：（0755）82558355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联系人：陈剑虹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客户服务电话：400-800-1001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网址：www.essence.com.cn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（37）名称：天风证券股份有限公司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注册地址：湖北省武汉市东湖新技术开发区关东园路2号高科大厦4楼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办公地址：武汉市武昌区中南路99号保利广场A座37楼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法定代表人：余磊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联系电话：027-87107535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传真：027-87618863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联系人：王雅薇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客户服务电话：95391 / 400-800-5000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网址：www.tfzq.com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（38）名称：方正中期期货有限公司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住所：北京市石景山区金府路32号院3号楼5层512室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办公地址：北京市朝阳区东三环北路38号院1号泰康金融大厦22层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法定代表人：姜志军</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联系电话：010-85881211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传真：010-85881394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联系人：罗雯</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客户服务电话：4008802277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网址：www.founderfu.com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（39）名称：广发证券股份有限公司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住所：广州市黄埔区中新广州知识城腾飞一街2号618室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办公地址：广州市天河区马场路26号广发证券大厦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法定代表人：孙树明</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电话：（020）66338888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传真：（020）87553600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联系人：马梦洁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客户服务电话：95575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网址：www.gf.com.cn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（40）名称：中信证券（山东）有限责任公司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住所：青岛市崂山区深圳路222号1号楼2001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办公地址：青岛市市南区东海西路28号龙翔广场东座5层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法定代表人：姜晓林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电话：0531-89606166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传真：0532-85022605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联系人：焦刚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客户服务电话：95548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网址：sd.citics.com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（41）名称：中信证券股份有限公司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住所：广东省深圳市福田区中心三路8号卓越时代广场（二期）北座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办公地址：北京市朝阳区亮马桥路48号中信证券大厦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法定代表人：张佑君</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电话：010-60838888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客服电话：95548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网址：www.cs.ecitic.com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（42）名称：中信证券华南股份有限公司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住所：广州市天河区珠江西路5号广州国际金融中心主塔19层、20层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办公地址：广州市天河区珠江西路5号广州国际金融中心主塔19层、20层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法定代表人：胡伏云</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电话：020-88836999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传真：020-88836984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联系人：陈靖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客服电话：（020）95396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网址：www.gzs.com.cn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（43）名称：方正证券股份有限公司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住所：湖南长沙芙蓉中路二段华侨国际大厦22-24层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办公地址：湖南长沙芙蓉中路二段华侨国际大厦22-24层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法定代表人：雷杰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电话：（010）68546765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传真：（010）68546792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联系人：徐锦福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客户服务电话：95571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网址：www.foundersc.com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（44）名称：长江证券股份有限公司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住所：武汉市新华路特8号长江证券大厦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办公地址：武汉市新华路特8号长江证券大厦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法定代表人：胡运钊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电话：（027）65799999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传真：（027）85481900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联系人：李良</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客户服务电话：95579或4008-888-999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网址：www.95579.com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（45）名称：德邦证券有限责任公司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住所：上海市普陀区曹杨路510号南半幢9楼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办公地址：上海市福山路500号城建大厦26楼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法定代表人：姚文平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电话：（021）68761616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传真：（021）68767981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客户服务电话：4008-888-128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网址：www.tebon.com.cn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（46）名称：国联证券股份有限公司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住所：江苏省无锡市金融一街8号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办公地址：江苏省无锡市金融一街8号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法定代表人：姚志勇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联系电话：0510-82831662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传真：0510-82830162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联系人：吕胜强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客户服务电话：95570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网址：www.glsc.com.cn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（47）名称：海通证券股份有限公司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住所：上海市淮海中路98号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办公地址：上海市广东路689号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法定代表人：王开国</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电话：（021）23219000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传真：（021）23219100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联系人：李笑鸣</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客户服务电话：95553或拨打各城市营业网点咨询电话</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网址：www.htsec.com"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（48）名称：渤海证券股份有限公司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住所：天津经济技术开发区第二大街42号写字楼101室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办公地址：天津市南开区宾水西道8号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法定代表人：安志勇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电话：（022）28451991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传真：（022）28451892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联系人：蔡霆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956066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网址：www.ewww.com.cn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（49）名称：国元证券股份有限公司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住所：中国安徽省合肥市梅山路18号安徽国际金融中心A座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办公地址：中国安徽省合肥市梅山路18号安徽国际金融中心A座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法定代表人：俞仕新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联系电话：0551-62207400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传真：0551-62207148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联系人：汪先哲</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客户服务电话：95578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网址：www.gyzq.com.cn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（50）名称：湘财证券股份有限公司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住所：湖南省长沙市黄兴中路63号中山国际大厦12楼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办公地址：湖南省长沙市天心区湘府中路198号标志商务中心11楼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法定代表人：林俊波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电话：（021）68634518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传真：（021）68865680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联系人：钟康莺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客户服务电话：400-888-1551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网址：www.xcsc.com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（51）名称：华泰证券股份有限公司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住所：江苏省南京市江东中路228号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办公地址：江苏省南京市建邺区江东中路228号华泰证券广场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法定代表人：张伟</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电话：（0755）82492193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传真：（0755）82492962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联系人：胡子豪</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客户服务电话：95597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网址：www.htsc.com.cn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（52）名称：长城国瑞证券有限公司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住所：厦门市莲前西路2号莲富大厦17楼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办公地址：厦门市莲前西路2号莲富大厦17楼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电话：（0592）5161642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传真：（0592）5161640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客户服务电话：（0592）5163588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网址：www.xmzq.cn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（53）名称：西部证券股份有限公司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住所：陕西省西安市新城区东新街 319 号 8 幢 10000 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办公地址：陕西省西安市新城区东新街 319 号 8 幢 10000 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法定代表人：徐朝晖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电话：029-87211668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联系人：张吉安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网址：www.west95582.com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（54）名称：东方证券股份有限公司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住所：上海市中山南路318号2号楼22层-29层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法定代表人：王益民</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电话：（021）63325888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传真：（021）63326173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联系人：吴宇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客户服务电话：95503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网址：www.dfzq.com.cn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（55）名称：国信证券股份有限公司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住所：深圳市罗湖区红岭中路1012号国信证券大厦16-26楼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办公地址：深圳市罗湖区红岭中路1012号国信证券大厦16-26楼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法定代表人：何如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电话：（0755）82130833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传真：（0755）82133952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网址：www.guosen.com.cn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（56）名称：北京展恒基金销售股份有限公司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住所：北京市顺义区后沙峪镇安富街6号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办公地址：北京市朝阳区安苑路15-1号邮电新闻大厦2层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法定代表人：闫振杰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电话：（010）59601366-7024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传真：（010）62020355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马林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客户服务电话：400-888-6661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网址：www.myfund.com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（57）名称：珠海盈米财富管理有限公司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住所：珠海市横琴新区宝华路6号105室-3491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办公地址：广州市海珠区琶洲大道东1号保利国际广场南塔12楼B1201-1203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法定代表人：肖雯</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电话：（020）89629099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传真：（020）89629011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联系人：黄敏嫦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客户服务电话：（020）89629066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网址：www.yingmi.cn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（58）名称：上海利得基金销售有限公司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上海浦东新区峨山路91弄61号陆家嘴软件园10号楼12楼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办公地址：上海浦东新区峨山路91弄61号陆家嘴软件园10号楼12楼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法定代表人：沈继伟</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电话：021-50583533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传真：021-50583633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徐鹏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客服电话：400-005-6355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网址：a.leadfund.com.cn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（59）名称：上海凯石财富基金销售有限公司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住所：上海市黄浦区西藏南路765号602-115室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办公地址：上海市黄浦区延安东路1号凯石大厦4楼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法定代表人：陈继武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电话：021-63333319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传真：021-63332523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联系人：李晓明</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客服电话：4000 178 000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网址：www.lingxianfund.com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（60）名称：北京虹点基金销售有限公司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住所：北京市朝阳区工人体育场北路甲2号裙房2层222单元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办公地址：北京市朝阳区工人体育场北路甲2号裙房2层222单元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法定代表人：胡伟</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电话：（010）65951887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传真：（010）65951887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联系人：姜颖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客户服务电话：400-618-0707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网址：www.hongdianfund.com/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（61）名称：上海天天基金销售有限公司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住所：上海市徐汇区龙田路190号2号楼2层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办公地址：上海市徐汇区龙田路195号3C座10楼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法定代表人：其实</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电话：（021）54509998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传真：（021）64385308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联系人：潘世友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客户服务电话：400-1818-188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网址：www.1234567.com.cn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（62）名称：和讯信息科技有限公司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住所：北京市朝阳区朝外大街22号泛利大厦10层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办公地址：北京市朝阳区朝外大街22号泛利大厦10层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电话：（021）20835789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传真：（021）20835879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客户服务电话：4009200022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网址：http://licaike.hexun.com/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（63）名称：上海好买基金销售有限公司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住所：上海市虹口区场中路685弄37号4号楼449室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办公地址：上海市浦东新区浦东南路1118号鄂尔多斯国际大厦903-906室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法定代表人：杨文斌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传真：（021）68596916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联系人：薛年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客户服务电话：400-700-9665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网址：www.ehowbuy.com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（64）名称：上海长量基金销售投资顾问有限公司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住所：上海市浦东新区高翔路526号2幢220室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办公地址：上海市浦东新区浦东大道555号裕景国际B座16层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法定代表人：张跃伟</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电话：（021）20691832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传真：（021）20691861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联系人：单丙烨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客户服务电话：400-820-2899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网址：www.erichfund.com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（65）名称：蚂蚁（杭州）基金销售有限公司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住所：浙江省杭州市余杭区五常街道文一西路969号3幢5层599室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办公地址：浙江省杭州市西湖区西溪路556号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联系人：韩爱彬</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客户服务电话：95188-8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网址：www.fund123.cn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（66）名称：天相投资顾问有限公司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住所：北京市西城区金融街19号富凯大厦B座701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办公地址：北京市西城区新街口外大街28号C座5层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法定代表人：林义相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电话：（010）66045529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传真：（010）66045518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联系人：尹伶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客户服务电话：（010）66045678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网址：http://www.txsec.com，www.jjm.com.cn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（67）名称：上海基煜基金销售有限公司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上海市崇明县长兴镇路潘园公路1800号2号楼6153室（上海泰和经济发展区）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办公地址：上海市昆明路518号北美广场A1002-A1003室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法定代表人：王翔</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电话：（021）35385521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传真：（021）55085991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联系人：蓝杰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客户服务电话：400-820-5369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网址：www.jiyufund.com.cn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（68）名称：上海联泰基金销售有限公司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住所：中国（上海）自由贸易试验区富特北路277号3层310室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办公地址：上海市长宁区福泉北路518号8座3楼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法定代表人：燕斌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电话：021-52822063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传真：021-52975270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联系人：凌秋艳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客户服务电话：4000-466-788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网址：www.66zichan.com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（69）名称：一路财富（北京）信息科技有限公司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住所：北京市西城区车公庄大街9号五栋大楼C座702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办公地址：北京西城区阜成门大街2号万通新世界广场A座22层2208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吴雪秀</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电话：010-88312877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传真：010-88312099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苏昊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客户服务电话：400-001-1566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网址：http://www.yilucaifu.com/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（70）名称：诺亚正行(上海)基金销售投资顾问有限公司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住所：上海市虹口区飞虹路360弄9号3724室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办公地址：上海杨浦区秦皇岛路32号C栋 2楼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法定代表人：汪静波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电话：（021）38600735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传真：（021）38509777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联系人：方成</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客户服务电话：400-821-5399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网址：www.noah-fund.com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（71）名称：深圳市新兰德证券投资咨询有限公司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住所：深圳市福田区华强北路赛格科技园4栋10层1006#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办公地址：北京市西城区金融大街35号国际企业大厦C座9层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法定代表人：陈操</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电话：（010）58325395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传真：（010）58325282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联系人：刘宝文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客户服务电话：400-850-7771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网址：http://8.jrj.com.cn/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（72）名称：中信期货有限公司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住所：深圳市福田区中心三路8号卓越时代广场（二期）北座13层1301-1305室、14层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办公地址：深圳市福田区中心三路8号卓越时代广场（二期）北座13层1301-1305室、14层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法定代表人：张皓</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电话：010-60833754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传真：021-60819988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联系人：刘宏莹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客服电话：400-990-8826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网站：www.citicsf.com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（73）名称：上海陆金所资产管理有限公司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住所：上海市浦东新区陆家嘴环路1333号14楼09单元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办公地址：上海市浦东新区陆家嘴环路1333号14楼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法定代表人：郭坚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电话：（021）20665952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传真：（021）22066653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联系人：宁博宇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客户服务电话：4008219031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网址：www.lufunds.com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（74）名称：北京钱景财富投资管理有限公司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住所：北京市海淀区丹棱街6幢1号9层1008-1012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办公地址：北京市海淀区丹棱街6幢1号9层1008-1012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法定代表人：赵荣春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电话：（010）57418829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传真：（010）57569671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魏争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400-678-5095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网址：www.niuji.net</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（75）名称：浙江同花顺基金销售有限公司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住所：浙江省杭州市文二西路1号元茂大厦903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办公地址：浙江省杭州市西湖区翠柏路7号电子商务产业园2号楼 2楼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法定代表人：凌顺平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电话：（0571）88911818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传真：（0571）86800423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联系人：吴强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客户服务电话：400-877-3772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网址：www.5ifund.com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（76）名称：北京中植基金销售有限公司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住所：北京市经济技术开发区宏达北路10号五层5122室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办公地址：北京市朝阳区东三环北路甲19号SOHO嘉盛中心30层3001室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电话：（010）56642600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传真：（010）56642623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联系人：张晔</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客户服务电话：4007868868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网址：www.zzfund.com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（77）名称：北京汇成基金销售有限公司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住所：北京市西城区宣武门外大街甲1号4层401-2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办公地址：北京市西城区宣武门外大街甲1号环球财讯中心D座4层401-2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法定代表人：王伟刚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电话：（010）56282140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传真：（010）62680827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客户服务电话：400-619-9059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网址：www.hcfunds.com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（78）名称：奕丰基金销售有限公司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住所：深圳市前海深港合作区前湾一路1号A栋201室（入驻深圳市前海商务秘书有限公司）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办公地址：深圳市南山区海德三路海岸大厦A座17楼1704室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法定代表人：TEO WEE HOWE</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电话：（0755）89460500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传真：（0755）21674453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联系人：叶健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客户服务电话：400-684-0500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网址：www.ifastps.com.cn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（79）名称：北京创金启富基金销售有限公司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北京市西城区民丰胡同31号中水大厦215A</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办公地址：北京市西城区白纸坊东街2号经济日报社A综合楼712室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法定代表人：梁蓉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电话：（010）66154828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传真：（010）63583991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联系人：李婷婷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客户服务电话：400-6262-818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www.5irich.com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（80）名称：上海云湾投资管理有限公司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住所：中国（上海）自由贸易试验区新金桥路27号13号楼2层，200127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办公地址：上海市锦康路308号6号楼6层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法定代表人：戴新装</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电话：（021）20538888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传真：（021）20538999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联系人：江辉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客户服务电话：400-820-1515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网址：www.zhengtongfunds.com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（81）名称：中证金牛（北京）投资咨询有限公司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北京市丰台区东管头1号2号楼2-45室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北京市西城区宣武门外大街甲一号环球财讯中心A座5层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钱昊旻</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电话：（010）59336533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传真：（010）59336500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孟汉霄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客户服务电话：4008-909-998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www.jnlc.com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（82）名称：北京新浪仓石基金销售有限公司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住所：北京市海淀区东北旺西路中关村软件园二期(西扩)N-1、N-2地块新浪总部科研楼5层518室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办公地址：北京市海淀区东北旺西路中关村软件园二期(西扩)N-1、N-2地块新浪总部科研楼5层518室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法定代表人：李昭琛</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电话：（010）60619607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传真：8610-62676582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联系人：付文红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客户服务电话：（010）62675369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网址：www.xincai.com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（83）名称：北京肯特瑞基金销售有限公司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北京市海淀区西三旗建材城中路12号17号平房157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办公地址：北京市通州区亦庄经济技术开发区科创十一街18号院京东集团总部</w:t>
      </w:r>
      <w:r>
        <w:rPr>
          <w:rFonts w:ascii="宋体" w:hAnsi="宋体"/>
          <w:sz w:val="24"/>
        </w:rPr>
        <w:lastRenderedPageBreak/>
        <w:t>A座15层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法定代表人：王苏宁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电话：95118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传真：010-89189566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客服热线：95118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网址：kenterui.jd.com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（84）名称：北京雪球基金销售有限公司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住所：北京市朝阳区阜通东大街1号院6号楼2单元21层222507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办公地址：北京市朝阳区创远路 34 号院融新科技中心 C 座 17 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法定代表人：钟斐斐</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电话：（010）61840688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传真：（010）84997571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联系人：侯芳芳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客户服务电话：400-1599-288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网址：https://danjuanapp.com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（85）名称：凤凰金信（银川）投资管理有限公司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住所：宁夏回族自治区银川市金凤区阅海湾中央商务区万寿路142号14层1402(750000)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办公地址：北京市朝阳区紫月路18号院朝来高科技产业园18号楼 (100000)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法定代表人：程刚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电话：（010）58160168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传真：（010）58160173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联系人：张旭</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客户服务电话：400-810-5919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网址：www.fengfd.com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（86）名称：深圳市金斧子基金销售有限公司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住所：深圳市南山区粤海街道科苑路16号东方科技大厦18楼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办公地址：深圳市南山区粤海街道科苑路科兴科学园B3单元7楼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法定代表人：赖任军</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电话：（0755）66892301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传真：（0755）66892399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客户服务电话：400-9500-888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网址：www.jfzinv.com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（87）名称：宜信普泽投资顾问（北京）有限公司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住所：北京市朝阳区建国路88号9号楼15层1809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办公地址：北京市朝阳区建国路88号SOHO现代城C座1809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法定代表人：沈伟桦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电话：010-52855713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传真：010-85894285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联系人：程刚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客户服务电话：400-6099-200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网址：www.yixinfund.com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（88）名称：格上富信投资顾问有限公司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住所：北京市朝阳区东三环北路19号楼701内09室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办公地址：北京市朝阳区东三环北路19号楼701内09室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法定代表人：李悦章</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电话：（010）85594745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传真：（010）65983333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客户服务电话：400-066-8586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网址：www.igesafe.com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（89）名称：上海万得基金销售有限公司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住所：中国（上海）自由贸易试验区福山路33号11楼B座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办公地址：上海市浦东新区福山路33号9楼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王廷富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电话：021-50712782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传真：021-50710161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徐亚丹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客户服务电话：400-821-0203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www.520fund.com.cn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（90）名称：天津万家财富资产管理有限公司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住所：天津自贸区（中心商务区）迎宾大道1988号滨海浙商大厦公寓2-2413室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办公地址：北京市西城区丰盛胡同28号太平洋保险大厦5层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法定代表人：李修辞</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电话：（010）59013828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传真：（010）59013707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联系人：王芳芳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客户服务电话：010-59013842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网址：http://www.wanjiawealth.com/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（91）名称：上海挖财金融信息服务有限公司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住所：中国（上海）自由贸易试验区杨高南路799号5层01、02、03室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办公地址：中国（上海）自由贸易试验区杨高南路799号5层01、02、03室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胡燕亮</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电话：（021）50810687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传真：（021）58300279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李娟</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客户服务电话：（021）50810673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网址：www.wacaijijin.com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（92）名称：嘉实财富管理有限公司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住所：上海市浦东新区世纪大道8号上海国金中心办公楼二期53层5312-15单元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办公地址：北京市朝阳区建国路91号金地中心A座6层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赵学军</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电话：（021）38789658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传真：（021）68880023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王宫</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客户服务电话：400-021-8850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www.harvestwm.cn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（93）名称：南京苏宁基金销售有限公司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住所：南京市玄武区苏宁大道1-5号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办公地址：南京市玄武区苏宁大道1-5号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电话：025-66996699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传真：025-66996699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冯鹏鹏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客户服务电话：95177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www.snjijin.com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（94）名称：北京度小满基金销售有限公司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住所：北京市海淀区上地十街10号1幢1层101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北京市海淀区信息路甲9号奎科大厦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张旭阳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电话：010-61952703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传真：010-61951007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联系人：盛超</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客户服务电话：95599-9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www.duxiaomanfund.com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（95）名称：北京唐鼎耀华投资咨询有限公司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住所：北京市延庆县延庆经济开发区百泉街10号2栋236室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办公地址：北京市朝阳区东三环北路38号院1号泰康金融中心38层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法定代表人：张冠宇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电话：（010）85870662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传真：（010）59200800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刘美薇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客户服务电话：400-819-9868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网址：www.tdyhfund.com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（96）名称：上海华夏财富投资管理有限公司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住所：上海市虹口区东大名路687号1幢2楼268室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北京市西城区金融大街33号通泰大厦B座8层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毛淮平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电话：010-88066632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传真：010-63136184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张静怡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客户服务电话：400-817-5666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www.amcfortune.com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（97）名称：江苏汇林保大基金销售有限公司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住所：南京市高淳区经济开发区古檀大道47号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办公地址：江苏省南京市鼓楼区中山北路105号中环国际1413室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吴言林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电话：025-66046166转837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传真：025-56663409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孙平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客户服务电话：025-66046166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www.huilinbd.com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（98）名称：上海大智慧基金销售有限公司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住所：上海市浦东新区杨高南路428号1号楼10-11层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办公地址：上海市浦东新区杨高南路428号1号楼10-11层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法定代表人：申健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电话：021-0219988-35374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传真：021-20219923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联系人：张蜓</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客户服务电话：021-20292031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网址：https://www.wg.com.cn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（99）名称：玄元保险代理有限公司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住所：中国(上海)自由贸易试验区张杨路707号1105室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办公地址：中国(上海)自由贸易试验区张杨路707号1105室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法定代表人：马永谙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电话：（021）50701053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传真：（021）50701053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客户服务电话：400-080-8208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网址：www.licaimofang.cn</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（100）名称：阳光人寿保险股份有限公司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住所：海南省三亚市迎宾路360-1号三亚阳光金融广场16层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办公地址：北京市朝阳区朝阳门外大街乙12号院1号昆泰国际大厦12层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法定代表人：李科</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电话：（010）85632771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传真：（010）85632773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联系人：王超</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网址：http://fund.sinosig.com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（101）名称：大连网金基金销售有限公司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辽宁省大连市沙河口区体坛路22号诺德大厦2层202室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辽宁省大连市沙河口区体坛路22号诺德大厦2层202室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樊怀东</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电话：（0411-39027810）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传真：（0411-39027835）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于秀</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4000-899-100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网址：http://www.yibaijin.com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（102）名称：和耕传承基金销售有限公司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住所：河南自贸试验区郑州片区（郑东）东风南路东康宁街北6号楼5楼503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办公地址：河南自贸试验区郑州片区（郑东）东风南路东康宁街北6号楼5楼503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法定代表人：温丽燕</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电话：0371-85518395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传真：0371-85518397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联系人：胡静华</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客户服务电话：4000555671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网址：www.hgccpb.com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（103）名称：腾安基金销售（深圳）有限公司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住所：深圳市前海深港合作区前湾一路1号A栋201室（入驻深圳市前海商务秘书有限公司）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办公地址：深圳市南山区海天二路33号腾讯滨海大厦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法定代表人：刘明军</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电话：95017（拨通后转1转8）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联系人：谭广峰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客户服务电话：95017（拨通后转1转8）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网址：http://www.tenganxinxi.com/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（104）名称：北京植信基金销售有限公司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住所：北京市密云区兴盛南路8号院2号楼106室-67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办公地址：北京市朝阳区惠河南路盛世龙源10号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法定代表人：王军辉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电话：010-56075718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传真：010-67767615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客户服务电话：4006-802-123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网址：www.zhixin-inv.com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（105）名称：上海钜派钰茂基金销售有限公司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住所：上海市浦东新区泥城镇新城路2号24幢N3187室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办公地址：上海市闵行区闵虹路166弄中庚环球创意中心T2栋9层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法定代表人：洪思夷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电话：021-52265962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联系人：王世之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客户服务电话：400-021-2428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网址：www.jp-fund.com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（106）名称：中国人寿保险股份有限公司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住所：中国北京市西城区金融大街16号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办公地址：北京市西城区金融大街16号中国人寿广场A座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客户服务电话：95519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 www.e-chinalife.com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（107）名称：深圳众禄基金销售有限公司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住所：深圳市罗湖区梨园路物资控股置地大厦8楼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办公地址：深圳市罗湖区梨园路物资控股置地大厦8楼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法定代表人：薛峰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电话：（0755）33227953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传真：（0755）33227951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联系人：汤素娅</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客户服务电话：4006-788-887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网址：www.zlfund.cn，www.jjmmw.com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（108）名称：济安财富（北京）基金销售有限公司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住所：北京市朝阳区太阳宫中路16号院1号楼10层1005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办公地址：北京市朝阳区太阳宫中路16号院1号楼11层1105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电话：010-65309516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传真：010-65330699</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联系人：宋静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客户服务电话：400-673-7010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网址：www.jianfortune.com</w:t>
      </w:r>
    </w:p>
    <w:p w:rsidR="005A6BB5" w:rsidRDefault="005A6BB5">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基金管理人可根据有关法律法规的要求，选择其它符合要求的机构销售本基金，并在管理人网站公示。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（二）登记机构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名称：中国证券登记结算有限责任公司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住所：北京市西城区太平桥大街17号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办公地址：北京市西城区太平桥大街17号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法定代表人：于文强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电话：（010）50938782</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传真：（010）50938907</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联系人：赵亦清</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（三）出具法律意见书的律师事务所</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名称：上海市通力律师事务所</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住所：上海市银城中路68号时代金融中心19楼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办公地址：上海市银城中路68号时代金融中心19楼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负责人：韩炯</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电话：（021）31358666</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传真：（021）31358600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联系人：孙睿</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经办律师：黎明、孙睿</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（四）审计基金财产的会计师事务所</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名称：普华永道中天会计师事务所（特殊普通合伙）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注册地址：中国(上海)自由贸易试验区陆家嘴环路1318号星展银行大厦507单元01室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办公地址：中国上海市浦东新区东育路588号前滩中心42楼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执行事务合伙人：李丹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电话：（021）23238888</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传真：（021）23238800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联系人：金诗涛</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经办注册会计师：沈兆杰、金诗涛</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9" w:name="_Toc137828453"/>
      <w:r>
        <w:rPr>
          <w:rFonts w:ascii="Times New Roman" w:hAnsi="Times New Roman"/>
          <w:sz w:val="30"/>
        </w:rPr>
        <w:lastRenderedPageBreak/>
        <w:t>六、基金的募集</w:t>
      </w:r>
      <w:bookmarkEnd w:id="9"/>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本基金由基金管理人依照《基金法》、《运作办法》、基金合同及其他有关规定，并经中国证监会2015年[4]月[14]日证监许可[2015]613号文准予募集注册。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本基金为契约型开放式混合型基金。基金存续期间为不定期。</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本基金募集期间份额净值为人民币1.00元，按初始面值发售。</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本基金自2015年5月25日起至2015年6月5日进行发售。本基金设立募集期共募集3,429,779,242.25份基金份额，有效认购户数为54,422户。</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10" w:name="_Toc137828454"/>
      <w:r>
        <w:rPr>
          <w:rFonts w:ascii="Times New Roman" w:hAnsi="Times New Roman"/>
          <w:sz w:val="30"/>
        </w:rPr>
        <w:lastRenderedPageBreak/>
        <w:t>七、基金合同的生效</w:t>
      </w:r>
      <w:bookmarkEnd w:id="10"/>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根据有关规定，本基金满足基金合同生效条件，基金合同已于2015年6月10日正式生效。自基金合同生效之日起，本基金管理人正式开始管理本基金。</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连续20个工作日出现基金份额持有人数量不满200人或者基金资产净值低于5000万元情形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法律法规另有规定时，从其规定。</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11" w:name="_Toc137828455"/>
      <w:r>
        <w:rPr>
          <w:rFonts w:ascii="Times New Roman" w:hAnsi="Times New Roman"/>
          <w:sz w:val="30"/>
        </w:rPr>
        <w:lastRenderedPageBreak/>
        <w:t>八、基金份额的申购与赎回</w:t>
      </w:r>
      <w:bookmarkEnd w:id="11"/>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（一）申购和赎回的场所</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投资人可通过下述场所按照规定的方式进行申购或赎回：</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1、直销机构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本基金直销机构为基金管理人以及基金管理人的网上直销交易平台。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机构名称：交银施罗德基金管理有限公司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客户服务热线：400-700-5000（免长途话费），（021）61055000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A类基金份额和C类基金份额的申购、赎回、定期定额投资、转换等业务，具体交易细则请参阅本公司网站。网上直销交易平台网址：www.fund001.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2、除基金管理人之外其他销售机构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本基金除基金管理人之外的其他销售机构参见本招募说明书“五、相关服务机构”章节或拨打本公司客户服务电话进行咨询。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投资人应当通过上述销售机构办理基金申购、赎回业务的营业场所或按上述销售机构提供的其他方式进行申购或赎回。本基金管理人可根据情况变更或增减基金销售机构，并在管理人网站公示。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若基金管理人或其指定的销售机构开通电话、传真或网上等交易方式，投资人可以通过上述方式进行申购与赎回。</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（二）申购和赎回的开放日及时间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1、开放日及开放时间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投资人在开放日办理基金份额的申购和赎回，具体办理时间为上海证券交易</w:t>
      </w:r>
      <w:r>
        <w:rPr>
          <w:rFonts w:ascii="宋体" w:hAnsi="宋体"/>
          <w:sz w:val="24"/>
        </w:rPr>
        <w:lastRenderedPageBreak/>
        <w:t>所、深圳证券交易所的正常交易日的交易时间，但基金管理人根据法律法规、中国证监会的要求或基金合同的规定公告暂停申购、赎回时除外。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2、申购、赎回开始日及业务办理时间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本基金A类基金份额已于2015年7月10日起开放申购、赎回业务。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本基金C类基金份额已于2023年2月28日起开放申购、赎回业务。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（三）申购和赎回的原则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1、“未知价”原则，即申购、赎回价格以申请当日收市后计算的基金份额净值为基准进行计算；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2、“金额申购、份额赎回”原则，即申购以金额申请，赎回以份额申请；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3、当日的申购与赎回申请可以在基金管理人规定的时间以内撤销，但申请经登记机构受理的不得撤销；</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基金管理人可在法律法规允许的情况下，对上述原则进行调整。基金管理人必须在新规则开始实施前依照《信息披露办法》的有关规定在指定媒介上公告。</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（四）申购和赎回的数额限定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1、申购金额的限制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直销机构首次申购的最低金额为单笔100万元，追加申购的最低金额为单笔10万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1</w:t>
      </w:r>
      <w:r>
        <w:rPr>
          <w:rFonts w:ascii="宋体" w:hAnsi="宋体"/>
          <w:sz w:val="24"/>
        </w:rPr>
        <w:lastRenderedPageBreak/>
        <w:t>元。本基金直销机构单笔申购最低金额可由基金管理人酌情调整。其他销售机构接受申购申请的最低金额为单笔1元，如果销售机构业务规则规定的最低单笔申购金额高于1元，以该销售机构的规定为准。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2、赎回份额的限制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赎回的最低份额为1份基金份额，如果销售机构业务规则规定的最低单笔赎回份额高于1份，以该销售机构的规定为准。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3、最低保留余额的限制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个工作日投资人在单个交易账户保留的本基金份额余额少于1份时，若当日该账户同时有基金份额减少类业务（如赎回、转换出等）被确认，则基金管理人有权将投资人在该账户保留的本基金份额一次性全部赎回。</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可根据市场情况，在法律法规允许的情况下，调整申购的金额和赎回的份额以及最低基金份额保留余额的数量限制，基金管理人必须在调整实施前依照《信息披露办法》的有关规定在指定媒介上刊登公告并报中国证监会备案。</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（五）申购和赎回的程序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1、申购和赎回的申请方式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2、申购和赎回的款项支付</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投资人申购基金份额时，必须全额交付申购款项，若申购资金在规定时间内未全额到账则申购不成立。投资人全额交付申购款项，申购成立；登记机构确认基金份额时，申购生效。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递交赎回申请，赎回成立；登记机构确认赎回时，赎回生效。投资人赎回申请成功后，基金管理人将在T＋7日（包括该日）内支付赎回款项。在发生巨额赎回时，款项的支付办法参照基金合同有关条款处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3、申购和赎回申请的确认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或基金管理人委托的登记机构应以交易时间结束前受理有效申购和赎回申请的当天作为申购或赎回申请日（T日），在正常情况下，本基金登记机构在T+1日（包括该日）内对该交易的有效性进行确认。T日提交的有效申请，投资人应在T+2日后（包括该日）及时到销售网点柜台或以销售机构规定的其他方式查询申请的确认情况。若申购不成功，则申购款项退还给投资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基金管理人可在法律法规允许的范围内，依法对上述申购和赎回申请的确认时间进行调整，并必须在调整实施日前按照《信息披露办法》的有关规定在指定媒介上公告并报中国证监会备案。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销售机构对申购、赎回申请的受理并不代表该申请一定成功，而仅代表销售机构确实接收到申购、赎回申请。申购、赎回申请的确认以登记机构的确认结果为准。对于申请的确认情况，投资者应及时查询。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4、申购和赎回的登记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（1）投资人T日申购基金成功后，正常情况下，登记机构在T＋1日为投资人增加权益并办理登记手续，投资人自T＋2日起（包括该日）有权赎回该部分基金份额。投资人应及时查询有关申请的确认情况。</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（2）投资人T日赎回基金成功后，正常情况下，登记机构在T＋1日为投资人扣除权益并办理相应的登记手续。</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（3）基金管理人可在法律法规允许的范围内，对上述登记办理时间进行调整，并于开始实施前按照《信息披露办法》的有关规定在指定媒介上公告并报中国证监会备案。</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（六）基金的申购费和赎回费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本基金基金份额分为A类基金份额和C类基金份额。投资人申购A类基金份额在申购时支付申购费用；申购C类基金份额不支付申购费用，并从该类别基金资产中计提销售服务费。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本基金A类基金份额的申购费用由申购A类基金份额的申购人承担，不列入基金财产，主要用于本基金的市场推广、销售、登记等各项费用。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投资人可以多次申购本基金，申购费用按每笔申购申请单独计算。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本基金A类基金份额（非养老金客户）的申购费率如下：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5B1FF5">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A</w:t>
            </w:r>
            <w:r>
              <w:rPr>
                <w:rFonts w:ascii="Times New Roman" w:hAnsi="Times New Roman"/>
                <w:color w:val="000000"/>
                <w:kern w:val="0"/>
                <w:sz w:val="25"/>
                <w:szCs w:val="24"/>
              </w:rPr>
              <w:t>类基金份额的申购费率</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类基金份额申购费率</w:t>
            </w:r>
          </w:p>
        </w:tc>
      </w:tr>
      <w:tr w:rsidR="005B1FF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5B1FF5" w:rsidRDefault="005B1FF5">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5B1FF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5B1FF5" w:rsidRDefault="005B1FF5">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万元（含）至</w:t>
            </w:r>
            <w:r>
              <w:rPr>
                <w:rFonts w:ascii="Times New Roman" w:hAnsi="Times New Roman"/>
                <w:color w:val="000000"/>
                <w:kern w:val="0"/>
                <w:sz w:val="25"/>
                <w:szCs w:val="24"/>
              </w:rPr>
              <w:t>100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1.2%</w:t>
            </w:r>
          </w:p>
        </w:tc>
      </w:tr>
      <w:tr w:rsidR="005B1FF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5B1FF5" w:rsidRDefault="005B1FF5">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0.8%</w:t>
            </w:r>
          </w:p>
        </w:tc>
      </w:tr>
      <w:tr w:rsidR="005B1FF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5B1FF5" w:rsidRDefault="005B1FF5">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5B1FF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5B1FF5" w:rsidRDefault="005B1FF5">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持有A类基金份额的投资人因红利自动再投资而产生的A类基金份额，不收取相应的申购费用。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本基金对通过基金管理人直销柜台申购本基金A类基金份额的养老金客户实施特定申购费率。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通过基金管理人直销柜台申购本基金A类基金份额的养老金客户特定申购费率如下表：</w:t>
      </w:r>
    </w:p>
    <w:tbl>
      <w:tblPr>
        <w:tblW w:w="5000" w:type="pct"/>
        <w:tblCellMar>
          <w:left w:w="0" w:type="dxa"/>
          <w:right w:w="0" w:type="dxa"/>
        </w:tblCellMar>
        <w:tblLook w:val="0000" w:firstRow="0" w:lastRow="0" w:firstColumn="0" w:lastColumn="0" w:noHBand="0" w:noVBand="0"/>
      </w:tblPr>
      <w:tblGrid>
        <w:gridCol w:w="1236"/>
        <w:gridCol w:w="3707"/>
        <w:gridCol w:w="3707"/>
      </w:tblGrid>
      <w:tr w:rsidR="005B1FF5">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类基金份额的申购费率</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类基金份额特定申购费率</w:t>
            </w:r>
          </w:p>
        </w:tc>
      </w:tr>
      <w:tr w:rsidR="005B1FF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5B1FF5" w:rsidRDefault="005B1FF5">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0.6%</w:t>
            </w:r>
          </w:p>
        </w:tc>
      </w:tr>
      <w:tr w:rsidR="005B1FF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5B1FF5" w:rsidRDefault="005B1FF5">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万元（含）至</w:t>
            </w:r>
            <w:r>
              <w:rPr>
                <w:rFonts w:ascii="Times New Roman" w:hAnsi="Times New Roman"/>
                <w:color w:val="000000"/>
                <w:kern w:val="0"/>
                <w:sz w:val="25"/>
                <w:szCs w:val="24"/>
              </w:rPr>
              <w:t>100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0.36%</w:t>
            </w:r>
          </w:p>
        </w:tc>
      </w:tr>
      <w:tr w:rsidR="005B1FF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5B1FF5" w:rsidRDefault="005B1FF5">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0.16%</w:t>
            </w:r>
          </w:p>
        </w:tc>
      </w:tr>
      <w:tr w:rsidR="005B1FF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5B1FF5" w:rsidRDefault="005B1FF5">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0.12%</w:t>
            </w:r>
          </w:p>
        </w:tc>
      </w:tr>
      <w:tr w:rsidR="005B1FF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5B1FF5" w:rsidRDefault="005B1FF5">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投资者通过直销机构交易享有如下费率优惠，有关费率优惠活动的具体费率折扣及活动起止时间如有变化，敬请投资者留意本基金管理人的有关公告，届时费率优惠相关事项以最新公告为准：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通过本基金管理人直销柜台办理本基金A类基金份额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2）通过本基金管理人网上直销交易平台办理本基金A类基金份额申购及定期定额投资业务的个人投资者享受申购费率及定期定额投资费率优惠，赎回费率标准不</w:t>
      </w:r>
      <w:r>
        <w:rPr>
          <w:rFonts w:ascii="宋体" w:hAnsi="宋体"/>
          <w:sz w:val="24"/>
        </w:rPr>
        <w:lastRenderedPageBreak/>
        <w:t>变。具体优惠费率请参见本基金管理人网站列示的网上直销交易平台申购费率表、定期定额投资费率表或相关公告。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本公司基金网上直销业务已开通的银行卡及各银行卡交易金额限额请参阅本公司网站。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本基金管理人可根据业务情况调整上述交易费用和限额要求，并依据相关法规的要求提前进行公告。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（1）本基金A类基金份额的赎回费率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的赎回费用由赎回A类基金份额的基金份额持有人承担，在基金份额持有人赎回A类基金份额时收取，对持续持有期少于7日的投资人收取1.5%的赎回费，对持续持有期大于等于7日但少于30日的投资人收取0.75%的赎回费，并将上述赎回费全额计入基金财产；对持续持有期大于等于30日但少于3个月的投资人收取0.5%的赎回费，并将赎回费总额的75%计入基金财产；对持续持有期大于等于3个月但少于6个月的投资人收取0.5%的赎回费，并将赎回费总额的50%计入基金财产；对持续持有期大于等于6个月的投资人，应当将赎回费总额的25%计入基金财产。上述“月”指的是30个自然日。未归入基金财产的部分用于支付登记费和其他必要的手续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本基金A类基金份额的赎回费率如下：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5B1FF5">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类基金份额的赎回费率</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类基金份额赎回费率</w:t>
            </w:r>
          </w:p>
        </w:tc>
      </w:tr>
      <w:tr w:rsidR="005B1FF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5B1FF5" w:rsidRDefault="005B1FF5">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5B1FF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5B1FF5" w:rsidRDefault="005B1FF5">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w:t>
            </w:r>
            <w:r>
              <w:rPr>
                <w:rFonts w:ascii="Times New Roman" w:hAnsi="Times New Roman"/>
                <w:color w:val="000000"/>
                <w:kern w:val="0"/>
                <w:sz w:val="25"/>
                <w:szCs w:val="24"/>
              </w:rPr>
              <w:t>—30</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0.75%</w:t>
            </w:r>
          </w:p>
        </w:tc>
      </w:tr>
      <w:tr w:rsidR="005B1FF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5B1FF5" w:rsidRDefault="005B1FF5">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r>
              <w:rPr>
                <w:rFonts w:ascii="Times New Roman" w:hAnsi="Times New Roman"/>
                <w:color w:val="000000"/>
                <w:kern w:val="0"/>
                <w:sz w:val="25"/>
                <w:szCs w:val="24"/>
              </w:rPr>
              <w:t>日（含）</w:t>
            </w:r>
            <w:r>
              <w:rPr>
                <w:rFonts w:ascii="Times New Roman" w:hAnsi="Times New Roman"/>
                <w:color w:val="000000"/>
                <w:kern w:val="0"/>
                <w:sz w:val="25"/>
                <w:szCs w:val="24"/>
              </w:rPr>
              <w:t>—1</w:t>
            </w:r>
            <w:r>
              <w:rPr>
                <w:rFonts w:ascii="Times New Roman" w:hAnsi="Times New Roman"/>
                <w:color w:val="000000"/>
                <w:kern w:val="0"/>
                <w:sz w:val="25"/>
                <w:szCs w:val="24"/>
              </w:rPr>
              <w:t>年</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5B1FF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5B1FF5" w:rsidRDefault="005B1FF5">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r>
              <w:rPr>
                <w:rFonts w:ascii="Times New Roman" w:hAnsi="Times New Roman"/>
                <w:color w:val="000000"/>
                <w:kern w:val="0"/>
                <w:sz w:val="25"/>
                <w:szCs w:val="24"/>
              </w:rPr>
              <w:t>年（含）</w:t>
            </w:r>
            <w:r>
              <w:rPr>
                <w:rFonts w:ascii="Times New Roman" w:hAnsi="Times New Roman"/>
                <w:color w:val="000000"/>
                <w:kern w:val="0"/>
                <w:sz w:val="25"/>
                <w:szCs w:val="24"/>
              </w:rPr>
              <w:t>—2</w:t>
            </w:r>
            <w:r>
              <w:rPr>
                <w:rFonts w:ascii="Times New Roman" w:hAnsi="Times New Roman"/>
                <w:color w:val="000000"/>
                <w:kern w:val="0"/>
                <w:sz w:val="25"/>
                <w:szCs w:val="24"/>
              </w:rPr>
              <w:t>年</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0.25%</w:t>
            </w:r>
          </w:p>
        </w:tc>
      </w:tr>
      <w:tr w:rsidR="005B1FF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5B1FF5" w:rsidRDefault="005B1FF5">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r>
              <w:rPr>
                <w:rFonts w:ascii="Times New Roman" w:hAnsi="Times New Roman"/>
                <w:color w:val="000000"/>
                <w:kern w:val="0"/>
                <w:sz w:val="25"/>
                <w:szCs w:val="24"/>
              </w:rPr>
              <w:t>年以上（含）</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上表中的“年”指的是365个自然日。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（2）本基金C类基金份额的赎回费率如下：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5B1FF5">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r>
              <w:rPr>
                <w:rFonts w:ascii="Times New Roman" w:hAnsi="Times New Roman"/>
                <w:color w:val="000000"/>
                <w:kern w:val="0"/>
                <w:sz w:val="25"/>
                <w:szCs w:val="24"/>
              </w:rPr>
              <w:t>类基金份额的赎回费率</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r>
              <w:rPr>
                <w:rFonts w:ascii="Times New Roman" w:hAnsi="Times New Roman"/>
                <w:color w:val="000000"/>
                <w:kern w:val="0"/>
                <w:sz w:val="25"/>
                <w:szCs w:val="24"/>
              </w:rPr>
              <w:t>类基金份额赎回费率</w:t>
            </w:r>
          </w:p>
        </w:tc>
      </w:tr>
      <w:tr w:rsidR="005B1FF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5B1FF5" w:rsidRDefault="005B1FF5">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5B1FF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5B1FF5" w:rsidRDefault="005B1FF5">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w:t>
            </w:r>
            <w:r>
              <w:rPr>
                <w:rFonts w:ascii="Times New Roman" w:hAnsi="Times New Roman"/>
                <w:color w:val="000000"/>
                <w:kern w:val="0"/>
                <w:sz w:val="25"/>
                <w:szCs w:val="24"/>
              </w:rPr>
              <w:t>—30</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5B1FF5">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5B1FF5" w:rsidRDefault="005B1FF5">
            <w:pPr>
              <w:widowControl/>
              <w:snapToGrid w:val="0"/>
              <w:jc w:val="center"/>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r>
              <w:rPr>
                <w:rFonts w:ascii="Times New Roman" w:hAnsi="Times New Roman"/>
                <w:color w:val="000000"/>
                <w:kern w:val="0"/>
                <w:sz w:val="25"/>
                <w:szCs w:val="24"/>
              </w:rPr>
              <w:t>日以上（含）</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本基金C类基金份额的赎回费用由赎回C类基金份额的基金份额持有人承担，在基金份额持有人赎回C类基金份额时收取，对C类基金份额持有人收取的赎回费全额</w:t>
      </w:r>
      <w:r>
        <w:rPr>
          <w:rFonts w:ascii="宋体" w:hAnsi="宋体"/>
          <w:sz w:val="24"/>
        </w:rPr>
        <w:lastRenderedPageBreak/>
        <w:t>计入基金财产。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3、基金管理人可以在基金合同约定的范围内调整费率或收费方式，并最迟应于新的费率或收费方式实施日前依照《信息披露办法》的有关规定在指定媒介上公告。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赎回费率和转换费率。</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（七）申购和赎回的数额和价格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1、申购和赎回数额、余额的处理方式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A类基金份额或C类基金份额的有效份额为净申购金额除以当日该类基金份额的基金份额净值，有效份额单位为份，申购份额计算结果按四舍五入方法，保留到小数点后2位，由此产生的收益或损失由基金财产承担。</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金额为按实际确认的A类基金份额或C类基金份额有效赎回份额乘以当日该类基金份额的基金份额净值并扣除相应的费用（如有），赎回金额单位为元。赎回金额计算结果按四舍五入方法，保留到小数点后2位，由此产生的收益或损失由基金财产承担。</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2、申购份额的计算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（1）A类基金份额的申购</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申购总金额=申请总金额</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净申购金额=申购总金额/（1+申购费率）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（注：对于适用固定金额申购费用的申购，净申购金额＝申购总金额－固定申购费用金额）</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申购费用=申购总金额-净申购金额</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（注：对于适用固定金额申购费用的申购，申购费用＝固定申购费用金额）</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申购份额=（申购总金额-申购费用）/ T日A类基金份额净值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例一：某投资者（非养老金客户）投资40,000元申购本基金A类基金份额，假设申购当日A类基金份额净值为1.0400元，申购费率为1.5%，则其可得到的申购份额为：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申购总金额＝40,000元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净申购金额=40,000/（1+1.5%）=39,408.87元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申购费用=40,000-39,408.87=591.13元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申购份额=（40,000-591.13）/1.0400=37,893.14份</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即：某投资者（非养老金客户）投资40,000元申购本基金A类基金份额，假设申购当日A类基金份额净值为1.0400元，则其可得到37,893.14份A类基金份额。</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例二：某养老金客户投资100,000元通过基金管理人的直销柜台申购本基金A类基金份额，假设申购当日A类基金份额净值为1.0400元，申购费率为0.6%，则其可得到的申购份额为：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申购总金额＝100,000元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净申购金额=100,000/（1+0.6%）=99,403.58元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申购费用=100,000-99,403.58=596.42元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申购份额=（100,000-596.42）/1.0400=95,580.37份</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即：该养老金客户投资100,000元通过基金管理人的直销柜台申购本基金A类基金份额，假设申购当日A类基金份额净值为1.0400元，则其可得到95,580.37份A类基金份额。</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（2）C类基金份额的申购</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如果投资者选择申购C类基金份额，则申购份额的计算方法如下：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申购总金额=申请总金额</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申购份额=申购总金额/T日C类基金份额净值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例三：某投资者投资100,000元申购本基金的C类基金份额，假设申购当日C类基金份额净值为1.0400元，则其可得到的申购份额为：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申购份额＝100,000/1.0400＝96,153.85份</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即：投资者投资100,000元申购本基金的C类基金份额，假设申购当日C类基金份额净值为1.0400元，则其可得到96,153.85份C类基金份额。</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3、赎回金额的计算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赎回金额为按实际确认的A类基金份额或C类基金份额有效赎回份额乘以当日该类基金份额净值并扣除相应的费用（如有），赎回金额单位为元，计算结果保留到小数点后两位，第三位四舍五入。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（1）A类基金份额的赎回</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投资者赎回A类基金份额，赎回金额的计算方法如下：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赎回费用=赎回份额×T日A类基金份额净值×赎回费率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赎回金额=赎回份额×T日A类基金份额净值-赎回费用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例四：某投资者赎回持有的10,000份A类基金份额，持有期限为30日，对应的赎回费率为0.5%，假设赎回当日A类基金份额净值是1.0160元，则其可得到的赎回金额为：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 = 10,000×1.0160×0.5% ＝ 50.80元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 = 10,000×1.0160-50.80 ＝ 10,109.20元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即：投资者赎回本基金10,000份A类基金份额，对应的赎回费率为0.5%，假设赎回当日A类基金份额净值是1.0160元，则其可得到的赎回金额为10,109.20元。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（2）C类基金份额的赎回</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投资者赎回C类基金份额，赎回金额的计算方法如下：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赎回费用=赎回份额×T日C类基金份额净值×赎回费率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赎回金额=赎回份额×T日C类基金份额净值-赎回费用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例五：某投资者赎回10,000份C类基金份额，持有期限为20日，对应的赎回费率为0.5%，假设赎回当日C类基金份额净值是1.0160元，则其可得到的赎回金额为：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赎回费用=10,000×1.0160×0.5%＝50.80元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赎回金额=10,000×1.0160-50.80＝10,109.20元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即：投资者赎回10,000份C类基金份额，持有期限为20日，对应的赎回费率为0.5%，假设赎回当日C类基金份额净值是1.0160元，则其可得到的赎回金额为10,109.20元。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4、基金份额净值的计算公式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A类基金份额净值＝A类基金份额的基金资产净值总额/发行在外的A类基金份额总数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C类基金份额净值＝C类基金份额的基金资产净值总额/发行在外的C类基金份额总数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T日的基金份额净值在当天收市后计算，并在T＋1日（包括该日）内公告。遇特殊情况，经中国证监会同意，可以适当延迟计算或公告。本基金A类基金份额和C类基金份额的基金份额净值的计算，均保留到小数点后4位，小数点后第5位四舍五入，由此误差产生的收益或损失由基金财产承担。</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lastRenderedPageBreak/>
        <w:t>（八）拒绝或暂停申购的情形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发生下列情况时，基金管理人可拒绝或暂停接受投资人的申购申请：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1、因不可抗力导致基金无法正常运作。</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2、发生基金合同规定的暂停基金资产估值情况时，基金管理人可暂停接受投资人的申购申请。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3、证券、期货交易所交易时间非正常停市，导致基金管理人无法计算当日基金资产净值。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4、接受某笔或某些申购申请可能会影响或损害现有基金份额持有人利益时。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5、基金资产规模过大，使基金管理人无法找到合适的投资品种，或其他可能对基金业绩产生负面影响，或出现其他损害现有基金份额持有人利益的情形。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6、当前一估值日基金资产净值50%以上的资产出现无可参考的活跃市场价格且采用估值技术仍导致公允价值存在重大不确定性时，经与基金托管人协商确认后，基金管理人应当暂停接受基金申购申请。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7、基金管理人接受某笔或者某些申购申请有可能导致单一投资者持有基金份额的比例超过50%，或者变相规避50%集中度的情形。出现上述情形时，基金管理人有权将上述申购申请全部或部分确认失败。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8、法律法规规定或中国证监会认定的其他情形。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第1、2、3、5、6、8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（九）暂停赎回或延缓支付赎回款项的情形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发生下列情形时，基金管理人可暂停接受投资人的赎回申请或延缓支付赎回款项：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1、因不可抗力导致基金管理人不能支付赎回款项。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2、发生基金合同规定的暂停基金资产估值情况时，基金管理人可暂停接受投资人的赎回申请或延缓支付赎回款项。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3、证券、期货交易所交易时间非正常停市，导致基金管理人无法计算当日基金资产净值。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4、连续两个或两个以上开放日发生巨额赎回。</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5、继续接受赎回申请将损害现有基金份额持有人利益的情形时，可暂停接受投资人的赎回申请。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7、基金合同约定、法律法规规定或中国证监会认定的其他情形。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情形之一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（十）巨额赎回的情形及处理方式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1、巨额赎回的认定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2、巨额赎回的处理方式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w:t>
      </w:r>
      <w:r>
        <w:rPr>
          <w:rFonts w:ascii="宋体" w:hAnsi="宋体"/>
          <w:sz w:val="24"/>
        </w:rPr>
        <w:lastRenderedPageBreak/>
        <w:t>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巨额赎回且单个基金份额持有人的赎回申请超过上一日基金总份额20%的情形下，基金管理人有权采取如下措施：对于基金份额持有人当日超过20%的赎回申请，可以对其赎回申请延期办理；对于基金份额持有人未超过上述比例的部分，基金管理人可以根据前段“（1）全额赎回”或“（2）部分延期赎回”的约定方式与其他基金份额持有人的赎回申请一并办理。但是，如基金份额持有人在当日选择取消赎回，则其当日未获受理的部分赎回申请将被撤销。</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暂停赎回：连续2日以上（含本数）发生巨额赎回，如基金管理人认为有必要，可暂停接受基金的赎回申请；已经接受的赎回申请可以延缓支付赎回款项，但不得超过20个工作日，并应当在指定媒介上进行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3、巨额赎回的公告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当发生上述延期赎回并延期办理时，基金管理人应当通过邮寄、传真、刊登公告或者通知销售机构代为告知等方式在3个交易日内通知基金份额持有人，说明有关处理方法，并在2日内在指定媒介上刊登公告。</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（十一）暂停申购或赎回的公告和重新开放申购或赎回的公告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1、发生上述暂停申购或赎回情况的，基金管理人应在规定期限内在指定媒介上刊登暂停公告。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暂停结束，基金重新开放申购或赎回时，基金管理人应依照《信息披露办法》的有关规定，不迟于重新开放日，在指定媒介上刊登基金重新开放申购或赎回公告，并公布最近一个开放日各类基金份额的基金份额净值。</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（十二）基金的非交易过户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w:t>
      </w:r>
      <w:r>
        <w:rPr>
          <w:rFonts w:ascii="宋体" w:hAnsi="宋体"/>
          <w:sz w:val="24"/>
        </w:rPr>
        <w:lastRenderedPageBreak/>
        <w:t>额强制划转给其他自然人、法人或其他组织。办理非交易过户必须提供基金登记机构要求提供的相关资料，对于符合条件的非交易过户申请按基金登记机构的规定办理，并按基金登记机构规定的标准收费。</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（十三）基金的转托管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基金份额持有人可办理已持有基金份额在不同销售机构之间的转托管，基金销售机构可以按照规定的标准收取转托管费。</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（十四）定期定额投资计划</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2015年7月9日刊登公告自2015年7月10日起开通A类基金份额的定期定额投资计划业务，本基金2023年2月22日刊登公告自2023年2月28日起增设C类基金份额并开通C类基金份额的定期定额投资计划业务，具体开通销售机构名单和业务规则参见相关公告。</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（十五）定期定额赎回业务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通过中国农业银行股份有限公司申请办理本基金A类基金份额的定期定额赎回业务。定期定额赎回业务是指投资人可以委托中国农业银行股份有限公司每月固定时间从指定的基金账户代投资人赎回固定份额的基金。本基金2015年7月9日刊登公告自2015年7月10日起在中国农业银行股份有限公司下属各销售网点开通本基金A类基金份额定期定额赎回业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通过中国农业银行股份有限公司办理本基金A类基金份额的定期定额赎回业务，相关流程和业务规则遵循中国农业银行股份有限公司的有关规定。详情请咨询当地中国农业银行股份有限公司的销售网点或中国农业银行股份有限公司客户服务热线（95599）。</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（十六）基金份额的冻结和解冻</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登记机构只受理国家有权机关依法要求的基金份额的冻结与解冻，以及登记机构认可、符合法律法规的其他情况下的冻结与解冻。</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（十七）基金上市交易和场内申购赎回业务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在未来系统条件允许的情况下，基金管理人可以根据相关证券交易所上市交易规则安排本基金上市交易和/或开通场内申购赎回业务事宜。具体上市交易和/或开通场内申购赎回的安排由基金管理人届时提前发布公告，并告知基金托管人与相关机构。场内申购赎回业务按照证券交易所及登记机构的相关业务规则办理。</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（十八）基金份额的转让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（十九）实施侧袋机制期间本基金的申购与赎回</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本基金实施侧袋机制的，本基金的申购和赎回安排详见本招募说明书“侧袋机制”部分的规定或相关公告。</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（二十）其他业务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12" w:name="_Toc137828456"/>
      <w:r>
        <w:rPr>
          <w:rFonts w:ascii="Times New Roman" w:hAnsi="Times New Roman"/>
          <w:sz w:val="30"/>
        </w:rPr>
        <w:lastRenderedPageBreak/>
        <w:t>九、基金的转换</w:t>
      </w:r>
      <w:bookmarkEnd w:id="12"/>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（一）基金转换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是指开放式基金份额持有人将其持有某只基金的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（二）转换业务办理时间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本基金2015年8月4日刊登公告自2015年8月5日起开放A类基金份额的日常转换业务。本基金2023年2月22日刊登公告自2023年2月28日起增设C类基金份额并开通C类基金份额的日常转换业务。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办理基金间转换的时间为上海证券交易所、深圳证券交易所交易日。若出现新的证券交易市场或交易所交易时间更改或其它原因，基金管理人将视情况进行相应的调整并公告。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本基金转换业务具体开通销售机构名单参见相关公告。</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（三）基金转换的程序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1、申请方式：书面申请或销售机构公布的其他方式。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2、基金转换申请的确认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正常情况下，T日规定时间受理的申请，基金注册登记机构在T＋1日内为投资人对该交易的有效性进行确认，在T＋2日后（包括该日）投资人可向销售机构查询转换的确认情况。</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3、基金转换的注册登记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登记机构以收到有效转换申请的当天作为转换申请日（T日）。投资人转换基金成功的，注册登记机构在T＋1日为投资人T日的基金转换业务申请进行有效性确认，办理转出基金的权益扣除以及转入基金的权益登记，在T＋2日后（包含该日）投资人可向销售机构查询转换业务的成交情况，并有权转换或赎回该部分基金份额。</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lastRenderedPageBreak/>
        <w:t>（四）基金转换的数额限制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基金转换以份额为单位进行申请，申请转换份额精确到小数点后两位，小数点后两位以后的部分四舍五入，误差部分归基金财产。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基金遵循“份额转换”的原则，单笔转换份额不得低于1份。基金持有人可将其全部或部分基金份额转换成其它基金，单笔转换申请不受转入基金最低申购限额限制。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于投资人在单个交易账户最低保留余额的规定，每个工作日投资人在单个交易账户保留的基金份额余额少于最低保留余额时，若当日该账户同时有份额减少类业务（如赎回、转换出等）被确认，基金管理人有权将投资人在该账户保留的基金份额一次性全部赎回。因此，如果某笔转换申请确认后转出基金的单个交易账户的基金份额余额少于最低保留余额时，则转出基金在该账户剩余的基金份额将被全部赎回。如果某笔转换申请确认后转入基金的单个交易账户的基金份额余额少于最低保留余额且该账户当日有份额减少类业务被确认，则转入基金在该账户剩余的基金份额（包括该部分转换入确认份额）将随即被强制赎回。</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（五）基金转换费用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1、每笔基金转换视为一笔赎回和一笔申购，基金转换费用相应由转出基金的赎回费用及转出、转入基金的申购补差费用构成。</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2、转出基金的赎回费用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用按照各基金最新的更新招募说明书及相关公告规定的赎回费率和计费方式收取，赎回费用按一定比例归入基金财产（收取标准遵循各基金最新的更新招募说明书相关规定），其余部分用于支付注册登记费等相关手续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3、转出与转入基金的申购补差费用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的转入基金前端申购费率减去转出基金前端申购费率差额进行计算补差，若遇固定费用，则按实际产生补差费用收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4、网上直销的申购补差费率优惠</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为更好服务投资者，本基金管理人已开通基金网上直销业务，个人投资者可以通过“网上直销交易平台”办理基金转换业务，其中部分转换业务可享受转换费率</w:t>
      </w:r>
      <w:r>
        <w:rPr>
          <w:rFonts w:ascii="宋体" w:hAnsi="宋体"/>
          <w:sz w:val="24"/>
        </w:rPr>
        <w:lastRenderedPageBreak/>
        <w:t>优惠，优惠费率只适用于转出与转入基金申购补差费用，转出基金的赎回费用无优惠。可通过网上直销交易平台办理的转换业务范围及转换费率优惠的具体情况请参阅本基金管理人网站。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管理人可以根据法律法规及基金合同的规定对上述转换费用收费方式和费率进行调整，并应于调整后的收费方式和费率实施前依照《证券投资基金信息披露管理办法》的有关规定在中国证监会指定媒体上公告。</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（六）基金转换份额的计算公式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1、前端收费模式下基金转换份额的计算公式及举例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转出确认金额=转出的基金份额×转换申请当日转出基金的基金份额净值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转出基金的赎回费=转出确认金额×对应的转出基金的赎回费率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转入确认金额=转出确认金额-转出基金的赎回费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转出与转入基金的申购补差费=转入确认金额×对应的转出与转入基金的申购补差费率/（1+对应的转出与转入基金的申购补差费率）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（注：若转出基金申购费率不低于转入基金申购费率，转出与转入基金的申购补差费为零）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对于涉及固定费用的，转出与转入基金的申购补差费＝MAX（0，转出基金和转入基金申购费用之差）</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一：某投资者持有交银趋势前端收费模式的A类基金份额100,000份，持有期半年，转换申请当日交银趋势的A类基金份额净值为1.0100元，交银成长的基金份额净值为2.2700元。若该投资者将100,000份交银趋势前端A类基金份额转换为交银成长前端基金份额，则转入交银成长确认的基金份额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转出确认金额=100,000×1.0100=101,000元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转出基金的赎回费=101,000×0.5%=505元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转入确认金额=101,000-505=100,495元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转出与转入基金的申购补差费=100,495×0/（1+0）=0元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转入基金确认份额=（100,495-0）/2.2700=44,270.93份</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二：某投资者持有交银增利A类基金份额1,000,000份，持有期一年半，转换申请当日交银增利A类基金份额的基金份额净值为1.0200元，交银趋势的A类基金份额净值为1.0100元。若该投资者将1,000,000份交银增利A类基金份额转换为交银趋势前端A类基金份额，则转入交银趋势确认的A类基金份额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转出确认金额=1,000,000×1.0200=1,020,000元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转出基金的赎回费=1,020,000×0.05%=510元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转入确认金额=1,020,000-510=1,019,490元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转出与转入基金的申购补差费=1,019,490×0.5%/（1+0.5%）=5,072.09元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转入基金确认份额=（1,019,490-5,072.09）/1.0100=1,004,374.17份</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者持有交银增利C类基金份额100,000份，持有期一年半，转换申请当日交银增利C类基金份额净值为1.2500元，交银精选的基金份额净值为2.2700元。若该投资者将100,000份交银增利C类基金份额转换为交银精选前端基金份额，则转入交银精选确认的基金份额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转入确认金额=125,000-0=125,000元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转出与转入基金的申购补差费=125,000×1.5%/（1+1.5%）=1,847.29元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转入基金确认份额=（125,000-1,847.29）/2.2700=54,252.30份</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者持有交银货币A级基金份额100,000份，该100,000份基金份额未结转的待支付收益为61.52元，转换申请当日交银增利A类基金份额净值为1.2700元，交银货币的基金份额净值为1.00元。若该投资者将100,000份交银货币A级基金份额转换为交银增利A类基金份额，则转入确认的交银增利A类基金份额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转出确认金额=100,000×1.00=100,000元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转入确认金额=100,000-0=100,000元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转出与转入基金的申购补差费=100,000×0.8%/（1+0.8%）=793.65元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转入基金确认份额=（100,000-793.65+61.52）/1.2700=78,163.68份</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2、后端收费模式下基金转换份额的计算公式及举例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转出确认金额=转出的基金份额×转换申请当日转出基金的基金份额净值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转出基金的赎回费=转出确认金额×对应的转出基金的赎回费率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转入确认金额=转出确认金额-转出基金的赎回费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转出与转入基金的申购补差费=转入确认金额×对应的转出与转入基金的申购补差费率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投资者持有交银主题后端收费模式的A类基金份额100,000份，持有期一年半，转换申请当日交银主题的A类基金份额净值为1.2500元，交银稳健的基金份额净值为2.2700元。若该投资者将100,000份交银主题后端A类基金份额转换为交银稳健后端基金份额，则转入交银稳健确认的基金份额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转出基金的赎回费=125,000×0.2%=250元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转入确认金额=125,000-250=124,750元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转出与转入基金的申购补差费=124,750×0=0元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转入基金确认份额=（124,750-0）/2.2700=54,955.95份</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六：某投资者持有交银先锋后端收费模式的A类基金份额100,000份，持有期一年半，转换申请当日交银先锋的A类基金份额净值为1.2500元，交银货币的基金份额净值为1.00元。若该投资者将100,000份交银先锋后端A类基金份额转换为交银货币，则转入交银货币的基金份额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转出基金的赎回费=125,000×0.2%=250元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转入确认金额=125,000-250=124,750元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转出与转入基金的申购补差费=124,750×1.2%=1497元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转入基金确认份额=（124,750-1497）/1.00=123,253.00份</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七：某投资者持有交银蓝筹后端收费模式的基金份额100,000份，持有期三年半，转换申请当日交银蓝筹的基金份额净值为0.8500元，交银增利B类基金份额的基金份额净值为1.0500。若该投资者将100,000份交银蓝筹后端基金份额转换为交银增利B类基金份额，则转入交银增利B类基金份额的基金份额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转出确认金额=100,000×0.8500=85,000元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转出基金的赎回费=85,000×0=0元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转入确认金额=85,000-0=85,000元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转出与转入基金的申购补差费=85,000×0.2%=170元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转入基金确认份额=（85,000-170）/1.0500=80,790.48份</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八：某投资者持有交银货币A级基金份额100,000份，该100,000份基金份额未结转的待支付收益为61.52元，转换申请当日交银增利B类基金份额净值为1.2700元，交银货币的基金份额净值为1.00元。若该投资者将100,000份交银货币A级基金份额转换为交银增利B类基金份额，则转入确认的交银增利B类基金份额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转出确认金额=100,000×1.00=100,000元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转入确认金额=100,000-0=100,000元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转出与转入基金的申购补差费=100,000×0=0元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转入基金确认份额=（100,000-0+61.52）/1.2700=78,788.60份</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（七）业务规则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人只能在相同收费模式下进行基金转换。前端收费模式的开放式基金只能转换到前端收费模式的其他基金，后端收费模式的基金只能转换到后端收费模式的其他基金。交银货币、债券基金C类基金份额与其他基金之间的转换不受上述收费模式的限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3、基金转换采取未知价法，即基金的转换价格以申请受理当日各转出、转入基金的基金份额净值为基础进行计算。（货币市场基金的基金份额净值为固定价</w:t>
      </w:r>
      <w:r>
        <w:rPr>
          <w:rFonts w:ascii="宋体" w:hAnsi="宋体"/>
          <w:sz w:val="24"/>
        </w:rPr>
        <w:lastRenderedPageBreak/>
        <w:t>1.00元）。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申请将其账户内交银货币的基金份额转换为其他基金份额时，注册登记机构将自动结转该转出份额对应的待支付收益，该收益将一并计入转出金额并折算为转入基金的基金份额，但收益部分不收取转换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5、转换后，转入基金份额的持有时间将重新计算，即转入基金份额的持有期将自转入基金份额被确认日起重新开始计算。</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（八）暂停基金转换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单个开放日，基金净赎回申请份额（该基金赎回申请总份额加上基金转换中转出申请总份额后扣除申购申请总份额及基金转换中转入申请总份额后的余额）超过上一日基金总份额的10%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13" w:name="_Toc137828457"/>
      <w:r>
        <w:rPr>
          <w:rFonts w:ascii="Times New Roman" w:hAnsi="Times New Roman"/>
          <w:sz w:val="30"/>
        </w:rPr>
        <w:lastRenderedPageBreak/>
        <w:t>十、基金的投资</w:t>
      </w:r>
      <w:bookmarkEnd w:id="13"/>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（一）投资目标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本基金主要投资受益于国企改革红利的上市公司股票，通过积极主动的投资管理，在合理控制投资风险的基础上，力争实现基金资产的长期稳定增值。</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（二）投资范围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国内依法发行上市的股票（含中小板、创业板及其他经中国证监会核准上市的股票、存托凭证）、债券、中期票据、货币市场工具、权证、资产支持证券、股指期货以及法律法规或中国证监会允许基金投资的其他金融工具（但须符合中国证监会相关规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股票资产（含存托凭证）占基金资产的0%-95%，其余资产投资于债券、中期票据、货币市场工具、现金、权证、资产支持证券以及法律法规或中国证监会允许基金投资的其他证券品种；本基金投资受益于国企改革相关上市公司证券的比例不低于非现金基金资产的80%；本基金保留的现金或者投资于到期日在一年以内的政府债券的比例合计不低于基金资产净值的5%，其中现金不包括结算备付金、存出保证金和应收申购款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（三）投资策略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充分发挥基金管理人的研究优势，在分析和判断宏观经济周期和金融市场运行趋势的基础上，运用修正后的投资时钟分析框架，自上而下调整基金大类资产配置和股票行业配置策略，确定债券组合久期和债券类别配置；在严谨深入的股票和债券研究分析基础上，自下而上精选个券。其中，本基金股票投资重点关注直接受益于国企改革红利、或在国企改革推动下盈利水平长期显著提升的其他上市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1、资产配置</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本基金利用经交银施罗德研究团队修正后的投资时钟分析框架，通过“自上而下”的定性分析和定量分析相结合形成对不同资产市场表现的预测和判断，确定基</w:t>
      </w:r>
      <w:r>
        <w:rPr>
          <w:rFonts w:ascii="宋体" w:hAnsi="宋体"/>
          <w:sz w:val="24"/>
        </w:rPr>
        <w:lastRenderedPageBreak/>
        <w:t>金资产在股票、债券及货币市场工具等各类别资产间的分配比例，并随着各类证券风险收益特征的相对变化，在基金合同约定的范围内动态调整组合中各类资产的比例，以规避或控制市场风险，提高基金收益率。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2、行业配置</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不同行业受宏观经济周期、行业自身生命周期以及相关结构性因素的影响在不同时期表现往往具有明显差异。基金管理人采用多因素的定性与定量相结合的分析和预测方法，确定宏观及行业经济变量的变动对不同行业的潜在影响，得出各行业的相对投资价值与投资时机。其中，本基金将密切跟踪各类行业受益于国企改革红利的程度，把握因直接或间接受益于国企改革红利的相关行业带来的投资机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3、股票投资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本基金将充分发挥研究团队自下而上的选股能力，基于对个股深入的基本面研究和细致的实地调研，精选股票构建股票投资组合。本基金管理人的股票投资具体分以下几个层次进行：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（1）品质筛选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筛选出在公司治理、财务及管理品质上符合基本品质要求的公司，构建备选股票池。主要筛选指标包括：</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盈利能力指标（如P/E、P/Cash Flow、P/FCF、P/S、P/EBIT等）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经营效率指标（如ROE、ROA、Return on operating assets等）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财务状况指标（如D/A、流动比率等）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（2）价值评估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公司备选股票池基础上，本基金将进一步通过对备选上市公司详实的案头分析和深入的实地调研，以定性与定量相结合的方法对公司价值进行综合评估，构建股票组合。其中，本基金重点关注直接或间接受益于国企制度改革红利的上市公司，包括：</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上市公司作为平台，通过产权制度改革（如兼并重组、整合上市、引入多元股权结构等）或管理制度改革（如国有资产管理体制改革、国企管理层股权激励制度、市值利润考核等）等多种方式，提高经营效率和竞争力的上市公司股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受益于混合所有制改革、垄断领域对民营资本开放等制度红利获得发展机遇或盈利水平显著提升的非国企上市公司。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本基金管理人将对所关注的重点上市公司进行内在价值的评估和成长性跟踪研</w:t>
      </w:r>
      <w:r>
        <w:rPr>
          <w:rFonts w:ascii="宋体" w:hAnsi="宋体"/>
          <w:sz w:val="24"/>
        </w:rPr>
        <w:lastRenderedPageBreak/>
        <w:t>究，在明确的价值评估基础上精选优秀质地的投资标的构建股票组合。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（3）存托凭证的投资策略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本基金投资存托凭证的策略依照境内上市交易的股票投资策略执行。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4、债券投资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债券投资方面，本基金可投资于国债、央行票据、金融债、企业债和可转换债券等债券品种。本基金的债券投资采取主动的投资管理方式，获得与风险相匹配的投资收益，以实现在一定程度上规避股票市场的系统性风险和保证基金资产的流动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5、权证投资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6、资产支持证券投资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7、股指期货投资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基金管理人针对股指期货交易制订严格的授权管理制度和投资决策流程，确保</w:t>
      </w:r>
      <w:r>
        <w:rPr>
          <w:rFonts w:ascii="宋体" w:hAnsi="宋体"/>
          <w:sz w:val="24"/>
        </w:rPr>
        <w:lastRenderedPageBreak/>
        <w:t>研究分析、投资决策、交易执行及风险控制各环节的独立运作，并明确相关岗位职责。此外，基金管理人建立股指期货交易决策部门或小组，并授权特定的管理人员负责股指期货的投资审批事项。</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（四）投资限制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1、组合限制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基金的投资组合应遵循以下限制：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股票资产（含存托凭证）占基金资产的0%-95%，其余资产投资于债券、中期票据、货币市场工具、现金、权证、资产支持证券以及法律法规或中国证监会允许基金投资的其他证券品种；本基金投资受益于国企改革相关上市公司证券的比例不低于非现金基金资产的80%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（2）保持不低于基金资产净值5％的现金或者到期日在一年以内的政府债券，其中现金不包括结算备付金、存出保证金和应收申购款等；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（3）本基金持有一家公司发行的证券，其市值不超过基金资产净值的10%；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（4）本基金管理人管理的全部基金持有一家公司发行的证券，不超过该证券的10%；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（5）本基金持有的全部权证，其市值不得超过基金资产净值的3%；</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（6）本基金管理人管理的全部基金持有的同一权证，不得超过该权证的10%；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（7）本基金在任何交易日买入权证的总金额，不得超过上一交易日基金资产净值的0.5%；</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（8）本基金投资于同一原始权益人的各类资产支持证券的比例，不得超过基金资产净值的10%；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（9）本基金持有的全部资产支持证券，其市值不得超过基金资产净值的20%；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（10）本基金持有的同一(指同一信用级别)资产支持证券的比例，不得超过该资产支持证券规模的10%；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（11）本基金管理人管理的全部基金投资于同一原始权益人的各类资产支持证券，不得超过其各类资产支持证券合计规模的10%；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（12）本基金应投资于信用级别评级为BBB以上(含BBB)的资产支持证券。基金持有资产支持证券期间，如果其信用等级下降、不再符合投资标准，应在评级报告发布之日起3个月内予以全部卖出；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（13）基金财产参与股票发行申购，本基金所申报的金额不超过本基金的总资</w:t>
      </w:r>
      <w:r>
        <w:rPr>
          <w:rFonts w:ascii="宋体" w:hAnsi="宋体"/>
          <w:sz w:val="24"/>
        </w:rPr>
        <w:lastRenderedPageBreak/>
        <w:t>产，本基金所申报的股票数量不超过拟发行股票公司本次发行股票的总量；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（14）本基金进入全国银行间同业市场进行债券回购的资金余额不得超过基金资产净值的40%，本基金在全国银行间同业市场中的债券回购最长期限为1年，债券回购到期后不得展期；</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（15）本基金若投资股指期货，则：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1）本基金在任何交易日日终，持有的买入股指期货合约价值，不得超过基金资产净值的10%；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3）本基金在任何交易日日终，持有的卖出期货合约价值不得超过基金持有的股票总市值的20%；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4）本基金所持有的股票市值和买入、卖出股指期货合约价值，合计（轧差计算）应当符合基金合同关于股票投资比例的有关约定；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5）本基金在任何交易日内交易（不包括平仓）的股指期货合约的成交金额不得超过上一交易日基金资产净值的20%；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6）本基金每个交易日日终在扣除股指期货合约需缴纳的交易保证金后，应当保持不低于基金资产净值5%的现金或到期日在一年以内的政府债券，其中现金不包括结算备付金、存出保证金和应收申购款等。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（16）本基金持有其他证券投资基金（不含货币市场基金），其市值不得超过基金资产净值的10%；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（17）本基金的基金资产总值不得超过基金资产净值的140%；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（19）本基金持有的同一中期票据，其市值不得超过基金资产净值的10%；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（20）本基金的存款银行为具有证券投资基金托管人资格、证券投资基金销售业务资格或合格境外机构投资者托管人资格的商业银行；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（21）本基金投资于定期存款的比例不得超过基金资产净值的30%，根据协议可提前支取且没有利息损失的银行存款，不受此限制；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（24）本基金与私募类证券资管产品及中国证监会认定的其他主体为交易对手开展逆回购交易的，可接受质押品的资质要求应当与本基金合同约定的投资范围保持一致；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（25）本基金投资存托凭证的比例限制依照境内上市交易的股票执行；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（26）法律法规及中国证监会规定的和《基金合同》约定的其他投资限制。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第（2）、（12）、（23）、（24）项以及第（15）项第6）目外，因证券、期货市场波动、证券发行人合并、基金规模变动、股权分置改革中支付对价等基金管理人之外的因素致使基金投资比例不符合上述规定投资比例的，基金管理人应当在10个交易日内进行调整，但中国证监会规定的特殊情形除外。法律法规另有规定的，从其规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上述投资组合限制条款中，若属法律法规或监管部门的强制性规定，则当法律法规或监管部门取消或修改上述限制，如适用于本基金，基金管理人在履行适当程序后，本基金投资所受限制相应调整或取消。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2、禁止行为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为维护基金份额持有人的合法权益，基金财产不得用于下列投资或者活动：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（1）承销证券；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（2）违反规定向他人贷款或者提供担保；</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（3）从事承担无限责任的投资；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（4）买卖其他基金份额，但是中国证监会另有规定的除外；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（5）向其基金管理人、基金托管人出资；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（6）从事内幕交易、操纵证券交易价格及其他不正当的证券交易活动；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（7）法律、行政法规和中国证监会规定禁止的其他活动。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如法律、行政法规或监管部门取消上述禁止性规定，如适用于本基金，基金管理人在履行适当程序后，本基金可不受上述规定的限制。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（五）业绩比较基准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60%×沪深300指数+40%×中证综合债券指数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沪深300指数是沪深证券交易所第一次联合发布的反映A股市场整体走势的指数，由中证指数公司编制和维护，是在上海和深圳证券市场中选取300只A股作为样本编制而成。该指数样本对沪深市场的覆盖度高，具有良好的市场代表性，投资者可以方便地从报纸、互联网等财经媒体中获取。沪深300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证综合债券指数是综合反映银行间债券市场和沪深交易所债券市场国债、金融债、企业债、央行票据及短期融资券整体走势的跨市场债券指数，该指数旨在更全面地反映我国债券市场的整体价格变动趋势，具有较强的市场代表性。根据本基金的投资范围和投资比例，选用上述业绩比较基准能够客观、合理地反映本基金的风险收益特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根据本基金的投资范围和投资比例，选用上述业绩比较基准能够客观、合理地反映本基金的风险收益特征。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若变更基准指数对基金投资范围和投资策略无实质性影响（包括但不限于指数编制单位变更、指数更名等事项），则无需召开基金份额持有人大会，基金管理人应与基金托管人协商一致后，报中国证监会备案并及时公告。若变更基准指数涉及本基金投资范围或投资策略的实质性变更，则基金管理人应就变更基准指数召开基金份额持有人大会，并报中国证监会备案。</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（六）风险收益特征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是一只混合型基金，其风险和预期收益高于债券型基金和货币市场基金，低于股票型基金。属于承担较高风险、预期收益较高的证券投资基金品种。根据2017年7月1日施行的《证券期货投资者适当性管理办法》，基金管理人和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（七）基金管理人代表基金行使股东及债权人权利的处理原则及方法</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1、基金管理人按照国家有关规定代表基金独立行使股东及债权人权利，保护基金份额持有人的利益；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2、不谋求对上市公司的控股，不参与所投资上市公司的经营管理；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3、有利于基金财产的安全与增值；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4、不通过关联交易为自身、雇员、授权代理人或任何存在利害关系的第三人牟取任何不当利益。</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（八）基金的融资、融券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本基金可以根据届时有效的有关法律法规和政策的规定进行融资、融券。</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（九）侧袋机制的实施和投资运作安排</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侧袋机制实施期间，本部分约定的投资组合比例、投资策略、组合限制、业绩比较基准、风险收益特征等约定仅适用于主袋账户。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侧袋账户的实施条件、实施程序、运作安排、投资安排、特定资产的处置变现和支付等对投资者权益有重大影响的事项详见本招募说明书“侧袋机制”部分的规定。</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（十）投资决策依据和投资流程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1、投资决策依据</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（1）国家有关法律法规和基金合同的有关规定；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（2）公司投资及风险控制政策；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（3）宏观经济发展态势、证券市场运行环境和走势，以及上市公司的基本面；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（4）投资对象的预期收益和预期风险的匹配关系，本基金将在承担适度风险的范围内，选择收益风险配比最佳的品种进行投资。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2、投资决策机制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基金经理的主要职责是在投资决策委员会确定的资产配置范围内构建和调整投资组合，并向中央交易室下达投资指令。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中央交易室负责交易执行和一线监控。通过严格的交易制度和实时的一线监控功能，保证基金经理的投资指令在合法、合规的前提下得到高效的执行。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3、投资管理流程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（1）研究部宏观分析师、策略分析师、行业分析师、信用分析师、数量分析师各自独立完成相应的研究报告，为投资决策提供依据；</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（2）投资决策委员会每月召开投资决策会议，对资产配置比例提出指导性意见，并讨论股票、债券的投资重点等；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（3）基金经理根据投资决策委员会决议，依据宏观分析师、策略分析师的宏观经济分析和策略建议、行业分析师的行业分析和个股研究、信用分析师的债券市</w:t>
      </w:r>
      <w:r>
        <w:rPr>
          <w:rFonts w:ascii="宋体" w:hAnsi="宋体"/>
          <w:sz w:val="24"/>
        </w:rPr>
        <w:lastRenderedPageBreak/>
        <w:t>场研究和券种选择、数量分析师的定量投资策略研究，结合本基金产品定位及风险控制的要求，在权限范围内制定具体的投资组合方案；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（4）基金经理根据基金投资组合方案，向中央交易室下达交易指令；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（5）交易指令通过风控系统的自动合规核查后，由中央交易室执行，中央交易室对交易情况及时反馈；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（6）基金经理对每日交易执行情况进行回顾，并审视基金投资组合的变动情况；</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（7）风险管理部定期完成有关投资风险监控报告，量化投资部定期完成基金业绩评估报告。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投资决策委员会有权根据市场变化和实际情况的需要，对上述投资管理程序作出调整。</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（十一）基金投资组合报告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基金管理人的董事会及董事保证本报告所载资料不存在虚假记载、误导性陈述或重大遗漏，并对其内容的真实性、准确性和完整性承担个别及连带责任。</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本基金托管人中国农业银行根据本基金合同规定，于2023年04月20日复核了本报告中的财务指标、净值表现和投资组合报告等内容，保证复核内容不存在虚假记载、误导性陈述或者重大遗漏。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本报告期为2023年01月01日至03月31日。本报告财务资料未经审计师审计。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1、报告期末基金资产组合情况</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项目</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占基金总资产的比例（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权益投资</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6,421,859,108.91</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86.62</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其中：股票</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6,421,859,108.91</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86.62</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基金投资</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固定收益投资</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407,649,639.83</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5.50</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其中：债券</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407,649,639.83</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5.50</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资产支持证券</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贵金属投资</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金融衍生品投资</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其中：买断式回购的买入返售金融资产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银行存款和结算备付金合计</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537,264,032.12</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7.25</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8</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其他资产</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46,979,614.22</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0.63</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7,413,752,395.08</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w:t>
            </w:r>
          </w:p>
        </w:tc>
      </w:tr>
    </w:tbl>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2、报告期末按行业分类的股票投资组合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 报告期末按行业分类的境内股票投资组合</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行业类别</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农、林、牧、渔业</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B</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采矿业</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68,515,923.36</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0.93</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制造业</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3,354,411,331.93</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45.76</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D</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电力、热力、燃气及水生产和供应业</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223,812,141.05</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3.05</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E</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建筑业</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77,329.12</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F</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批发和零售业</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444,832.76</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0.01</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G</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交通运输、仓储和邮政业</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975,643,974.96</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13.31</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H</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住宿和餐饮业</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176,701,326.30</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2.41</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I</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信息传输、软件和信息技术服务业</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154,114,267.06</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2.10</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J</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金融业</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554,261,733.95</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7.56</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K</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房地产业</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437,781,341.12</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5.97</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L</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租赁和商务服务业</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61,605,288.00</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0.84</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M</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科学研究和技术服务业</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354,873,809.65</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4.84</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N</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水利、环境和公共设施管理业</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59,542,281.11</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0.81</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O</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居民服务、修理和其他服务业</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P</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教育</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Q</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卫生和社会工作</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73,528.54</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R</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文化、体育和娱乐业</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S</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综合</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6,421,859,108.91</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87.60</w:t>
            </w:r>
          </w:p>
        </w:tc>
      </w:tr>
    </w:tbl>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 报告期末按行业分类的港股通投资股票投资组合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3、期末按公允价值占基金资产净值比例大小排序的股票投资明细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 报告期末按公允价值占基金资产净值比例大小排序的前十名股票投资明细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数量（股）</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1</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002352</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顺丰控股</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8,618,739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477,305,765.82</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6.51</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300750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宁德时代</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935,762</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379,966,160.10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5.18</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002049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紫光国微</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2,783,065</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309,282,013.45</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4.22</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002475</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立讯精密</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8,354,760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253,232,775.60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3.45</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603885</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吉祥航空</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13,290,823</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238,968,997.54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3.26</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603259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药明康德</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2,789,706</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221,781,627.00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3.03</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001979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招商蛇口</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15,978,154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217,622,457.48</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2.97</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600276</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恒瑞医药</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5,004,630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214,298,256.60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2.92</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000733</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振华科技</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2,234,709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201,257,892.54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2.75</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600803</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新奥股份</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8,654,000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180,435,900.00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2.46</w:t>
            </w:r>
          </w:p>
        </w:tc>
      </w:tr>
    </w:tbl>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4、报告期末按债券品种分类的债券投资组合</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债券品种</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国家债券</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49,990,589.29</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0.68</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央行票据</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金融债券</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351,749,192.72</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4.80</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其中：政策性金融债</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351,749,192.72</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4.80</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企业债券</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企业短期融资券</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中期票据</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可转债（可交换债）</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5,909,857.82</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0.08</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同业存单</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407,649,639.83</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5.56</w:t>
            </w:r>
          </w:p>
        </w:tc>
      </w:tr>
    </w:tbl>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5、报告期末按公允价值占基金资产净值比例大小排序的前五名债券投资明细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数量（张）</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220411</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22</w:t>
            </w:r>
            <w:r>
              <w:rPr>
                <w:rFonts w:ascii="Times New Roman" w:hAnsi="Times New Roman"/>
                <w:color w:val="000000"/>
                <w:kern w:val="0"/>
                <w:sz w:val="25"/>
                <w:szCs w:val="24"/>
              </w:rPr>
              <w:t>农发</w:t>
            </w:r>
            <w:r>
              <w:rPr>
                <w:rFonts w:ascii="Times New Roman" w:hAnsi="Times New Roman"/>
                <w:color w:val="000000"/>
                <w:kern w:val="0"/>
                <w:sz w:val="25"/>
                <w:szCs w:val="24"/>
              </w:rPr>
              <w:t>11</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1,300,000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130,744,597.26</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1.78</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220308</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22</w:t>
            </w:r>
            <w:r>
              <w:rPr>
                <w:rFonts w:ascii="Times New Roman" w:hAnsi="Times New Roman"/>
                <w:color w:val="000000"/>
                <w:kern w:val="0"/>
                <w:sz w:val="25"/>
                <w:szCs w:val="24"/>
              </w:rPr>
              <w:t>进出</w:t>
            </w:r>
            <w:r>
              <w:rPr>
                <w:rFonts w:ascii="Times New Roman" w:hAnsi="Times New Roman"/>
                <w:color w:val="000000"/>
                <w:kern w:val="0"/>
                <w:sz w:val="25"/>
                <w:szCs w:val="24"/>
              </w:rPr>
              <w:t>08</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700,000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70,320,849.32</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0.96</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239914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23</w:t>
            </w:r>
            <w:r>
              <w:rPr>
                <w:rFonts w:ascii="Times New Roman" w:hAnsi="Times New Roman"/>
                <w:color w:val="000000"/>
                <w:kern w:val="0"/>
                <w:sz w:val="25"/>
                <w:szCs w:val="24"/>
              </w:rPr>
              <w:t>贴现国债</w:t>
            </w:r>
            <w:r>
              <w:rPr>
                <w:rFonts w:ascii="Times New Roman" w:hAnsi="Times New Roman"/>
                <w:color w:val="000000"/>
                <w:kern w:val="0"/>
                <w:sz w:val="25"/>
                <w:szCs w:val="24"/>
              </w:rPr>
              <w:t>14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500,000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49,990,589.29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0.68</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2204111</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22</w:t>
            </w:r>
            <w:r>
              <w:rPr>
                <w:rFonts w:ascii="Times New Roman" w:hAnsi="Times New Roman"/>
                <w:color w:val="000000"/>
                <w:kern w:val="0"/>
                <w:sz w:val="25"/>
                <w:szCs w:val="24"/>
              </w:rPr>
              <w:t>农发贴现</w:t>
            </w:r>
            <w:r>
              <w:rPr>
                <w:rFonts w:ascii="Times New Roman" w:hAnsi="Times New Roman"/>
                <w:color w:val="000000"/>
                <w:kern w:val="0"/>
                <w:sz w:val="25"/>
                <w:szCs w:val="24"/>
              </w:rPr>
              <w:t>11</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500,000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49,854,779.01</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0.68</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220216</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22</w:t>
            </w:r>
            <w:r>
              <w:rPr>
                <w:rFonts w:ascii="Times New Roman" w:hAnsi="Times New Roman"/>
                <w:color w:val="000000"/>
                <w:kern w:val="0"/>
                <w:sz w:val="25"/>
                <w:szCs w:val="24"/>
              </w:rPr>
              <w:t>国开</w:t>
            </w:r>
            <w:r>
              <w:rPr>
                <w:rFonts w:ascii="Times New Roman" w:hAnsi="Times New Roman"/>
                <w:color w:val="000000"/>
                <w:kern w:val="0"/>
                <w:sz w:val="25"/>
                <w:szCs w:val="24"/>
              </w:rPr>
              <w:t>16</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400,000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40,138,082.19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0.55</w:t>
            </w:r>
          </w:p>
        </w:tc>
      </w:tr>
    </w:tbl>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6、报告期末按公允价值占基金资产净值比例大小排序的前十名资产支持证券投资明细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7、报告期末按公允价值占基金资产净值比例大小排序的前五名贵金属投资明细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8、报告期末按公允价值占基金资产净值比例大小排序的前五名权证投资明细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9、报告期末本基金投资的股指期货交易情况说明</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9.1 报告期末本基金投资的股指期货持仓和损益明细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9.2 本基金投资股指期货的投资政策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10、报告期末本基金投资的国债期货交易情况说明</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10.1 本期国债期货投资政策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10.2 报告期末本基金投资的国债期货持仓和损益明细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10.3 本期国债期货投资评价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11、投资组合报告附注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11.1 本基金投资的前十名证券的发行主体本期是否出现被监管部门立案调查，或在报告编制日前一年内受到公开谴责、处罚的情形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报告期内本基金投资的前十名证券的发行主体未被监管部门立案调查，在本报告编制日前一年内本基金投资的前十名证券的发行主体未受到公开谴责和处罚。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11.2 基金投资的前十名股票是否超出基金合同规定的备选股票库</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本基金投资的前十名股票中，没有超出基金合同规定的备选股票库之外的股票。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11.3 其他资产构成</w:t>
      </w:r>
    </w:p>
    <w:tbl>
      <w:tblPr>
        <w:tblW w:w="5000" w:type="pct"/>
        <w:tblCellMar>
          <w:left w:w="0" w:type="dxa"/>
          <w:right w:w="0" w:type="dxa"/>
        </w:tblCellMar>
        <w:tblLook w:val="0000" w:firstRow="0" w:lastRow="0" w:firstColumn="0" w:lastColumn="0" w:noHBand="0" w:noVBand="0"/>
      </w:tblPr>
      <w:tblGrid>
        <w:gridCol w:w="1544"/>
        <w:gridCol w:w="4634"/>
        <w:gridCol w:w="2472"/>
      </w:tblGrid>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名称</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存出保证金</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1,528,196.56</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应收证券清算款</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5,938,645.21</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应收股利</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应收利息</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5</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应收申购款</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39,512,772.45</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其他应收款</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right"/>
              <w:rPr>
                <w:rFonts w:ascii="宋体" w:hAnsi="宋体"/>
                <w:color w:val="000000"/>
                <w:kern w:val="0"/>
                <w:sz w:val="25"/>
                <w:szCs w:val="24"/>
              </w:rPr>
            </w:pPr>
            <w:r>
              <w:rPr>
                <w:rFonts w:ascii="Times New Roman" w:hAnsi="Times New Roman"/>
                <w:color w:val="000000"/>
                <w:kern w:val="0"/>
                <w:sz w:val="25"/>
                <w:szCs w:val="24"/>
              </w:rPr>
              <w:t>46,979,614.22</w:t>
            </w:r>
          </w:p>
        </w:tc>
      </w:tr>
    </w:tbl>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11.4 报告期末持有的处于转股期的可转换债券明细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11.5 报告期末前十名股票中存在流通受限情况的说明</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11.6 投资组合报告附注的其他文字描述部分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由于四舍五入的原因，分项之和与合计项之间可能存在尾差。</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14" w:name="_Toc137828458"/>
      <w:r>
        <w:rPr>
          <w:rFonts w:ascii="Times New Roman" w:hAnsi="Times New Roman"/>
          <w:sz w:val="30"/>
        </w:rPr>
        <w:lastRenderedPageBreak/>
        <w:t>十一、基金的业绩</w:t>
      </w:r>
      <w:bookmarkEnd w:id="14"/>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基金业绩截止日为2023年03月31日，所载财务数据未经审计师审计。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下述基金业绩指标不包括持有人认购或交易基金的各项费用，计入费用后实际收益水平要低于所列数字。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1、基金份额净值增长率及其与同期业绩比较基准收益率的比较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（1）交银国企改革灵活配置混合A</w:t>
      </w:r>
    </w:p>
    <w:tbl>
      <w:tblPr>
        <w:tblW w:w="5000" w:type="pct"/>
        <w:tblCellMar>
          <w:left w:w="0" w:type="dxa"/>
          <w:right w:w="0" w:type="dxa"/>
        </w:tblCellMar>
        <w:tblLook w:val="0000" w:firstRow="0" w:lastRow="0" w:firstColumn="0" w:lastColumn="0" w:noHBand="0" w:noVBand="0"/>
      </w:tblPr>
      <w:tblGrid>
        <w:gridCol w:w="1297"/>
        <w:gridCol w:w="1297"/>
        <w:gridCol w:w="1297"/>
        <w:gridCol w:w="1298"/>
        <w:gridCol w:w="1298"/>
        <w:gridCol w:w="1298"/>
        <w:gridCol w:w="865"/>
      </w:tblGrid>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①-③</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②-④</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3.47%</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0.74%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3.19%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0.51%</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0.28%</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0.23%</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2022</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4.64%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1.15%</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-12.04%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0.77%</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16.68%</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0.38%</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2021</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20.39%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0.89%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-0.76%</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0.70%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21.15%</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0.19%</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2020</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54.89%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1.38%</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17.63%</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0.85%</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37.26%</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0.53%</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2019</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38.59%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1.06%</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23.09%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0.74%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15.50%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0.32%</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2018</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-21.79%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1.29%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-12.93%</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0.80%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-8.86%</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0.49%</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2017</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0.29%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0.78%</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12.81%</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0.38%</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-12.52%</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0.40%</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2016</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-4.88%</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1.57%</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-5.60%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0.84%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0.72%</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0.73%</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2015</w:t>
            </w:r>
            <w:r>
              <w:rPr>
                <w:rFonts w:ascii="Times New Roman" w:hAnsi="Times New Roman"/>
                <w:color w:val="000000"/>
                <w:kern w:val="0"/>
                <w:sz w:val="25"/>
                <w:szCs w:val="24"/>
              </w:rPr>
              <w:t>年度（</w:t>
            </w:r>
            <w:r>
              <w:rPr>
                <w:rFonts w:ascii="Times New Roman" w:hAnsi="Times New Roman"/>
                <w:color w:val="000000"/>
                <w:kern w:val="0"/>
                <w:sz w:val="25"/>
                <w:szCs w:val="24"/>
              </w:rPr>
              <w:t>2015</w:t>
            </w:r>
            <w:r>
              <w:rPr>
                <w:rFonts w:ascii="Times New Roman" w:hAnsi="Times New Roman"/>
                <w:color w:val="000000"/>
                <w:kern w:val="0"/>
                <w:sz w:val="25"/>
                <w:szCs w:val="24"/>
              </w:rPr>
              <w:t>年</w:t>
            </w:r>
            <w:r>
              <w:rPr>
                <w:rFonts w:ascii="Times New Roman" w:hAnsi="Times New Roman"/>
                <w:color w:val="000000"/>
                <w:kern w:val="0"/>
                <w:sz w:val="25"/>
                <w:szCs w:val="24"/>
              </w:rPr>
              <w:t>6</w:t>
            </w:r>
            <w:r>
              <w:rPr>
                <w:rFonts w:ascii="Times New Roman" w:hAnsi="Times New Roman"/>
                <w:color w:val="000000"/>
                <w:kern w:val="0"/>
                <w:sz w:val="25"/>
                <w:szCs w:val="24"/>
              </w:rPr>
              <w:t>月</w:t>
            </w:r>
            <w:r>
              <w:rPr>
                <w:rFonts w:ascii="Times New Roman" w:hAnsi="Times New Roman"/>
                <w:color w:val="000000"/>
                <w:kern w:val="0"/>
                <w:sz w:val="25"/>
                <w:szCs w:val="24"/>
              </w:rPr>
              <w:t>10</w:t>
            </w:r>
            <w:r>
              <w:rPr>
                <w:rFonts w:ascii="Times New Roman" w:hAnsi="Times New Roman"/>
                <w:color w:val="000000"/>
                <w:kern w:val="0"/>
                <w:sz w:val="25"/>
                <w:szCs w:val="24"/>
              </w:rPr>
              <w:t>日至</w:t>
            </w:r>
            <w:r>
              <w:rPr>
                <w:rFonts w:ascii="Times New Roman" w:hAnsi="Times New Roman"/>
                <w:color w:val="000000"/>
                <w:kern w:val="0"/>
                <w:sz w:val="25"/>
                <w:szCs w:val="24"/>
              </w:rPr>
              <w:t>2015</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8.70%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1.78%</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-16.65%</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1.69%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25.35%</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r>
    </w:tbl>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（2）交银国企改革灵活配置混合C：</w:t>
      </w:r>
    </w:p>
    <w:tbl>
      <w:tblPr>
        <w:tblW w:w="5000" w:type="pct"/>
        <w:tblCellMar>
          <w:left w:w="0" w:type="dxa"/>
          <w:right w:w="0" w:type="dxa"/>
        </w:tblCellMar>
        <w:tblLook w:val="0000" w:firstRow="0" w:lastRow="0" w:firstColumn="0" w:lastColumn="0" w:noHBand="0" w:noVBand="0"/>
      </w:tblPr>
      <w:tblGrid>
        <w:gridCol w:w="1297"/>
        <w:gridCol w:w="1297"/>
        <w:gridCol w:w="1297"/>
        <w:gridCol w:w="1298"/>
        <w:gridCol w:w="1298"/>
        <w:gridCol w:w="1298"/>
        <w:gridCol w:w="865"/>
      </w:tblGrid>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①-③</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②-④</w:t>
            </w:r>
          </w:p>
        </w:tc>
      </w:tr>
      <w:tr w:rsidR="005B1FF5">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自基金份额类别首次确认起至</w:t>
            </w:r>
            <w:r>
              <w:rPr>
                <w:rFonts w:ascii="Times New Roman" w:hAnsi="Times New Roman"/>
                <w:color w:val="000000"/>
                <w:kern w:val="0"/>
                <w:sz w:val="25"/>
                <w:szCs w:val="24"/>
              </w:rPr>
              <w:t>2023</w:t>
            </w:r>
            <w:r>
              <w:rPr>
                <w:rFonts w:ascii="Times New Roman" w:hAnsi="Times New Roman"/>
                <w:color w:val="000000"/>
                <w:kern w:val="0"/>
                <w:sz w:val="25"/>
                <w:szCs w:val="24"/>
              </w:rPr>
              <w:t>年</w:t>
            </w:r>
            <w:r>
              <w:rPr>
                <w:rFonts w:ascii="Times New Roman" w:hAnsi="Times New Roman"/>
                <w:color w:val="000000"/>
                <w:kern w:val="0"/>
                <w:sz w:val="25"/>
                <w:szCs w:val="24"/>
              </w:rPr>
              <w:t>3</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-1.60%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0.72%</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0.47%</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-1.56%</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0.25%</w:t>
            </w:r>
          </w:p>
        </w:tc>
      </w:tr>
    </w:tbl>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注：1、本基金业绩比较基准自2015年10月1日起，由“60%×沪深300指数</w:t>
      </w:r>
      <w:r>
        <w:rPr>
          <w:rFonts w:ascii="宋体" w:hAnsi="宋体"/>
          <w:sz w:val="24"/>
        </w:rPr>
        <w:lastRenderedPageBreak/>
        <w:t>+40%×中信标普全债指数”变更为“60%×沪深300指数+40%×中证综合债券指数”。详情见本基金管理人于2015年9月28日发布的《交银施罗德基金管理有限公司关于旗下部分基金业绩比较基准变更并修改基金合同相关内容的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2、本基金的业绩比较基准每日进行再平衡过程。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2、自基金合同生效以来基金份额累计净值增长率变动及其与同期业绩比较基准收益率变动的比较</w:t>
      </w:r>
    </w:p>
    <w:p w:rsidR="005B1FF5" w:rsidRDefault="000B1B0D">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交银施罗德国企改革灵活配置混合型证券投资基金</w:t>
      </w:r>
    </w:p>
    <w:p w:rsidR="005B1FF5" w:rsidRDefault="000B1B0D">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份额累计净值增长率与业绩比较基准收益率的历史走势对比图</w:t>
      </w:r>
    </w:p>
    <w:p w:rsidR="005B1FF5" w:rsidRDefault="000B1B0D">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（2015年6月10日至2023年03月31日）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（1）交银国企改革灵活配置混合A</w:t>
      </w:r>
    </w:p>
    <w:p w:rsidR="005B1FF5" w:rsidRDefault="00BA70AD">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drawing>
          <wp:inline distT="0" distB="0" distL="0" distR="0">
            <wp:extent cx="5577840" cy="4549140"/>
            <wp:effectExtent l="0" t="0" r="0" b="0"/>
            <wp:docPr id="4" name="图片 2"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212566102420208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4549140"/>
                    </a:xfrm>
                    <a:prstGeom prst="rect">
                      <a:avLst/>
                    </a:prstGeom>
                    <a:noFill/>
                    <a:ln>
                      <a:noFill/>
                    </a:ln>
                  </pic:spPr>
                </pic:pic>
              </a:graphicData>
            </a:graphic>
          </wp:inline>
        </w:drawing>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（2）交银国企改革灵活配置混合C</w:t>
      </w:r>
    </w:p>
    <w:p w:rsidR="005B1FF5" w:rsidRDefault="00BA70AD">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lastRenderedPageBreak/>
        <w:drawing>
          <wp:inline distT="0" distB="0" distL="0" distR="0">
            <wp:extent cx="5577840" cy="4549140"/>
            <wp:effectExtent l="0" t="0" r="0" b="0"/>
            <wp:docPr id="3" name="图片 3"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212566102420208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7840" cy="4549140"/>
                    </a:xfrm>
                    <a:prstGeom prst="rect">
                      <a:avLst/>
                    </a:prstGeom>
                    <a:noFill/>
                    <a:ln>
                      <a:noFill/>
                    </a:ln>
                  </pic:spPr>
                </pic:pic>
              </a:graphicData>
            </a:graphic>
          </wp:inline>
        </w:drawing>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注：1、本基金建仓期为自基金合同生效日起的6个月。截至建仓期结束，本基金各项资产配置比例符合基金合同及招募说明书有关投资比例的约定。 2、本基金自2023年2月28日起，开始销售C类份额，投资者提交的申购申请于2023年3月1日被确认并将有效份额登记在册。</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15" w:name="_Toc137828459"/>
      <w:r>
        <w:rPr>
          <w:rFonts w:ascii="Times New Roman" w:hAnsi="Times New Roman"/>
          <w:sz w:val="30"/>
        </w:rPr>
        <w:lastRenderedPageBreak/>
        <w:t>十二、基金的财产</w:t>
      </w:r>
      <w:bookmarkEnd w:id="15"/>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（一）基金资产总值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基金资产总值是指基金拥有的各类有价证券、股指期货合约、证券投资基金份额、银行存款本息、基金应收申购款及其他资产的价值总和。</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（二）基金资产净值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（三）基金财产的账户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根据相关法律法规、规范性文件为本基金开立资金账户、证券账户、期货账户以及投资所需的其他专用账户。开立的基金专用账户与基金管理人、基金托管人、基金销售机构和基金登记机构自有的财产账户以及其他基金财产账户相独立。</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（四）基金财产的保管和处分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16" w:name="_Toc137828460"/>
      <w:r>
        <w:rPr>
          <w:rFonts w:ascii="Times New Roman" w:hAnsi="Times New Roman"/>
          <w:sz w:val="30"/>
        </w:rPr>
        <w:lastRenderedPageBreak/>
        <w:t>十三、基金资产的估值</w:t>
      </w:r>
      <w:bookmarkEnd w:id="16"/>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（一）估值日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本基金的估值日为本基金相关的证券交易场所的交易日以及国家法律法规规定需要对外披露基金净值的非交易日。</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（二）估值对象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基金所拥有的股票、债券、证券投资基金、衍生工具和其它投资等持续以公允价值计量的金融资产及负债。</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（三）估值方法</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1、证券交易所上市的有价证券的估值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（2）交易所市场上市交易或挂牌转让的固定收益品种（另有规定的除外），选取第三方估值机构提供的相应品种当日的估值净价进行估值；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（3）交易所市场上市交易的可转换债券，按估值日收盘价减去可转换债券收盘价中所含债券应收利息后得到的净价进行估值；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（4）交易所市场挂牌转让的资产支持证券和私募债券，采用估值技术确定公允价值。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2、证券交易所发行未上市期间的有价证券应区分如下情况处理：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（1）送股、转增股、配股和公开增发的新股，按估值日在证券交易所挂牌的同一股票的估值方法估值；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（2）首次公开发行未上市的股票和权证，采用估值技术确定公允价值；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（3）首次公开发行有明确锁定期的股票，同一股票在交易所上市后，按交易所上市的同一股票的估值方法估值；非公开发行有明确锁定期的股票，按监管机构或行业协会有关规定确定公允价值。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（4）交易所市场发行未上市或未挂牌转让的债券，采用估值技术确定公允价</w:t>
      </w:r>
      <w:r>
        <w:rPr>
          <w:rFonts w:ascii="宋体" w:hAnsi="宋体"/>
          <w:sz w:val="24"/>
        </w:rPr>
        <w:lastRenderedPageBreak/>
        <w:t>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3、银行间市场上市交易的固定收益品种，选取第三方估值机构提供的相应品种当日的估值净价进行估值。银行间市场发行未上市的固定收益品种，采用估值技术确定公允价值。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4、本基金投资股指期货合约，一般以估值当日结算价进行估值，估值当日无结算价的，且最近交易日后经济环境未发生重大变化的，采用最近交易日结算价估值。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5、如有确凿证据表明按上述方法进行估值不能客观反映其公允价值的，基金管理人可根据具体情况与基金托管人商定后，按最能反映公允价值的方法估值。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6、本基金投资存托凭证的估值核算依照境内上市交易的股票执行。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7、相关法律法规以及监管部门有强制规定的，从其规定。如有新增事项，按法律法规以及监管部门最新规定估值。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（四）估值程序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1、各类基金份额的基金份额净值是按照每个工作日闭市后，该类基金份额的基金资产净值除以当日该类基金份额的余额数量计算，精确到0.0001元，小数点后第五位四舍五入。国家另有规定的，从其规定。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基金管理人于每个工作日计算各类基金份额的基金资产净值及基金份额净值，并按规定公告。如遇特殊情况，经中国证监会同意，可以适当延迟计算或公告。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依据基金合同和相关法律法规的规定对外公布。</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（五）估值错误的处理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基金管理人和基金托管人将采取必要、适当、合理的措施确保基金资产估值的准确性、及时性。当基金份额净值小数点后第4位以内（含第4位) 发生估值错误时，视为基金份额净值错误。</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基金合同的当事人应按照以下约定处理：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1、估值错误类型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如果由于基金管理人或基金托管人、或登记机构、或销售机构、或投资人自身的过错造成估值错误，导致其他当事人遭受损失的，过错的责任人应当对由于该估值错误遭受损失当事人（“受损方”) 的直接损失按下述“估值错误处理原则”给予赔偿，承担赔偿责任。</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上述估值错误的主要类型包括但不限于：资料申报差错、数据传输差错、数据计算差错、系统故障差错、下达指令差错等。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对于因技术原因引起的差错，若系同行业现有技术水平无法预见、无法避免、无法抗拒，则属不可抗力，按照下述规定执行。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2、估值错误处理原则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（2）估值错误的责任方对有关当事人的直接损失负责，不对间接损失负责，并且仅对估值错误的有关直接当事人负责，不对第三方负责。</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（3）因估值错误而获得不当得利的当事人负有及时返还不当得利的义务。但</w:t>
      </w:r>
      <w:r>
        <w:rPr>
          <w:rFonts w:ascii="宋体" w:hAnsi="宋体"/>
          <w:sz w:val="24"/>
        </w:rPr>
        <w:lastRenderedPageBreak/>
        <w:t>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（4）估值错误调整采用尽量恢复至假设未发生估值错误的正确情形的方式。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（5）按法律法规规定的其他原则处理估值错误。</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3、估值错误处理程序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估值错误被发现后，有关的当事人应当及时进行处理，处理的程序如下：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（1）查明估值错误发生的原因，列明所有的当事人，并根据估值错误发生的原因确定估值错误的责任方；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（2）根据估值错误处理原则或当事人协商的方法对因估值错误造成的损失进行评估；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（3）根据估值错误处理原则或当事人协商的方法由估值错误的责任方进行更正和赔偿损失；</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（4）根据估值错误处理的方法，需要修改基金登记机构交易数据的，由基金登记机构进行更正，并就估值错误的更正向有关当事人进行确认。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4、基金份额净值估值错误处理的方法如下：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（1）基金份额净值计算出现错误时，基金管理人应当立即予以纠正，通报基金托管人，并采取合理的措施防止损失进一步扩大。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（2）错误偏差达到基金份额净值的0.25%时，基金管理人应当通报基金托管人并报中国证监会备案；错误偏差达到基金份额净值的0.5%时，基金管理人应当公告。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（3）前述内容如法律法规或监管机关另有规定的，从其规定处理。</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（六）暂停估值的情形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1、基金投资所涉及的证券、期货交易市场遇法定节假日或因其他原因暂停营业时；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2、因不可抗力致使基金管理人、基金托管人无法准确评估基金资产价值时；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3、当特定资产占前一估值日基金资产净值50%以上的，经与基金托管人协商确</w:t>
      </w:r>
      <w:r>
        <w:rPr>
          <w:rFonts w:ascii="宋体" w:hAnsi="宋体"/>
          <w:sz w:val="24"/>
        </w:rPr>
        <w:lastRenderedPageBreak/>
        <w:t>认后，基金管理人应当暂停估值；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4、中国证监会和基金合同认定的其它情形。</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（七）基金净值的确认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用于基金信息披露的各类基金份额的基金资产净值和基金份额净值由基金管理人负责计算，基金托管人负责进行复核。基金管理人应于每个开放日交易结束后计算当日各类基金份额的基金资产净值和基金份额净值并发送给基金托管人。基金托管人对净值计算结果复核确认后发送给基金管理人，由基金管理人依据基金合同和相关法律法规的规定对基金净值予以公布。</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（八）特殊情形的处理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1、基金管理人或基金托管人按估值方法的第5项进行估值时，所造成的误差不作为基金资产估值错误处理。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由于不可抗力原因，或由于证券、期货交易所、证券经纪机构、期货公司及登记结算公司发送的数据错误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（九）实施侧袋机制期间的基金资产估值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本基金实施侧袋机制的，应根据本部分的约定对主袋账户资产进行估值并披露主袋账户的基金净值信息，暂停披露侧袋账户份额净值。</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17" w:name="_Toc137828461"/>
      <w:r>
        <w:rPr>
          <w:rFonts w:ascii="Times New Roman" w:hAnsi="Times New Roman"/>
          <w:sz w:val="30"/>
        </w:rPr>
        <w:lastRenderedPageBreak/>
        <w:t>十四、基金收益与分配</w:t>
      </w:r>
      <w:bookmarkEnd w:id="17"/>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（一）基金利润的构成</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基金利润指基金利息收入、投资收益、公允价值变动收益和其他收入扣除相关费用后的余额，基金已实现收益指基金利润减去公允价值变动收益后的余额。</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（二）基金可供分配利润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基金可供分配利润指截至收益分配基准日基金未分配利润与未分配利润中已实现收益的孰低数。</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（三）基金收益分配原则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在符合有关基金分红条件的前提下，本基金每年收益分配次数最多为6次，每份基金份额每次分配比例不得低于收益分配基准日每份基金份额可供分配利润的10%，若《基金合同》生效不满3个月可不进行收益分配；</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3、基金收益分配后任一类基金份额净值不能低于面值，即基金收益分配基准日的任一类基金份额净值减去每单位该类基金份额收益分配金额后不能低于面值；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4、由于本基金A类基金份额不收取销售服务费，C类基金份额收取销售服务费，各基金份额类别对应的可供分配利润将有所不同；本基金同一基金份额类别的每一基金份额享有同等分配权；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5、法律法规或监管机关另有规定的，从其规定。</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（四）收益分配方案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基金收益分配方案中应载明截止收益分配基准日的可供分配利润、基金收益分配对象、分配时间、分配数额及比例、分配方式等内容。</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（五）收益分配方案的确定、公告与实施</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本基金收益分配方案由基金管理人拟定，并由基金托管人复核，依照《信息披露办法》的有关规定在指定媒介公告。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基金红利发放日距离收益分配基准日（即可供分配利润计算截止日）的时间不得超过15个工作日。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法律法规或监管机关另有规定的，从其规定。</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（六）基金收益分配中发生的费用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时所发生的银行转账或其他手续费用由投资者自行承担。当投资者的现金红利小于一定金额，不足以支付银行转账或其他手续费用时，登记机构可将基金份额持有人的现金红利自动转为相应类别的基金份额。红利再投资的计算方法，依照《业务规则》执行。</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（七）收益分配方式的修改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投资人可至销售机构办理收益分配方式的修改，投资人对本基金不同的交易账户可设置不同的收益分配方式。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投资人同一日多次申报收益分配方式变更的，按照《业务规则》执行，最终确认的收益分配方式以登记机构记录为准。</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（八）实施侧袋机制期间的收益分配</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本基金实施侧袋机制的，侧袋账户不进行收益分配。</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18" w:name="_Toc137828462"/>
      <w:r>
        <w:rPr>
          <w:rFonts w:ascii="Times New Roman" w:hAnsi="Times New Roman"/>
          <w:sz w:val="30"/>
        </w:rPr>
        <w:lastRenderedPageBreak/>
        <w:t>十五、基金的费用与税收</w:t>
      </w:r>
      <w:bookmarkEnd w:id="18"/>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（一）基金费用的种类</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3、《基金合同》生效后与基金相关的信息披露费用；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4、《基金合同》生效后与基金相关的会计师费、律师费和诉讼费；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5、基金份额持有人大会费用；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6、基金的证券、期货交易费用；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7、基金的银行汇划费用；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8、基金的开户费用、账户维护费用；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9、本基金从C类基金份额的基金财产中计提的销售服务费；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10、按照国家有关规定和《基金合同》约定，可以在基金财产中列支的其他费用。</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（二）基金费用计提方法、计提标准和支付方式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1、与基金运作有关的费用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本基金的管理费按前一日基金资产净值的1.</w:t>
      </w:r>
      <w:r w:rsidR="00DE4ABF">
        <w:rPr>
          <w:rFonts w:ascii="宋体" w:hAnsi="宋体"/>
          <w:sz w:val="24"/>
        </w:rPr>
        <w:t>2</w:t>
      </w:r>
      <w:r>
        <w:rPr>
          <w:rFonts w:ascii="宋体" w:hAnsi="宋体"/>
          <w:sz w:val="24"/>
        </w:rPr>
        <w:t>%年费率计提。管理费的计算方法如下：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H＝E×1.</w:t>
      </w:r>
      <w:r w:rsidR="00DE4ABF">
        <w:rPr>
          <w:rFonts w:ascii="宋体" w:hAnsi="宋体"/>
          <w:sz w:val="24"/>
        </w:rPr>
        <w:t>2</w:t>
      </w:r>
      <w:r>
        <w:rPr>
          <w:rFonts w:ascii="宋体" w:hAnsi="宋体"/>
          <w:sz w:val="24"/>
        </w:rPr>
        <w:t>%÷当年天数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H为每日应计提的基金管理费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基金管理费每日计提，按月支付。由基金管理人向基金托管人发送基金管理费划付指令，经基金托管人复核后于次月首日起3个工作日内从基金资产中一次性支付给基金管理人。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若遇法定节假日、休息日或不可抗力致使无法按时支付的，顺延至最近可支付日支付。</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本基金的托管费按前一日基金资产净值的0.2%的年费率计提。托管费的计算方法如下：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H＝E×0.2%÷当年天数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H为每日应计提的基金托管费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基金托管费每日计提，按月支付。由基金管理人向基金托管人发送基金托管费划付指令，经基金托管人复核后于次月首日起3个工作日内从基金资产中一次性支付给基金托管人。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若遇法定节假日、休息日或不可抗力致使无法按时支付的，顺延至最近可支付日支付。</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（3）C类基金份额的销售服务费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本基金A类基金份额不收取销售服务费，C类基金份额的销售服务费按前一日C类基金资产净值的0.6%年费率计提。计算方法如下：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H＝E×0.6%÷当年天数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H为C类基金份额每日应计提的销售服务费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E为C类基金份额前一日基金资产净值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销售服务费每日计提，按月支付。由基金管理人向基金托管人发送销售服务费划款指令，经基金托管人复核后于次月首日起5个工作日内从基金财产中一次性支付给基金管理人，由基金管理人代付给销售机构。若遇法定节假日、休息日或不可抗力致使无法按时支付的，顺延至最近可支付日支付。</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C类基金份额的销售服务费将专门用于本基金的市场推广、销售与基金份额持有人服务。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（4）上述“（一）基金费用的种类”中第3－8项、第10项费用，根据有关法规及相应协议规定，按费用实际支出金额列入当期费用，由基金托管人从基金财产中支付。</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2、与基金销售有关的费用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本基金申购费的费率水平、计算公式和收取方式详见“基金份额的申购与赎回”一章。</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本基金赎回费的费率水平、计算公式和收取方式详见“基金份额的申购与赎回”一章。</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（3）转换费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本基金转换费的费率水平、计算公式和收取方式详见“基金的转换”一章。</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（三）不列入基金费用的项目</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下列费用不列入基金费用：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1、基金管理人和基金托管人因未履行或未完全履行义务导致的费用支出或基金财产的损失；</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2、基金管理人和基金托管人处理与基金运作无关的事项发生的费用；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3、《基金合同》生效前的相关费用；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4、其他根据相关法律法规及中国证监会的有关规定不得列入基金费用的项目。</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管理人和基金托管人可根据基金发展情况调整基金管理费率、基金托管费率、销售服务费率等相关费率。降低基金管理费率、基金托管费率、销售服务费率，无须召开基金份额持有人大会。基金管理人必须依照有关规定于新的费率实施日前在指定媒介上刊登公告。</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（五）实施侧袋机制期间的基金费用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本基金实施侧袋机制的，与侧袋账户有关的费用可以从侧袋账户中列支，但应待侧袋账户资产变现后方可列支，有关费用可酌情收取或减免，但不得收取管理费，详见本招募说明书“侧袋机制”部分的规定。</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（六）基金税收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本基金运作过程中涉及的各纳税主体，其纳税义务按国家税收法律、法规执行。</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19" w:name="_Toc137828463"/>
      <w:r>
        <w:rPr>
          <w:rFonts w:ascii="Times New Roman" w:hAnsi="Times New Roman"/>
          <w:sz w:val="30"/>
        </w:rPr>
        <w:lastRenderedPageBreak/>
        <w:t>十六、基金的会计与审计</w:t>
      </w:r>
      <w:bookmarkEnd w:id="19"/>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（一）基金会计政策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1、基金管理人为本基金的基金会计责任方；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2、基金的会计年度为公历年度的1月1日至12月31日；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3、基金核算以人民币为记账本位币，以人民币元为记账单位；</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4、会计制度执行国家有关会计制度；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5、本基金独立建账、独立核算；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6、基金管理人及基金托管人各自保留完整的会计账目、凭证并进行日常的会计核算，按照有关规定编制基金会计报表；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7、基金托管人每月与基金管理人就基金的会计核算、报表编制等进行核对并以书面方式确认。</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（二）基金的年度审计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1、基金管理人聘请与基金管理人、基金托管人相互独立的具有证券从业资格证券、期货相关从业资格的会计师事务所及其注册会计师对本基金的年度财务报表进行审计。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2、会计师事务所更换经办注册会计师，应事先征得基金管理人同意。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3、基金管理人认为有充足理由更换会计师事务所，须通报基金托管人。更换会计师事务所需按照《信息披露办法》的有关规定在指定媒介公告。</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20" w:name="_Toc137828464"/>
      <w:r>
        <w:rPr>
          <w:rFonts w:ascii="Times New Roman" w:hAnsi="Times New Roman"/>
          <w:sz w:val="30"/>
        </w:rPr>
        <w:lastRenderedPageBreak/>
        <w:t>十七、基金的信息披露</w:t>
      </w:r>
      <w:bookmarkEnd w:id="20"/>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（一）本基金的信息披露应符合《基金法》、《运作办法》、《信息披露办法》、《流动性规定》、《基金合同》及其他有关规定。</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（二）信息披露义务人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本基金信息披露义务人包括基金管理人、基金托管人、召集基金份额持有人大会的基金份额持有人等法律法规和中国证监会规定的自然人、法人和非法人组织。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应当在中国证监会规定时间内，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（三）本基金信息披露义务人承诺公开披露的基金信息，不得有下列行为：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1、虚假记载、误导性陈述或者重大遗漏；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2、对证券投资业绩进行预测；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3、违规承诺收益或者承担损失；</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4、诋毁其他基金管理人、基金托管人或者基金销售机构；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5、登载任何自然人、法人和非法人组织的祝贺性、恭维性或推荐性的文字；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6、中国证监会禁止的其他行为。</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（四）本基金公开披露的信息应采用中文文本。如同时采用外文文本的，基金信息披露义务人应保证不同文本的内容一致。不同文本之间发生歧义的，以中文文本为准。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本基金公开披露的信息采用阿拉伯数字；除特别说明外，货币单位为人民币元。</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（五）公开披露的基金信息</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公开披露的基金信息包括：</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1、基金招募说明书、《基金合同》、基金托管协议、基金产品资料概要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（1）《基金合同》是界定《基金合同》当事人的各项权利、义务关系，明确基</w:t>
      </w:r>
      <w:r>
        <w:rPr>
          <w:rFonts w:ascii="宋体" w:hAnsi="宋体"/>
          <w:sz w:val="24"/>
        </w:rPr>
        <w:lastRenderedPageBreak/>
        <w:t>金份额持有人大会召开的规则及具体程序，说明基金产品的特性等涉及基金投资者重大利益的事项的法律文件。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（3）基金托管协议是界定基金托管人和基金管理人在基金财产保管及基金运作监督等活动中的权利、义务关系的法律文件。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募集申请经中国证监会注册后，基金管理人在基金份额发售的3日前，将基金招募说明书、《基金合同》摘要登载在指定报刊和网站上；基金管理人、基金托管人应当将《基金合同》、基金托管协议登载在网站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2、基金份额发售公告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基金管理人应当就基金份额发售的具体事宜编制基金份额发售公告，并在披露招募说明书的当日登载于指定媒介上。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基金管理人应当在收到中国证监会确认文件的次日在指定媒介上登载《基金合同》生效公告。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4、基金净值信息</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《基金合同》生效后，在开始办理基金份额申购或者赎回前，基金管理人应当至少每周在指定网站分别披露一次A类基金份额和C类基金份额所对应的基金份额净值和基金份额累计净值。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在开始办理基金份额申购或者赎回后，基金管理人应当在不晚于每个开放日的</w:t>
      </w:r>
      <w:r>
        <w:rPr>
          <w:rFonts w:ascii="宋体" w:hAnsi="宋体"/>
          <w:sz w:val="24"/>
        </w:rPr>
        <w:lastRenderedPageBreak/>
        <w:t>次日，通过指定网站、基金销售机构网站或者营业网点分别披露开放日A类基金份额和C类基金份额所对应的基金份额净值和基金份额累计净值。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基金管理人应当在不晚于半年度和年度最后一日的次日，在指定网站披露半年度和年度最后一日A类基金份额和C类基金份额所对应的基金份额净值和基金份额累计净值。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5、基金份额申购、赎回价格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6、基金定期报告，包括基金年度报告、基金中期报告和基金季度报告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基金管理人应当在上半年结束之日起两个月内，编制完成基金中期报告，将中期报告登载在指定网站上，并将中期报告提示性公告登载在指定报刊上。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基金管理人应当在季度结束之日起15个工作日内，编制完成基金季度报告，将季度报告登载在指定网站上，并将季度报告提示性公告登载在指定报刊上。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《基金合同》生效不足2个月的，基金管理人可以不编制当期季度报告、中期报告或者年度报告。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基金管理人应当在基金年度报告和中期报告中披露基金组合资产情况及其流动性风险分析等。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7、临时报告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本基金发生重大事件，有关信息披露义务人应当在2日内编制临时报告书，并登载在指定报刊和指定网站上。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前款所称重大事件，是指可能对基金份额持有人权益或者基金份额的价格产生重大影响的下列事件：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（1）基金份额持有人大会的召开及决定的事项；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（2）《基金合同》终止、基金清算；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（3）转换基金运作方式、基金合并；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（4）更换基金管理人、基金托管人、基金份额登记机构，基金改聘会计师事务所；</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（5）基金管理人委托基金服务机构代为办理基金的份额登记、核算、估值等事项，基金托管人委托基金服务机构代为办理基金的核算、估值、复核等事项；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（6）基金管理人、基金托管人的法定名称、住所发生变更；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（7）基金管理人变更持有百分之五以上股权的股东、基金管理人的实际控制人变更；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（8）基金募集期延长或提前结束募集；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（9）基金管理人的高级管理人员、基金经理和基金托管人专门基金托管部门负责人发生变动；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（10）基金管理人的董事在最近12个月内变更超过百分之五十，基金管理人、基金托管人专门基金托管部门的主要业务人员在最近12个月内变动超过百分之三十；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（11）涉及基金财产、基金管理业务、基金托管业务的诉讼或仲裁；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（12）基金管理人或其高级管理人员、基金经理因基金管理业务相关行为受到重大行政处罚、刑事处罚，基金托管人或其专门基金托管部门负责人因基金托管业务相关行为受到重大行政处罚、刑事处罚；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（14）基金收益分配事项；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（15）管理费、托管费、销售服务费、申购费、赎回费等费用计提标准、计提方式和费率发生变更；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（16）任一类基金份额净值计价错误达该类基金份额净值百分之零点五；</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（17）本基金开始办理申购、赎回；</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（18）本基金发生巨额赎回并延期办理；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（19）本基金连续发生巨额赎回并暂停接受赎回申请或延缓支付赎回款项；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（20）本基金暂停接受申购、赎回申请或重新接受申购、赎回申请；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（21）发生涉及基金申购、赎回事项调整或潜在影响投资者赎回等重大事项时；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（22）本基金增加或调整基金份额类别；</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（23）基金信息披露义务人认为可能对基金份额持有人权益或者基金份额的价格产生重大影响的其他事项或中国证监会规定的其他事项。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8、澄清公告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9、基金份额持有人大会决议</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基金份额持有人大会决定的事项，应当依法报中国证监会备案，并予以公告。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基金份额持有人依法自行召集基金份额持有人大会，基金管理人、基金托管人对基金份额持有人大会决定的事项不依法履行信息披露义务的，召集人应当履行相关信息披露义务。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10、清算报告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终止的，基金管理人应当依法组织清算组对基金财产进行清算并作出清算报告。清算报告应当经过具有证券、期货相关业务资格的会计师事务所审计，并由律师事务所出具法律意见书。清算组应当将清算报告登载在指定网站上，并将清算报告提示性公告登载在指定报刊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投资股指期货，需按照法规要求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投资资产支持证券，基金管理人应在基金年报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13、实施侧袋机制期间的信息披露</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本基金实施侧袋机制的，相关信息披露义务人应当根据法律法规、基金合同和招募说明书的规定进行信息披露，详见本招募说明书“侧袋机制”部分的规定。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14、中国证监会规定的其他信息。</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（六）信息披露事务管理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基金信息披露义务人公开披露基金信息，应当符合中国证监会相关基金信息披露内容与格式准则等法规规定。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为基金信息披露义务人公开披露的基金信息出具审计报告、法律意见书的专业机构，应当制作工作底稿，并将相关档案至少保存到《基金合同》终止后10年。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（七）信息披露文件的存放与查阅</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依法必须披露的信息发布后，基金管理人、基金托管人应当按照相关法律法规规定将信息置备于各自住所，供社会公众查阅、复制。</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（八）本基金信息披露事项以法律法规规定及本章节约定的内容为准。</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lastRenderedPageBreak/>
        <w:br w:type="page"/>
      </w:r>
    </w:p>
    <w:p w:rsidR="005B1FF5" w:rsidRDefault="000B1B0D">
      <w:pPr>
        <w:pStyle w:val="1"/>
        <w:snapToGrid w:val="0"/>
        <w:spacing w:beforeLines="0" w:before="240" w:after="240"/>
        <w:rPr>
          <w:rFonts w:ascii="宋体" w:hAnsi="宋体"/>
          <w:szCs w:val="30"/>
        </w:rPr>
      </w:pPr>
      <w:bookmarkStart w:id="21" w:name="_Toc137828465"/>
      <w:r>
        <w:rPr>
          <w:rFonts w:ascii="Times New Roman" w:hAnsi="Times New Roman"/>
          <w:sz w:val="30"/>
        </w:rPr>
        <w:lastRenderedPageBreak/>
        <w:t>十八、侧袋机制</w:t>
      </w:r>
      <w:bookmarkEnd w:id="21"/>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（一）侧袋机制的实施条件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基金管理人应当在启用侧袋机制后及时发布临时公告，并在五个工作日内聘请侧袋机制启用日发表意见且符合《中华人民共和国证券法》规定的会计师事务所进行审计并披露专项审计意见。</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（二）实施侧袋机制期间基金份额的申购与赎回</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2、实施侧袋机制期间，基金管理人不办理侧袋账户份额的申购、赎回和转换；同时，基金管理人按照基金合同和招募说明书的约定办理主袋账户份额的赎回，并根据主袋账户运作情况确定是否暂停申购。</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10%认定。</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（三）实施侧袋机制期间的基金投资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基金管理人原则上应当在侧袋机制启用后20个交易日内完成对主袋账户投资组合的调整，因资产流动性受限等中国证监会规定的情形除外。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基金管理人不得在侧袋账户中进行除特定资产处置变现以外的其他投资操作。</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（四）实施侧袋机制期间的基金估值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本基金实施侧袋机制的，基金管理人和基金托管人应对主袋账户资产进行估值</w:t>
      </w:r>
      <w:r>
        <w:rPr>
          <w:rFonts w:ascii="宋体" w:hAnsi="宋体"/>
          <w:sz w:val="24"/>
        </w:rPr>
        <w:lastRenderedPageBreak/>
        <w:t>并披露主袋账户的基金净值信息，暂停披露侧袋账户份额净值。侧袋账户的会计核算应符合《企业会计准则》的相关要求。</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（五）实施侧袋账户期间的基金费用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1、本基金实施侧袋机制的，管理费和托管费等按主袋账户基金资产净值作为基数计提。</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2、与侧袋账户有关的费用可从侧袋账户中列支，但应待侧袋账户资产变现后方可列支，有关费用可酌情收取或减免，但不得收取管理费。</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（六）侧袋账户中特定资产的处置变现和支付</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特定资产以可出售、可转让、恢复交易等方式恢复流动性后，基金管理人应当按照基金份额持有人利益最大化原则，采取将特定资产予以处置变现等方式，及时向侧袋账户份额持有人支付对应变现款项。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侧袋账户资产全部完成变现并终止侧袋机制后，基金管理人应及时聘请符合《中华人民共和国证券法》规定的会计师事务所进行审计并披露专项审计意见。</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（七）侧袋机制的信息披露</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1、临时公告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在启用侧袋机制、处置特定资产、终止侧袋机制以及发生其他可能对投资者利益产生重大影响的事项后基金管理人应及时发布临时公告。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2、基金净值信息</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基金管理人应按照招募说明书“基金的信息披露”部分规定的基金净值信息披露方式和频率披露主袋账户份额的基金净值信息。实施侧袋机制期间本基金暂停披露侧袋账户份额净值和累计净值。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3、定期报告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基金管理人应当在基金定期报告中披露报告期内侧袋账户相关信息，基金定期报告中的基金会计报表仅需针对主袋账户进行编制。会计师事务所对基金年度报告进行审计时，应对报告期内基金侧袋机制运行相关的会计核算和年度报告披露等发表审计意见。</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lastRenderedPageBreak/>
        <w:br w:type="page"/>
      </w:r>
    </w:p>
    <w:p w:rsidR="005B1FF5" w:rsidRDefault="000B1B0D">
      <w:pPr>
        <w:pStyle w:val="1"/>
        <w:snapToGrid w:val="0"/>
        <w:spacing w:beforeLines="0" w:before="240" w:after="240"/>
        <w:rPr>
          <w:rFonts w:ascii="宋体" w:hAnsi="宋体"/>
          <w:szCs w:val="30"/>
        </w:rPr>
      </w:pPr>
      <w:bookmarkStart w:id="22" w:name="_Toc137828466"/>
      <w:r>
        <w:rPr>
          <w:rFonts w:ascii="Times New Roman" w:hAnsi="Times New Roman"/>
          <w:sz w:val="30"/>
        </w:rPr>
        <w:lastRenderedPageBreak/>
        <w:t>十九、风险揭示</w:t>
      </w:r>
      <w:bookmarkEnd w:id="22"/>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认真阅读《基金合同》、《招募说明书》、基金产品资料概要等基金法律文件，了解基金的风险收益特征，并根据自身的投资目的、投资期限、投资经验、资产状况等判断基金是否和投资人的风险承受能力相适应。</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拆分、封转开、分红等行为导致基金份额净值变化，不会改变基金的风险收益特征，不会降低基金投资风险或提高基金投资收益。以1元初始面值开展基金募集或因拆分、封转开、分红等行为导致基金份额净值调整至1元初始面值或1元附近，在市场波动等因素的影响下，基金投资仍有可能出现亏损或基金净值仍有可能低于初始面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w:t>
      </w:r>
      <w:r>
        <w:rPr>
          <w:rFonts w:ascii="宋体" w:hAnsi="宋体"/>
          <w:sz w:val="24"/>
        </w:rPr>
        <w:lastRenderedPageBreak/>
        <w:t>担。</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基金份额持有人须了解并承受以下风险：</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（一）市场风险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证券市场价格因受到经济因素、政治因素、投资心理和交易制度等各种因素的影响而引起的波动，将对基金收益水平产生潜在风险，主要包括：</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1、政策风险。因国家宏观政策（如货币政策、财政政策、行业政策、地区发展政策等）和证券市场监管政策发生变化，导致市场价格波动而产生风险。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2、经济周期风险。证券市场受宏观经济运行的影响，而经济运行具有周期性的特点，宏观经济运行状况将对证券市场的收益水平产生影响，从而对基金收益造成影响。</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5、购买力风险。基金投资的目的是基金资产的保值增值，如果发生通货膨胀，基金投资于证券所获得的收益可能会被通货膨胀抵消，从而使基金的实际收益下降，影响基金资产的保值增值。</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（二）管理风险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（三）流动性风险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w:t>
      </w:r>
      <w:r>
        <w:rPr>
          <w:rFonts w:ascii="宋体" w:hAnsi="宋体"/>
          <w:sz w:val="24"/>
        </w:rPr>
        <w:lastRenderedPageBreak/>
        <w:t>资产变现能力差，可能会产生基金仓位调整的困难，导致流动性风险，可能影响基金份额净值。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1、本基金的申购、赎回安排</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2、投资市场、行业及资产的流动性风险评估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市场主要为证券交易所、全国银行间债券市场等流动性较好的规范型交易场所，主要投资对象为具有良好流动性的金融工具，同时本基金基于分散投资的原则在个券方面未有高集中度的特征，综合评估在正常市场环境下本基金的流动性风险适中。</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3、巨额赎回情形下的流动性风险管理措施</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w:t>
      </w:r>
      <w:r>
        <w:rPr>
          <w:rFonts w:ascii="宋体" w:hAnsi="宋体"/>
          <w:sz w:val="24"/>
        </w:rPr>
        <w:lastRenderedPageBreak/>
        <w:t>赎回处理。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巨额赎回且单个基金份额持有人的赎回申请超过上一日基金总份额20%的情形下，基金管理人有权采取如下措施：对于基金份额持有人当日超过20%的赎回申请，可以对其赎回申请延期办理；对于基金份额持有人未超过上述比例的部分，基金管理人可以根据前段“（1）全额赎回”或“（2）部分延期赎回”的约定方式与其他基金份额持有人的赎回申请一并办理。但是，如基金份额持有人在当日选择取消赎回，则其当日未获受理的部分赎回申请将被撤销。</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暂停赎回：连续2日以上（含本数）发生巨额赎回，如基金管理人认为有必要，可暂停接受基金的赎回申请；已经接受的赎回申请可以延缓支付赎回款项，但不得超过20个工作日，并应当在指定媒体上进行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4、实施备用的流动性风险管理工具的情形、程序及对投资者的潜在影响</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本基金在面临大规模赎回的情况下有可能因为无法变现造成流动性风险。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实施侧袋机制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基金管理人将根据主袋账户运作情况合理确定申购政策，因此实施侧袋机制后主袋账户份额存在暂停申购的可能。</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（四）信用风险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基金在交易过程发生交收违约，或者基金所投资债券之发行人出现违约、拒绝支付到期本息，都可能导致基金资产损失和收益变化，从而产生风险。</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（五）本基金投资策略所特有的风险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属于混合型基金，通过在股票、债券等各类资产之间进行配置来降低风险，提高收益。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（2）本基金可投资创业板股票，创业板个股上市后的前五个交易日不设价格涨跌幅限制，第六个交易日开始涨跌幅限制比例为20%。</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（六）投资股指期货的特定风险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（1）市场风险是指由于股指期货价格变动而给投资者带来的风险。市场风险是股指期货投资中最主要的风险。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（2）流动性风险是指由于股指期货合约无法及时变现所带来的风险。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（3）基差风险是指股指期货合约价格和指数价格之间的价格差的波动所造成的风险，以及不同股指期货合约价格之间价格差的波动所造成的期现价差风险。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（4）保证金风险是指由于无法及时筹措资金满足建立或者维持股指期货合约头寸所要求的保证金而带来的风险。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（5）信用风险是指期货经纪公司违约而产生损失的风险。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（6）操作风险是指由于内部流程的不完善，业务人员出现差错或者疏漏，或</w:t>
      </w:r>
      <w:r>
        <w:rPr>
          <w:rFonts w:ascii="宋体" w:hAnsi="宋体"/>
          <w:sz w:val="24"/>
        </w:rPr>
        <w:lastRenderedPageBreak/>
        <w:t>者系统出现故障等原因造成损失的风险。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此外，由于衍生品通常具有杠杆效应，价格波动比标的工具更为剧烈，并且其定价相当复杂，不适当的估值也有可能使基金资产面临损失风险。</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（七）投资科创板股票的特定风险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集中度风险、系统性风险、政策风险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（1）市场风险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科创板个股上市前五日无涨跌停限制，第六日开始涨跌幅限制在正负20%以内，个股波动幅度较其他股票加大，市场风险随之上升。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（2）流动性风险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整体投资门槛较高，个人投资者必须满足交易满两年并且资金在50万以上才可参与，二级市场上个人投资者参与度相对较低，机构持有个股大量流通盘导致个股流动性较差，基金组合存在无法及时变现及其他相关流动性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（3）退市风险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退市制度较主板更为严格，退市时间更短，退市速度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且不再设置暂停上市、恢复上市和重新上市环节，上市公司退市风险更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（4）集中度风险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科创板为新设板块，初期可投标的较少，投资者容易集中投资于少量个股，市场可能存在高集中度状况，整体存在集中度风险。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（5）系统性风险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科创板企业均为市场认可度较高的科技创新企业，在企业经营及盈利模式上存在趋同，所以科创板个股相关性较高，市场表现不佳时，系统性风险将更为显著。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（6）政策风险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国家对高新技术产业扶持力度及重视程度的变化会对科创板企业带来较大影响，国际经济形势变化对战略新兴产业及科创板个股也会带来政策影响。</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（八）投资存托凭证的特定风险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本基金可根据投资策略需要或市场环境的变化，选择将部分基金资产投资于存托凭证或选择不将基金资产投资于存托凭证，基金资产并非必然投资存托凭证。</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（九）其他风险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1、因技术因素而产生的风险，如电脑系统不可靠产生的风险；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2、因基金业务快速发展，在制度建设、人员配备、内控制度建立等方面的不完善产生的风险；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3、因人为因素而产生的风险、如内幕交易、欺诈行为等产生的风险；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4、对主要业务人员如基金经理的依赖而可能产生的风险；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5、因业务竞争压力可能产生的风险；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6、战争、自然灾害等不可抗力可能导致基金财产的损失，影响基金收益水平，从而带来风险；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7、其他意外导致的风险。</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23" w:name="_Toc137828467"/>
      <w:r>
        <w:rPr>
          <w:rFonts w:ascii="Times New Roman" w:hAnsi="Times New Roman"/>
          <w:sz w:val="30"/>
        </w:rPr>
        <w:lastRenderedPageBreak/>
        <w:t>二十、基金合同的变更、终止与基金财产的清算</w:t>
      </w:r>
      <w:bookmarkEnd w:id="23"/>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（一）《基金合同》的变更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2、关于《基金合同》变更的基金份额持有人大会决议生效后方可执行，并自决议生效后依照《信息披露办法》的规定在指定媒介公告。</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（二）《基金合同》的终止事由</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有下列情形之一的，《基金合同》应当终止：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3、《基金合同》约定的其他情形；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4、相关法律法规和中国证监会规定的其他情况。</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（三）基金财产的清算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（1）《基金合同》终止情形出现时，由基金财产清算小组统一接管基金财产；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（5）聘请会计师事务所对清算报告进行外部审计，聘请律师事务所对清算报告出具法律意见书；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（四）清算费用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（五）基金财产清算剩余资产的分配</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（六）基金财产清算的公告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（七）基金财产清算账册及文件的保存</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基金财产清算账册及有关文件由基金托管人保存15年以上。</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24" w:name="_Toc137828468"/>
      <w:r>
        <w:rPr>
          <w:rFonts w:ascii="Times New Roman" w:hAnsi="Times New Roman"/>
          <w:sz w:val="30"/>
        </w:rPr>
        <w:lastRenderedPageBreak/>
        <w:t>二十一、基金合同内容摘要</w:t>
      </w:r>
      <w:bookmarkEnd w:id="24"/>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（一）基金份额持有人、基金管理人和基金托管人的权利与义务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1、基金管理人的权利与义务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根据《基金法》、《运作办法》及其他有关规定，基金管理人的权利包括但不限于：</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（2）自《基金合同》生效之日起，根据法律法规和《基金合同》独立运用并管理基金财产；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（3）依照《基金合同》收取基金管理费以及法律法规规定或中国证监会批准的其他费用；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（4）销售基金份额；</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（5）按照规定召集基金份额持有人大会；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（6）依据《基金合同》及有关法律规定监督基金托管人，如认为基金托管人违反了《基金合同》及国家有关法律规定，应呈报中国证监会和其他监管部门，并采取必要措施保护基金投资者的利益；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（7）在基金托管人更换时，提名新的基金托管人；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（8）选择、更换基金销售机构，对基金销售机构的相关行为进行监督和处理；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（9）担任或委托其他符合条件的机构担任基金登记机构办理基金登记业务并获得《基金合同》规定的费用；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（10）依据《基金合同》及有关法律规定决定基金收益的分配方案；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（11）在《基金合同》约定的范围内，拒绝或暂停受理申购与赎回申请；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（12）依照法律法规为基金的利益对被投资公司行使股东权利，为基金的利益行使因基金财产投资于证券所产生的权利；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（13）在法律法规允许的前提下，为基金的利益依法为基金进行融资、融券；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（14）以基金管理人的名义，代表基金份额持有人的利益行使诉讼权利或者实施其他法律行为；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（15）选择、更换律师事务所、会计师事务所、证券经纪商、期货经纪机构或其他为基金提供服务的外部机构；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（16）在符合有关法律、法规的前提下，制定和调整有关基金认购、申购、赎回、转换等的业务规则；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（17）法律法规及中国证监会规定的和《基金合同》约定的其他权利。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根据《基金法》、《运作办法》及其他有关规定，基金管理人的义务包括但不限于：</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（1）依法募集资金，办理或者委托经中国证监会认定的其他机构代为办理基金份额的发售、申购、赎回和登记事宜；</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（3）自《基金合同》生效之日起，以诚实信用、谨慎勤勉的原则管理和运用基金财产；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（4）配备足够的具有专业资格的人员进行基金投资分析、决策，以专业化的经营方式管理和运作基金财产；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（5）建立健全内部风险控制、监察与稽核、财务管理及人事管理等制度，保证所管理的基金财产和基金管理人的财产相互独立，对所管理的不同基金分别管理，分别记账，进行证券投资；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（6）除依据《基金法》、《基金合同》及其他有关规定外，不得利用基金财产为自己及任何第三人谋取利益，不得委托第三人运作基金财产；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（7）依法接受基金托管人的监督；</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（8）采取适当合理的措施使计算基金份额认购、申购、赎回和注销价格的方法符合《基金合同》等法律文件的规定，按有关规定计算并公告基金净值信息，确定基金份额申购、赎回的价格；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（9）进行基金会计核算并编制基金财务会计报告；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（10）编制季度报告、中期报告和年度报告；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（11）严格按照《基金法》、《基金合同》及其他有关规定，履行信息披露及报告义务；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（12）保守基金商业秘密，不泄露基金投资计划、投资意向等。除《基金法》、《基金合同》及其他有关规定另有规定外，在基金信息公开披露前应予保密，不向他人泄露；</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（13）按《基金合同》的约定确定基金收益分配方案，及时向基金份额持有人分配基金收益；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（14）按规定受理申购与赎回申请，及时、足额支付赎回款项；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（15）依据《基金法》、《基金合同》及其他有关规定召集基金份额持有人大会或配合基金托管人、基金份额持有人依法召集基金份额持有人大会；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（16）按规定保存基金财产管理业务活动的会计账册、报表、记录和其他相关资料15年以上；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（18）组织并参加基金财产清算小组，参与基金财产的保管、清理、估价、变现和分配；</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（19）面临解散、依法被撤销或者被依法宣告破产时，及时报告中国证监会并通知基金托管人；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（20）因违反《基金合同》导致基金财产的损失或损害基金份额持有人合法权益时，应当承担赔偿责任，其赔偿责任不因其退任而免除；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（21）监督基金托管人按法律法规和《基金合同》规定履行自己的义务，基金托管人违反《基金合同》造成基金财产损失时，基金管理人应为基金份额持有人利益向基金托管人追偿；</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（22）当基金管理人将其义务委托第三方处理时，应当对第三方处理有关基金事务的行为承担责任；</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（23）以基金管理人名义，代表基金份额持有人利益行使诉讼权利或实施其他法律行为；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（25）执行生效的基金份额持有人大会的决议；</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（26）建立并保存基金份额持有人名册；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（27）法律法规及中国证监会规定的和《基金合同》约定的其他义务。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2、基金托管人的权利与义务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根据《基金法》、《运作办法》及其他有关规定，基金托管人的权利包括但不限于：</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（1）自《基金合同》生效之日起，依法律法规和《基金合同》的规定安全保管基金财产；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（2）依《基金合同》约定获得基金托管费以及法律法规规定或监管部门批准的其他费用；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（4）根据相关市场规则，为基金开设资金账户、证券账户等投资所需账户、协助开立股指期货业务相关账户及交易编码、为基金办理证券交易资金清算；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（5）提议召开或召集基金份额持有人大会；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（6）在基金管理人更换时，提名新的基金管理人；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（7）法律法规及中国证监会规定的和《基金合同》约定的其他权利。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根据《基金法》、《运作办法》及其他有关规定，基金托管人的义务包括但不限于：</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（1）以诚实信用、勤勉尽责的原则持有并安全保管基金财产；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（2）设立专门的基金托管部门，具有符合要求的营业场所，配备足够的、合格的熟悉基金托管业务的专职人员，负责基金财产托管事宜；</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（4）除依据《基金法》、《基金合同》及其他有关规定外，不得利用基金财产为自己及任何第三人谋取利益，不得委托第三人托管基金财产；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（5）保管由基金管理人代表基金签订的与基金有关的重大合同及有关凭证；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（6）按规定开设基金财产的资金账户和证券账户等投资所需账户，协助开立股指期货业务相关账户及交易编码，按照《基金合同》的约定，根据基金管理人的投资指令，及时办理清算、交割事宜；</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（7）保守基金商业秘密，除《基金法》、《基金合同》及其他有关规定另有规定外，在基金信息公开披露前予以保密，不得向他人泄露；</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（8）复核、审查基金管理人计算的基金资产净值、各类基金份额净值、基金</w:t>
      </w:r>
      <w:r>
        <w:rPr>
          <w:rFonts w:ascii="宋体" w:hAnsi="宋体"/>
          <w:sz w:val="24"/>
        </w:rPr>
        <w:lastRenderedPageBreak/>
        <w:t>份额申购、赎回价格；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（9）办理与基金托管业务活动有关的信息披露事项；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（11）保存基金托管业务活动的记录、账册、报表和其他相关资料15年以上；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（12）建立并保存基金份额持有人名册；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（13）按规定制作相关账册并与基金管理人核对；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（14）依据基金管理人的指令或有关规定向基金份额持有人支付基金收益和赎回款项；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（15）依据《基金法》、《基金合同》及其他有关规定，召集基金份额持有人大会或配合基金管理人、基金份额持有人依法召集基金份额持有人大会；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（16）按照法律法规和《基金合同》的规定监督基金管理人的投资运作；</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（17）参加基金财产清算小组，参与基金财产的保管、清理、估价、变现和分配；</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（18）面临解散、依法被撤销或者被依法宣告破产时，及时报告中国证监会和银行业监督管理机构，并通知基金管理人；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（19）因违反《基金合同》导致基金财产损失时，应承担赔偿责任，其赔偿责任不因其退任而免除；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（20）按规定监督基金管理人按法律法规和《基金合同》规定履行自己的义务，基金管理人因违反《基金合同》造成基金财产损失时，应为基金份额持有人利益向基金管理人追偿；</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（21）执行生效的基金份额持有人大会的决议；</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（22）法律法规及中国证监会规定的和《基金合同》约定的其他义务。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3、基金份额持有人的权利与义务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者持有本基金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同一类别的每份基金份额具有同等的合法权益。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根据《基金法》、《运作办法》及其他有关规定，基金份额持有人的权利包括但不限于：</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（1）分享基金财产收益；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（2）参与分配清算后的剩余基金财产；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（3）依法并按照基金合同和招募说明书的规定申请赎回或转让其持有的基金份额；</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（4）按照规定要求召开基金份额持有人大会或者召集基金份额持有人大会；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（5）出席或者委派代表出席基金份额持有人大会，对基金份额持有人大会审议事项行使表决权；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（6）查阅或者复制公开披露的基金信息资料；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（7）监督基金管理人的投资运作；</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（8）对基金管理人、基金托管人、基金服务机构损害其合法权益的行为依法提起诉讼或仲裁；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（9）法律法规及中国证监会规定的和《基金合同》约定的其他权利。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根据《基金法》、《运作办法》及其他有关规定，基金份额持有人的义务包括但不限于：</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（1）认真阅读并遵守《基金合同》、招募说明书等信息披露文件；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（2）了解所投资基金产品，了解自身风险承受能力，自主判断基金的投资价值，自主做出投资决策，自行承担投资风险；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（3）关注基金信息披露，及时行使权利和履行义务；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（4）缴纳基金认购、申购款项及法律法规和《基金合同》所规定的费用；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（5）在其持有的基金份额范围内，承担基金亏损或者《基金合同》终止的有限责任；</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（6）不从事任何有损基金及其他《基金合同》当事人合法权益的活动；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（7）执行生效的基金份额持有人大会的决议；</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（8）返还在基金交易过程中因任何原因获得的不当得利；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（9）遵守基金管理人、基金托管人、销售机构和登记机构的相关交易及业务规则；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（10）提供基金管理人和监管机构依法要求提供的信息，以及不时的更新和补</w:t>
      </w:r>
      <w:r>
        <w:rPr>
          <w:rFonts w:ascii="宋体" w:hAnsi="宋体"/>
          <w:sz w:val="24"/>
        </w:rPr>
        <w:lastRenderedPageBreak/>
        <w:t>充，并保证其真实性；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（11）法律法规及中国证监会规定的和《基金合同》约定的其他义务。</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（二）基金份额持有人大会召集、议事及表决的程序和规则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基金份额持有人大会由基金份额持有人组成，基金份额持有人的合法授权代表有权代表基金份额持有人出席会议并表决。基金份额持有人持有的每一基金份额拥有平等的投票权。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本基金份额持有人大会不设日常机构。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1、召开事由</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（1）当出现或需要决定下列事由之一的，应当召开基金份额持有人大会：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1）终止《基金合同》，法律法规和中国证监会另有规定的除外；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2）更换基金管理人；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3）更换基金托管人；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4）转换基金运作方式，法律法规和中国证监会另有规定的除外；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5）提高基金管理人、基金托管人的报酬标准或提高销售服务费率，但法律法规要求提高该等报酬标准的除外；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6）变更基金类别；</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7）本基金与其他基金的合并，法律法规和中国证监会另有规定的除外；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8）变更基金投资目标、范围或策略，法律法规和中国证监会另有规定的除外；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9）变更基金份额持有人大会程序，法律法规和中国证监会另有规定的除外；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10）基金管理人或基金托管人要求召开基金份额持有人大会；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12）对基金合同当事人权利和义务产生重大影响的其他事项；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13）法律法规、《基金合同》或中国证监会规定的其他应当召开基金份额持有人大会的事项。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（2）以下情况可由基金管理人和基金托管人协商后修改，不需召开基金份额持有人大会：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1）调低基金管理费、基金托管费和其他应由本基金或基金份额持有人承担的</w:t>
      </w:r>
      <w:r>
        <w:rPr>
          <w:rFonts w:ascii="宋体" w:hAnsi="宋体"/>
          <w:sz w:val="24"/>
        </w:rPr>
        <w:lastRenderedPageBreak/>
        <w:t>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2）法律法规要求增加的基金费用的收取；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3）在法律法规和《基金合同》规定的范围内，且在对现有基金份额持有人利益无实质性不利影响的前提下调整本基金的申购费率、调低赎回费率及销售服务费率、变更或增加收费方式；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4）在符合法律法规及本基金合同规定、并且对基金份额持有人利益无实质不利影响的前提下，调整本基金份额类别的设置、对基金份额分类办法及规则进行调整；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5）因相应的法律法规发生变动而应当对《基金合同》进行修改；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6）对《基金合同》的修改对基金份额持有人利益无实质性不利影响或修改不涉及《基金合同》当事人权利义务关系发生重大变化；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7）在法律法规允许的情况下，且在对现有基金份额持有人利益无实质性不利影响的前提下，基金推出新业务或服务；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8）按照法律法规和《基金合同》规定不需召开基金份额持有人大会的以外的其他情形。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2、会议召集人及召集方式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（1）除法律法规规定或《基金合同》另有约定外，基金份额持有人大会由基金管理人召集；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（2）基金管理人未按规定召集或不能召集时，由基金托管人召集；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60日内召开；基金管理人决定不召集，代表基金份额10%以上（含10%）的基金</w:t>
      </w:r>
      <w:r>
        <w:rPr>
          <w:rFonts w:ascii="宋体" w:hAnsi="宋体"/>
          <w:sz w:val="24"/>
        </w:rPr>
        <w:lastRenderedPageBreak/>
        <w:t>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（6）基金份额持有人会议的召集人负责选择确定开会时间、地点、方式和权益登记日。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3、召开基金份额持有人大会的通知时间、通知内容、通知方式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（1）召开基金份额持有人大会，召集人应于会议召开前30日，在指定媒介公告。基金份额持有人大会通知应至少载明以下内容：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1）会议召开的时间、地点和会议形式；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2）会议拟审议的事项、议事程序和表决方式；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3）有权出席基金份额持有人大会的基金份额持有人的权益登记日；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4）授权委托证明的内容要求（包括但不限于代理人身份，代理权限和代理有效期限等）、送达时间和地点；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5）会务常设联系人姓名及联系电话；</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6）出席会议者必须准备的文件和必须履行的手续；</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7）召集人需要通知的其他事项。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w:t>
      </w:r>
      <w:r>
        <w:rPr>
          <w:rFonts w:ascii="宋体" w:hAnsi="宋体"/>
          <w:sz w:val="24"/>
        </w:rPr>
        <w:lastRenderedPageBreak/>
        <w:t>力。</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4、基金份额持有人出席会议的方式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基金份额持有人大会可通过现场开会方式、通讯开会方式或法律法规和监管机关允许的其他方式召开，会议的召开方式由会议召集人确定。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基金份额应不少于在权益登记日基金总份额的三分之一（含三分之一）。</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（2）通讯开会。通讯开会系指基金份额持有人将其对表决事项的投票以书面形式在表决截至日以前送达至召集人指定的地址。通讯开会应以书面方式进行表决。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在同时符合以下条件时，通讯开会的方式视为有效：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1）会议召集人按《基金合同》约定公布会议通知后，在2个工作日内连续公布相关提示性公告；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3）本人直接出具书面意见或授权他人代表出具书面意见的，基金份额持有人</w:t>
      </w:r>
      <w:r>
        <w:rPr>
          <w:rFonts w:ascii="宋体" w:hAnsi="宋体"/>
          <w:sz w:val="24"/>
        </w:rPr>
        <w:lastRenderedPageBreak/>
        <w:t>所持有的基金份额不小于在权益登记日基金总份额的二分之一（含二分之一）；若本人直接出具书面意见或授权他人代表出具书面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书面意见或授权他人代表出具书面意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5、议事内容与程序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（1）议事内容及提案权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基金份额持有人大会的召集人发出召集会议的通知后，对原有提案的修改应当在基金份额持有人大会召开前及时公告。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基金份额持有人大会不得对未事先公告的议事内容进行表决。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（2）议事程序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w:t>
      </w:r>
      <w:r>
        <w:rPr>
          <w:rFonts w:ascii="宋体" w:hAnsi="宋体"/>
          <w:sz w:val="24"/>
        </w:rPr>
        <w:lastRenderedPageBreak/>
        <w:t>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会议召集人应当制作出席会议人员的签名册。签名册载明参加会议人员姓名（或单位名称）、身份证明文件号码、持有或代表有表决权的基金份额、委托人姓名（或单位名称）和联系方式等事项。</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在通讯开会的情况下，首先由召集人提前30日公布提案，在所通知的表决截止日期后2个工作日内在公证机关监督下由召集人统计全部有效表决，在公证机关监督下形成决议。</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6、表决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基金份额持有人所持每份基金份额有一票表决权。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基金份额持有人大会决议分为一般决议和特别决议：</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基金份额持有人大会采取记名方式进行投票表决。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基金份额持有人大会的各项提案或同一项提案内并列的各项议题应当分开审议、逐项表决。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（1）现场开会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2）监票人应当在基金份额持有人表决后立即进行清点并由大会主持人当场公布计票结果。</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4）计票过程应由公证机关予以公证，基金管理人或基金托管人拒不出席大会的，不影响计票的效力。</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8、生效与公告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基金份额持有人大会的决定的事项自表决通过之日起生效，召集人应当自通过之日起5日内报中国证监会备案。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基金份额持有人大会决议自生效之日起2日内在指定媒介上公告。如果采用通讯方式进行表决，在公告基金份额持有人大会决议时，必须将公证书全文、公证机构、公证员姓名等一同公告。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基金管理人、基金托管人和基金份额持有人应当执行生效的基金份额持有人大会的决议。生效的基金份额持有人大会决议对全体基金份额持有人、基金管理人、基金托管人均有约束力。</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9、实施侧袋机制期间基金份额持有人大会的特殊约定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（1）基金份额持有人行使提议权、召集权、提名权所需单独或合计代表相关基金份额10%以上（含10%）；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（2）现场开会的到会者在权益登记日代表的基金份额不少于本基金在权益登记日相关基金份额的二分之一（含二分之一）；</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（3）通讯开会的直接出具表决意见或授权他人代表出具表决意见的基金份额持有人所持有的基金份额不小于在权益登记日相关基金份额的二分之一（含二分之一）；</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（5）现场开会由出席大会的基金份额持有人和代理人所持表决权的50%以上（含50%）选举产生一名基金份额持有人或代理人作为该次基金份额持有人大会的主持人；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（6）一般决议须经参加大会的基金份额持有人或其代理人所持表决权的二分之一以上（含二分之一）通过；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（7）特别决议应当经参加大会的基金份额持有人或其代理人所持表决权的三分之二以上（含三分之二）通过。</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同一主侧袋账户内的每份基金份额具有平等的表决权。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（三）基金合同解除和终止的事由、程序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1、《基金合同》的变更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（2）关于《基金合同》变更的基金份额持有人大会决议生效后方可执行，并自决议生效后依照《信息披露办法》的规定在指定媒介公告。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2、《基金合同》的终止事由</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有下列情形之一的，《基金合同》应当终止：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（3）《基金合同》约定的其他情形；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（4）相关法律法规和中国证监会规定的其他情况。</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3、基金财产的清算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1）《基金合同》终止情形出现时，由基金财产清算小组统一接管基金财产；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7）对基金剩余财产进行分配。</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4、清算费用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5、基金财产清算剩余资产的分配</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6、基金财产清算的公告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7、基金财产清算账册及文件的保存</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基金财产清算账册及有关文件由基金托管人保存15年以上。</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（四）争议解决方式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律师费由败诉方承担。</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《基金合同》受中国法律管辖。</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（五）基金合同存放及投资者取得基金合同的方式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《基金合同》正本一式六份，除上报有关监管机构一式二份外，基金管理人、基金托管人各持有二份，每份具有同等的法律效力。</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《基金合同》可印制成册，供投资者在基金管理人、基金托管人、销售机构的办公场所和营业场所查阅。</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25" w:name="_Toc137828469"/>
      <w:r>
        <w:rPr>
          <w:rFonts w:ascii="Times New Roman" w:hAnsi="Times New Roman"/>
          <w:sz w:val="30"/>
        </w:rPr>
        <w:lastRenderedPageBreak/>
        <w:t>二十二、托管协议的内容摘要</w:t>
      </w:r>
      <w:bookmarkEnd w:id="25"/>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（一）托管协议当事人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注册地址：中国(上海)自由贸易试验区银城中路188号交通银行大楼二层（裙）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成立日期：2005年8月4日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批准设立机关及批准设立文号：中国证监会证监基金字[2005]128号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组织形式：有限责任公司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经营范围：基金募集、基金销售、资产管理和中国证监会许可的其它业务。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名称：中国农业银行股份有限公司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注册地址：北京市东城区建国门内大街69号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办公地址：北京市西城区复兴门内大街28号凯晨世贸中心东座九层</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邮政编码：100031</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法定代表人：谷澎</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成立时间：2009年1月15日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基金托管资格批准文号：中国证监会证监基字[1998]23号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注册资本：34,998,303.4万元人民币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w:t>
      </w:r>
      <w:r>
        <w:rPr>
          <w:rFonts w:ascii="宋体" w:hAnsi="宋体"/>
          <w:sz w:val="24"/>
        </w:rPr>
        <w:lastRenderedPageBreak/>
        <w:t>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（二）基金托管人对基金管理人的业务监督和核查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国内依法发行上市的股票（含中小板、创业板及其他经中国证监会核准上市的股票、存托凭证）、债券、中期票据、货币市场工具、权证、资产支持证券、股指期货以及法律法规或中国证监会允许基金投资的其他金融工具（但须符合中国证监会相关规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组合比例为：股票资产（含存托凭证）占基金资产的0%-95%，其余资产投资于债券、中期票据、货币市场工具、现金、权证、资产支持证券以及法律法规或中国证监会允许基金投资的其他证券品种；本基金投资受益于国企改革相关上市公司证券的比例不低于非现金基金资产的80%；本基金保留的现金或者投资于到期日在一年以内的政府债券的比例合计不低于基金资产净值的5%，其中现金不包括结算备付金、存出保证金和应收申购款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2、基金托管人根据有关法律法规的规定及基金合同的约定，对基金投资、融</w:t>
      </w:r>
      <w:r>
        <w:rPr>
          <w:rFonts w:ascii="宋体" w:hAnsi="宋体"/>
          <w:sz w:val="24"/>
        </w:rPr>
        <w:lastRenderedPageBreak/>
        <w:t>资、融券比例进行监督。基金托管人按下述比例和调整期限进行监督：</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（1）本基金持有一家公司发行的证券，其市值不超过基金资产净值的10%；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（2）本基金与本基金管理人管理的、且由本基金托管人托管的其他基金持有一家公司发行的证券，其市值不超过该证券的10%；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（3）本基金进入全国银行间同业市场进行债券回购的资金余额不超过基金资产净值的40%。债券回购最长期限为１年，债券回购到期后不得展期。本基金的基金资产总值不得超过基金资产净值的140%；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（4）本基金持有其他证券投资基金（不含货币市场基金），其市值不得超过基金资产净值的10%；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（5）本基金的存款银行为具有证券投资基金托管人资格、证券投资基金销售业务资格或合格境外机构投资者托管人资格的商业银行；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（6）本基金投资于定期存款的比例不得超过基金资产净值的30%，根据协议可提前支取且没有利息损失的银行存款，不受此限制；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（7）本基金参与股票发行申购，本基金所申报的金额不超过本基金的总资产，本基金所申报的股票数量不超过拟发行股票公司本次发行股票的总量；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在任何交易日买入权证的总金额，不得超过上一交易日基金资产净值的0.5%；本基金持有的全部权证，其市值不得超过基金资产净值的3%；本基金与本基金管理人管理的、且由本基金托管人托管的其他基金持有的同一权证，不得超过该权证的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（9）本基金应投资于信用级别评级为BBB以上(含BBB)的资产支持证券。基金持有资产支持证券期间，如果其信用等级下降、不再符合投资标准，应在评级报告发布之日起3个月内予以全部卖出；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基金持有的同一（指同一信用级别）资产支持证券的比例，不得超过该资产支持证券规模的10%；本基金投资于同一原始权益人的各类资产支持证券的比例，不得超过基金资产净值的10%；本基金管理人管理的、且由本基金托管人托管的全部证券投资基金投资于同一原始权益人的各类资产支持证券，不得超过其各类资产支持证券合计规模的10%；本基金持有的全部资产支持证券，其市值不得超过基金资产净值的20%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（11）本基金持有的同一中期票据，其市值不得超过基金资产净值的10%；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（12）本基金持有的同一流通受限证券，其公允价值不得超过本基金资产净值</w:t>
      </w:r>
      <w:r>
        <w:rPr>
          <w:rFonts w:ascii="宋体" w:hAnsi="宋体"/>
          <w:sz w:val="24"/>
        </w:rPr>
        <w:lastRenderedPageBreak/>
        <w:t>的10%；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股票资产（含存托凭证）占基金资产的0%-95%，其余资产投资于债券、中期票据、货币市场工具、现金、权证、资产支持证券以及法律法规或中国证监会允许基金投资的其他证券品种；本基金投资受益于国企改革相关上市公司证券的比例不低于非现金基金资产的80%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本基金保持不低于基金资产净值5%的现金或者到期日在一年以内的政府债券，其中现金不包括结算备付金、存出保证金和应收申购款等；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（14）本基金若投资股指期货，则：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1）本基金在任何交易日日终，持有的买入股指期货合约价值，不得超过基金资产净值的10%；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3）本基金在任何交易日日终，持有的卖出期货合约价值不得超过基金持有的股票总市值的20%；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4）本基金所持有的股票市值和买入、卖出股指期货合约价值，合计（轧差计算）应当符合基金合同关于股票投资比例的有关约定；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5）本基金在任何交易日内交易（不包括平仓）的股指期货合约的成交金额不得超过上一交易日基金资产净值的20%；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6）本基金每个交易日日终在扣除股指期货合约需缴纳的交易保证金后，应当保持不低于基金资产净值5%的现金或到期日在一年以内的政府债券，其中现金不包括结算备付金、存出保证金和应收申购款等；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（15）本基金不得违反基金合同中有关投资范围、投资策略、投资比例的规定；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本基金管理人管理的、且由本基金托管人托管的全部开放式基金（包括开放式基金以及处于开放期的定期开放基金）持有一家上市公司发行的可流通股票，不得超过该上市公司可流通股票的15%；本基金管理人管理的、且由本基金托管人托管的全部投资组合持有一家上市公司发行的可流通股票，不得超过该上市公司可流通股票的30%；</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（18）本基金与私募类证券资管产品及中国证监会认定的其他主体为交易对手开展逆回购交易的，可接受质押品的资质要求应当与基金合同约定的投资范围保持一致；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（19）本基金投资存托凭证的比例限制依照境内上市交易的股票执行；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（20）法律法规或监管部门对上述比例限制另有规定的，从其规定；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（21）法律法规及中国证监会规定的和基金合同约定的其他投资限制。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第（9）、（17）、（18）项、第（13）项第二款以及第（14）项第6）目外，因证券、期货市场波动、证券发行人合并、基金规模变动、股权分置改革中支付对价等基金管理人之外的因素致使基金投资比例不符合上述规定的投资比例的，基金管理人应当在10个交易日内进行调整，但中国证监会规定的特殊情形除外。法律法规另有规定的，从其规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上述投资组合限制条款中，若属法律法规或监管部门的强制性规定，则当法律法规或监管部门取消或修改上述限制，如适用于本基金，基金管理人在履行适当程序后，本基金投资所受限制相应调整或取消。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3、基金托管人根据有关法律法规的规定及基金合同的约定，对本协议第十五条第九项基金投资禁止行为进行监督。</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w:t>
      </w:r>
      <w:r>
        <w:rPr>
          <w:rFonts w:ascii="宋体" w:hAnsi="宋体"/>
          <w:sz w:val="24"/>
        </w:rPr>
        <w:lastRenderedPageBreak/>
        <w:t>仍违规进行关联交易，并造成基金资产损失的，由基金管理人承担责任，基金托管人并有权向中国证监会报告。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运用基金财产买卖基金管理人、基金托管人及其控股股东、实际控制人或者与其有其他重大利害关系的公司发行的证券或承销期内承销的证券，或者从事其他重大关联交易的，基金管理人应当遵循基金份额持有人利益优先的原则，防范利益冲突，符合中国证监会的规定，并履行信息披露义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2个工作日内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任何损失和责任。</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5、基金托管人根据有关法律法规的规定及基金合同的约定，对基金管理人选择存款银行进行监督。</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基金投资银行定期存款的，基金管理人应根据法律法规的规定及基金合同的约定选择存款银行。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本基金投资银行存款应符合如下规定：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（1）基金管理人、基金托管人应当与存款银行建立定期对账机制，确保基金银行存款业务账目及核算的真实、准确。</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（2）基金托管人应加强对基金银行存款业务的监督与核查，严格审查、复核相关协议、账户资料、投资指令、存款证实书等有关文件，切实履行托管职责。</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（3）基金管理人与基金托管人在开展基金存款业务时，应严格遵守《基金法》、《运作办法》等有关法律法规，以及国家有关账户管理、利率管理、支付结算</w:t>
      </w:r>
      <w:r>
        <w:rPr>
          <w:rFonts w:ascii="宋体" w:hAnsi="宋体"/>
          <w:sz w:val="24"/>
        </w:rPr>
        <w:lastRenderedPageBreak/>
        <w:t>等的各项规定。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发现基金管理人在选择存款银行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如果基金管理人未经基金托管人的审核擅自将不实的业绩表现数据印制在宣传推介材料上，则基金托管人对此不承担任何责任，并将在发现后立即报告中国证监会。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7、基金托管人根据有关法律法规的规定及基金合同的约定，对基金投资流通受限证券进行监督。</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（1）基金投资流通受限证券，应遵守《关于规范基金投资非公开发行证券行为的紧急通知》、《关于基金投资非公开发行股票等流通受限证券有关问题的通知》等有关法律法规规定。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基金托管人据此监督基金管理人的流通受限证券投资行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（4）在投资流通受限证券之前，基金管理人应至少提前一个交易日向基金托</w:t>
      </w:r>
      <w:r>
        <w:rPr>
          <w:rFonts w:ascii="宋体" w:hAnsi="宋体"/>
          <w:sz w:val="24"/>
        </w:rPr>
        <w:lastRenderedPageBreak/>
        <w:t>管人提供有关非公开定向增发流通受限证券的相关信息，具体应当包括但不限于如下文件（如有）：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应保证基金投资的流通受限证券登记存管在本基金名下，并保证基金托管人能够正常查询。因基金管理人原因产生的流通受限证券登记存管问题，造成基金财产的损失或基金托管人无法安全保管基金财产的责任与损失，由基金管理人承担。</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按照本协议履行监督职责后不承担上述损失。</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管理人应在基金首次投资中期票据前，与基金托管人签署相应的风险控制补充协议，并按照法律法规的规定和补充协议的约定向基金托管人提供经基金管理人董事会批准的有关基金投资中期票据的投资管理制度。</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 督促基金管理人改正。基金管理人对基金托管人通知的违规事项未能在限期内纠正的，基金托管人应报告中国证</w:t>
      </w:r>
      <w:r>
        <w:rPr>
          <w:rFonts w:ascii="宋体" w:hAnsi="宋体"/>
          <w:sz w:val="24"/>
        </w:rPr>
        <w:lastRenderedPageBreak/>
        <w:t>监会。基金托管人发现基金管理人依据交易程序已经生效的投资指令违反法律、行政法规和其他有关规定，或者违反基金合同约定的，应当立即通知基金管理人，并报告中国证监会。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（三）基金管理人对基金托管人的业务核查</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对基金托管人履行托管职责情况进行核查，核查事项包括基金托管人安全保管基金财产、开设基金财产的资金账户、证券账户等投资所需账户、协助开立股指期货业务相关账户及交易编码、复核基金管理人计算的基金资产净值和各类基金份额净值、根据基金管理人指令办理清算交收、相关信息披露和监督基金投资运作等行为。</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3、基金管理人发现基金托管人有重大违规行为，应及时报告中国证监会，同时通知基金托管人限期纠正，并将纠正结果报告中国证监会。基金托管人无正当理</w:t>
      </w:r>
      <w:r>
        <w:rPr>
          <w:rFonts w:ascii="宋体" w:hAnsi="宋体"/>
          <w:sz w:val="24"/>
        </w:rPr>
        <w:lastRenderedPageBreak/>
        <w:t>由，拒绝、阻挠对方根据本协议规定行使监督权，或采取拖延、欺诈等手段妨碍对方进行有效监督，情节严重或经基金管理人提出警告仍不改正的，基金管理人应报告中国证监会。</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（四）基金财产保管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1、基金财产保管的原则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（1）基金财产应独立于基金管理人、基金托管人的固有财产。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（2）基金托管人应安全保管基金财产。未经基金管理人依据合法程序作出的合法合规指令，基金托管人不得自行运用、处分、分配基金的任何财产。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（3）基金托管人按照规定开设基金财产的资金账户和证券账户，协助开立股指期货业务相关账户及交易编码。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（4）基金托管人对所托管的不同基金财产分别设置账户，与基金托管人的其他业务和其他基金的托管业务实行严格的分账管理，确保基金财产的完整与独立。</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（5）基金托管人根据基金管理人的指令，按照基金合同和本协议的约定保管基金财产，如有特殊情况双方可另行协商解决。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对于因为基金申购、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（7）除依据法律法规和基金合同的规定外，基金托管人不得委托第三人托管基金财产。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2、基金募集期间及募集资金的验资</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（1）基金募集期间的认购款项应存于专用账户。该账户由基金管理人或基金管理人委托的登记机构开立并管理。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募集期满或基金停止募集时，募集的基金份额总额、基金募集金额、基金份额持有人人数符合《基金法》、《运作办法》等有关规定后，基金管理人应将募集到的属于基金财产的全部资金划入基金托管人为本基金开立的基金托管资金账户，同时在规定时间内，聘请具有从事证券相关业务资格的会计师事务所进行验资，出具验资报告。出具的验资报告由参加验资的2名或2名以上中国注册会计师签字方为有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（3）若基金募集期限届满，未能达到基金备案的条件，由基金管理人按规定</w:t>
      </w:r>
      <w:r>
        <w:rPr>
          <w:rFonts w:ascii="宋体" w:hAnsi="宋体"/>
          <w:sz w:val="24"/>
        </w:rPr>
        <w:lastRenderedPageBreak/>
        <w:t>办理退款等事宜，基金托管人应提供充分协助。</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3、基金托管资金账户的开立和管理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（1）基金托管人应负责本基金的资金账户的开设和管理。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（3）基金托管资金账户的开立和使用，限于满足开展本基金业务的需要。基金托管人和基金管理人不得假借本基金的名义开立任何其他银行账户；亦不得使用基金的任何账户进行本基金业务以外的活动。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（4）基金托管资金账户的开立和管理应符合相关法律法规的有关规定。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（5）在符合法律法规规定的条件下，基金托管人可以通过基金托管人专用账户办理基金资产的支付。</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4、基金证券账户和结算备付金账户的开立和管理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（1）基金托管人在中国证券登记结算有限责任公司上海分公司、深圳分公司为本基金开立基金托管人与基金联名的证券账户。</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（2）基金证券账户的开立和使用，限于满足开展本基金业务的需要。基金托管人和基金管理人不得出借或未经对方同意擅自转让基金的任何证券账户，亦不得使用基金的任何账户进行本基金业务以外的活动。</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（4）基金证券账户的开立和证券账户卡的保管由基金托管人负责，账户资产的管理和运用由基金管理人负责。</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本托管协议生效日之后，本基金被允许从事其他投资品种的投资业务，涉及相关账户的开设、使用的，按有关规定开设、使用并管理；若无相关规定，则基金托管人应当比照并遵守上述关于账户开设、使用的规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5、债券托管专户的开设和管理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基金合同生效后，基金托管人根据中国人民银行、中央国债登记结算有限责任</w:t>
      </w:r>
      <w:r>
        <w:rPr>
          <w:rFonts w:ascii="宋体" w:hAnsi="宋体"/>
          <w:sz w:val="24"/>
        </w:rPr>
        <w:lastRenderedPageBreak/>
        <w:t>公司的有关规定，以本基金的名义在中央国债登记结算有限责任公司开立债券托管与结算账户，并代表基金进行银行间市场债券的结算。基金管理人和基金托管人同时代表基金签订全国银行间债券市场债券回购主协议。</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6、其他账户的开立和管理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（1）因业务发展需要而开立的其他账户，可以根据法律法规和基金合同的规定，在基金管理人和基金托管人商议后开立。新账户按有关规则使用并管理。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（2）法律法规等有关规定对相关账户的开立和管理另有规定的，从其规定办理。</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7、基金财产投资的有关有价凭证等的保管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8、与基金财产有关的重大合同的保管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15年。</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（五）基金资产净值计算与复核</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1、基金资产净值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类基金份额的基金份额净值是指计算日该类基金份额的基金资产净值除以计算日该类基金份额总数后得到的数值。各类基金份额的基金份额净值的计算，均精确到0.0001元，小数点后第五位四舍五入，由此产生的误差计入基金财产。国家另有规定的，从其规定。</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基金管理人于每工作日计算各类基金份额的基金资产净值及基金份额净值，并按规定公告，但根据法律法规或基金合同的规定暂停估值时除外。</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2、复核程序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基金管理人每工作日对基金资产进行估值后，将各类基金份额净值结果发送基</w:t>
      </w:r>
      <w:r>
        <w:rPr>
          <w:rFonts w:ascii="宋体" w:hAnsi="宋体"/>
          <w:sz w:val="24"/>
        </w:rPr>
        <w:lastRenderedPageBreak/>
        <w:t>金托管人，经基金托管人复核无误后，由基金管理人依据基金合同和相关法律法规的规定对外公布。月末、年中和年末估值复核与基金会计账目的核对同时进行。</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（六）基金份额持有人名册的登记与保管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基金管理人和基金托管人须分别妥善保管的基金份额持有人名册，包括基金合同生效日、基金合同终止日、基金权益登记日、基金份额持有人大会权益登记日、每年6月30日、12月31日的基金份额持有人名册。基金份额持有人名册的内容至少应包括持有人的名称和持有的基金份额。</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应妥善保管基金份额持有人名册，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（七）争议解决方式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用、律师费由败诉方承担。</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争议处理期间，双方当事人应恪守基金管理人和基金托管人职责，各自继续忠实、勤勉、尽责地履行基金合同和本托管协议规定的义务，维护基金份额持有人的合法权益。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本协议适用中华人民共和国法律并从其解释。</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（八）托管协议的变更与终止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1、托管协议的变更程序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本协议双方当事人经协商一致，可以对协议进行修改。修改后的新协议，其内容不得与基金合同的规定有任何冲突。基金托管协议的变更应报中国证监会备案后生效。</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2、基金托管协议终止的情形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（2）基金托管人解散、依法被撤销、破产或由其他基金托管人接管基金资产；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（3）基金管理人解散、依法被撤销、破产或由其他基金管理人接管基金管理权；</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（4）发生法律法规、中国证监会或基金合同规定的其他终止事项。</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26" w:name="_Toc137828470"/>
      <w:r>
        <w:rPr>
          <w:rFonts w:ascii="Times New Roman" w:hAnsi="Times New Roman"/>
          <w:sz w:val="30"/>
        </w:rPr>
        <w:lastRenderedPageBreak/>
        <w:t>二十三、对基金份额持有人的服务</w:t>
      </w:r>
      <w:bookmarkEnd w:id="26"/>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基金管理人承诺为基金份额持有人提供一系列的服务。基金管理人根据基金份额持有人的需要和市场的变化，有权增加或变更服务项目。主要服务内容如下：</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（一）持有人交易资料的寄送服务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1、每次交易结束后，投资人可在T+2个工作日后通过销售机构的网点查询和打印确认单；</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2、本基金管理人将向持有人提供电子或纸质对账单，需要订阅或取消的客户可与本基金管理人客户服务中心（400-700-5000，021-61055000）联系。</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（二）网上直销服务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已开通基金网上直销业务，个人投资者可以直接通过本公司网站的网上直销交易平台办理开户和本基金A类基金份额和C类基金份额的申购、赎回、定期定额投资和转换等业务。通过网上直销交易平台办理本基金A类基金份额申购和定期定额投资业务的个人投资者将享受申购费率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交易平台申购、定期定额投资及转换费率表或相关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本公司基金网上直销业务已开通的银行卡及各银行卡交易金额限额请参阅本公司网站。</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在条件成熟的时候，本基金管理人将根据基金网上直销业务的发展状况，适时调整可用于网上直销交易平台的银行卡种类，敬请投资人留意相关公告。</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（三）信息咨询、查询服务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如果想查询申购和赎回等交易情况、分红方式状态、基金账户余额、基金产品与服务等信息，请拨打本基金管理人客户服务电话（400-700-5000，021-61055000）或登录本基金管理人网站（www.fund001.com）进行咨询、查询。</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为投资人预设基金查询密码，预设的基金查询密码为投资人开户证件号码的后6位数字，不足6位数字的，前面加“0”补足。基金查询密码用于投资人通过客户服务电话查询基金账户下的账户和交易信息。投资人请在其知晓基金账号后，及时拨打本基金管理人客户服务电话修改基金查询密码。</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投资人可以拨打本基金管理人客户服务电话投诉直销机构的人员和服务。</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（四）基金转换业务</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本基金已开通基金转换业务，具体实施方法请参见相关公告。</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（五）定期定额投资计划</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本基金已开通定期定额投资计划，具体实施方法请参见相关公告。</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服务联系方式：</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本基金管理人的互联网地址及电子信箱</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电子信箱：services@jysld.com</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投资者也可登录本基金管理人网站，直接提出有关本基金的问题和建议。</w:t>
      </w:r>
    </w:p>
    <w:p w:rsidR="005B1FF5" w:rsidRDefault="000B1B0D">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（六）如本招募说明书存在任何您/贵机构无法理解的内容，请通过上述方式联系基金管理人。请确保投资前，您/贵机构已经全面理解了本招募说明书。</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27" w:name="_Toc137828471"/>
      <w:r>
        <w:rPr>
          <w:rFonts w:ascii="Times New Roman" w:hAnsi="Times New Roman"/>
          <w:sz w:val="30"/>
        </w:rPr>
        <w:lastRenderedPageBreak/>
        <w:t>二十四、其他应披露事项</w:t>
      </w:r>
      <w:bookmarkEnd w:id="27"/>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基金合同如有未尽事宜，由基金合同当事人各方按有关法律法规协商解决。</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本招募说明书更新期间基金披露的其他重要事项</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公告事项</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法定披露方式</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法定披露日期</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交银施罗德国企改革灵活配置混合型证券投资基金</w:t>
            </w:r>
            <w:r>
              <w:rPr>
                <w:rFonts w:ascii="Times New Roman" w:hAnsi="Times New Roman"/>
                <w:color w:val="000000"/>
                <w:kern w:val="0"/>
                <w:sz w:val="25"/>
                <w:szCs w:val="24"/>
              </w:rPr>
              <w:t>(</w:t>
            </w:r>
            <w:r>
              <w:rPr>
                <w:rFonts w:ascii="Times New Roman" w:hAnsi="Times New Roman"/>
                <w:color w:val="000000"/>
                <w:kern w:val="0"/>
                <w:sz w:val="25"/>
                <w:szCs w:val="24"/>
              </w:rPr>
              <w:t>更新</w:t>
            </w:r>
            <w:r>
              <w:rPr>
                <w:rFonts w:ascii="Times New Roman" w:hAnsi="Times New Roman"/>
                <w:color w:val="000000"/>
                <w:kern w:val="0"/>
                <w:sz w:val="25"/>
                <w:szCs w:val="24"/>
              </w:rPr>
              <w:t>)</w:t>
            </w:r>
            <w:r>
              <w:rPr>
                <w:rFonts w:ascii="Times New Roman" w:hAnsi="Times New Roman"/>
                <w:color w:val="000000"/>
                <w:kern w:val="0"/>
                <w:sz w:val="25"/>
                <w:szCs w:val="24"/>
              </w:rPr>
              <w:t>招募说明书</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2022-06-24</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交银施罗德国企改革灵活配置混合型证券投资基金基金产品资料概要更新</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2022-06-24</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交银施罗德基金管理有限公司关于增加招商银行股份有限公司为旗下基金销售机构的公告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2022-06-30</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交银施罗德基金管理有限公司关于增加中国光大银行股份有限公司为旗下基金的销售机构的公告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2022-07-12</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交银施罗德国企改革灵活配置混合型证券投资基金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2022-07-20</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交银施罗德基金管理有限公司关于高级管理人员变更的公告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2022-07-30</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交银施罗德基金管理有限公司关于增加中国邮政储蓄银行股份有限公司为旗下基金的销售机构的公告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2022-08-10</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交银施罗德国企改革灵活配置混合型证券投资基金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年中期报告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2022-08-30</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交银施罗德基金管理有限公司关于增加中国人寿保险股份有限公司为旗下基金的销售机构的公告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2022-08-31</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10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交银施罗德基金管理有限公司关于调整直销中心柜台投资者最低认申购金额限制的公告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2022-09-03</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11</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交银施罗德基金管理有限公司关于增加长江证券股份有限公司为旗下基金的销售机构的公告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2022-09-09</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12</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交银施罗德基金管理有限公司关于交银施罗德国企改革灵活配置混合型证券投资基金暂停及恢复大额申购（转换转入、定期定额投资）业务的公告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2022-09-26</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13</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交银施罗德基金管理有限公司关于交银施罗德国企改革灵活配置混合型证券投资基金分红公告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2022-09-28</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交银施罗德基金管理有限公司关于增加德邦证券股份有限公司为旗下基金的销售机构的公告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2022-09-29</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15</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交银施罗德基金管理有限公司关于固有资金拟购买旗下偏股型基金的公告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2022-10-19</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16</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交银施罗德国企改革灵活配置混合型证券投资基金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3</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2022-10-25</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17</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交银施罗德基金管理有限公司关于增加国联证券股份有限公司为旗下基金的销售机构的公告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2022-10-28</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18</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交银施罗德基金管理有限公司关于增加海通证券股份有限公司为旗下基金销售机构的公告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2022-11-11</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19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交银施罗德基金管理有限公司关于增加方正证券股份有限公司为旗下基金的销售机构的公告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2022-12-09</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20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交银施罗德基金管理有限公司关于交银施罗德国企改革灵活配置混合型证券投资基金暂停及恢复大额申购（转换转入、定期定额投资）业务的公告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2022-12-20</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21</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交银施罗德基金管理有限公司关于交银施罗德国企改革灵活配置混合型证券投资基金分红公告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2022-12-22</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22</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交银施罗德基金管理有限公司关于增加渤海证券股份有限公司为旗下基金销售机构的公告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2023-01-06</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23</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交银施罗德基金管理有限公司关于增加国元证券股份有限公司为旗下基金的销售机构的公告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2023-01-13</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交银施罗德基金管理有限公司关于增加深圳众禄基金销售股份有限公司为旗下基金销售机构的公告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2023-01-18</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25</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交银施罗德国企改革灵活配置混合型证券投资基金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4</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2023-01-19</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26</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交银施罗德基金管理有限公司关于增加湘财证券股份有限公司为旗下基金的销售机构的公告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2023-01-19</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27</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交银施罗德基金管理有限公司关于旗下部分基金在交通银行股份有限公司恢复原前端申购（含定期定额投资）费率的公告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2023-01-19</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28</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交银施罗德基金管理有限公司关于增加华泰证券股份有限公司为旗下基金的销售机构的公告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2023-02-03</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29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交银施罗德基金管理有限公司关于增加长城国瑞券有限公司为旗下基金销售机构的公告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2023-02-09</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30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交银施罗德基金管理有限公司关于增加济安财富（北京）基金销售有限公司为旗下基金销售机构的公告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2023-02-10</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31</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交银施罗德基金管理有限公司关于增加西部证券股份有限公司为旗下基金销售机构的公告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2023-02-10</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32</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交银施罗德基金管理有限公司关于增加国信证券股份有限公司为旗下基金的销售机构的公告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2023-02-17</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33</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交银施罗德基金管理有限公司关于增加国元证券股份有限公司为旗下基金的销售机构的公告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2023-02-17</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34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交银施罗德国企改革灵活配置混合型证券投资基金</w:t>
            </w:r>
            <w:r>
              <w:rPr>
                <w:rFonts w:ascii="Times New Roman" w:hAnsi="Times New Roman"/>
                <w:color w:val="000000"/>
                <w:kern w:val="0"/>
                <w:sz w:val="25"/>
                <w:szCs w:val="24"/>
              </w:rPr>
              <w:t>(</w:t>
            </w:r>
            <w:r>
              <w:rPr>
                <w:rFonts w:ascii="Times New Roman" w:hAnsi="Times New Roman"/>
                <w:color w:val="000000"/>
                <w:kern w:val="0"/>
                <w:sz w:val="25"/>
                <w:szCs w:val="24"/>
              </w:rPr>
              <w:t>更新</w:t>
            </w:r>
            <w:r>
              <w:rPr>
                <w:rFonts w:ascii="Times New Roman" w:hAnsi="Times New Roman"/>
                <w:color w:val="000000"/>
                <w:kern w:val="0"/>
                <w:sz w:val="25"/>
                <w:szCs w:val="24"/>
              </w:rPr>
              <w:t>)</w:t>
            </w:r>
            <w:r>
              <w:rPr>
                <w:rFonts w:ascii="Times New Roman" w:hAnsi="Times New Roman"/>
                <w:color w:val="000000"/>
                <w:kern w:val="0"/>
                <w:sz w:val="25"/>
                <w:szCs w:val="24"/>
              </w:rPr>
              <w:t>招募说明书</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2023-02-22</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35</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交银施罗德国企改革灵活配置混合型证券投资基金基金合同</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2023-02-22</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36</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交银施罗德国企改革灵活配置混合型证券投资基金托管协议</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2023-02-22</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37</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交银施罗德国企改革灵活配置混合型证券投资基金（</w:t>
            </w:r>
            <w:r>
              <w:rPr>
                <w:rFonts w:ascii="Times New Roman" w:hAnsi="Times New Roman"/>
                <w:color w:val="000000"/>
                <w:kern w:val="0"/>
                <w:sz w:val="25"/>
                <w:szCs w:val="24"/>
              </w:rPr>
              <w:t>A</w:t>
            </w:r>
            <w:r>
              <w:rPr>
                <w:rFonts w:ascii="Times New Roman" w:hAnsi="Times New Roman"/>
                <w:color w:val="000000"/>
                <w:kern w:val="0"/>
                <w:sz w:val="25"/>
                <w:szCs w:val="24"/>
              </w:rPr>
              <w:t>类份额）基金产品资料概要更新</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2023-02-22</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38</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交银施罗德国企改革灵活配置混合型证券投资基金（</w:t>
            </w:r>
            <w:r>
              <w:rPr>
                <w:rFonts w:ascii="Times New Roman" w:hAnsi="Times New Roman"/>
                <w:color w:val="000000"/>
                <w:kern w:val="0"/>
                <w:sz w:val="25"/>
                <w:szCs w:val="24"/>
              </w:rPr>
              <w:t>C</w:t>
            </w:r>
            <w:r>
              <w:rPr>
                <w:rFonts w:ascii="Times New Roman" w:hAnsi="Times New Roman"/>
                <w:color w:val="000000"/>
                <w:kern w:val="0"/>
                <w:sz w:val="25"/>
                <w:szCs w:val="24"/>
              </w:rPr>
              <w:t>类份额）基金产品资料概要更新</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2023-02-22</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39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交银施罗德基金管理有限公司关于交银施罗德国企改革灵活配置混合型证券投资基金增加</w:t>
            </w:r>
            <w:r>
              <w:rPr>
                <w:rFonts w:ascii="Times New Roman" w:hAnsi="Times New Roman"/>
                <w:color w:val="000000"/>
                <w:kern w:val="0"/>
                <w:sz w:val="25"/>
                <w:szCs w:val="24"/>
              </w:rPr>
              <w:t>C</w:t>
            </w:r>
            <w:r>
              <w:rPr>
                <w:rFonts w:ascii="Times New Roman" w:hAnsi="Times New Roman"/>
                <w:color w:val="000000"/>
                <w:kern w:val="0"/>
                <w:sz w:val="25"/>
                <w:szCs w:val="24"/>
              </w:rPr>
              <w:t>类基金份额、增加侧袋机制、调整基金份额净值计算小数点后保留位数并修改基金合同和托管协议的公告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2023-02-22</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40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交银施罗德基金管理有限公司关于增加南京银行股份有限公司为旗下基金销售机构的公告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2023-03-03</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41</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交银施罗德基金管理有限公司关于增加交通银行股份有限公司为旗下部分基金的销售机构的公告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2023-03-06</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42</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交银施罗德基金管理有限公司关于增加东方证券股份有限公司为旗下基金销售机构的公告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2023-03-10</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43</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交银施罗德基金管理有限公司关于增加中信证券股份有限公司、中信证券（山东）有限责任公司、中信期货有限公司、中信证券华南股份有限公司为旗下基金销售机构的公告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2023-03-15</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44</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交银施罗德基金管理有限公司关于增加招商银行股份有限公司为旗下基金销售机构的公告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2023-03-28</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45</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交银施罗德国企改革灵活配置混合型证券投资基金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年年度报告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2023-03-30</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46</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交银施罗德基金管理有限公司关于增加国信证券股份有限公司为旗下基金的销售机构的公告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2023-04-14</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47</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交银施罗德基金管理有限公司关于增加广发证券股份有限公司为旗下基金的销售机构的公告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2023-04-14</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48</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交银施罗德国企改革灵活配置混合型证券投资基金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2023-04-21</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49</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交银施罗德基金管理有限公司关于增加海通证券股份有限公司为旗下基金的销售机构的公告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2023-04-21</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50</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交银施罗德基金管理有限公司关于增加上海浦东发展银行股份有限公司为旗下基金销售机构的公告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2023-04-27</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51</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交银施罗德基金管理有限公司关于增加平安银行股份有限公司为旗下基金销售机构的公告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2023-04-27</w:t>
            </w:r>
          </w:p>
        </w:tc>
      </w:tr>
      <w:tr w:rsidR="005B1FF5">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52</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交银施罗德基金管理有限公司关于增加宁波银行股份有限公司为旗下基金的销售机构的公告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5B1FF5" w:rsidRDefault="000B1B0D">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2023-05-24</w:t>
            </w:r>
          </w:p>
        </w:tc>
      </w:tr>
    </w:tbl>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28" w:name="_Toc137828472"/>
      <w:r>
        <w:rPr>
          <w:rFonts w:ascii="Times New Roman" w:hAnsi="Times New Roman"/>
          <w:sz w:val="30"/>
        </w:rPr>
        <w:lastRenderedPageBreak/>
        <w:t>二十五、招募说明书的存放及查阅方式</w:t>
      </w:r>
      <w:bookmarkEnd w:id="28"/>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募说明书存放在基金管理人、基金托管人和基金销售机构的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投资人还可以直接登录基金管理人的网站(www.fund001.com)查阅和下载招募说明书。</w:t>
      </w:r>
    </w:p>
    <w:p w:rsidR="00B439CC" w:rsidRDefault="000B1B0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5B1FF5" w:rsidRDefault="000B1B0D">
      <w:pPr>
        <w:pStyle w:val="1"/>
        <w:snapToGrid w:val="0"/>
        <w:spacing w:beforeLines="0" w:before="240" w:after="240"/>
        <w:rPr>
          <w:rFonts w:ascii="宋体" w:hAnsi="宋体"/>
          <w:szCs w:val="30"/>
        </w:rPr>
      </w:pPr>
      <w:bookmarkStart w:id="29" w:name="_Toc137828473"/>
      <w:r>
        <w:rPr>
          <w:rFonts w:ascii="Times New Roman" w:hAnsi="Times New Roman"/>
          <w:sz w:val="30"/>
        </w:rPr>
        <w:lastRenderedPageBreak/>
        <w:t>二十六、备查文件</w:t>
      </w:r>
      <w:bookmarkEnd w:id="29"/>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以下备查文件存放在基金管理人的办公场所，在办公时间可供免费查阅。</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（一）中国证监会准予交银施罗德国企改革灵活配置混合型证券投资基金募集注册的文件</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（二）《交银施罗德国企改革灵活配置混合型证券投资基金基金合同》</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（三）《交银施罗德国企改革灵活配置混合型证券投资基金托管协议》</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（四）基金管理人业务资格批件、营业执照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（五）基金托管人业务资格批件、营业执照</w:t>
      </w:r>
    </w:p>
    <w:p w:rsidR="005B1FF5" w:rsidRDefault="000B1B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（六）关于申请募集注册交银施罗德国企改革灵活配置混合型证券投资基金的法律意见书</w:t>
      </w:r>
    </w:p>
    <w:sectPr w:rsidR="005B1FF5">
      <w:footerReference w:type="default" r:id="rId15"/>
      <w:pgSz w:w="11920" w:h="16840"/>
      <w:pgMar w:top="1360" w:right="1580" w:bottom="280" w:left="1680" w:header="0" w:footer="11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CBF" w:rsidRDefault="00E40CBF">
      <w:r>
        <w:separator/>
      </w:r>
    </w:p>
  </w:endnote>
  <w:endnote w:type="continuationSeparator" w:id="0">
    <w:p w:rsidR="00E40CBF" w:rsidRDefault="00E4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F5" w:rsidRDefault="00BA70AD">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8752" behindDoc="1" locked="0" layoutInCell="0" allowOverlap="1">
              <wp:simplePos x="0" y="0"/>
              <wp:positionH relativeFrom="page">
                <wp:posOffset>3726180</wp:posOffset>
              </wp:positionH>
              <wp:positionV relativeFrom="page">
                <wp:posOffset>9939020</wp:posOffset>
              </wp:positionV>
              <wp:extent cx="27432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FF5" w:rsidRDefault="000B1B0D">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4B77A8">
                            <w:rPr>
                              <w:rFonts w:ascii="Times New Roman" w:hAnsi="Times New Roman"/>
                              <w:noProof/>
                              <w:kern w:val="0"/>
                              <w:sz w:val="18"/>
                              <w:szCs w:val="18"/>
                            </w:rPr>
                            <w:t>4</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4pt;margin-top:782.6pt;width:21.6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F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" o:allowincell="f" filled="f" stroked="f">
              <v:textbox inset="0,0,0,0">
                <w:txbxContent>
                  <w:p w:rsidR="005B1FF5" w:rsidRDefault="000B1B0D">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4B77A8">
                      <w:rPr>
                        <w:rFonts w:ascii="Times New Roman" w:hAnsi="Times New Roman"/>
                        <w:noProof/>
                        <w:kern w:val="0"/>
                        <w:sz w:val="18"/>
                        <w:szCs w:val="18"/>
                      </w:rPr>
                      <w:t>4</w:t>
                    </w:r>
                    <w:r>
                      <w:rPr>
                        <w:rFonts w:ascii="Times New Roman" w:hAnsi="Times New Roman"/>
                        <w:kern w:val="0"/>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F5" w:rsidRDefault="00BA70AD">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9776" behindDoc="1" locked="0" layoutInCell="0" allowOverlap="1">
              <wp:simplePos x="0" y="0"/>
              <wp:positionH relativeFrom="page">
                <wp:posOffset>3698875</wp:posOffset>
              </wp:positionH>
              <wp:positionV relativeFrom="page">
                <wp:posOffset>9827895</wp:posOffset>
              </wp:positionV>
              <wp:extent cx="425450" cy="1397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FF5" w:rsidRDefault="000B1B0D">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4B77A8">
                            <w:rPr>
                              <w:rFonts w:ascii="Times New Roman" w:hAnsi="Times New Roman"/>
                              <w:noProof/>
                              <w:kern w:val="0"/>
                              <w:sz w:val="18"/>
                              <w:szCs w:val="18"/>
                            </w:rPr>
                            <w:t>160</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margin-left:291.25pt;margin-top:773.85pt;width:33.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cqsQ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" o:allowincell="f" filled="f" stroked="f">
              <v:textbox inset="0,0,0,0">
                <w:txbxContent>
                  <w:p w:rsidR="005B1FF5" w:rsidRDefault="000B1B0D">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4B77A8">
                      <w:rPr>
                        <w:rFonts w:ascii="Times New Roman" w:hAnsi="Times New Roman"/>
                        <w:noProof/>
                        <w:kern w:val="0"/>
                        <w:sz w:val="18"/>
                        <w:szCs w:val="18"/>
                      </w:rPr>
                      <w:t>160</w:t>
                    </w:r>
                    <w:r>
                      <w:rPr>
                        <w:rFonts w:ascii="Times New Roman" w:hAnsi="Times New Roman"/>
                        <w:kern w:val="0"/>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CBF" w:rsidRDefault="00E40CBF">
      <w:r>
        <w:separator/>
      </w:r>
    </w:p>
  </w:footnote>
  <w:footnote w:type="continuationSeparator" w:id="0">
    <w:p w:rsidR="00E40CBF" w:rsidRDefault="00E40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D0" w:rsidRDefault="00BA70AD">
    <w:pPr>
      <w:pStyle w:val="a3"/>
      <w:jc w:val="right"/>
    </w:pPr>
    <w:r>
      <w:rPr>
        <w:noProof/>
      </w:rPr>
      <w:drawing>
        <wp:anchor distT="0" distB="0" distL="114300" distR="114300" simplePos="0" relativeHeight="251655680"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5B1FF5" w:rsidRDefault="000B1B0D">
    <w:pPr>
      <w:pStyle w:val="a3"/>
      <w:jc w:val="right"/>
      <w:rPr>
        <w:rFonts w:ascii="宋体" w:hAnsi="宋体"/>
      </w:rPr>
    </w:pPr>
    <w:r>
      <w:rPr>
        <w:rFonts w:ascii="宋体" w:hAnsi="宋体" w:hint="eastAsia"/>
      </w:rPr>
      <w:t>交银施罗德国企改革灵活配置混合型证券投资基金(更新)招募说明书(2023年第2号)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F5" w:rsidRDefault="005B1FF5">
    <w:pPr>
      <w:pStyle w:val="10"/>
      <w:jc w:val="right"/>
    </w:pPr>
  </w:p>
  <w:p w:rsidR="005B1FF5" w:rsidRDefault="005B1FF5">
    <w:pPr>
      <w:pStyle w:val="10"/>
      <w:jc w:val="right"/>
    </w:pPr>
  </w:p>
  <w:p w:rsidR="005B1FF5" w:rsidRDefault="005B1FF5">
    <w:pPr>
      <w:pStyle w:val="a3"/>
      <w:jc w:val="right"/>
    </w:pPr>
  </w:p>
  <w:p w:rsidR="009E65D0" w:rsidRDefault="00BA70AD">
    <w:pPr>
      <w:pStyle w:val="a3"/>
      <w:jc w:val="right"/>
    </w:pPr>
    <w:r>
      <w:rPr>
        <w:noProof/>
      </w:rPr>
      <w:drawing>
        <wp:anchor distT="0" distB="0" distL="114300" distR="114300" simplePos="0" relativeHeight="251656704"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5B1FF5" w:rsidRDefault="000B1B0D">
    <w:pPr>
      <w:pStyle w:val="a3"/>
      <w:jc w:val="right"/>
      <w:rPr>
        <w:rFonts w:ascii="宋体" w:hAnsi="宋体"/>
      </w:rPr>
    </w:pPr>
    <w:r>
      <w:rPr>
        <w:rFonts w:ascii="宋体" w:hAnsi="宋体" w:hint="eastAsia"/>
      </w:rPr>
      <w:t>交银施罗德国企改革灵活配置混合型证券投资基金(更新)招募说明书(2023年第</w:t>
    </w:r>
    <w:r w:rsidR="00DE4ABF">
      <w:rPr>
        <w:rFonts w:ascii="宋体" w:hAnsi="宋体" w:hint="eastAsia"/>
      </w:rPr>
      <w:t>3</w:t>
    </w:r>
    <w:r>
      <w:rPr>
        <w:rFonts w:ascii="宋体" w:hAnsi="宋体" w:hint="eastAsia"/>
      </w:rPr>
      <w:t>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F5" w:rsidRDefault="005B1FF5">
    <w:pPr>
      <w:pStyle w:val="a3"/>
      <w:jc w:val="right"/>
    </w:pPr>
  </w:p>
  <w:p w:rsidR="005B1FF5" w:rsidRDefault="005B1FF5">
    <w:pPr>
      <w:pStyle w:val="a3"/>
      <w:jc w:val="right"/>
    </w:pPr>
  </w:p>
  <w:p w:rsidR="005B1FF5" w:rsidRDefault="005B1FF5">
    <w:pPr>
      <w:pStyle w:val="a3"/>
      <w:jc w:val="right"/>
    </w:pPr>
  </w:p>
  <w:p w:rsidR="009E65D0" w:rsidRDefault="00BA70AD">
    <w:pPr>
      <w:pStyle w:val="a3"/>
      <w:jc w:val="right"/>
    </w:pPr>
    <w:r>
      <w:rPr>
        <w:noProof/>
      </w:rPr>
      <w:drawing>
        <wp:anchor distT="0" distB="0" distL="114300" distR="114300" simplePos="0" relativeHeight="251657728"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1"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5B1FF5" w:rsidRDefault="000B1B0D">
    <w:pPr>
      <w:pStyle w:val="a3"/>
      <w:jc w:val="right"/>
      <w:rPr>
        <w:rFonts w:ascii="宋体" w:hAnsi="宋体"/>
      </w:rPr>
    </w:pPr>
    <w:r>
      <w:rPr>
        <w:rFonts w:ascii="宋体" w:hAnsi="宋体" w:hint="eastAsia"/>
      </w:rPr>
      <w:t>交银施罗德国企改革灵活配置混合型证券投资基金(更新)招募说明书(2023年第</w:t>
    </w:r>
    <w:r w:rsidR="00DE4ABF">
      <w:rPr>
        <w:rFonts w:ascii="宋体" w:hAnsi="宋体" w:hint="eastAsia"/>
      </w:rPr>
      <w:t>3</w:t>
    </w:r>
    <w:r>
      <w:rPr>
        <w:rFonts w:ascii="宋体" w:hAnsi="宋体"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738" w:hanging="454"/>
      </w:pPr>
      <w:rPr>
        <w:rFonts w:hint="eastAsia"/>
      </w:rPr>
    </w:lvl>
    <w:lvl w:ilvl="2">
      <w:start w:val="1"/>
      <w:numFmt w:val="decimal"/>
      <w:pStyle w:val="XBRLTitle3"/>
      <w:suff w:val="space"/>
      <w:lvlText w:val="%1.%2.%3"/>
      <w:lvlJc w:val="left"/>
      <w:pPr>
        <w:ind w:left="624" w:hanging="624"/>
      </w:p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trackRevisions/>
  <w:defaultTabStop w:val="720"/>
  <w:drawingGridHorizontalSpacing w:val="105"/>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1EEA"/>
    <w:rsid w:val="00003EC9"/>
    <w:rsid w:val="0000560A"/>
    <w:rsid w:val="0001266E"/>
    <w:rsid w:val="00026A29"/>
    <w:rsid w:val="00026D00"/>
    <w:rsid w:val="00027C73"/>
    <w:rsid w:val="00030964"/>
    <w:rsid w:val="00030F3E"/>
    <w:rsid w:val="000368A2"/>
    <w:rsid w:val="00044AFD"/>
    <w:rsid w:val="00044E2C"/>
    <w:rsid w:val="000457B7"/>
    <w:rsid w:val="0004614E"/>
    <w:rsid w:val="00046212"/>
    <w:rsid w:val="000500B8"/>
    <w:rsid w:val="000506ED"/>
    <w:rsid w:val="000543D5"/>
    <w:rsid w:val="00055792"/>
    <w:rsid w:val="00055F52"/>
    <w:rsid w:val="00061C0D"/>
    <w:rsid w:val="0006212F"/>
    <w:rsid w:val="0006220F"/>
    <w:rsid w:val="000647B8"/>
    <w:rsid w:val="0006506B"/>
    <w:rsid w:val="0006551A"/>
    <w:rsid w:val="000700AC"/>
    <w:rsid w:val="000705A6"/>
    <w:rsid w:val="0007638A"/>
    <w:rsid w:val="00076B6E"/>
    <w:rsid w:val="000816EA"/>
    <w:rsid w:val="00081744"/>
    <w:rsid w:val="000828CE"/>
    <w:rsid w:val="000833CB"/>
    <w:rsid w:val="00083491"/>
    <w:rsid w:val="00084078"/>
    <w:rsid w:val="000843B3"/>
    <w:rsid w:val="000869C2"/>
    <w:rsid w:val="00087F4C"/>
    <w:rsid w:val="00090648"/>
    <w:rsid w:val="00094253"/>
    <w:rsid w:val="00095030"/>
    <w:rsid w:val="000A01A0"/>
    <w:rsid w:val="000A352B"/>
    <w:rsid w:val="000B0F8B"/>
    <w:rsid w:val="000B1B0D"/>
    <w:rsid w:val="000B359E"/>
    <w:rsid w:val="000B3894"/>
    <w:rsid w:val="000B4E04"/>
    <w:rsid w:val="000C1E1E"/>
    <w:rsid w:val="000C38F1"/>
    <w:rsid w:val="000C5E77"/>
    <w:rsid w:val="000C68E9"/>
    <w:rsid w:val="000D0ADE"/>
    <w:rsid w:val="000D179E"/>
    <w:rsid w:val="000D66DC"/>
    <w:rsid w:val="000E1F3B"/>
    <w:rsid w:val="000E3AB4"/>
    <w:rsid w:val="000E7544"/>
    <w:rsid w:val="000F0C17"/>
    <w:rsid w:val="000F2904"/>
    <w:rsid w:val="000F34A1"/>
    <w:rsid w:val="000F5226"/>
    <w:rsid w:val="000F5583"/>
    <w:rsid w:val="000F6050"/>
    <w:rsid w:val="000F66FF"/>
    <w:rsid w:val="000F698D"/>
    <w:rsid w:val="000F7D42"/>
    <w:rsid w:val="001008A5"/>
    <w:rsid w:val="00100C86"/>
    <w:rsid w:val="0011339C"/>
    <w:rsid w:val="001135B0"/>
    <w:rsid w:val="00113FAA"/>
    <w:rsid w:val="00115AE5"/>
    <w:rsid w:val="00116489"/>
    <w:rsid w:val="0011648B"/>
    <w:rsid w:val="001166C1"/>
    <w:rsid w:val="00116874"/>
    <w:rsid w:val="001177A3"/>
    <w:rsid w:val="001240EB"/>
    <w:rsid w:val="0012443D"/>
    <w:rsid w:val="00127053"/>
    <w:rsid w:val="0013182D"/>
    <w:rsid w:val="00131CEE"/>
    <w:rsid w:val="0013315B"/>
    <w:rsid w:val="00134FCF"/>
    <w:rsid w:val="00135AD8"/>
    <w:rsid w:val="0013630D"/>
    <w:rsid w:val="001367F2"/>
    <w:rsid w:val="001412E8"/>
    <w:rsid w:val="0014250F"/>
    <w:rsid w:val="00144B52"/>
    <w:rsid w:val="00153D66"/>
    <w:rsid w:val="0015725E"/>
    <w:rsid w:val="00162F69"/>
    <w:rsid w:val="00164946"/>
    <w:rsid w:val="00165756"/>
    <w:rsid w:val="0017362C"/>
    <w:rsid w:val="0017392F"/>
    <w:rsid w:val="0018184C"/>
    <w:rsid w:val="0018198F"/>
    <w:rsid w:val="00181C62"/>
    <w:rsid w:val="00183642"/>
    <w:rsid w:val="001860C4"/>
    <w:rsid w:val="00186FAE"/>
    <w:rsid w:val="001917D4"/>
    <w:rsid w:val="001917FC"/>
    <w:rsid w:val="00191D7F"/>
    <w:rsid w:val="001925A2"/>
    <w:rsid w:val="00195218"/>
    <w:rsid w:val="00197A55"/>
    <w:rsid w:val="00197F7E"/>
    <w:rsid w:val="001A1623"/>
    <w:rsid w:val="001A2263"/>
    <w:rsid w:val="001B4531"/>
    <w:rsid w:val="001B5BDB"/>
    <w:rsid w:val="001B75F9"/>
    <w:rsid w:val="001C2B9E"/>
    <w:rsid w:val="001C38DA"/>
    <w:rsid w:val="001C7A48"/>
    <w:rsid w:val="001C7C12"/>
    <w:rsid w:val="001D2797"/>
    <w:rsid w:val="001D2B67"/>
    <w:rsid w:val="001D3730"/>
    <w:rsid w:val="001D4727"/>
    <w:rsid w:val="001D5665"/>
    <w:rsid w:val="001D61DC"/>
    <w:rsid w:val="001D6377"/>
    <w:rsid w:val="001D68A8"/>
    <w:rsid w:val="001D6B88"/>
    <w:rsid w:val="001D6C5F"/>
    <w:rsid w:val="001D7ECC"/>
    <w:rsid w:val="001E144C"/>
    <w:rsid w:val="001E25FD"/>
    <w:rsid w:val="001E2A4F"/>
    <w:rsid w:val="001E3F8F"/>
    <w:rsid w:val="001E5250"/>
    <w:rsid w:val="001F33EB"/>
    <w:rsid w:val="001F4DEA"/>
    <w:rsid w:val="001F4ECB"/>
    <w:rsid w:val="001F7353"/>
    <w:rsid w:val="00201F27"/>
    <w:rsid w:val="00201F9B"/>
    <w:rsid w:val="00203597"/>
    <w:rsid w:val="002076AC"/>
    <w:rsid w:val="00212B27"/>
    <w:rsid w:val="00212BBA"/>
    <w:rsid w:val="0021469C"/>
    <w:rsid w:val="00215523"/>
    <w:rsid w:val="00216962"/>
    <w:rsid w:val="00217CA4"/>
    <w:rsid w:val="00221112"/>
    <w:rsid w:val="00221A1B"/>
    <w:rsid w:val="002220A4"/>
    <w:rsid w:val="00223C19"/>
    <w:rsid w:val="00224421"/>
    <w:rsid w:val="00226503"/>
    <w:rsid w:val="00226A60"/>
    <w:rsid w:val="0023578C"/>
    <w:rsid w:val="00235AC5"/>
    <w:rsid w:val="002377E0"/>
    <w:rsid w:val="00240BB6"/>
    <w:rsid w:val="002432CA"/>
    <w:rsid w:val="00243D40"/>
    <w:rsid w:val="00245250"/>
    <w:rsid w:val="002477CB"/>
    <w:rsid w:val="00247BF6"/>
    <w:rsid w:val="00250A33"/>
    <w:rsid w:val="00251126"/>
    <w:rsid w:val="002524D2"/>
    <w:rsid w:val="00252802"/>
    <w:rsid w:val="00261A50"/>
    <w:rsid w:val="002634C3"/>
    <w:rsid w:val="00265B3A"/>
    <w:rsid w:val="0027052E"/>
    <w:rsid w:val="00271E9D"/>
    <w:rsid w:val="00271F7D"/>
    <w:rsid w:val="00274E85"/>
    <w:rsid w:val="002777F6"/>
    <w:rsid w:val="00277907"/>
    <w:rsid w:val="00280C42"/>
    <w:rsid w:val="00281B73"/>
    <w:rsid w:val="002833C9"/>
    <w:rsid w:val="00285E5C"/>
    <w:rsid w:val="00290B63"/>
    <w:rsid w:val="00290E73"/>
    <w:rsid w:val="00293415"/>
    <w:rsid w:val="00294689"/>
    <w:rsid w:val="0029539A"/>
    <w:rsid w:val="002A1A82"/>
    <w:rsid w:val="002A2FB0"/>
    <w:rsid w:val="002A4D32"/>
    <w:rsid w:val="002A5F87"/>
    <w:rsid w:val="002B017B"/>
    <w:rsid w:val="002B0DC0"/>
    <w:rsid w:val="002B2664"/>
    <w:rsid w:val="002B4E21"/>
    <w:rsid w:val="002B5000"/>
    <w:rsid w:val="002B78AA"/>
    <w:rsid w:val="002C383C"/>
    <w:rsid w:val="002D15BB"/>
    <w:rsid w:val="002D1C13"/>
    <w:rsid w:val="002D3109"/>
    <w:rsid w:val="002D378C"/>
    <w:rsid w:val="002D6413"/>
    <w:rsid w:val="002D6F14"/>
    <w:rsid w:val="002D74D5"/>
    <w:rsid w:val="002E4922"/>
    <w:rsid w:val="002E4B2C"/>
    <w:rsid w:val="002E5261"/>
    <w:rsid w:val="002F00BB"/>
    <w:rsid w:val="002F1DE7"/>
    <w:rsid w:val="002F2627"/>
    <w:rsid w:val="002F2748"/>
    <w:rsid w:val="002F6445"/>
    <w:rsid w:val="002F6580"/>
    <w:rsid w:val="002F6DE8"/>
    <w:rsid w:val="002F74D8"/>
    <w:rsid w:val="002F7C72"/>
    <w:rsid w:val="002F7EDC"/>
    <w:rsid w:val="003003A8"/>
    <w:rsid w:val="0030091B"/>
    <w:rsid w:val="00301E62"/>
    <w:rsid w:val="00304063"/>
    <w:rsid w:val="0030555F"/>
    <w:rsid w:val="00305A3B"/>
    <w:rsid w:val="00305BB4"/>
    <w:rsid w:val="0030645F"/>
    <w:rsid w:val="003117B9"/>
    <w:rsid w:val="00311C71"/>
    <w:rsid w:val="00313073"/>
    <w:rsid w:val="0031336C"/>
    <w:rsid w:val="0031339F"/>
    <w:rsid w:val="00313F3E"/>
    <w:rsid w:val="00323F65"/>
    <w:rsid w:val="00326147"/>
    <w:rsid w:val="0033051E"/>
    <w:rsid w:val="0033401D"/>
    <w:rsid w:val="00334456"/>
    <w:rsid w:val="00336150"/>
    <w:rsid w:val="00336E99"/>
    <w:rsid w:val="00342417"/>
    <w:rsid w:val="003454EC"/>
    <w:rsid w:val="00346537"/>
    <w:rsid w:val="00347B94"/>
    <w:rsid w:val="003527DD"/>
    <w:rsid w:val="003547A2"/>
    <w:rsid w:val="00355171"/>
    <w:rsid w:val="00362702"/>
    <w:rsid w:val="00362A37"/>
    <w:rsid w:val="00362CF0"/>
    <w:rsid w:val="00362D5D"/>
    <w:rsid w:val="00364AC5"/>
    <w:rsid w:val="00365D15"/>
    <w:rsid w:val="0036702F"/>
    <w:rsid w:val="00367F3A"/>
    <w:rsid w:val="00370BDF"/>
    <w:rsid w:val="00372FA2"/>
    <w:rsid w:val="003735E9"/>
    <w:rsid w:val="003739FE"/>
    <w:rsid w:val="003749D5"/>
    <w:rsid w:val="0038254F"/>
    <w:rsid w:val="003828EC"/>
    <w:rsid w:val="00383488"/>
    <w:rsid w:val="003843BB"/>
    <w:rsid w:val="003859DA"/>
    <w:rsid w:val="00386153"/>
    <w:rsid w:val="00386BA7"/>
    <w:rsid w:val="00390B48"/>
    <w:rsid w:val="0039213A"/>
    <w:rsid w:val="00393BF6"/>
    <w:rsid w:val="00395D4D"/>
    <w:rsid w:val="00396D64"/>
    <w:rsid w:val="00397A06"/>
    <w:rsid w:val="003A0FAF"/>
    <w:rsid w:val="003A38BD"/>
    <w:rsid w:val="003A38C8"/>
    <w:rsid w:val="003A6045"/>
    <w:rsid w:val="003A72D0"/>
    <w:rsid w:val="003B22FD"/>
    <w:rsid w:val="003B3004"/>
    <w:rsid w:val="003B3A47"/>
    <w:rsid w:val="003B4168"/>
    <w:rsid w:val="003B42FF"/>
    <w:rsid w:val="003B62D2"/>
    <w:rsid w:val="003B66A3"/>
    <w:rsid w:val="003C27F7"/>
    <w:rsid w:val="003C62C1"/>
    <w:rsid w:val="003C6FA4"/>
    <w:rsid w:val="003D0B3E"/>
    <w:rsid w:val="003D2352"/>
    <w:rsid w:val="003D3863"/>
    <w:rsid w:val="003D3D0A"/>
    <w:rsid w:val="003E0800"/>
    <w:rsid w:val="003E1584"/>
    <w:rsid w:val="003E33DE"/>
    <w:rsid w:val="003E3593"/>
    <w:rsid w:val="003E585F"/>
    <w:rsid w:val="003E6049"/>
    <w:rsid w:val="003E67F9"/>
    <w:rsid w:val="003F0D27"/>
    <w:rsid w:val="003F1C98"/>
    <w:rsid w:val="003F317C"/>
    <w:rsid w:val="003F4813"/>
    <w:rsid w:val="00406654"/>
    <w:rsid w:val="0041100B"/>
    <w:rsid w:val="004114F3"/>
    <w:rsid w:val="00412894"/>
    <w:rsid w:val="004130C3"/>
    <w:rsid w:val="00413E71"/>
    <w:rsid w:val="00421363"/>
    <w:rsid w:val="00421921"/>
    <w:rsid w:val="00422100"/>
    <w:rsid w:val="004254D3"/>
    <w:rsid w:val="0042746B"/>
    <w:rsid w:val="00433B69"/>
    <w:rsid w:val="004369AD"/>
    <w:rsid w:val="00436DD6"/>
    <w:rsid w:val="00444FB7"/>
    <w:rsid w:val="00450674"/>
    <w:rsid w:val="004533FE"/>
    <w:rsid w:val="00454715"/>
    <w:rsid w:val="00454D80"/>
    <w:rsid w:val="00456785"/>
    <w:rsid w:val="00462EB0"/>
    <w:rsid w:val="00463933"/>
    <w:rsid w:val="00464346"/>
    <w:rsid w:val="00470325"/>
    <w:rsid w:val="00470F42"/>
    <w:rsid w:val="00471605"/>
    <w:rsid w:val="0047297A"/>
    <w:rsid w:val="00474709"/>
    <w:rsid w:val="00480184"/>
    <w:rsid w:val="00480516"/>
    <w:rsid w:val="00480658"/>
    <w:rsid w:val="00480D3C"/>
    <w:rsid w:val="0048170B"/>
    <w:rsid w:val="00481BD4"/>
    <w:rsid w:val="00482AA2"/>
    <w:rsid w:val="0048579F"/>
    <w:rsid w:val="00487005"/>
    <w:rsid w:val="004901A7"/>
    <w:rsid w:val="004A084F"/>
    <w:rsid w:val="004A1FA1"/>
    <w:rsid w:val="004A3225"/>
    <w:rsid w:val="004A3F90"/>
    <w:rsid w:val="004A5F59"/>
    <w:rsid w:val="004A6F1F"/>
    <w:rsid w:val="004B17D8"/>
    <w:rsid w:val="004B2323"/>
    <w:rsid w:val="004B62C3"/>
    <w:rsid w:val="004B77A8"/>
    <w:rsid w:val="004C0BC8"/>
    <w:rsid w:val="004C461A"/>
    <w:rsid w:val="004C7D23"/>
    <w:rsid w:val="004D0783"/>
    <w:rsid w:val="004D11CB"/>
    <w:rsid w:val="004D49E3"/>
    <w:rsid w:val="004D7163"/>
    <w:rsid w:val="004E0366"/>
    <w:rsid w:val="004E1C30"/>
    <w:rsid w:val="004E3342"/>
    <w:rsid w:val="004E45AC"/>
    <w:rsid w:val="004E4672"/>
    <w:rsid w:val="004E5593"/>
    <w:rsid w:val="004E7511"/>
    <w:rsid w:val="004E7A1E"/>
    <w:rsid w:val="004E7F1A"/>
    <w:rsid w:val="004F0352"/>
    <w:rsid w:val="004F0740"/>
    <w:rsid w:val="004F415D"/>
    <w:rsid w:val="004F4980"/>
    <w:rsid w:val="004F66F4"/>
    <w:rsid w:val="004F7710"/>
    <w:rsid w:val="00502A45"/>
    <w:rsid w:val="0050542C"/>
    <w:rsid w:val="00512DC1"/>
    <w:rsid w:val="00514C6B"/>
    <w:rsid w:val="005161EC"/>
    <w:rsid w:val="0051709F"/>
    <w:rsid w:val="005175EB"/>
    <w:rsid w:val="00521A18"/>
    <w:rsid w:val="00522079"/>
    <w:rsid w:val="00522622"/>
    <w:rsid w:val="0052450E"/>
    <w:rsid w:val="00525410"/>
    <w:rsid w:val="00530703"/>
    <w:rsid w:val="00530763"/>
    <w:rsid w:val="00534EFD"/>
    <w:rsid w:val="005362F2"/>
    <w:rsid w:val="00543B42"/>
    <w:rsid w:val="0054651A"/>
    <w:rsid w:val="00546EA9"/>
    <w:rsid w:val="005474CD"/>
    <w:rsid w:val="005501B7"/>
    <w:rsid w:val="0055152E"/>
    <w:rsid w:val="00552094"/>
    <w:rsid w:val="00553D73"/>
    <w:rsid w:val="00554BAF"/>
    <w:rsid w:val="00555A15"/>
    <w:rsid w:val="00556291"/>
    <w:rsid w:val="005569E4"/>
    <w:rsid w:val="00560E11"/>
    <w:rsid w:val="00561147"/>
    <w:rsid w:val="00561463"/>
    <w:rsid w:val="00561F8F"/>
    <w:rsid w:val="00563A0E"/>
    <w:rsid w:val="005647D0"/>
    <w:rsid w:val="00574C59"/>
    <w:rsid w:val="00576CE2"/>
    <w:rsid w:val="005770AC"/>
    <w:rsid w:val="00577C1A"/>
    <w:rsid w:val="00577FAA"/>
    <w:rsid w:val="0058041D"/>
    <w:rsid w:val="005826AA"/>
    <w:rsid w:val="00583CE7"/>
    <w:rsid w:val="005856E9"/>
    <w:rsid w:val="005867BB"/>
    <w:rsid w:val="00587452"/>
    <w:rsid w:val="00591C2A"/>
    <w:rsid w:val="00592461"/>
    <w:rsid w:val="00592539"/>
    <w:rsid w:val="00596A05"/>
    <w:rsid w:val="00596D6D"/>
    <w:rsid w:val="00597284"/>
    <w:rsid w:val="00597F8F"/>
    <w:rsid w:val="005A1EA2"/>
    <w:rsid w:val="005A2467"/>
    <w:rsid w:val="005A5858"/>
    <w:rsid w:val="005A6BB5"/>
    <w:rsid w:val="005A6E51"/>
    <w:rsid w:val="005A7C7F"/>
    <w:rsid w:val="005A7D88"/>
    <w:rsid w:val="005B130C"/>
    <w:rsid w:val="005B14FF"/>
    <w:rsid w:val="005B1FF5"/>
    <w:rsid w:val="005B3B71"/>
    <w:rsid w:val="005B4B1B"/>
    <w:rsid w:val="005B4F0F"/>
    <w:rsid w:val="005B58F0"/>
    <w:rsid w:val="005C0E62"/>
    <w:rsid w:val="005C0F5B"/>
    <w:rsid w:val="005C2E15"/>
    <w:rsid w:val="005C403B"/>
    <w:rsid w:val="005C63CB"/>
    <w:rsid w:val="005D0AA6"/>
    <w:rsid w:val="005D165F"/>
    <w:rsid w:val="005D21F3"/>
    <w:rsid w:val="005D3CF8"/>
    <w:rsid w:val="005D5D89"/>
    <w:rsid w:val="005E0D2D"/>
    <w:rsid w:val="005E3FB6"/>
    <w:rsid w:val="005F4583"/>
    <w:rsid w:val="005F4ABB"/>
    <w:rsid w:val="005F6066"/>
    <w:rsid w:val="005F6562"/>
    <w:rsid w:val="005F6C6D"/>
    <w:rsid w:val="005F6F09"/>
    <w:rsid w:val="005F787A"/>
    <w:rsid w:val="006019C7"/>
    <w:rsid w:val="00601E7B"/>
    <w:rsid w:val="00601EBC"/>
    <w:rsid w:val="00602D32"/>
    <w:rsid w:val="00603A84"/>
    <w:rsid w:val="006067DC"/>
    <w:rsid w:val="00610629"/>
    <w:rsid w:val="00611BCD"/>
    <w:rsid w:val="0061258D"/>
    <w:rsid w:val="006142EC"/>
    <w:rsid w:val="006155A5"/>
    <w:rsid w:val="00617824"/>
    <w:rsid w:val="00624214"/>
    <w:rsid w:val="00625419"/>
    <w:rsid w:val="00626D1A"/>
    <w:rsid w:val="00627429"/>
    <w:rsid w:val="0063089C"/>
    <w:rsid w:val="00632A91"/>
    <w:rsid w:val="006345E8"/>
    <w:rsid w:val="0063765C"/>
    <w:rsid w:val="006403CB"/>
    <w:rsid w:val="006410B0"/>
    <w:rsid w:val="0064139F"/>
    <w:rsid w:val="00641404"/>
    <w:rsid w:val="00641EDA"/>
    <w:rsid w:val="00642B97"/>
    <w:rsid w:val="00643680"/>
    <w:rsid w:val="00644453"/>
    <w:rsid w:val="00644B32"/>
    <w:rsid w:val="0064639A"/>
    <w:rsid w:val="0064646F"/>
    <w:rsid w:val="00646523"/>
    <w:rsid w:val="00647BDD"/>
    <w:rsid w:val="0065273C"/>
    <w:rsid w:val="00656A74"/>
    <w:rsid w:val="00657221"/>
    <w:rsid w:val="00661FC1"/>
    <w:rsid w:val="00663FED"/>
    <w:rsid w:val="00664B64"/>
    <w:rsid w:val="006678E3"/>
    <w:rsid w:val="00667A9C"/>
    <w:rsid w:val="006712E8"/>
    <w:rsid w:val="00677DA7"/>
    <w:rsid w:val="00680212"/>
    <w:rsid w:val="00680C90"/>
    <w:rsid w:val="00681036"/>
    <w:rsid w:val="006823AD"/>
    <w:rsid w:val="00682C29"/>
    <w:rsid w:val="00685872"/>
    <w:rsid w:val="00685AD7"/>
    <w:rsid w:val="00691963"/>
    <w:rsid w:val="00692124"/>
    <w:rsid w:val="00692D96"/>
    <w:rsid w:val="00693C96"/>
    <w:rsid w:val="00696339"/>
    <w:rsid w:val="00696982"/>
    <w:rsid w:val="006A3F85"/>
    <w:rsid w:val="006A48FA"/>
    <w:rsid w:val="006A56F1"/>
    <w:rsid w:val="006A6E5C"/>
    <w:rsid w:val="006B0972"/>
    <w:rsid w:val="006B3153"/>
    <w:rsid w:val="006B5871"/>
    <w:rsid w:val="006B6BB1"/>
    <w:rsid w:val="006B7212"/>
    <w:rsid w:val="006C14C3"/>
    <w:rsid w:val="006C4B6F"/>
    <w:rsid w:val="006C589D"/>
    <w:rsid w:val="006C769C"/>
    <w:rsid w:val="006C7A95"/>
    <w:rsid w:val="006D11E8"/>
    <w:rsid w:val="006D4B0E"/>
    <w:rsid w:val="006D753C"/>
    <w:rsid w:val="006E0A00"/>
    <w:rsid w:val="006E306D"/>
    <w:rsid w:val="006E4BEC"/>
    <w:rsid w:val="006E6968"/>
    <w:rsid w:val="006F04C6"/>
    <w:rsid w:val="006F08A0"/>
    <w:rsid w:val="006F2A97"/>
    <w:rsid w:val="006F7AD7"/>
    <w:rsid w:val="00702627"/>
    <w:rsid w:val="0070359F"/>
    <w:rsid w:val="0070464C"/>
    <w:rsid w:val="00705474"/>
    <w:rsid w:val="00705B46"/>
    <w:rsid w:val="007076B2"/>
    <w:rsid w:val="00711BBB"/>
    <w:rsid w:val="0071340A"/>
    <w:rsid w:val="00713FC7"/>
    <w:rsid w:val="00716FD1"/>
    <w:rsid w:val="00720D0F"/>
    <w:rsid w:val="007218A9"/>
    <w:rsid w:val="0072241C"/>
    <w:rsid w:val="007245A5"/>
    <w:rsid w:val="00731628"/>
    <w:rsid w:val="00734108"/>
    <w:rsid w:val="007343AD"/>
    <w:rsid w:val="0073448D"/>
    <w:rsid w:val="00735087"/>
    <w:rsid w:val="00736FA0"/>
    <w:rsid w:val="0074053E"/>
    <w:rsid w:val="0075000E"/>
    <w:rsid w:val="00752156"/>
    <w:rsid w:val="00753A7A"/>
    <w:rsid w:val="00756E77"/>
    <w:rsid w:val="007577C2"/>
    <w:rsid w:val="0076038F"/>
    <w:rsid w:val="00760D77"/>
    <w:rsid w:val="007617E5"/>
    <w:rsid w:val="0077124E"/>
    <w:rsid w:val="00772FA7"/>
    <w:rsid w:val="0077578C"/>
    <w:rsid w:val="00781ACA"/>
    <w:rsid w:val="007823CF"/>
    <w:rsid w:val="00783E35"/>
    <w:rsid w:val="00784F67"/>
    <w:rsid w:val="00786754"/>
    <w:rsid w:val="00786D49"/>
    <w:rsid w:val="00787061"/>
    <w:rsid w:val="00790F0A"/>
    <w:rsid w:val="00790F5E"/>
    <w:rsid w:val="007927A6"/>
    <w:rsid w:val="00797F6E"/>
    <w:rsid w:val="007A1F4C"/>
    <w:rsid w:val="007A53F8"/>
    <w:rsid w:val="007B05BD"/>
    <w:rsid w:val="007B31A5"/>
    <w:rsid w:val="007B3327"/>
    <w:rsid w:val="007B3533"/>
    <w:rsid w:val="007B4996"/>
    <w:rsid w:val="007B6926"/>
    <w:rsid w:val="007B6FA3"/>
    <w:rsid w:val="007B705D"/>
    <w:rsid w:val="007C5764"/>
    <w:rsid w:val="007C61D0"/>
    <w:rsid w:val="007C6FAA"/>
    <w:rsid w:val="007C768F"/>
    <w:rsid w:val="007D251F"/>
    <w:rsid w:val="007D4FA2"/>
    <w:rsid w:val="007E0874"/>
    <w:rsid w:val="007E0FAD"/>
    <w:rsid w:val="007E60E9"/>
    <w:rsid w:val="007E63F3"/>
    <w:rsid w:val="007E6F5A"/>
    <w:rsid w:val="007F0916"/>
    <w:rsid w:val="007F1E7D"/>
    <w:rsid w:val="007F2A79"/>
    <w:rsid w:val="007F3026"/>
    <w:rsid w:val="007F42DD"/>
    <w:rsid w:val="007F4E0F"/>
    <w:rsid w:val="007F77CA"/>
    <w:rsid w:val="008011ED"/>
    <w:rsid w:val="00801636"/>
    <w:rsid w:val="00803935"/>
    <w:rsid w:val="008045D0"/>
    <w:rsid w:val="008059B8"/>
    <w:rsid w:val="00810333"/>
    <w:rsid w:val="0081415C"/>
    <w:rsid w:val="0081590D"/>
    <w:rsid w:val="00815E57"/>
    <w:rsid w:val="008166F5"/>
    <w:rsid w:val="0081677E"/>
    <w:rsid w:val="00817467"/>
    <w:rsid w:val="0082043E"/>
    <w:rsid w:val="00822905"/>
    <w:rsid w:val="0082299E"/>
    <w:rsid w:val="00827CD1"/>
    <w:rsid w:val="00832164"/>
    <w:rsid w:val="00832F53"/>
    <w:rsid w:val="00834003"/>
    <w:rsid w:val="0083455F"/>
    <w:rsid w:val="00834EA0"/>
    <w:rsid w:val="00843042"/>
    <w:rsid w:val="00843C37"/>
    <w:rsid w:val="00844886"/>
    <w:rsid w:val="00844C2D"/>
    <w:rsid w:val="00846D68"/>
    <w:rsid w:val="008518E5"/>
    <w:rsid w:val="00852B15"/>
    <w:rsid w:val="00856135"/>
    <w:rsid w:val="00857A96"/>
    <w:rsid w:val="00861FE5"/>
    <w:rsid w:val="0086376D"/>
    <w:rsid w:val="008703C2"/>
    <w:rsid w:val="0087209F"/>
    <w:rsid w:val="008806CC"/>
    <w:rsid w:val="008849E6"/>
    <w:rsid w:val="0088513E"/>
    <w:rsid w:val="00886300"/>
    <w:rsid w:val="0089099F"/>
    <w:rsid w:val="00890AAF"/>
    <w:rsid w:val="00892F7A"/>
    <w:rsid w:val="00894CEB"/>
    <w:rsid w:val="00896A62"/>
    <w:rsid w:val="00897B88"/>
    <w:rsid w:val="008A113D"/>
    <w:rsid w:val="008A678B"/>
    <w:rsid w:val="008B0034"/>
    <w:rsid w:val="008B0702"/>
    <w:rsid w:val="008B2397"/>
    <w:rsid w:val="008B33B5"/>
    <w:rsid w:val="008B3CD6"/>
    <w:rsid w:val="008B6003"/>
    <w:rsid w:val="008B691D"/>
    <w:rsid w:val="008B7535"/>
    <w:rsid w:val="008C4D11"/>
    <w:rsid w:val="008D54FA"/>
    <w:rsid w:val="008D5C05"/>
    <w:rsid w:val="008D6490"/>
    <w:rsid w:val="008D6FFD"/>
    <w:rsid w:val="008E1191"/>
    <w:rsid w:val="008E342E"/>
    <w:rsid w:val="008E4D9C"/>
    <w:rsid w:val="008E566D"/>
    <w:rsid w:val="008E588C"/>
    <w:rsid w:val="008F52D9"/>
    <w:rsid w:val="008F6BC6"/>
    <w:rsid w:val="00902B4C"/>
    <w:rsid w:val="00903FC5"/>
    <w:rsid w:val="0090403F"/>
    <w:rsid w:val="009071FF"/>
    <w:rsid w:val="009108DB"/>
    <w:rsid w:val="009112EB"/>
    <w:rsid w:val="00913191"/>
    <w:rsid w:val="009131F2"/>
    <w:rsid w:val="00916431"/>
    <w:rsid w:val="00917DBE"/>
    <w:rsid w:val="0092605A"/>
    <w:rsid w:val="0092689A"/>
    <w:rsid w:val="0093228E"/>
    <w:rsid w:val="009325E1"/>
    <w:rsid w:val="00933602"/>
    <w:rsid w:val="009338B2"/>
    <w:rsid w:val="009351EF"/>
    <w:rsid w:val="0093698F"/>
    <w:rsid w:val="00940914"/>
    <w:rsid w:val="009409E8"/>
    <w:rsid w:val="00942250"/>
    <w:rsid w:val="00942706"/>
    <w:rsid w:val="00942E51"/>
    <w:rsid w:val="00946A6A"/>
    <w:rsid w:val="00947EB7"/>
    <w:rsid w:val="0095056B"/>
    <w:rsid w:val="00951FC3"/>
    <w:rsid w:val="009520BD"/>
    <w:rsid w:val="00952B29"/>
    <w:rsid w:val="00953DBA"/>
    <w:rsid w:val="00954137"/>
    <w:rsid w:val="00955882"/>
    <w:rsid w:val="00955ABF"/>
    <w:rsid w:val="00956F74"/>
    <w:rsid w:val="00956F84"/>
    <w:rsid w:val="009575A0"/>
    <w:rsid w:val="00957C6C"/>
    <w:rsid w:val="00960AA2"/>
    <w:rsid w:val="009649DC"/>
    <w:rsid w:val="00966EB2"/>
    <w:rsid w:val="00970C67"/>
    <w:rsid w:val="00974456"/>
    <w:rsid w:val="00991483"/>
    <w:rsid w:val="0099296D"/>
    <w:rsid w:val="009935AA"/>
    <w:rsid w:val="00993F94"/>
    <w:rsid w:val="009951B2"/>
    <w:rsid w:val="009A039C"/>
    <w:rsid w:val="009A2859"/>
    <w:rsid w:val="009A4E90"/>
    <w:rsid w:val="009A50B8"/>
    <w:rsid w:val="009A737B"/>
    <w:rsid w:val="009B1823"/>
    <w:rsid w:val="009B406F"/>
    <w:rsid w:val="009B443A"/>
    <w:rsid w:val="009B4D09"/>
    <w:rsid w:val="009B6DD1"/>
    <w:rsid w:val="009C1332"/>
    <w:rsid w:val="009C4A4F"/>
    <w:rsid w:val="009C6D34"/>
    <w:rsid w:val="009D2E97"/>
    <w:rsid w:val="009D328E"/>
    <w:rsid w:val="009D3438"/>
    <w:rsid w:val="009D3B88"/>
    <w:rsid w:val="009D40B6"/>
    <w:rsid w:val="009D4D3A"/>
    <w:rsid w:val="009D7AD4"/>
    <w:rsid w:val="009E1231"/>
    <w:rsid w:val="009E1A57"/>
    <w:rsid w:val="009E36CA"/>
    <w:rsid w:val="009E4B6B"/>
    <w:rsid w:val="009E6470"/>
    <w:rsid w:val="009E7175"/>
    <w:rsid w:val="009F08CB"/>
    <w:rsid w:val="009F1E5E"/>
    <w:rsid w:val="009F497B"/>
    <w:rsid w:val="009F5331"/>
    <w:rsid w:val="009F6453"/>
    <w:rsid w:val="009F6AD6"/>
    <w:rsid w:val="009F6F30"/>
    <w:rsid w:val="009F7BFB"/>
    <w:rsid w:val="00A0081F"/>
    <w:rsid w:val="00A01B61"/>
    <w:rsid w:val="00A03BCB"/>
    <w:rsid w:val="00A048F3"/>
    <w:rsid w:val="00A04CA6"/>
    <w:rsid w:val="00A052DD"/>
    <w:rsid w:val="00A06E6F"/>
    <w:rsid w:val="00A12A49"/>
    <w:rsid w:val="00A135C4"/>
    <w:rsid w:val="00A13CB5"/>
    <w:rsid w:val="00A13FEC"/>
    <w:rsid w:val="00A200C3"/>
    <w:rsid w:val="00A21103"/>
    <w:rsid w:val="00A21E3C"/>
    <w:rsid w:val="00A23419"/>
    <w:rsid w:val="00A24BBD"/>
    <w:rsid w:val="00A26D62"/>
    <w:rsid w:val="00A27D2E"/>
    <w:rsid w:val="00A30D78"/>
    <w:rsid w:val="00A31032"/>
    <w:rsid w:val="00A31CCF"/>
    <w:rsid w:val="00A32598"/>
    <w:rsid w:val="00A33EF8"/>
    <w:rsid w:val="00A3432E"/>
    <w:rsid w:val="00A40DFB"/>
    <w:rsid w:val="00A435BF"/>
    <w:rsid w:val="00A448B0"/>
    <w:rsid w:val="00A46981"/>
    <w:rsid w:val="00A5210B"/>
    <w:rsid w:val="00A524EC"/>
    <w:rsid w:val="00A52F4A"/>
    <w:rsid w:val="00A531D6"/>
    <w:rsid w:val="00A54346"/>
    <w:rsid w:val="00A55211"/>
    <w:rsid w:val="00A569C9"/>
    <w:rsid w:val="00A57E0C"/>
    <w:rsid w:val="00A6039D"/>
    <w:rsid w:val="00A631B5"/>
    <w:rsid w:val="00A63351"/>
    <w:rsid w:val="00A6487D"/>
    <w:rsid w:val="00A65DF5"/>
    <w:rsid w:val="00A66D3E"/>
    <w:rsid w:val="00A676CE"/>
    <w:rsid w:val="00A7001C"/>
    <w:rsid w:val="00A70A43"/>
    <w:rsid w:val="00A75807"/>
    <w:rsid w:val="00A77913"/>
    <w:rsid w:val="00A8209D"/>
    <w:rsid w:val="00A82740"/>
    <w:rsid w:val="00A860C9"/>
    <w:rsid w:val="00A9137F"/>
    <w:rsid w:val="00A9483B"/>
    <w:rsid w:val="00A94F2C"/>
    <w:rsid w:val="00A972E1"/>
    <w:rsid w:val="00AA3F8C"/>
    <w:rsid w:val="00AA6E6B"/>
    <w:rsid w:val="00AB3052"/>
    <w:rsid w:val="00AB4248"/>
    <w:rsid w:val="00AB4520"/>
    <w:rsid w:val="00AB572D"/>
    <w:rsid w:val="00AB5A86"/>
    <w:rsid w:val="00AB6170"/>
    <w:rsid w:val="00AB707C"/>
    <w:rsid w:val="00AC0B37"/>
    <w:rsid w:val="00AC2185"/>
    <w:rsid w:val="00AC3068"/>
    <w:rsid w:val="00AC3C48"/>
    <w:rsid w:val="00AC4067"/>
    <w:rsid w:val="00AC53DF"/>
    <w:rsid w:val="00AC54F8"/>
    <w:rsid w:val="00AC692A"/>
    <w:rsid w:val="00AD0F08"/>
    <w:rsid w:val="00AD1585"/>
    <w:rsid w:val="00AD1747"/>
    <w:rsid w:val="00AD235B"/>
    <w:rsid w:val="00AD560B"/>
    <w:rsid w:val="00AD5BBB"/>
    <w:rsid w:val="00AE02B5"/>
    <w:rsid w:val="00AE0494"/>
    <w:rsid w:val="00AE0B28"/>
    <w:rsid w:val="00AE0C8D"/>
    <w:rsid w:val="00AE0D50"/>
    <w:rsid w:val="00AE1947"/>
    <w:rsid w:val="00AE242E"/>
    <w:rsid w:val="00AE2D8E"/>
    <w:rsid w:val="00AE4C9F"/>
    <w:rsid w:val="00AE7A40"/>
    <w:rsid w:val="00AE7EF9"/>
    <w:rsid w:val="00AF4A88"/>
    <w:rsid w:val="00AF60FC"/>
    <w:rsid w:val="00AF619D"/>
    <w:rsid w:val="00B01A75"/>
    <w:rsid w:val="00B02D39"/>
    <w:rsid w:val="00B03711"/>
    <w:rsid w:val="00B03B6B"/>
    <w:rsid w:val="00B04CC3"/>
    <w:rsid w:val="00B17DE2"/>
    <w:rsid w:val="00B2096A"/>
    <w:rsid w:val="00B20E8D"/>
    <w:rsid w:val="00B32541"/>
    <w:rsid w:val="00B3267F"/>
    <w:rsid w:val="00B35F87"/>
    <w:rsid w:val="00B379DA"/>
    <w:rsid w:val="00B37A67"/>
    <w:rsid w:val="00B41203"/>
    <w:rsid w:val="00B41500"/>
    <w:rsid w:val="00B5297F"/>
    <w:rsid w:val="00B52E16"/>
    <w:rsid w:val="00B53812"/>
    <w:rsid w:val="00B53C36"/>
    <w:rsid w:val="00B623DA"/>
    <w:rsid w:val="00B62736"/>
    <w:rsid w:val="00B62A71"/>
    <w:rsid w:val="00B62EF9"/>
    <w:rsid w:val="00B630C6"/>
    <w:rsid w:val="00B65DC0"/>
    <w:rsid w:val="00B67C2D"/>
    <w:rsid w:val="00B70D91"/>
    <w:rsid w:val="00B72FA0"/>
    <w:rsid w:val="00B73209"/>
    <w:rsid w:val="00B7708B"/>
    <w:rsid w:val="00B7721B"/>
    <w:rsid w:val="00B80E25"/>
    <w:rsid w:val="00B8347E"/>
    <w:rsid w:val="00B84B4A"/>
    <w:rsid w:val="00B8589C"/>
    <w:rsid w:val="00B86BAC"/>
    <w:rsid w:val="00B97B35"/>
    <w:rsid w:val="00BA3196"/>
    <w:rsid w:val="00BA3509"/>
    <w:rsid w:val="00BA5877"/>
    <w:rsid w:val="00BA70AD"/>
    <w:rsid w:val="00BB124C"/>
    <w:rsid w:val="00BB17E3"/>
    <w:rsid w:val="00BB1CDB"/>
    <w:rsid w:val="00BB2110"/>
    <w:rsid w:val="00BB3645"/>
    <w:rsid w:val="00BB547E"/>
    <w:rsid w:val="00BB69B7"/>
    <w:rsid w:val="00BC2581"/>
    <w:rsid w:val="00BC3F55"/>
    <w:rsid w:val="00BC481A"/>
    <w:rsid w:val="00BC4D26"/>
    <w:rsid w:val="00BC555D"/>
    <w:rsid w:val="00BC658E"/>
    <w:rsid w:val="00BD0218"/>
    <w:rsid w:val="00BD1869"/>
    <w:rsid w:val="00BD200B"/>
    <w:rsid w:val="00BD63DF"/>
    <w:rsid w:val="00BD64D4"/>
    <w:rsid w:val="00BD7C4B"/>
    <w:rsid w:val="00BE33E8"/>
    <w:rsid w:val="00BF2BEB"/>
    <w:rsid w:val="00BF3197"/>
    <w:rsid w:val="00BF5E23"/>
    <w:rsid w:val="00BF6AD1"/>
    <w:rsid w:val="00C01DB8"/>
    <w:rsid w:val="00C0300F"/>
    <w:rsid w:val="00C04C13"/>
    <w:rsid w:val="00C0523E"/>
    <w:rsid w:val="00C06C3C"/>
    <w:rsid w:val="00C0751C"/>
    <w:rsid w:val="00C07D81"/>
    <w:rsid w:val="00C07F14"/>
    <w:rsid w:val="00C11B64"/>
    <w:rsid w:val="00C1218B"/>
    <w:rsid w:val="00C12B6B"/>
    <w:rsid w:val="00C135F1"/>
    <w:rsid w:val="00C140D0"/>
    <w:rsid w:val="00C14775"/>
    <w:rsid w:val="00C150A5"/>
    <w:rsid w:val="00C22B21"/>
    <w:rsid w:val="00C23593"/>
    <w:rsid w:val="00C23845"/>
    <w:rsid w:val="00C31846"/>
    <w:rsid w:val="00C32A33"/>
    <w:rsid w:val="00C367FB"/>
    <w:rsid w:val="00C41389"/>
    <w:rsid w:val="00C41BB7"/>
    <w:rsid w:val="00C42379"/>
    <w:rsid w:val="00C44004"/>
    <w:rsid w:val="00C445F4"/>
    <w:rsid w:val="00C54DF3"/>
    <w:rsid w:val="00C610B6"/>
    <w:rsid w:val="00C6257F"/>
    <w:rsid w:val="00C63117"/>
    <w:rsid w:val="00C640C7"/>
    <w:rsid w:val="00C65784"/>
    <w:rsid w:val="00C67BDD"/>
    <w:rsid w:val="00C70F24"/>
    <w:rsid w:val="00C717F6"/>
    <w:rsid w:val="00C72FD7"/>
    <w:rsid w:val="00C8155C"/>
    <w:rsid w:val="00C907F0"/>
    <w:rsid w:val="00C93A91"/>
    <w:rsid w:val="00C95601"/>
    <w:rsid w:val="00CA1947"/>
    <w:rsid w:val="00CA1C91"/>
    <w:rsid w:val="00CA323D"/>
    <w:rsid w:val="00CA54A0"/>
    <w:rsid w:val="00CB5515"/>
    <w:rsid w:val="00CB76EF"/>
    <w:rsid w:val="00CB7840"/>
    <w:rsid w:val="00CC0E24"/>
    <w:rsid w:val="00CC2390"/>
    <w:rsid w:val="00CC34E2"/>
    <w:rsid w:val="00CC4A5C"/>
    <w:rsid w:val="00CC5BB7"/>
    <w:rsid w:val="00CC5F62"/>
    <w:rsid w:val="00CC69B4"/>
    <w:rsid w:val="00CC6D17"/>
    <w:rsid w:val="00CC7102"/>
    <w:rsid w:val="00CC7CF3"/>
    <w:rsid w:val="00CD1E85"/>
    <w:rsid w:val="00CD3AEA"/>
    <w:rsid w:val="00CD3C32"/>
    <w:rsid w:val="00CD4235"/>
    <w:rsid w:val="00CD56D7"/>
    <w:rsid w:val="00CD57FC"/>
    <w:rsid w:val="00CD632A"/>
    <w:rsid w:val="00CE0B6D"/>
    <w:rsid w:val="00CE127E"/>
    <w:rsid w:val="00CE1C10"/>
    <w:rsid w:val="00CE217C"/>
    <w:rsid w:val="00CE4AE9"/>
    <w:rsid w:val="00CF41D0"/>
    <w:rsid w:val="00D00CF9"/>
    <w:rsid w:val="00D012FF"/>
    <w:rsid w:val="00D02E44"/>
    <w:rsid w:val="00D04CD8"/>
    <w:rsid w:val="00D04DEC"/>
    <w:rsid w:val="00D114ED"/>
    <w:rsid w:val="00D1261E"/>
    <w:rsid w:val="00D13F32"/>
    <w:rsid w:val="00D14B5E"/>
    <w:rsid w:val="00D1685E"/>
    <w:rsid w:val="00D171BA"/>
    <w:rsid w:val="00D25B74"/>
    <w:rsid w:val="00D25CA1"/>
    <w:rsid w:val="00D31474"/>
    <w:rsid w:val="00D32933"/>
    <w:rsid w:val="00D3579F"/>
    <w:rsid w:val="00D36B62"/>
    <w:rsid w:val="00D37BF5"/>
    <w:rsid w:val="00D421A7"/>
    <w:rsid w:val="00D42987"/>
    <w:rsid w:val="00D42C18"/>
    <w:rsid w:val="00D43F5E"/>
    <w:rsid w:val="00D44623"/>
    <w:rsid w:val="00D47CF6"/>
    <w:rsid w:val="00D50820"/>
    <w:rsid w:val="00D511C3"/>
    <w:rsid w:val="00D5481D"/>
    <w:rsid w:val="00D55B2D"/>
    <w:rsid w:val="00D60045"/>
    <w:rsid w:val="00D628AE"/>
    <w:rsid w:val="00D647C9"/>
    <w:rsid w:val="00D6632B"/>
    <w:rsid w:val="00D67995"/>
    <w:rsid w:val="00D7163F"/>
    <w:rsid w:val="00D7298C"/>
    <w:rsid w:val="00D73998"/>
    <w:rsid w:val="00D76FD9"/>
    <w:rsid w:val="00D800BD"/>
    <w:rsid w:val="00D816C8"/>
    <w:rsid w:val="00D81BC5"/>
    <w:rsid w:val="00D827CE"/>
    <w:rsid w:val="00D84DEB"/>
    <w:rsid w:val="00D877A6"/>
    <w:rsid w:val="00D904D9"/>
    <w:rsid w:val="00D946F0"/>
    <w:rsid w:val="00D95156"/>
    <w:rsid w:val="00D95BD9"/>
    <w:rsid w:val="00D95DC3"/>
    <w:rsid w:val="00D96A46"/>
    <w:rsid w:val="00D96A67"/>
    <w:rsid w:val="00DA12D5"/>
    <w:rsid w:val="00DA3326"/>
    <w:rsid w:val="00DA3644"/>
    <w:rsid w:val="00DA3FCB"/>
    <w:rsid w:val="00DA630F"/>
    <w:rsid w:val="00DA6A38"/>
    <w:rsid w:val="00DA6B30"/>
    <w:rsid w:val="00DA7040"/>
    <w:rsid w:val="00DB07B5"/>
    <w:rsid w:val="00DB07F9"/>
    <w:rsid w:val="00DB3CAF"/>
    <w:rsid w:val="00DB4966"/>
    <w:rsid w:val="00DC1386"/>
    <w:rsid w:val="00DC7A46"/>
    <w:rsid w:val="00DD0F54"/>
    <w:rsid w:val="00DD4F7A"/>
    <w:rsid w:val="00DD5050"/>
    <w:rsid w:val="00DD5306"/>
    <w:rsid w:val="00DD5903"/>
    <w:rsid w:val="00DD5E1E"/>
    <w:rsid w:val="00DE229B"/>
    <w:rsid w:val="00DE3A2B"/>
    <w:rsid w:val="00DE4A81"/>
    <w:rsid w:val="00DE4ABF"/>
    <w:rsid w:val="00DE7AB8"/>
    <w:rsid w:val="00DF3188"/>
    <w:rsid w:val="00DF5529"/>
    <w:rsid w:val="00DF6DE8"/>
    <w:rsid w:val="00DF6FB0"/>
    <w:rsid w:val="00DF76B3"/>
    <w:rsid w:val="00DF76F2"/>
    <w:rsid w:val="00E00083"/>
    <w:rsid w:val="00E009E2"/>
    <w:rsid w:val="00E01DE7"/>
    <w:rsid w:val="00E0411F"/>
    <w:rsid w:val="00E0572E"/>
    <w:rsid w:val="00E10005"/>
    <w:rsid w:val="00E1238E"/>
    <w:rsid w:val="00E124B9"/>
    <w:rsid w:val="00E13F21"/>
    <w:rsid w:val="00E1612B"/>
    <w:rsid w:val="00E17515"/>
    <w:rsid w:val="00E20591"/>
    <w:rsid w:val="00E22766"/>
    <w:rsid w:val="00E2572E"/>
    <w:rsid w:val="00E2692D"/>
    <w:rsid w:val="00E271C2"/>
    <w:rsid w:val="00E27AC2"/>
    <w:rsid w:val="00E30031"/>
    <w:rsid w:val="00E329A6"/>
    <w:rsid w:val="00E34CB5"/>
    <w:rsid w:val="00E36419"/>
    <w:rsid w:val="00E37789"/>
    <w:rsid w:val="00E40CBF"/>
    <w:rsid w:val="00E42265"/>
    <w:rsid w:val="00E45DAA"/>
    <w:rsid w:val="00E46560"/>
    <w:rsid w:val="00E47307"/>
    <w:rsid w:val="00E47601"/>
    <w:rsid w:val="00E50DB1"/>
    <w:rsid w:val="00E51053"/>
    <w:rsid w:val="00E51A6B"/>
    <w:rsid w:val="00E51A9F"/>
    <w:rsid w:val="00E52CA8"/>
    <w:rsid w:val="00E550CE"/>
    <w:rsid w:val="00E60B86"/>
    <w:rsid w:val="00E62E45"/>
    <w:rsid w:val="00E62F7D"/>
    <w:rsid w:val="00E700B8"/>
    <w:rsid w:val="00E702B9"/>
    <w:rsid w:val="00E70588"/>
    <w:rsid w:val="00E75FA1"/>
    <w:rsid w:val="00E76419"/>
    <w:rsid w:val="00E77787"/>
    <w:rsid w:val="00E77CD7"/>
    <w:rsid w:val="00E82017"/>
    <w:rsid w:val="00E82792"/>
    <w:rsid w:val="00E844D7"/>
    <w:rsid w:val="00E92E9D"/>
    <w:rsid w:val="00E93B3C"/>
    <w:rsid w:val="00E96A7F"/>
    <w:rsid w:val="00EA031A"/>
    <w:rsid w:val="00EA0CE9"/>
    <w:rsid w:val="00EA1A40"/>
    <w:rsid w:val="00EA330D"/>
    <w:rsid w:val="00EA5190"/>
    <w:rsid w:val="00EA5F4C"/>
    <w:rsid w:val="00EA6109"/>
    <w:rsid w:val="00EB2688"/>
    <w:rsid w:val="00EB6181"/>
    <w:rsid w:val="00EB664F"/>
    <w:rsid w:val="00EB7E37"/>
    <w:rsid w:val="00EC12E8"/>
    <w:rsid w:val="00EC1357"/>
    <w:rsid w:val="00EC5ACF"/>
    <w:rsid w:val="00ED22A8"/>
    <w:rsid w:val="00ED2479"/>
    <w:rsid w:val="00ED4EB4"/>
    <w:rsid w:val="00ED5D09"/>
    <w:rsid w:val="00ED7107"/>
    <w:rsid w:val="00EE2221"/>
    <w:rsid w:val="00EE276F"/>
    <w:rsid w:val="00EE2982"/>
    <w:rsid w:val="00EE634F"/>
    <w:rsid w:val="00EF369D"/>
    <w:rsid w:val="00EF38A7"/>
    <w:rsid w:val="00EF6A39"/>
    <w:rsid w:val="00F00B38"/>
    <w:rsid w:val="00F0376E"/>
    <w:rsid w:val="00F044B3"/>
    <w:rsid w:val="00F05E83"/>
    <w:rsid w:val="00F07DC4"/>
    <w:rsid w:val="00F07E05"/>
    <w:rsid w:val="00F10842"/>
    <w:rsid w:val="00F13C42"/>
    <w:rsid w:val="00F161F7"/>
    <w:rsid w:val="00F206E8"/>
    <w:rsid w:val="00F21755"/>
    <w:rsid w:val="00F21F2E"/>
    <w:rsid w:val="00F23947"/>
    <w:rsid w:val="00F23B61"/>
    <w:rsid w:val="00F276F1"/>
    <w:rsid w:val="00F32680"/>
    <w:rsid w:val="00F33A66"/>
    <w:rsid w:val="00F34368"/>
    <w:rsid w:val="00F34E5A"/>
    <w:rsid w:val="00F35452"/>
    <w:rsid w:val="00F45532"/>
    <w:rsid w:val="00F45ED2"/>
    <w:rsid w:val="00F53C4F"/>
    <w:rsid w:val="00F56A51"/>
    <w:rsid w:val="00F61899"/>
    <w:rsid w:val="00F66CD4"/>
    <w:rsid w:val="00F66E01"/>
    <w:rsid w:val="00F7129A"/>
    <w:rsid w:val="00F7180D"/>
    <w:rsid w:val="00F727A7"/>
    <w:rsid w:val="00F729D7"/>
    <w:rsid w:val="00F774CD"/>
    <w:rsid w:val="00F80F59"/>
    <w:rsid w:val="00F82E69"/>
    <w:rsid w:val="00F8414D"/>
    <w:rsid w:val="00F84181"/>
    <w:rsid w:val="00F84C5D"/>
    <w:rsid w:val="00F86271"/>
    <w:rsid w:val="00F87176"/>
    <w:rsid w:val="00F87303"/>
    <w:rsid w:val="00F91287"/>
    <w:rsid w:val="00F917FA"/>
    <w:rsid w:val="00F91B28"/>
    <w:rsid w:val="00F91DA0"/>
    <w:rsid w:val="00F9306F"/>
    <w:rsid w:val="00F94B4E"/>
    <w:rsid w:val="00F978B7"/>
    <w:rsid w:val="00FA2FCD"/>
    <w:rsid w:val="00FA3FA8"/>
    <w:rsid w:val="00FA4718"/>
    <w:rsid w:val="00FA6E64"/>
    <w:rsid w:val="00FB1DCD"/>
    <w:rsid w:val="00FB2F0E"/>
    <w:rsid w:val="00FB31CC"/>
    <w:rsid w:val="00FC05EE"/>
    <w:rsid w:val="00FC2EC6"/>
    <w:rsid w:val="00FC339A"/>
    <w:rsid w:val="00FC36E0"/>
    <w:rsid w:val="00FC546F"/>
    <w:rsid w:val="00FC6F5E"/>
    <w:rsid w:val="00FC711A"/>
    <w:rsid w:val="00FC7D31"/>
    <w:rsid w:val="00FD13AC"/>
    <w:rsid w:val="00FD2D28"/>
    <w:rsid w:val="00FD6BFE"/>
    <w:rsid w:val="00FE3FF3"/>
    <w:rsid w:val="00FE6D8B"/>
    <w:rsid w:val="00FF459F"/>
    <w:rsid w:val="00FF4D4F"/>
    <w:rsid w:val="1A113708"/>
    <w:rsid w:val="4D82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D82CFC-CCCA-4A5A-A02A-9DF52682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Lines="100" w:before="100" w:afterLines="100" w:after="100" w:line="360" w:lineRule="auto"/>
      <w:jc w:val="center"/>
      <w:outlineLvl w:val="0"/>
    </w:pPr>
    <w:rPr>
      <w:b/>
      <w:bCs/>
      <w:kern w:val="44"/>
      <w:sz w:val="28"/>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kern w:val="0"/>
      <w:sz w:val="18"/>
      <w:szCs w:val="18"/>
    </w:rPr>
  </w:style>
  <w:style w:type="paragraph" w:styleId="a4">
    <w:name w:val="annotation subject"/>
    <w:basedOn w:val="a5"/>
    <w:next w:val="a5"/>
    <w:link w:val="Char0"/>
    <w:uiPriority w:val="99"/>
    <w:unhideWhenUsed/>
    <w:rPr>
      <w:b/>
      <w:bCs/>
    </w:rPr>
  </w:style>
  <w:style w:type="paragraph" w:styleId="a5">
    <w:name w:val="annotation text"/>
    <w:basedOn w:val="a"/>
    <w:link w:val="Char1"/>
    <w:unhideWhenUsed/>
    <w:pPr>
      <w:jc w:val="left"/>
    </w:pPr>
  </w:style>
  <w:style w:type="paragraph" w:styleId="a6">
    <w:name w:val="Document Map"/>
    <w:basedOn w:val="a"/>
    <w:link w:val="Char2"/>
    <w:uiPriority w:val="99"/>
    <w:unhideWhenUsed/>
    <w:rPr>
      <w:rFonts w:ascii="宋体"/>
      <w:sz w:val="18"/>
      <w:szCs w:val="18"/>
    </w:rPr>
  </w:style>
  <w:style w:type="paragraph" w:styleId="a7">
    <w:name w:val="Balloon Text"/>
    <w:basedOn w:val="a"/>
    <w:semiHidden/>
    <w:rPr>
      <w:sz w:val="18"/>
      <w:szCs w:val="18"/>
    </w:rPr>
  </w:style>
  <w:style w:type="paragraph" w:styleId="a8">
    <w:name w:val="footer"/>
    <w:basedOn w:val="a"/>
    <w:link w:val="Char3"/>
    <w:uiPriority w:val="99"/>
    <w:unhideWhenUsed/>
    <w:pPr>
      <w:tabs>
        <w:tab w:val="center" w:pos="4153"/>
        <w:tab w:val="right" w:pos="8306"/>
      </w:tabs>
      <w:snapToGrid w:val="0"/>
      <w:jc w:val="left"/>
    </w:pPr>
    <w:rPr>
      <w:kern w:val="0"/>
      <w:sz w:val="18"/>
      <w:szCs w:val="18"/>
    </w:rPr>
  </w:style>
  <w:style w:type="paragraph" w:styleId="10">
    <w:name w:val="toc 1"/>
    <w:basedOn w:val="a"/>
    <w:next w:val="a"/>
    <w:uiPriority w:val="39"/>
    <w:unhideWhenUsed/>
  </w:style>
  <w:style w:type="paragraph" w:styleId="a9">
    <w:name w:val="Subtitle"/>
    <w:basedOn w:val="a"/>
    <w:next w:val="a"/>
    <w:link w:val="Char4"/>
    <w:qFormat/>
    <w:pPr>
      <w:spacing w:before="240" w:after="60" w:line="312" w:lineRule="auto"/>
      <w:jc w:val="center"/>
      <w:outlineLvl w:val="1"/>
    </w:pPr>
    <w:rPr>
      <w:rFonts w:ascii="Cambria" w:hAnsi="Cambria"/>
      <w:b/>
      <w:bCs/>
      <w:kern w:val="28"/>
      <w:sz w:val="32"/>
      <w:szCs w:val="32"/>
    </w:rPr>
  </w:style>
  <w:style w:type="paragraph" w:styleId="20">
    <w:name w:val="toc 2"/>
    <w:basedOn w:val="a"/>
    <w:next w:val="a"/>
    <w:uiPriority w:val="39"/>
    <w:unhideWhenUsed/>
    <w:pPr>
      <w:ind w:leftChars="200" w:left="480"/>
    </w:pPr>
  </w:style>
  <w:style w:type="character" w:styleId="aa">
    <w:name w:val="Hyperlink"/>
    <w:uiPriority w:val="99"/>
    <w:unhideWhenUsed/>
    <w:rPr>
      <w:color w:val="0000FF"/>
      <w:u w:val="single"/>
    </w:rPr>
  </w:style>
  <w:style w:type="character" w:styleId="ab">
    <w:name w:val="annotation reference"/>
    <w:unhideWhenUsed/>
    <w:rPr>
      <w:sz w:val="21"/>
      <w:szCs w:val="21"/>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Shading Accent 5"/>
    <w:basedOn w:val="a1"/>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paragraph" w:customStyle="1" w:styleId="ad">
    <w:basedOn w:val="1"/>
    <w:next w:val="a"/>
    <w:uiPriority w:val="39"/>
    <w:qFormat/>
    <w:pPr>
      <w:widowControl/>
      <w:spacing w:beforeLines="0" w:before="480" w:line="276" w:lineRule="auto"/>
      <w:jc w:val="left"/>
      <w:outlineLvl w:val="9"/>
    </w:pPr>
    <w:rPr>
      <w:rFonts w:ascii="Cambria" w:hAnsi="Cambria"/>
      <w:color w:val="365F91"/>
      <w:kern w:val="0"/>
      <w:szCs w:val="28"/>
    </w:rPr>
  </w:style>
  <w:style w:type="paragraph" w:customStyle="1" w:styleId="XBRLTitle6">
    <w:name w:val="XBRLTitle6"/>
    <w:basedOn w:val="a9"/>
    <w:next w:val="4"/>
    <w:qFormat/>
    <w:pPr>
      <w:keepNext/>
      <w:keepLines/>
      <w:numPr>
        <w:ilvl w:val="5"/>
        <w:numId w:val="1"/>
      </w:numPr>
      <w:ind w:left="0" w:firstLine="0"/>
      <w:jc w:val="left"/>
    </w:pPr>
    <w:rPr>
      <w:bCs w:val="0"/>
      <w:sz w:val="24"/>
    </w:rPr>
  </w:style>
  <w:style w:type="paragraph" w:customStyle="1" w:styleId="ae">
    <w:uiPriority w:val="99"/>
    <w:semiHidden/>
    <w:rPr>
      <w:kern w:val="2"/>
      <w:sz w:val="21"/>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XBRLTitle1">
    <w:name w:val="XBRLTitle1"/>
    <w:basedOn w:val="1"/>
    <w:next w:val="2"/>
    <w:qFormat/>
    <w:pPr>
      <w:numPr>
        <w:numId w:val="1"/>
      </w:numPr>
      <w:spacing w:beforeLines="50" w:before="340" w:afterLines="50" w:after="330" w:line="240" w:lineRule="auto"/>
    </w:pPr>
    <w:rPr>
      <w:rFonts w:ascii="Cambria" w:hAnsi="Cambria"/>
    </w:rPr>
  </w:style>
  <w:style w:type="paragraph" w:customStyle="1" w:styleId="XBRLTitle2">
    <w:name w:val="XBRLTitle2"/>
    <w:basedOn w:val="a9"/>
    <w:next w:val="4"/>
    <w:qFormat/>
    <w:pPr>
      <w:keepNext/>
      <w:keepLines/>
      <w:numPr>
        <w:ilvl w:val="1"/>
        <w:numId w:val="1"/>
      </w:numPr>
      <w:jc w:val="left"/>
    </w:pPr>
    <w:rPr>
      <w:bCs w:val="0"/>
      <w:sz w:val="24"/>
    </w:rPr>
  </w:style>
  <w:style w:type="paragraph" w:customStyle="1" w:styleId="XBRLTitle3">
    <w:name w:val="XBRLTitle3"/>
    <w:basedOn w:val="a9"/>
    <w:next w:val="4"/>
    <w:qFormat/>
    <w:pPr>
      <w:keepNext/>
      <w:keepLines/>
      <w:numPr>
        <w:ilvl w:val="2"/>
        <w:numId w:val="1"/>
      </w:numPr>
      <w:ind w:left="0" w:firstLine="0"/>
      <w:jc w:val="left"/>
    </w:pPr>
    <w:rPr>
      <w:bCs w:val="0"/>
      <w:sz w:val="24"/>
    </w:rPr>
  </w:style>
  <w:style w:type="paragraph" w:customStyle="1" w:styleId="XBRLTitle5">
    <w:name w:val="XBRLTitle5"/>
    <w:basedOn w:val="a9"/>
    <w:next w:val="4"/>
    <w:qFormat/>
    <w:pPr>
      <w:keepNext/>
      <w:keepLines/>
      <w:numPr>
        <w:ilvl w:val="4"/>
        <w:numId w:val="1"/>
      </w:numPr>
      <w:ind w:left="0" w:firstLine="0"/>
      <w:jc w:val="left"/>
    </w:pPr>
    <w:rPr>
      <w:bCs w:val="0"/>
      <w:sz w:val="24"/>
    </w:rPr>
  </w:style>
  <w:style w:type="paragraph" w:customStyle="1" w:styleId="XBRLTitle4">
    <w:name w:val="XBRLTitle4"/>
    <w:basedOn w:val="a9"/>
    <w:next w:val="4"/>
    <w:qFormat/>
    <w:pPr>
      <w:keepNext/>
      <w:keepLines/>
      <w:numPr>
        <w:ilvl w:val="3"/>
        <w:numId w:val="1"/>
      </w:numPr>
      <w:ind w:left="0" w:firstLine="0"/>
      <w:jc w:val="left"/>
    </w:pPr>
    <w:rPr>
      <w:bCs w:val="0"/>
      <w:sz w:val="24"/>
    </w:rPr>
  </w:style>
  <w:style w:type="character" w:customStyle="1" w:styleId="Char10">
    <w:name w:val="副标题 Char1"/>
    <w:rPr>
      <w:rFonts w:ascii="Cambria" w:hAnsi="Cambria"/>
      <w:b/>
      <w:kern w:val="28"/>
      <w:sz w:val="24"/>
      <w:szCs w:val="32"/>
    </w:rPr>
  </w:style>
  <w:style w:type="character" w:customStyle="1" w:styleId="txtcontent11">
    <w:name w:val="txtcontent11"/>
    <w:rPr>
      <w:rFonts w:ascii="ˎ̥" w:hAnsi="ˎ̥" w:hint="default"/>
      <w:color w:val="000000"/>
      <w:sz w:val="21"/>
      <w:szCs w:val="21"/>
    </w:rPr>
  </w:style>
  <w:style w:type="character" w:customStyle="1" w:styleId="Char1">
    <w:name w:val="批注文字 Char"/>
    <w:link w:val="a5"/>
    <w:rPr>
      <w:kern w:val="2"/>
      <w:sz w:val="21"/>
      <w:szCs w:val="22"/>
    </w:rPr>
  </w:style>
  <w:style w:type="character" w:customStyle="1" w:styleId="Char0">
    <w:name w:val="批注主题 Char"/>
    <w:link w:val="a4"/>
    <w:uiPriority w:val="99"/>
    <w:semiHidden/>
    <w:rPr>
      <w:b/>
      <w:bCs/>
      <w:kern w:val="2"/>
      <w:sz w:val="21"/>
      <w:szCs w:val="22"/>
    </w:rPr>
  </w:style>
  <w:style w:type="character" w:customStyle="1" w:styleId="Char">
    <w:name w:val="页眉 Char"/>
    <w:link w:val="a3"/>
    <w:uiPriority w:val="99"/>
    <w:rPr>
      <w:sz w:val="18"/>
      <w:szCs w:val="18"/>
    </w:rPr>
  </w:style>
  <w:style w:type="character" w:customStyle="1" w:styleId="Char4">
    <w:name w:val="副标题 Char"/>
    <w:link w:val="a9"/>
    <w:rPr>
      <w:rFonts w:ascii="Cambria" w:hAnsi="Cambria" w:cs="Times New Roman"/>
      <w:b/>
      <w:bCs/>
      <w:kern w:val="28"/>
      <w:sz w:val="32"/>
      <w:szCs w:val="32"/>
    </w:rPr>
  </w:style>
  <w:style w:type="character" w:customStyle="1" w:styleId="Char2">
    <w:name w:val="文档结构图 Char"/>
    <w:link w:val="a6"/>
    <w:uiPriority w:val="99"/>
    <w:semiHidden/>
    <w:rPr>
      <w:rFonts w:ascii="宋体"/>
      <w:kern w:val="2"/>
      <w:sz w:val="18"/>
      <w:szCs w:val="18"/>
    </w:rPr>
  </w:style>
  <w:style w:type="character" w:customStyle="1" w:styleId="Char3">
    <w:name w:val="页脚 Char"/>
    <w:link w:val="a8"/>
    <w:uiPriority w:val="99"/>
    <w:rPr>
      <w:sz w:val="18"/>
      <w:szCs w:val="18"/>
    </w:rPr>
  </w:style>
  <w:style w:type="character" w:customStyle="1" w:styleId="2Char">
    <w:name w:val="标题 2 Char"/>
    <w:link w:val="2"/>
    <w:uiPriority w:val="9"/>
    <w:semiHidden/>
    <w:rPr>
      <w:rFonts w:ascii="Cambria" w:eastAsia="宋体" w:hAnsi="Cambria" w:cs="Times New Roman"/>
      <w:b/>
      <w:bCs/>
      <w:kern w:val="2"/>
      <w:sz w:val="32"/>
      <w:szCs w:val="32"/>
    </w:rPr>
  </w:style>
  <w:style w:type="character" w:customStyle="1" w:styleId="4Char">
    <w:name w:val="标题 4 Char"/>
    <w:link w:val="4"/>
    <w:uiPriority w:val="9"/>
    <w:semiHidden/>
    <w:rPr>
      <w:rFonts w:ascii="Cambria" w:eastAsia="宋体" w:hAnsi="Cambria" w:cs="Times New Roman"/>
      <w:b/>
      <w:bCs/>
      <w:kern w:val="2"/>
      <w:sz w:val="28"/>
      <w:szCs w:val="28"/>
    </w:rPr>
  </w:style>
  <w:style w:type="character" w:customStyle="1" w:styleId="1Char">
    <w:name w:val="标题 1 Char"/>
    <w:link w:val="1"/>
    <w:uiPriority w:val="9"/>
    <w:rPr>
      <w:b/>
      <w:bCs/>
      <w:kern w:val="44"/>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17012</Words>
  <Characters>96970</Characters>
  <Application>Microsoft Office Word</Application>
  <DocSecurity>0</DocSecurity>
  <Lines>808</Lines>
  <Paragraphs>227</Paragraphs>
  <ScaleCrop>false</ScaleCrop>
  <Company>Microsoft</Company>
  <LinksUpToDate>false</LinksUpToDate>
  <CharactersWithSpaces>113755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系统用户</dc:creator>
  <cp:lastModifiedBy>戴梦菲</cp:lastModifiedBy>
  <cp:revision>5</cp:revision>
  <cp:lastPrinted>2013-02-18T03:10:00Z</cp:lastPrinted>
  <dcterms:created xsi:type="dcterms:W3CDTF">2023-07-07T10:56:00Z</dcterms:created>
  <dcterms:modified xsi:type="dcterms:W3CDTF">2023-07-10T07:03:00Z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