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085A94">
      <w:pPr>
        <w:rPr>
          <w:sz w:val="32"/>
        </w:rPr>
      </w:pPr>
    </w:p>
    <w:p w:rsidR="00C92FC0" w:rsidRPr="00EB07BC" w:rsidRDefault="00085A94">
      <w:pPr>
        <w:rPr>
          <w:sz w:val="32"/>
        </w:rPr>
      </w:pPr>
    </w:p>
    <w:p w:rsidR="00C92FC0" w:rsidRPr="00EB07BC" w:rsidRDefault="00085A94">
      <w:pPr>
        <w:rPr>
          <w:sz w:val="32"/>
        </w:rPr>
      </w:pPr>
    </w:p>
    <w:p w:rsidR="00C92FC0" w:rsidRPr="00EB07BC" w:rsidRDefault="00BA3862">
      <w:pPr>
        <w:jc w:val="center"/>
        <w:rPr>
          <w:sz w:val="32"/>
        </w:rPr>
      </w:pPr>
      <w:r>
        <w:rPr>
          <w:noProof/>
        </w:rP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BA0BBB" w:rsidRDefault="00BA0BB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A0BBB" w:rsidRDefault="00BA0BB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A0BBB" w:rsidRDefault="003E11BC">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交银施罗德先锋混合型证券投资基金</w:t>
      </w:r>
    </w:p>
    <w:p w:rsidR="00BA0BBB" w:rsidRDefault="003E11BC">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BA0BBB" w:rsidRDefault="003E11BC">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EC5E07">
        <w:rPr>
          <w:rFonts w:ascii="Times New Roman" w:hAnsi="Times New Roman"/>
          <w:b/>
          <w:color w:val="000000"/>
          <w:sz w:val="32"/>
          <w:szCs w:val="32"/>
        </w:rPr>
        <w:t>第</w:t>
      </w:r>
      <w:r w:rsidR="00EC5E07">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3E11BC">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BA0BBB" w:rsidRDefault="003E11BC">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BA0BB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A0BBB" w:rsidRDefault="003E11BC">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EC5E07">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BA0BBB" w:rsidRDefault="00BA0BBB">
      <w:pPr>
        <w:autoSpaceDE w:val="0"/>
        <w:autoSpaceDN w:val="0"/>
        <w:adjustRightInd w:val="0"/>
        <w:snapToGrid w:val="0"/>
        <w:spacing w:line="360" w:lineRule="auto"/>
        <w:ind w:left="1347" w:rightChars="6" w:right="13"/>
        <w:rPr>
          <w:rFonts w:ascii="宋体" w:hAnsi="宋体"/>
          <w:kern w:val="0"/>
          <w:sz w:val="32"/>
          <w:szCs w:val="32"/>
        </w:rPr>
        <w:sectPr w:rsidR="00BA0BB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BA0BBB" w:rsidRDefault="003E11BC">
      <w:pPr>
        <w:pStyle w:val="1"/>
        <w:snapToGrid w:val="0"/>
        <w:spacing w:beforeLines="0" w:before="240" w:after="240"/>
        <w:rPr>
          <w:rFonts w:ascii="宋体" w:hAnsi="宋体"/>
          <w:kern w:val="0"/>
        </w:rPr>
      </w:pPr>
      <w:bookmarkStart w:id="0" w:name="_Toc324920538"/>
      <w:bookmarkStart w:id="1" w:name="_Toc496884613"/>
      <w:bookmarkStart w:id="2" w:name="_Toc135812787"/>
      <w:r>
        <w:rPr>
          <w:rFonts w:ascii="Times New Roman" w:hAnsi="Times New Roman"/>
          <w:kern w:val="0"/>
        </w:rPr>
        <w:lastRenderedPageBreak/>
        <w:t>重要提示</w:t>
      </w:r>
      <w:bookmarkEnd w:id="0"/>
      <w:bookmarkEnd w:id="1"/>
      <w:bookmarkEnd w:id="2"/>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交银施罗德先锋混合型证券投资基金（以下简称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）由交银施罗德先锋股票证券投资基金变更而来，交银施罗德先锋股票证券投资基金经</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2</w:t>
      </w:r>
      <w:r>
        <w:rPr>
          <w:rFonts w:ascii="Times New Roman" w:hAnsi="Times New Roman"/>
          <w:kern w:val="0"/>
          <w:sz w:val="24"/>
        </w:rPr>
        <w:t>月</w:t>
      </w:r>
      <w:r>
        <w:rPr>
          <w:rFonts w:ascii="Times New Roman" w:hAnsi="Times New Roman"/>
          <w:kern w:val="0"/>
          <w:sz w:val="24"/>
        </w:rPr>
        <w:t>13</w:t>
      </w:r>
      <w:r>
        <w:rPr>
          <w:rFonts w:ascii="Times New Roman" w:hAnsi="Times New Roman"/>
          <w:kern w:val="0"/>
          <w:sz w:val="24"/>
        </w:rPr>
        <w:t>日中国证券监督管理委员会证监许可【</w:t>
      </w:r>
      <w:r>
        <w:rPr>
          <w:rFonts w:ascii="Times New Roman" w:hAnsi="Times New Roman"/>
          <w:kern w:val="0"/>
          <w:sz w:val="24"/>
        </w:rPr>
        <w:t>2009</w:t>
      </w:r>
      <w:r>
        <w:rPr>
          <w:rFonts w:ascii="Times New Roman" w:hAnsi="Times New Roman"/>
          <w:kern w:val="0"/>
          <w:sz w:val="24"/>
        </w:rPr>
        <w:t>】</w:t>
      </w:r>
      <w:r>
        <w:rPr>
          <w:rFonts w:ascii="Times New Roman" w:hAnsi="Times New Roman"/>
          <w:kern w:val="0"/>
          <w:sz w:val="24"/>
        </w:rPr>
        <w:t>141</w:t>
      </w:r>
      <w:r>
        <w:rPr>
          <w:rFonts w:ascii="Times New Roman" w:hAnsi="Times New Roman"/>
          <w:kern w:val="0"/>
          <w:sz w:val="24"/>
        </w:rPr>
        <w:t>号文核准募集。其基金合同于</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10</w:t>
      </w:r>
      <w:r>
        <w:rPr>
          <w:rFonts w:ascii="Times New Roman" w:hAnsi="Times New Roman"/>
          <w:kern w:val="0"/>
          <w:sz w:val="24"/>
        </w:rPr>
        <w:t>日正式生效。</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流动性风险（包括实施侧袋机制时的特定风险），本基金投资债券引发的信用风险，投资科创板股票的特定风险，以及本基金投资策略所特有的风险等等。本基金是一只股票型基金，属证券投资基金中的较高风险收益品种。</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BA0BBB" w:rsidRDefault="003E11BC">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投资有风险，投资人在投资本基金前应认真阅读本基金的招募说明书和基金合同、基金产品资料概要。基金的过往业绩并不代表其未来表现。基金管理人管</w:t>
      </w:r>
      <w:r>
        <w:rPr>
          <w:rFonts w:ascii="Times New Roman" w:hAnsi="Times New Roman"/>
          <w:kern w:val="0"/>
          <w:sz w:val="24"/>
        </w:rPr>
        <w:lastRenderedPageBreak/>
        <w:t>理的其他基金的业绩并不构成对本基金业绩表现的保证。</w:t>
      </w:r>
    </w:p>
    <w:p w:rsidR="00BA0BBB" w:rsidRDefault="00EC5E07">
      <w:pPr>
        <w:autoSpaceDE w:val="0"/>
        <w:autoSpaceDN w:val="0"/>
        <w:adjustRightInd w:val="0"/>
        <w:snapToGrid w:val="0"/>
        <w:spacing w:line="360" w:lineRule="auto"/>
        <w:ind w:leftChars="50" w:left="105" w:firstLineChars="200" w:firstLine="480"/>
        <w:rPr>
          <w:rFonts w:ascii="宋体" w:hAnsi="宋体"/>
          <w:kern w:val="0"/>
          <w:sz w:val="24"/>
        </w:rPr>
      </w:pPr>
      <w:r w:rsidRPr="00EC5E07">
        <w:rPr>
          <w:rFonts w:ascii="Times New Roman" w:hAnsi="Times New Roman" w:hint="eastAsia"/>
          <w:kern w:val="0"/>
          <w:sz w:val="24"/>
        </w:rPr>
        <w:t>本次更新招募说明书主要对调整管理费率和</w:t>
      </w:r>
      <w:r w:rsidRPr="00EC5E07">
        <w:rPr>
          <w:rFonts w:ascii="Times New Roman" w:hAnsi="Times New Roman" w:hint="eastAsia"/>
          <w:kern w:val="0"/>
          <w:sz w:val="24"/>
        </w:rPr>
        <w:t>/</w:t>
      </w:r>
      <w:r w:rsidRPr="00EC5E07">
        <w:rPr>
          <w:rFonts w:ascii="Times New Roman" w:hAnsi="Times New Roman" w:hint="eastAsia"/>
          <w:kern w:val="0"/>
          <w:sz w:val="24"/>
        </w:rPr>
        <w:t>或托管费率相关事项进行了相应更新，更新截止日为</w:t>
      </w:r>
      <w:r w:rsidRPr="00EC5E07">
        <w:rPr>
          <w:rFonts w:ascii="Times New Roman" w:hAnsi="Times New Roman" w:hint="eastAsia"/>
          <w:kern w:val="0"/>
          <w:sz w:val="24"/>
        </w:rPr>
        <w:t>2023</w:t>
      </w:r>
      <w:r w:rsidRPr="00EC5E07">
        <w:rPr>
          <w:rFonts w:ascii="Times New Roman" w:hAnsi="Times New Roman" w:hint="eastAsia"/>
          <w:kern w:val="0"/>
          <w:sz w:val="24"/>
        </w:rPr>
        <w:t>年</w:t>
      </w:r>
      <w:r w:rsidRPr="00EC5E07">
        <w:rPr>
          <w:rFonts w:ascii="Times New Roman" w:hAnsi="Times New Roman" w:hint="eastAsia"/>
          <w:kern w:val="0"/>
          <w:sz w:val="24"/>
        </w:rPr>
        <w:t>07</w:t>
      </w:r>
      <w:r w:rsidRPr="00EC5E07">
        <w:rPr>
          <w:rFonts w:ascii="Times New Roman" w:hAnsi="Times New Roman" w:hint="eastAsia"/>
          <w:kern w:val="0"/>
          <w:sz w:val="24"/>
        </w:rPr>
        <w:t>月</w:t>
      </w:r>
      <w:r w:rsidRPr="00EC5E07">
        <w:rPr>
          <w:rFonts w:ascii="Times New Roman" w:hAnsi="Times New Roman" w:hint="eastAsia"/>
          <w:kern w:val="0"/>
          <w:sz w:val="24"/>
        </w:rPr>
        <w:t>10</w:t>
      </w:r>
      <w:r w:rsidRPr="00EC5E07">
        <w:rPr>
          <w:rFonts w:ascii="Times New Roman" w:hAnsi="Times New Roman" w:hint="eastAsia"/>
          <w:kern w:val="0"/>
          <w:sz w:val="24"/>
        </w:rPr>
        <w:t>日，除非另有说明，</w:t>
      </w:r>
      <w:r w:rsidR="003E11BC">
        <w:rPr>
          <w:rFonts w:ascii="Times New Roman" w:hAnsi="Times New Roman"/>
          <w:kern w:val="0"/>
          <w:sz w:val="24"/>
        </w:rPr>
        <w:t>本招募说明书</w:t>
      </w:r>
      <w:r>
        <w:rPr>
          <w:rFonts w:ascii="Times New Roman" w:hAnsi="Times New Roman"/>
          <w:kern w:val="0"/>
          <w:sz w:val="24"/>
        </w:rPr>
        <w:t>其他</w:t>
      </w:r>
      <w:r w:rsidR="003E11BC">
        <w:rPr>
          <w:rFonts w:ascii="Times New Roman" w:hAnsi="Times New Roman"/>
          <w:kern w:val="0"/>
          <w:sz w:val="24"/>
        </w:rPr>
        <w:t>所载内容截止日为</w:t>
      </w:r>
      <w:r w:rsidR="003E11BC">
        <w:rPr>
          <w:rFonts w:ascii="Times New Roman" w:hAnsi="Times New Roman"/>
          <w:kern w:val="0"/>
          <w:sz w:val="24"/>
        </w:rPr>
        <w:t>2023</w:t>
      </w:r>
      <w:r w:rsidR="003E11BC">
        <w:rPr>
          <w:rFonts w:ascii="Times New Roman" w:hAnsi="Times New Roman"/>
          <w:kern w:val="0"/>
          <w:sz w:val="24"/>
        </w:rPr>
        <w:t>年</w:t>
      </w:r>
      <w:r w:rsidR="003E11BC">
        <w:rPr>
          <w:rFonts w:ascii="Times New Roman" w:hAnsi="Times New Roman"/>
          <w:kern w:val="0"/>
          <w:sz w:val="24"/>
        </w:rPr>
        <w:t>04</w:t>
      </w:r>
      <w:r w:rsidR="003E11BC">
        <w:rPr>
          <w:rFonts w:ascii="Times New Roman" w:hAnsi="Times New Roman"/>
          <w:kern w:val="0"/>
          <w:sz w:val="24"/>
        </w:rPr>
        <w:t>月</w:t>
      </w:r>
      <w:r w:rsidR="003E11BC">
        <w:rPr>
          <w:rFonts w:ascii="Times New Roman" w:hAnsi="Times New Roman"/>
          <w:kern w:val="0"/>
          <w:sz w:val="24"/>
        </w:rPr>
        <w:t>28</w:t>
      </w:r>
      <w:r w:rsidR="003E11BC">
        <w:rPr>
          <w:rFonts w:ascii="Times New Roman" w:hAnsi="Times New Roman"/>
          <w:kern w:val="0"/>
          <w:sz w:val="24"/>
        </w:rPr>
        <w:t>日，有关财务数据和净值表现截止日为</w:t>
      </w:r>
      <w:r w:rsidR="003E11BC">
        <w:rPr>
          <w:rFonts w:ascii="Times New Roman" w:hAnsi="Times New Roman"/>
          <w:kern w:val="0"/>
          <w:sz w:val="24"/>
        </w:rPr>
        <w:t>2023</w:t>
      </w:r>
      <w:r w:rsidR="003E11BC">
        <w:rPr>
          <w:rFonts w:ascii="Times New Roman" w:hAnsi="Times New Roman"/>
          <w:kern w:val="0"/>
          <w:sz w:val="24"/>
        </w:rPr>
        <w:t>年</w:t>
      </w:r>
      <w:r w:rsidR="003E11BC">
        <w:rPr>
          <w:rFonts w:ascii="Times New Roman" w:hAnsi="Times New Roman"/>
          <w:kern w:val="0"/>
          <w:sz w:val="24"/>
        </w:rPr>
        <w:t>03</w:t>
      </w:r>
      <w:r w:rsidR="003E11BC">
        <w:rPr>
          <w:rFonts w:ascii="Times New Roman" w:hAnsi="Times New Roman"/>
          <w:kern w:val="0"/>
          <w:sz w:val="24"/>
        </w:rPr>
        <w:t>月</w:t>
      </w:r>
      <w:r w:rsidR="003E11BC">
        <w:rPr>
          <w:rFonts w:ascii="Times New Roman" w:hAnsi="Times New Roman"/>
          <w:kern w:val="0"/>
          <w:sz w:val="24"/>
        </w:rPr>
        <w:t>31</w:t>
      </w:r>
      <w:r w:rsidR="003E11BC">
        <w:rPr>
          <w:rFonts w:ascii="Times New Roman" w:hAnsi="Times New Roman"/>
          <w:kern w:val="0"/>
          <w:sz w:val="24"/>
        </w:rPr>
        <w:t>日。本招募说明书所载的财务数据未经审计。</w:t>
      </w:r>
    </w:p>
    <w:p w:rsidR="00BA0BBB" w:rsidRDefault="00BA0BBB">
      <w:pPr>
        <w:autoSpaceDE w:val="0"/>
        <w:autoSpaceDN w:val="0"/>
        <w:adjustRightInd w:val="0"/>
        <w:snapToGrid w:val="0"/>
        <w:spacing w:before="51" w:line="360" w:lineRule="auto"/>
        <w:ind w:left="120" w:rightChars="6" w:right="13" w:firstLine="480"/>
        <w:rPr>
          <w:rFonts w:ascii="宋体" w:hAnsi="宋体"/>
          <w:kern w:val="0"/>
          <w:szCs w:val="24"/>
        </w:rPr>
        <w:sectPr w:rsidR="00BA0BBB">
          <w:headerReference w:type="default" r:id="rId12"/>
          <w:pgSz w:w="11920" w:h="16840"/>
          <w:pgMar w:top="1440" w:right="1680" w:bottom="280" w:left="1680" w:header="0" w:footer="1073" w:gutter="0"/>
          <w:pgNumType w:start="1"/>
          <w:cols w:space="720"/>
        </w:sectPr>
      </w:pPr>
    </w:p>
    <w:p w:rsidR="00D8346F" w:rsidRPr="00D8346F" w:rsidRDefault="003E11BC" w:rsidP="00D8346F">
      <w:pPr>
        <w:pStyle w:val="ad"/>
        <w:snapToGrid w:val="0"/>
        <w:spacing w:after="240" w:line="360" w:lineRule="auto"/>
        <w:jc w:val="center"/>
        <w:rPr>
          <w:rFonts w:ascii="宋体" w:hAnsi="宋体"/>
          <w:noProof/>
          <w:sz w:val="24"/>
        </w:rPr>
      </w:pPr>
      <w:r w:rsidRPr="00D8346F">
        <w:rPr>
          <w:rFonts w:ascii="宋体" w:hAnsi="宋体"/>
          <w:color w:val="000000"/>
          <w:position w:val="-4"/>
          <w:sz w:val="24"/>
          <w:szCs w:val="30"/>
        </w:rPr>
        <w:lastRenderedPageBreak/>
        <w:t>目</w:t>
      </w:r>
      <w:r w:rsidRPr="00D8346F">
        <w:rPr>
          <w:rFonts w:ascii="宋体" w:hAnsi="宋体"/>
          <w:color w:val="000000"/>
          <w:position w:val="-4"/>
          <w:sz w:val="24"/>
          <w:szCs w:val="30"/>
        </w:rPr>
        <w:tab/>
        <w:t>录</w:t>
      </w:r>
      <w:r w:rsidR="00D8346F" w:rsidRPr="00D8346F">
        <w:rPr>
          <w:rFonts w:ascii="宋体" w:hAnsi="宋体"/>
          <w:color w:val="000000"/>
          <w:position w:val="-4"/>
          <w:sz w:val="24"/>
          <w:szCs w:val="30"/>
        </w:rPr>
        <w:fldChar w:fldCharType="begin"/>
      </w:r>
      <w:r w:rsidR="00D8346F" w:rsidRPr="00D8346F">
        <w:rPr>
          <w:rFonts w:ascii="宋体" w:hAnsi="宋体"/>
          <w:color w:val="000000"/>
          <w:position w:val="-4"/>
          <w:sz w:val="24"/>
          <w:szCs w:val="30"/>
        </w:rPr>
        <w:instrText xml:space="preserve"> TOC \o "1-3" \f - \h \t "-1" </w:instrText>
      </w:r>
      <w:r w:rsidR="00D8346F" w:rsidRPr="00D8346F">
        <w:rPr>
          <w:rFonts w:ascii="宋体" w:hAnsi="宋体"/>
          <w:color w:val="000000"/>
          <w:position w:val="-4"/>
          <w:sz w:val="24"/>
          <w:szCs w:val="30"/>
        </w:rPr>
        <w:fldChar w:fldCharType="separate"/>
      </w:r>
    </w:p>
    <w:p w:rsidR="00D8346F" w:rsidRPr="00A80ABB" w:rsidRDefault="00085A94" w:rsidP="00D8346F">
      <w:pPr>
        <w:pStyle w:val="10"/>
        <w:tabs>
          <w:tab w:val="right" w:leader="dot" w:pos="8550"/>
        </w:tabs>
        <w:spacing w:line="360" w:lineRule="auto"/>
        <w:rPr>
          <w:rFonts w:ascii="宋体" w:hAnsi="宋体"/>
          <w:noProof/>
          <w:sz w:val="24"/>
        </w:rPr>
      </w:pPr>
      <w:hyperlink w:anchor="_Toc135812787" w:history="1">
        <w:r w:rsidR="00D8346F" w:rsidRPr="00D8346F">
          <w:rPr>
            <w:rStyle w:val="aa"/>
            <w:rFonts w:ascii="宋体" w:hAnsi="宋体" w:hint="eastAsia"/>
            <w:noProof/>
            <w:kern w:val="0"/>
            <w:sz w:val="24"/>
          </w:rPr>
          <w:t>重要提示</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_Toc135812787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88" w:history="1">
        <w:r w:rsidR="00D8346F" w:rsidRPr="00D8346F">
          <w:rPr>
            <w:rStyle w:val="aa"/>
            <w:rFonts w:ascii="宋体" w:hAnsi="宋体" w:hint="eastAsia"/>
            <w:noProof/>
            <w:sz w:val="24"/>
          </w:rPr>
          <w:t>一、绪言</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_Toc135812788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4</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89" w:history="1">
        <w:r w:rsidR="00D8346F" w:rsidRPr="00D8346F">
          <w:rPr>
            <w:rStyle w:val="aa"/>
            <w:rFonts w:ascii="宋体" w:hAnsi="宋体" w:hint="eastAsia"/>
            <w:noProof/>
            <w:sz w:val="24"/>
          </w:rPr>
          <w:t>二、释义</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_Toc135812789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5</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0" w:history="1">
        <w:r w:rsidR="00D8346F" w:rsidRPr="00D8346F">
          <w:rPr>
            <w:rStyle w:val="aa"/>
            <w:rFonts w:ascii="宋体" w:hAnsi="宋体" w:hint="eastAsia"/>
            <w:noProof/>
            <w:sz w:val="24"/>
          </w:rPr>
          <w:t>三、基金管理人</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_Toc135812790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1" w:history="1">
        <w:r w:rsidR="00D8346F" w:rsidRPr="00D8346F">
          <w:rPr>
            <w:rStyle w:val="aa"/>
            <w:rFonts w:ascii="宋体" w:hAnsi="宋体" w:hint="eastAsia"/>
            <w:noProof/>
            <w:sz w:val="24"/>
          </w:rPr>
          <w:t>四、基金托管人</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_Toc135812791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19</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2" w:history="1">
        <w:r w:rsidR="00D8346F" w:rsidRPr="00D8346F">
          <w:rPr>
            <w:rStyle w:val="aa"/>
            <w:rFonts w:ascii="宋体" w:hAnsi="宋体" w:hint="eastAsia"/>
            <w:noProof/>
            <w:sz w:val="24"/>
          </w:rPr>
          <w:t>五、相关服务机构</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_Toc135812792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22</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3" w:history="1">
        <w:r w:rsidR="00D8346F" w:rsidRPr="00D8346F">
          <w:rPr>
            <w:rStyle w:val="aa"/>
            <w:rFonts w:ascii="宋体" w:hAnsi="宋体" w:hint="eastAsia"/>
            <w:noProof/>
            <w:sz w:val="24"/>
          </w:rPr>
          <w:t>六、基金的历史沿革</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_Toc135812793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61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4" w:history="1">
        <w:r w:rsidR="00D8346F" w:rsidRPr="00D8346F">
          <w:rPr>
            <w:rStyle w:val="aa"/>
            <w:rFonts w:ascii="宋体" w:hAnsi="宋体" w:hint="eastAsia"/>
            <w:noProof/>
            <w:sz w:val="24"/>
          </w:rPr>
          <w:t>七、基金的存续</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_Toc135812794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62</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5" w:history="1">
        <w:r w:rsidR="00D8346F" w:rsidRPr="00D8346F">
          <w:rPr>
            <w:rStyle w:val="aa"/>
            <w:rFonts w:ascii="宋体" w:hAnsi="宋体" w:hint="eastAsia"/>
            <w:noProof/>
            <w:sz w:val="24"/>
          </w:rPr>
          <w:t>八、基金份额的申购与赎回</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_Toc135812795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63</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6" w:history="1">
        <w:r w:rsidR="00D8346F" w:rsidRPr="00D8346F">
          <w:rPr>
            <w:rStyle w:val="aa"/>
            <w:rFonts w:ascii="宋体" w:hAnsi="宋体" w:hint="eastAsia"/>
            <w:noProof/>
            <w:sz w:val="24"/>
          </w:rPr>
          <w:t>九、基金的转换</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_Toc135812796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78</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7" w:history="1">
        <w:r w:rsidR="00D8346F" w:rsidRPr="00D8346F">
          <w:rPr>
            <w:rStyle w:val="aa"/>
            <w:rFonts w:ascii="宋体" w:hAnsi="宋体" w:hint="eastAsia"/>
            <w:noProof/>
            <w:sz w:val="24"/>
          </w:rPr>
          <w:t>十、基金的投资</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_Toc135812797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85</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8" w:history="1">
        <w:r w:rsidR="00D8346F" w:rsidRPr="00D8346F">
          <w:rPr>
            <w:rStyle w:val="aa"/>
            <w:rFonts w:ascii="宋体" w:hAnsi="宋体" w:hint="eastAsia"/>
            <w:noProof/>
            <w:sz w:val="24"/>
          </w:rPr>
          <w:t>十一、基金的业绩</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_Toc135812798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99</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799" w:history="1">
        <w:r w:rsidR="00D8346F" w:rsidRPr="00D8346F">
          <w:rPr>
            <w:rStyle w:val="aa"/>
            <w:rFonts w:ascii="宋体" w:hAnsi="宋体" w:hint="eastAsia"/>
            <w:noProof/>
            <w:sz w:val="24"/>
          </w:rPr>
          <w:t>十二、基金的财产</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_Toc135812799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102</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0" w:history="1">
        <w:r w:rsidR="00D8346F" w:rsidRPr="00D8346F">
          <w:rPr>
            <w:rStyle w:val="aa"/>
            <w:rFonts w:ascii="宋体" w:hAnsi="宋体" w:hint="eastAsia"/>
            <w:noProof/>
            <w:sz w:val="24"/>
          </w:rPr>
          <w:t>十三、基金资产的估值</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_Toc135812800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103</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1" w:history="1">
        <w:r w:rsidR="00D8346F" w:rsidRPr="00D8346F">
          <w:rPr>
            <w:rStyle w:val="aa"/>
            <w:rFonts w:ascii="宋体" w:hAnsi="宋体" w:hint="eastAsia"/>
            <w:noProof/>
            <w:sz w:val="24"/>
          </w:rPr>
          <w:t>十四、基金的收益与分配</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_Toc135812801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109</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2" w:history="1">
        <w:r w:rsidR="00D8346F" w:rsidRPr="00D8346F">
          <w:rPr>
            <w:rStyle w:val="aa"/>
            <w:rFonts w:ascii="宋体" w:hAnsi="宋体" w:hint="eastAsia"/>
            <w:noProof/>
            <w:sz w:val="24"/>
          </w:rPr>
          <w:t>十五、基金的费用与税收</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_Toc135812802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111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3" w:history="1">
        <w:r w:rsidR="00D8346F" w:rsidRPr="00D8346F">
          <w:rPr>
            <w:rStyle w:val="aa"/>
            <w:rFonts w:ascii="宋体" w:hAnsi="宋体" w:hint="eastAsia"/>
            <w:noProof/>
            <w:sz w:val="24"/>
          </w:rPr>
          <w:t>十六、基金的会计与审计</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_Toc135812803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114</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4" w:history="1">
        <w:r w:rsidR="00D8346F" w:rsidRPr="00D8346F">
          <w:rPr>
            <w:rStyle w:val="aa"/>
            <w:rFonts w:ascii="宋体" w:hAnsi="宋体" w:hint="eastAsia"/>
            <w:noProof/>
            <w:sz w:val="24"/>
          </w:rPr>
          <w:t>十七、基金的信息披露</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_Toc135812804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115</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5" w:history="1">
        <w:r w:rsidR="00D8346F" w:rsidRPr="00D8346F">
          <w:rPr>
            <w:rStyle w:val="aa"/>
            <w:rFonts w:ascii="宋体" w:hAnsi="宋体" w:hint="eastAsia"/>
            <w:noProof/>
            <w:sz w:val="24"/>
          </w:rPr>
          <w:t>十八、侧袋机制</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_Toc135812805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121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6" w:history="1">
        <w:r w:rsidR="00D8346F" w:rsidRPr="00D8346F">
          <w:rPr>
            <w:rStyle w:val="aa"/>
            <w:rFonts w:ascii="宋体" w:hAnsi="宋体" w:hint="eastAsia"/>
            <w:noProof/>
            <w:sz w:val="24"/>
          </w:rPr>
          <w:t>十九、风险揭示</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_Toc135812806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124</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7" w:history="1">
        <w:r w:rsidR="00D8346F" w:rsidRPr="00D8346F">
          <w:rPr>
            <w:rStyle w:val="aa"/>
            <w:rFonts w:ascii="宋体" w:hAnsi="宋体" w:hint="eastAsia"/>
            <w:noProof/>
            <w:sz w:val="24"/>
          </w:rPr>
          <w:t>二十、基金合同的终止与基金财产的清算</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_Toc135812807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131</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8" w:history="1">
        <w:r w:rsidR="00D8346F" w:rsidRPr="00D8346F">
          <w:rPr>
            <w:rStyle w:val="aa"/>
            <w:rFonts w:ascii="宋体" w:hAnsi="宋体" w:hint="eastAsia"/>
            <w:noProof/>
            <w:sz w:val="24"/>
          </w:rPr>
          <w:t>二十一、基金合同内容摘要</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_Toc135812808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133</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09" w:history="1">
        <w:r w:rsidR="00D8346F" w:rsidRPr="00D8346F">
          <w:rPr>
            <w:rStyle w:val="aa"/>
            <w:rFonts w:ascii="宋体" w:hAnsi="宋体" w:hint="eastAsia"/>
            <w:noProof/>
            <w:sz w:val="24"/>
          </w:rPr>
          <w:t>二十二、托管协议的内容摘要</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_Toc135812809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148</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10" w:history="1">
        <w:r w:rsidR="00D8346F" w:rsidRPr="00D8346F">
          <w:rPr>
            <w:rStyle w:val="aa"/>
            <w:rFonts w:ascii="宋体" w:hAnsi="宋体" w:hint="eastAsia"/>
            <w:noProof/>
            <w:sz w:val="24"/>
          </w:rPr>
          <w:t>二十三、对基金份额持有人的服务</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_Toc135812810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163</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11" w:history="1">
        <w:r w:rsidR="00D8346F" w:rsidRPr="00D8346F">
          <w:rPr>
            <w:rStyle w:val="aa"/>
            <w:rFonts w:ascii="宋体" w:hAnsi="宋体" w:hint="eastAsia"/>
            <w:noProof/>
            <w:sz w:val="24"/>
          </w:rPr>
          <w:t>二十四、其他应披露事项</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_Toc135812811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165</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12" w:history="1">
        <w:r w:rsidR="00D8346F" w:rsidRPr="00D8346F">
          <w:rPr>
            <w:rStyle w:val="aa"/>
            <w:rFonts w:ascii="宋体" w:hAnsi="宋体" w:hint="eastAsia"/>
            <w:noProof/>
            <w:sz w:val="24"/>
          </w:rPr>
          <w:t>二十五、招募说明书的存放及查阅方式</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_Toc135812812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167</w:t>
        </w:r>
        <w:r w:rsidR="00D8346F" w:rsidRPr="00D8346F">
          <w:rPr>
            <w:rFonts w:ascii="宋体" w:hAnsi="宋体"/>
            <w:noProof/>
            <w:sz w:val="24"/>
          </w:rPr>
          <w:fldChar w:fldCharType="end"/>
        </w:r>
      </w:hyperlink>
    </w:p>
    <w:p w:rsidR="00D8346F" w:rsidRPr="00A80ABB" w:rsidRDefault="00085A94" w:rsidP="00D8346F">
      <w:pPr>
        <w:pStyle w:val="10"/>
        <w:tabs>
          <w:tab w:val="right" w:leader="dot" w:pos="8550"/>
        </w:tabs>
        <w:spacing w:line="360" w:lineRule="auto"/>
        <w:rPr>
          <w:rFonts w:ascii="宋体" w:hAnsi="宋体"/>
          <w:noProof/>
          <w:sz w:val="24"/>
        </w:rPr>
      </w:pPr>
      <w:hyperlink w:anchor="_Toc135812813" w:history="1">
        <w:r w:rsidR="00D8346F" w:rsidRPr="00D8346F">
          <w:rPr>
            <w:rStyle w:val="aa"/>
            <w:rFonts w:ascii="宋体" w:hAnsi="宋体" w:hint="eastAsia"/>
            <w:noProof/>
            <w:sz w:val="24"/>
          </w:rPr>
          <w:t>二十六、备查文件</w:t>
        </w:r>
        <w:r w:rsidR="00D8346F" w:rsidRPr="00D8346F">
          <w:rPr>
            <w:rFonts w:ascii="宋体" w:hAnsi="宋体"/>
            <w:noProof/>
            <w:sz w:val="24"/>
          </w:rPr>
          <w:tab/>
        </w:r>
        <w:r w:rsidR="00D8346F" w:rsidRPr="00D8346F">
          <w:rPr>
            <w:rFonts w:ascii="宋体" w:hAnsi="宋体"/>
            <w:noProof/>
            <w:sz w:val="24"/>
          </w:rPr>
          <w:fldChar w:fldCharType="begin"/>
        </w:r>
        <w:r w:rsidR="00D8346F" w:rsidRPr="00D8346F">
          <w:rPr>
            <w:rFonts w:ascii="宋体" w:hAnsi="宋体"/>
            <w:noProof/>
            <w:sz w:val="24"/>
          </w:rPr>
          <w:instrText xml:space="preserve"> PAGEREF _Toc135812813 \h </w:instrText>
        </w:r>
        <w:r w:rsidR="00D8346F" w:rsidRPr="00D8346F">
          <w:rPr>
            <w:rFonts w:ascii="宋体" w:hAnsi="宋体"/>
            <w:noProof/>
            <w:sz w:val="24"/>
          </w:rPr>
        </w:r>
        <w:r w:rsidR="00D8346F" w:rsidRPr="00D8346F">
          <w:rPr>
            <w:rFonts w:ascii="宋体" w:hAnsi="宋体"/>
            <w:noProof/>
            <w:sz w:val="24"/>
          </w:rPr>
          <w:fldChar w:fldCharType="separate"/>
        </w:r>
        <w:r w:rsidR="00D8346F" w:rsidRPr="00D8346F">
          <w:rPr>
            <w:rFonts w:ascii="宋体" w:hAnsi="宋体"/>
            <w:noProof/>
            <w:sz w:val="24"/>
          </w:rPr>
          <w:t>168</w:t>
        </w:r>
        <w:r w:rsidR="00D8346F" w:rsidRPr="00D8346F">
          <w:rPr>
            <w:rFonts w:ascii="宋体" w:hAnsi="宋体"/>
            <w:noProof/>
            <w:sz w:val="24"/>
          </w:rPr>
          <w:fldChar w:fldCharType="end"/>
        </w:r>
      </w:hyperlink>
    </w:p>
    <w:p w:rsidR="00BA0BBB" w:rsidRPr="00D8346F" w:rsidRDefault="00D8346F" w:rsidP="00D8346F">
      <w:pPr>
        <w:pStyle w:val="ad"/>
        <w:snapToGrid w:val="0"/>
        <w:spacing w:after="240" w:line="360" w:lineRule="auto"/>
        <w:jc w:val="center"/>
        <w:rPr>
          <w:rFonts w:ascii="宋体" w:hAnsi="宋体"/>
          <w:color w:val="000000"/>
          <w:sz w:val="24"/>
        </w:rPr>
      </w:pPr>
      <w:r w:rsidRPr="00D8346F">
        <w:rPr>
          <w:rFonts w:ascii="宋体" w:hAnsi="宋体"/>
          <w:color w:val="000000"/>
          <w:position w:val="-4"/>
          <w:sz w:val="24"/>
          <w:szCs w:val="30"/>
        </w:rPr>
        <w:lastRenderedPageBreak/>
        <w:fldChar w:fldCharType="end"/>
      </w:r>
    </w:p>
    <w:p w:rsidR="00BA0BBB" w:rsidRDefault="00BA0BBB">
      <w:pPr>
        <w:autoSpaceDE w:val="0"/>
        <w:autoSpaceDN w:val="0"/>
        <w:adjustRightInd w:val="0"/>
        <w:snapToGrid w:val="0"/>
        <w:spacing w:line="360" w:lineRule="auto"/>
        <w:ind w:left="120" w:rightChars="6" w:right="13"/>
        <w:rPr>
          <w:rFonts w:ascii="宋体" w:hAnsi="宋体"/>
          <w:kern w:val="0"/>
          <w:szCs w:val="24"/>
        </w:rPr>
        <w:sectPr w:rsidR="00BA0BBB">
          <w:pgSz w:w="11920" w:h="16840"/>
          <w:pgMar w:top="1480" w:right="1680" w:bottom="280" w:left="1680" w:header="0" w:footer="1073" w:gutter="0"/>
          <w:cols w:space="720"/>
        </w:sectPr>
      </w:pPr>
    </w:p>
    <w:p w:rsidR="00BA0BBB" w:rsidRDefault="003E11BC">
      <w:pPr>
        <w:pStyle w:val="1"/>
        <w:snapToGrid w:val="0"/>
        <w:spacing w:beforeLines="0" w:before="240" w:after="240"/>
        <w:rPr>
          <w:rFonts w:ascii="宋体" w:hAnsi="宋体"/>
          <w:szCs w:val="30"/>
        </w:rPr>
      </w:pPr>
      <w:bookmarkStart w:id="3" w:name="_Toc135812788"/>
      <w:r>
        <w:rPr>
          <w:rFonts w:ascii="Times New Roman" w:hAnsi="Times New Roman"/>
          <w:sz w:val="30"/>
        </w:rPr>
        <w:lastRenderedPageBreak/>
        <w:t>一、绪言</w:t>
      </w:r>
      <w:bookmarkEnd w:id="3"/>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锋混合型证券投资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和其他相关法律法规的规定以及《交银施罗德先锋混合型证券投资基金基金合同》（以下简称“基金合同”）编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4" w:name="_Toc135812789"/>
      <w:r>
        <w:rPr>
          <w:rFonts w:ascii="Times New Roman" w:hAnsi="Times New Roman"/>
          <w:sz w:val="30"/>
        </w:rPr>
        <w:lastRenderedPageBreak/>
        <w:t>二、释义</w:t>
      </w:r>
      <w:bookmarkEnd w:id="4"/>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指交银施罗德先锋混合型证券投资基金，本基金由交银施罗德先锋股票证券投资基金变更而来</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指中国农业银行股份有限公司（以下简称</w:t>
            </w:r>
            <w:r>
              <w:rPr>
                <w:rFonts w:ascii="Times New Roman" w:hAnsi="Times New Roman"/>
                <w:color w:val="000000"/>
                <w:kern w:val="0"/>
                <w:sz w:val="25"/>
                <w:szCs w:val="24"/>
              </w:rPr>
              <w:t>“</w:t>
            </w:r>
            <w:r>
              <w:rPr>
                <w:rFonts w:ascii="Times New Roman" w:hAnsi="Times New Roman"/>
                <w:color w:val="000000"/>
                <w:kern w:val="0"/>
                <w:sz w:val="25"/>
                <w:szCs w:val="24"/>
              </w:rPr>
              <w:t>中国农业银行</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指《交银施罗德先锋混合型证券投资基金基金合同》及对基金合同的任何有效修订和补充；</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指基金管理人与基金托管人就本基金签订之《交银施罗德先锋混合型证券投资基金托管协议》及对该托管协议的任何有效修订和补充；</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指《交银施罗德先锋混合型证券投资基金招募说明书》及其更新；</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指本基金根据《运作办法》变更为混合型基金前的《交银施罗德先锋股票证券投资基金份额发售公告》；</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指《交银施罗德先锋混合型证券投资基金基金产品资料概要》及其更新；</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指中国现行有效并公布实施的法律、行政法规、规范性文件、部门规章及规范性文件、地方性法规、地方政府规章及规范性文件；</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27</w:t>
            </w:r>
            <w:r>
              <w:rPr>
                <w:rFonts w:ascii="Times New Roman" w:hAnsi="Times New Roman"/>
                <w:color w:val="000000"/>
                <w:kern w:val="0"/>
                <w:sz w:val="25"/>
                <w:szCs w:val="24"/>
              </w:rPr>
              <w:t>日经第十届全国人民代表大会常务委员会第十八次会议通过，自</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日实施的《中华人民共和国证券法》及对其不时做出的修订；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25</w:t>
            </w:r>
            <w:r>
              <w:rPr>
                <w:rFonts w:ascii="Times New Roman" w:hAnsi="Times New Roman"/>
                <w:color w:val="000000"/>
                <w:kern w:val="0"/>
                <w:sz w:val="25"/>
                <w:szCs w:val="24"/>
              </w:rPr>
              <w:t>日颁布、同年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29</w:t>
            </w:r>
            <w:r>
              <w:rPr>
                <w:rFonts w:ascii="Times New Roman" w:hAnsi="Times New Roman"/>
                <w:color w:val="000000"/>
                <w:kern w:val="0"/>
                <w:sz w:val="25"/>
                <w:szCs w:val="24"/>
              </w:rPr>
              <w:t>日颁布、同年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日实施的《证券投资基金运作管理办法》及对其不时做出的修订；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指中国银行业监督管理委员会或其他经国务院授权的机构；</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指依据有关法律法规规定或经中国证监会允许可投资于证券投资基金的自然人；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指依法可以投资于证券投资基金的、在中华人民共和国境内合法注册登记并存续或经有关政府部门批准设立并存续的企业法人、事业法人、社会团体或其他组织；</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指符合现实有效的相关法律法规规定可以投资于中国境内证券市场的中国境外的机构投资者；</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指个人投资者、机构投资者和合格境外机构投资者以及法律法规或中国证监会允许购买开放式证券投资基金的其他投资人的合称；</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指依招募说明书和基金合同合法取得基金份额的投资人；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指基金管理人或代销机构宣传推介基金，发售基金份额，办理基金份额的申购、赎回、转换、非交易过户、转托管及定期定额投资等业务；</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指直销机构和代销机构；</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直销机构：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代销机构：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取得基金代销业务资格并与基金管理人签订了基金销售服务代理协议，代为办理基金销售业务的机构，以及可通过上海证券交易所交易系统办理基金销售业务的会员单位；</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指具有开放式基金代销资格，经上海证券交易所和中国证券登记结算有限责任公司认可的、可通过上海证券交易所交易系统办理开放式基金的认购、申购、赎回和转托管等业务的上海证券交易所会员单位；</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指直销机构的直销中心及代销机构的代销网点；</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指基金登记、存管、清算和交收业务，具体内容包括投资人基金账户的建立和管理、基金份额注册登记、基金交易的确认、清算和结算、代理发放红利、建立并保管基金份额持有人名册等；</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注册登记机构：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指办理注册登记业务的机构。基金的注册登记机构为交银施罗德基金管理有限公司或接受交银施罗德基金管理有限公司委托代为办理注册登记业务的机构；</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指注册登记机构为投资人开立的、记录其持有的、基金管理人所管理的基金份额余额及其变动情况的账户；</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交易账户：</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指销售机构为投资人开立的、记录投资人通过该销售机构买卖本基金的基金份额变动及结余情况的账户；</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指基金募集达到法律法规规定及基金合同规定的条件，基金管理人向中国证监会办理基金备案手续完毕，并获得中国证监会书面确认的日期；</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指基金合同规定的基金合同终止事由出现后，基金财产清算完毕，清算结果报中国证监会备案并予以公告的日期；</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工作日：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指销售机构在规定时间受理投资人认购、申购、赎回或其他业务申请的工作日；</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指为投资人办理基金份额申购、赎回或其他业务的工作日；</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交易时间：</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指开放日基金接受认购、申购、赎回或其他交易的时间段；</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上证所《业务规则》：</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14</w:t>
            </w:r>
            <w:r>
              <w:rPr>
                <w:rFonts w:ascii="Times New Roman" w:hAnsi="Times New Roman"/>
                <w:color w:val="000000"/>
                <w:kern w:val="0"/>
                <w:sz w:val="25"/>
                <w:szCs w:val="24"/>
              </w:rPr>
              <w:t>日上海证券交易所发布并于</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14</w:t>
            </w:r>
            <w:r>
              <w:rPr>
                <w:rFonts w:ascii="Times New Roman" w:hAnsi="Times New Roman"/>
                <w:color w:val="000000"/>
                <w:kern w:val="0"/>
                <w:sz w:val="25"/>
                <w:szCs w:val="24"/>
              </w:rPr>
              <w:t>日起施行的《上海证券交易所开放式基金认购、申购、赎回业务办理规则（试行）》及颁布机关对其不时做出的修订；</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指在基金募集期内，投资人申请购买基金份额的行为；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指基金合同生效后，基金份额持有人按基金合同规定的要求将基金份额兑换为现金的行为；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指不通过上海证券交易所的交易系统办理基金份额认购、申购和赎回等业务的销售机构和场所；</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指通过上海证券交易所的交易系统办理基金份额认购、申购和赎回等业务的销售机构和场所；</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指基金份额持有人在本基金的不同销售机构之间实施的变更所持基金份额销售机构的行为；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本基金合同和基金管理人届时有效公告规定的条件，申请将其持有基金管理人管理的、某一基金的基金份额转换为基金管理人管理的、且由同一注册登记机构办理登记结算的其他基金基金份额的行为；</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指投资人通过向有关销售机构提交申请，约定每期申购日、扣款金额及扣款方式，由指定的销售机构在投资人指定资金账户内自动扣款并于每期约定申购日提交基金申购申请的一种投资方式；</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指本基金单个开放日，基金净赎回申请</w:t>
            </w:r>
            <w:r>
              <w:rPr>
                <w:rFonts w:ascii="Times New Roman" w:hAnsi="Times New Roman"/>
                <w:color w:val="000000"/>
                <w:kern w:val="0"/>
                <w:sz w:val="25"/>
                <w:szCs w:val="24"/>
              </w:rPr>
              <w:t>(</w:t>
            </w:r>
            <w:r>
              <w:rPr>
                <w:rFonts w:ascii="Times New Roman" w:hAnsi="Times New Roman"/>
                <w:color w:val="000000"/>
                <w:kern w:val="0"/>
                <w:sz w:val="25"/>
                <w:szCs w:val="24"/>
              </w:rPr>
              <w:t>赎回申请份额总数加上基金转换中转出申请份额总数扣除申购申请份额总数及基金转换中转入申请份额总数后的余额</w:t>
            </w:r>
            <w:r>
              <w:rPr>
                <w:rFonts w:ascii="Times New Roman" w:hAnsi="Times New Roman"/>
                <w:color w:val="000000"/>
                <w:kern w:val="0"/>
                <w:sz w:val="25"/>
                <w:szCs w:val="24"/>
              </w:rPr>
              <w:t>)</w:t>
            </w:r>
            <w:r>
              <w:rPr>
                <w:rFonts w:ascii="Times New Roman" w:hAnsi="Times New Roman"/>
                <w:color w:val="000000"/>
                <w:kern w:val="0"/>
                <w:sz w:val="25"/>
                <w:szCs w:val="24"/>
              </w:rPr>
              <w:t>超过上一日基金总份额的</w:t>
            </w:r>
            <w:r>
              <w:rPr>
                <w:rFonts w:ascii="Times New Roman" w:hAnsi="Times New Roman"/>
                <w:color w:val="000000"/>
                <w:kern w:val="0"/>
                <w:sz w:val="25"/>
                <w:szCs w:val="24"/>
              </w:rPr>
              <w:t>10%</w:t>
            </w:r>
            <w:r>
              <w:rPr>
                <w:rFonts w:ascii="Times New Roman" w:hAnsi="Times New Roman"/>
                <w:color w:val="000000"/>
                <w:kern w:val="0"/>
                <w:sz w:val="25"/>
                <w:szCs w:val="24"/>
              </w:rPr>
              <w:t>；</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指基金拥有的各类有价证券、银行存款本息、基金应收申购款及其他资产的价值总和；</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指从基金财产中计提的，用于本基金市场推广、销售以及基金份额持有人服务的费用；</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指对投资人收取申购费用且不从本类别基金资产中计提销售服务费的基金份额；</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指在投资人申购时不收取申购费用，并从本类别基金资产中计提销售服务费的基金份额；</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侧袋机制：</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特定资产：</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并不能克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w:t>
            </w:r>
          </w:p>
        </w:tc>
      </w:tr>
    </w:tbl>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5" w:name="_Toc135812790"/>
      <w:r>
        <w:rPr>
          <w:rFonts w:ascii="Times New Roman" w:hAnsi="Times New Roman"/>
          <w:sz w:val="30"/>
        </w:rPr>
        <w:lastRenderedPageBreak/>
        <w:t>三、基金管理人</w:t>
      </w:r>
      <w:bookmarkEnd w:id="5"/>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封晴先生:基金经理。中山大学地产经营与管理硕士、中南财经政法大学投资学学士、华中科技大学英语学士。1</w:t>
      </w:r>
      <w:r w:rsidR="00EE6C57">
        <w:rPr>
          <w:rFonts w:ascii="宋体" w:hAnsi="宋体"/>
          <w:sz w:val="24"/>
        </w:rPr>
        <w:t>2</w:t>
      </w:r>
      <w:r>
        <w:rPr>
          <w:rFonts w:ascii="宋体" w:hAnsi="宋体"/>
          <w:sz w:val="24"/>
        </w:rPr>
        <w:t>年证券投资行业从业经验。2011年至2013年任金鹰基金研究员，2013至2014年任中海基金研究员。2014年加入交银施罗德基金管理有限公司，曾任行业分析师、基金经理助理，现任权益部基金经理。现任交银施罗德先锋混合型证券投资基金(2020年07月03日至今)、交银施罗德内核驱动混合型证券投资基金(2021年09月04日至今)的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本基金历任基金经理：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史伟先生(2009年04月10日至2013年06月07日)；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王少成先生(2013年05月29日至2015年08月14日)；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芮晨先生(2015年05月18日至2020年07月14日)。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上述人员之间不存在近亲属关系，上述各项人员信息更新截止日为2023年04月28日，期后变动（如有）敬请关注基金管理人发布的相关公告。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w:t>
      </w:r>
      <w:r>
        <w:rPr>
          <w:rFonts w:ascii="宋体" w:hAnsi="宋体"/>
          <w:sz w:val="24"/>
        </w:rPr>
        <w:lastRenderedPageBreak/>
        <w:t>制度，采取有效措施，防止违反《证券法》行为的发生；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w:t>
      </w:r>
      <w:r>
        <w:rPr>
          <w:rFonts w:ascii="宋体" w:hAnsi="宋体"/>
          <w:sz w:val="24"/>
        </w:rPr>
        <w:lastRenderedPageBreak/>
        <w:t>岗位之间的制衡体系。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董事会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监事会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合规审核及风险管理委员会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风险控制委员会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督察长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风险管理部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审计部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法律合规部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业务部门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建立有效的内部监控系统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采取数量化、技术化的风险控制手段，建立数量化的风险管理模型，用以提示指数趋势、行业及个券的风险，以便公司及时采取有效的措施，对风险进行分散、控制和规避，尽可能地减少损失。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6" w:name="_Toc135812791"/>
      <w:r>
        <w:rPr>
          <w:rFonts w:ascii="Times New Roman" w:hAnsi="Times New Roman"/>
          <w:sz w:val="30"/>
        </w:rPr>
        <w:lastRenderedPageBreak/>
        <w:t>四、基金托管人</w:t>
      </w:r>
      <w:bookmarkEnd w:id="6"/>
    </w:p>
    <w:p w:rsidR="00BA0BBB" w:rsidRDefault="003E11BC">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BA0BBB" w:rsidRDefault="003E11BC">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A0BBB" w:rsidRDefault="003E11BC">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7" w:name="_Toc135812792"/>
      <w:r>
        <w:rPr>
          <w:rFonts w:ascii="Times New Roman" w:hAnsi="Times New Roman"/>
          <w:sz w:val="30"/>
        </w:rPr>
        <w:lastRenderedPageBreak/>
        <w:t>五、相关服务机构</w:t>
      </w:r>
      <w:bookmarkEnd w:id="7"/>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2、A类基金份额的场内代销机构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代销机构是指由中国证监会核准的具有开放式基金代销资格，并经上海证券交易所和中国证券登记结算有限责任公司认可的上海证券交易所会员(以下简称“有资格的上证所会员”)，名单详见上海证券交易所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3、场外代销机构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办公地址：北京市复兴门内大街55号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客服电话：95511-3或95501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办公地址：北京市西城区金融大街甲17号首层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法定代表人：洪崎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住所：北京市北京市复兴门内大街1号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传真：（010）66594853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（12）名称：中国农业银行股份有限公司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（13）名称：中信银行股份有限公司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办公地址：北京市东城区朝阳门北大街9号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（14）名称：上海银行股份有限公司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（15）名称：招商银行股份有限公司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（16）名称：交通银行股份有限公司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传真：（021）58408483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（17）名称：杭州银行股份有限公司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（18）名称：东莞农村商业银行股份有限公司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（19）名称：江苏常熟农村商业银行股份有限公司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网址：www.csrcbank.com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（20）名称：江苏江南农村商业银行股份有限公司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（21）名称：光大证券股份有限公司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（22）名称：中信证券股份有限公司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（23）名称：中国中金财富证券有限公司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法定代表人：高涛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（24）名称：东北证券股份有限公司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（25）名称：中银国际证券有限责任公司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（26）名称：华福证券有限责任公司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（27）名称：东兴证券股份有限公司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法定代表人：徐勇力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（28）名称：东方证券股份有限公司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（29）名称：方正证券股份有限公司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（30）名称：中国民族证券有限责任公司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（31）名称：德邦证券有限责任公司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住所：上海市普陀区曹杨路510号南半幢9楼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（32）名称：安信证券股份有限公司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（33）名称：国元证券股份有限公司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（34）名称：中航证券有限公司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传真：（0791）86770178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（35）名称：中信建投证券股份有限公司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（36）名称：国信证券股份有限公司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（37）名称：恒泰证券股份有限公司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网址：www.cnht.com.cn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（38）名称：华泰证券股份有限公司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（39）名称：湘财证券股份有限公司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（40）名称：兴业证券股份有限公司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（41）名称：广发证券股份有限公司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法定代表人：孙树明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（42）名称：海通证券股份有限公司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（43）名称：华龙证券股份有限公司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（44）名称：华宝证券股份有限公司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联系人：赵洁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（45）名称：长城国瑞证券有限公司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（46）名称：爱建证券有限责任公司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（47）名称：长江证券股份有限公司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（48）名称：招商证券股份有限公司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（49）名称：国泰君安证券股份有限公司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（50）名称：中国银河证券股份有限公司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（51）名称：申万宏源证券有限公司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电话：（021）33389888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（52）名称：国都证券股份有限公司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（53）名称：平安证券股份有限公司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（54）名称：中信证券（山东）有限责任公司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（55）名称：申万宏源西部证券有限公司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办公地址：北京市西城区太平桥大街19号宏源证券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（56）名称：中泰证券股份有限公司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（57）名称：江海证券有限公司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（58）名称：中国国际金融股份有限公司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联系人：杨涵宇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（59）名称：瑞银证券有限责任公司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（60）名称：长城证券有限责任公司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（61）名称：国金证券股份有限公司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（62）名称：渤海证券股份有限公司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办公地址：天津市南开区宾水西道8号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（63）名称：信达证券股份有限公司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（64）名称：西南证券股份有限公司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（65）名称：国新证券股份有限公司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传真：（010）58568062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（66）名称：中原证券股份有限公司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（67）名称：联讯证券股份有限公司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（68）名称：华西证券股份有限公司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网址：www.hx168.com.cn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（69）名称：东莞证券股份有限公司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（70）名称：第一创业证券股份有限公司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（71）名称：东方财富证券股份有限公司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（72）名称：中信证券华南股份有限公司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法定代表人：胡伏云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（73）名称：中邮证券有限责任公司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注册地址：陕西省西安市唐延路5号（陕西邮政信息大厦9-11层）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（74）名称：开源证券股份有限公司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（75）名称：天相投资顾问有限公司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客户服务电话：（010）66045678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（76）名称：北京钱景财富投资管理有限公司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（77）名称：上海大智慧基金销售有限公司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（78）名称：上海利得基金销售有限公司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（79）名称：上海凯石财富基金销售有限公司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住所：上海市黄浦区西藏南路765号602-115室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（80）名称：北京虹点基金销售有限公司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（81）名称：诺亚正行(上海)基金销售投资顾问有限公司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（82）名称：上海好买基金销售有限公司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传真：（021）68596916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（83）名称：上海长量基金销售投资顾问有限公司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（84）名称：深圳众禄基金销售有限公司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（85）名称：蚂蚁（杭州）基金销售有限公司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（86）名称：深圳市新兰德证券投资咨询有限公司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住所：深圳市福田区华强北路赛格科技园4栋10层1006#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（87）名称：北京展恒基金销售股份有限公司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（88）名称：一路财富（北京）信息科技有限公司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（89）名称：和讯信息科技有限公司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电话：（021）20835789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（90）名称：上海天天基金销售有限公司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（91）名称：上海联泰基金销售有限公司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（92）名称：珠海盈米财富管理有限公司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客户服务电话：（020）89629066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（93）名称：上海基煜基金销售有限公司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（94）名称：宜信普泽投资顾问（北京）有限公司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（95）名称：浙江同花顺基金销售有限公司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（96）名称：中信期货有限公司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（97）名称：上海陆金所资产管理有限公司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（98）名称：北京中植基金销售有限公司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（99）名称：北京汇成基金销售有限公司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住所：北京市西城区宣武门外大街甲1号4层401-2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（100）名称：奕丰基金销售有限公司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（101）名称：北京创金启富基金销售有限公司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（102）名称：上海云湾投资管理有限公司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法定代表人：戴新装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（103）名称：中证金牛（北京）投资咨询有限公司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（104）名称：北京新浪仓石基金销售有限公司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（105）名称：北京肯特瑞基金销售有限公司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法定代表人：王苏宁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（106）名称：北京雪球基金销售有限公司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（107）名称：凤凰金信（银川）投资管理有限公司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（108）名称：深圳市金斧子基金销售有限公司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传真：（0755）66892399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（109）名称：格上富信投资顾问有限公司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（110）名称：上海万得基金销售有限公司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（111）名称：天津万家财富资产管理有限公司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网址：http://www.wanjiawealth.com/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（112）名称：上海挖财金融信息服务有限公司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（113）名称：嘉实财富管理有限公司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（114）名称：南京苏宁基金销售有限公司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（115）名称：北京度小满基金销售有限公司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 北京市海淀区信息路甲9号奎科大厦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（116）名称：北京唐鼎耀华投资咨询有限公司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（117）名称：上海华夏财富投资管理有限公司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（118）名称：江苏汇林保大基金销售有限公司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传真：025-56663409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（119）名称：玄元保险代理有限公司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（120）名称：阳光人寿保险股份有限公司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（121）名称：大连网金基金销售有限公司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（122）名称：泛华普益基金销售有限公司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（123）名称：和耕传承基金销售有限公司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（124）名称：腾安基金销售（深圳）有限公司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（125）名称：北京植信基金销售有限公司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办公地址：北京市朝阳区惠河南路盛世龙源10号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（126）名称：上海钜派钰茂基金销售有限公司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（127）名称：中国人寿保险股份有限公司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（128）名称：济安财富（北京）基金销售有限公司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基金管理人可根据有关法律法规的要求，选择其它符合要求的机构代理销售本基金，并在管理人网站公示。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名称：上海源泰律师事务所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住所：上海浦东南路256号华夏银行大厦1405室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办公地址：上海浦东南路256号华夏银行大厦1405室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负责人：廖海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电话：（021）51150298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传真：（021）51150398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联系人：廖海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经办律师：梁丽金、刘佳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8" w:name="_Toc135812793"/>
      <w:r>
        <w:rPr>
          <w:rFonts w:ascii="Times New Roman" w:hAnsi="Times New Roman"/>
          <w:sz w:val="30"/>
        </w:rPr>
        <w:lastRenderedPageBreak/>
        <w:t>六、基金的历史沿革</w:t>
      </w:r>
      <w:bookmarkEnd w:id="8"/>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锋混合型证券投资基金由交银施罗德先锋股票证券投资基金变更而来，交银施罗德先锋股票证券投资基金由基金管理人依照《基金法》、《运作办法》、基金合同及其他有关规定，并经中国证监会证监许可[2009]141号文核准募集发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交银施罗德先锋股票证券投资基金为契约型开放式股票型基金。基金存续期间为不定期。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本基金的募集期限不超过3个月，自基金份额开始发售之日起计算。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本基金自2009年3月3日至2009年4月3日止进行发售。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本基金设立募集期共募集4,470,679,078.59份基金份额，有效认购户数为57,582户。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 &lt;公开募集证券投资基金运作管理办法&gt; 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先锋混合型证券投资基金，由《交银施罗德先锋股票证券投资基金基金合同》修订而成的《交银施罗德先锋混合型证券投资基金基金合同》自该日起生效。</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9" w:name="_Toc135812794"/>
      <w:r>
        <w:rPr>
          <w:rFonts w:ascii="Times New Roman" w:hAnsi="Times New Roman"/>
          <w:sz w:val="30"/>
        </w:rPr>
        <w:lastRenderedPageBreak/>
        <w:t>七、基金的存续</w:t>
      </w:r>
      <w:bookmarkEnd w:id="9"/>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0" w:name="_Toc135812795"/>
      <w:r>
        <w:rPr>
          <w:rFonts w:ascii="Times New Roman" w:hAnsi="Times New Roman"/>
          <w:sz w:val="30"/>
        </w:rPr>
        <w:lastRenderedPageBreak/>
        <w:t>八、基金份额的申购与赎回</w:t>
      </w:r>
      <w:bookmarkEnd w:id="10"/>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投资者可通过场外和场内两种方式申购与赎回A类基金份额；C类基金份额不开设场内申购、赎回的方式，投资者只能通过场外方式申购与赎回C类基金份额。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个人投资者可以通过本基金管理人网上直销交易平台办理开户、本基金的申购、赎回、定期定额投资、转换等业务，具体交易细则请参阅基金管理人网站。网上直销交易平台网址：www.fund001.com。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2、通过上海证券交易所交易系统办理相关业务的上海证券交易所会员单位，目前场内交易只支持前端A类基金份额的申购。具体名单详见上海证券交易所网站。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3、不通过上海证券交易所交易系统办理相关业务的场外代销机构的代销网点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本基金的场外代销机构的代销网点请见本招募说明书“五、相关服务机构”章节或拨打本公司客户服务电话进行咨询。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投资人可通过上述场所按照规定的方式进行申购或赎回。本基金管理人可根据情况变更或增减基金代销机构，并在管理人网站公示。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若基金管理人或其指定的代销机构开通电话、传真或网上等交易方式，投资人</w:t>
      </w:r>
      <w:r>
        <w:rPr>
          <w:rFonts w:ascii="宋体" w:hAnsi="宋体"/>
          <w:sz w:val="24"/>
        </w:rPr>
        <w:lastRenderedPageBreak/>
        <w:t>可以通过上述方式进行申购与赎回。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开放日是指为投资人办理基金申购、赎回等业务的证券交易所交易日（基金管理人根据法律法规或基金合同的规定公告暂停申购、赎回时除外）。代销网点在开放日的具体业务办理时间为上海证券交易所、深圳证券交易所交易日的交易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投资人在基金合同约定之外的日期和时间提出申购、赎回或转换申请的，其基金份额申购、赎回价格为下次办理基金份额申购、赎回时间所在开放日的价格。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本基金A类基金份额已于2009年6月15日起开放场内、场外申购业务。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本基金C类基金份额已于2021年11月5日起开放场外申购业务。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本基金A类基金份额已于2009年6月15日起开放场内、场外赎回业务。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本基金C类基金份额已于2021年11月5日起开放场外赎回业务。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3、投资人申购基金份额时，必须全额交付申购款项，投资人交付款项后，申购申请方为有效；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4、赎回遵循“先进先出”原则，即按照投资人认购、申购的先后次序进行顺序赎回；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5、当日的申购与赎回申请可以在基金管理人规定的时间以内撤销。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基金管理人可根据基金运作的实际情况依法对上述原则进行调整。基金管理人必须在新规则开始实施前依照《信息披露办法》的有关规定在指定媒介上公告。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1、申购金额的限制</w:t>
      </w:r>
    </w:p>
    <w:p w:rsidR="00152C1C" w:rsidRPr="00152C1C" w:rsidRDefault="00152C1C" w:rsidP="00152C1C">
      <w:pPr>
        <w:autoSpaceDE w:val="0"/>
        <w:autoSpaceDN w:val="0"/>
        <w:adjustRightInd w:val="0"/>
        <w:snapToGrid w:val="0"/>
        <w:spacing w:line="360" w:lineRule="auto"/>
        <w:ind w:firstLineChars="200" w:firstLine="480"/>
        <w:jc w:val="left"/>
        <w:rPr>
          <w:rFonts w:ascii="宋体" w:hAnsi="宋体"/>
          <w:sz w:val="24"/>
        </w:rPr>
      </w:pPr>
      <w:r w:rsidRPr="00152C1C">
        <w:rPr>
          <w:rFonts w:ascii="宋体" w:hAnsi="宋体" w:hint="eastAsia"/>
          <w:sz w:val="24"/>
        </w:rPr>
        <w:t>场外申购时，代销网点每个账户单笔申购的最低金额为单笔1元，如果代销机构业务规则规定的最低单笔申购金额高于1元，以代销机构的规定为准。</w:t>
      </w:r>
    </w:p>
    <w:p w:rsidR="00152C1C" w:rsidRPr="00152C1C" w:rsidRDefault="00152C1C" w:rsidP="00152C1C">
      <w:pPr>
        <w:autoSpaceDE w:val="0"/>
        <w:autoSpaceDN w:val="0"/>
        <w:adjustRightInd w:val="0"/>
        <w:snapToGrid w:val="0"/>
        <w:spacing w:line="360" w:lineRule="auto"/>
        <w:ind w:firstLineChars="200" w:firstLine="480"/>
        <w:jc w:val="left"/>
        <w:rPr>
          <w:rFonts w:ascii="宋体" w:hAnsi="宋体"/>
          <w:sz w:val="24"/>
        </w:rPr>
      </w:pPr>
      <w:r w:rsidRPr="00152C1C">
        <w:rPr>
          <w:rFonts w:ascii="宋体" w:hAnsi="宋体" w:hint="eastAsia"/>
          <w:sz w:val="24"/>
        </w:rPr>
        <w:t>直销中心每个账户首次申购的最低金额为单笔100</w:t>
      </w:r>
      <w:r>
        <w:rPr>
          <w:rFonts w:ascii="宋体" w:hAnsi="宋体" w:hint="eastAsia"/>
          <w:sz w:val="24"/>
        </w:rPr>
        <w:t>万</w:t>
      </w:r>
      <w:r w:rsidRPr="00152C1C">
        <w:rPr>
          <w:rFonts w:ascii="宋体" w:hAnsi="宋体" w:hint="eastAsia"/>
          <w:sz w:val="24"/>
        </w:rPr>
        <w:t>元，追加申购的最低金额为单笔10</w:t>
      </w:r>
      <w:r>
        <w:rPr>
          <w:rFonts w:ascii="宋体" w:hAnsi="宋体" w:hint="eastAsia"/>
          <w:sz w:val="24"/>
        </w:rPr>
        <w:t>万</w:t>
      </w:r>
      <w:r w:rsidRPr="00152C1C">
        <w:rPr>
          <w:rFonts w:ascii="宋体" w:hAnsi="宋体" w:hint="eastAsia"/>
          <w:sz w:val="24"/>
        </w:rPr>
        <w:t>元；已在直销中心有认购或申购过本基金管理人管理的任一基金（包括本基金）记录的投资人不受首次申购最低金额的限制。通过本公司网上直销交易平台办理基金申购业务的不受直销中心单笔申购最低金额的限制，申购最低金额为单笔1 元。本基金直销中心单笔申购最低金额可由基金管理人酌情调整。</w:t>
      </w:r>
    </w:p>
    <w:p w:rsidR="00BA0BBB" w:rsidRDefault="00152C1C" w:rsidP="00152C1C">
      <w:pPr>
        <w:autoSpaceDE w:val="0"/>
        <w:autoSpaceDN w:val="0"/>
        <w:adjustRightInd w:val="0"/>
        <w:snapToGrid w:val="0"/>
        <w:spacing w:line="360" w:lineRule="auto"/>
        <w:ind w:firstLineChars="200" w:firstLine="480"/>
        <w:jc w:val="left"/>
        <w:rPr>
          <w:rFonts w:ascii="宋体" w:hAnsi="宋体"/>
          <w:szCs w:val="24"/>
        </w:rPr>
      </w:pPr>
      <w:r w:rsidRPr="00152C1C">
        <w:rPr>
          <w:rFonts w:ascii="宋体" w:hAnsi="宋体" w:hint="eastAsia"/>
          <w:sz w:val="24"/>
        </w:rPr>
        <w:t>场内申购时，每笔申购金额最低为1000元人民币，同时每笔申购必须是100元的整数倍，并且单笔申购最高不超过99,999,900元。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 份基金份额，如果销售机构业务规则规定的最低单笔赎回份额高于1份，以该销售机构的规定为准；场内赎回时，赎回的最低份额为50 份基金份额，同时赎回份额必须是整数份额，并且单笔赎回最多不超过99,999,999份基金份额。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每个工作日投资人在单个交易账户保留的本基金份额余额少于1份时，若当日该账户同时有份额减少类业务（如赎回、转换出等）被确认，则基金管理人有权将投资人在该账户保留的本基金份额一次性全部赎回。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的媒介上刊登公告并报中国证监会备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投资人必须根据基金销售机构规定的程序，在开放日的业务办理时间向基金销售机构提出申购或赎回的申请。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投资人在申购本基金时须按销售机构规定的方式备足申购资金，否则所提交的申购申请无效而不予成交。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投资人在提交赎回申请时，必须持有足够的基金份额余额，否则所提交的赎回申请无效而不予成交。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以交易时间结束前受理申购和赎回申请的当天作为申购或赎回申请日(T日)，正常情况下，本基金注册登记机构在T+1日内对该交易的有效性进行确认。T日提交的有效申请，投资人可在T+2日后（包括该日）到销售网点柜台或以销售机构规定的其他方式查询申请的确认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申购采用全额缴款方式，若申购资金在规定时间内未全额到账，则申购不成功，若申购不成功或无效，基金管理人或基金管理人指定的代销机构将投资人已缴付的申购款项本金退还给投资人。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指示基金托管人在T＋7日（包括该日）内从托管账户将赎回款项划出，经销售机构划往基金份额持有人银行账户。在发生巨额赎回时，款项的支付办法参照基金合同的有关条款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投资人申购基金成功后，注册登记机构在T+1日为投资人登记权益并办理份额注册登记手续，投资人自T+2日（含该日）后有权赎回该部分基金份额。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投资人赎回基金成功后，注册登记机构在T+1日为投资人办理扣除权益的份额注册登记手续。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基金管理人可以在法律法规允许的范围内，对上述份额注册登记办理时间进行调整，但不得影响投资人实质的合法权益，并依照《信息披露办法》的有关规定于开始实施前在指定媒介上公告。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本基金基金份额分为A类基金份额和C类基金份额。投资人申购A类基金份额需支付申购费用；申购C类基金份额不支付申购费用，并从该类别基金资产中计提销售服务费。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本基金A类基金份额提供两种申购费用的支付模式。投资人可以选择前端收费</w:t>
      </w:r>
      <w:r>
        <w:rPr>
          <w:rFonts w:ascii="宋体" w:hAnsi="宋体"/>
          <w:sz w:val="24"/>
        </w:rPr>
        <w:lastRenderedPageBreak/>
        <w:t>模式，即在申购时支付申购费用；也可以选择后端收费模式，即在赎回时才支付相应的申购费用，该费用随A类基金份额的持有时间递减。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本基金A类基金份额的申购费用由申购A类基金份额的申购人承担，不列入基金财产，主要用于本基金的市场推广、销售、登记结算等各项费用。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投资人可以多次申购本基金，申购费率按每笔申购申请单独计算。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BA0BB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类基金份额前端申购费率</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BA0BB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类基金份额后端申购费率</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本基金自2013年4月11日起，对通过本公司直销柜台申购本基金前端A类基金份额的养老金客户实施特定申购费率。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通过本公司直销柜台申购本基金前端A类基金份额的养老金客户特定申购费率如下表：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BA0BB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类基金份额的特定申购费</w:t>
            </w:r>
            <w:r>
              <w:rPr>
                <w:rFonts w:ascii="Times New Roman" w:hAnsi="Times New Roman"/>
                <w:color w:val="000000"/>
                <w:kern w:val="0"/>
                <w:sz w:val="25"/>
                <w:szCs w:val="24"/>
              </w:rPr>
              <w:lastRenderedPageBreak/>
              <w:t>率（前端）</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类基金份额前端特定申购费率</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前端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前端A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赎回费用的25%归基金财产，其余用于支付登记结算费和其他必要的手续费。但对持续持有期少于7日的基金份额持有人收取不低于1.5%的赎回费并全额计入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BA0BB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BA0BB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BA0BB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法律法规及基金合同的规定调整申购费率和赎回费率，最新的申购费率和赎回费率在更新的招募说明书中列示。费率如发生变更，基金管理人最迟应于新的费率开始实施日前依照《信息披露办法》的有关规定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场外申购时，申购的A类基金份额或C类基金份额的有效份额为按实际确认的申购金额在扣除相应的费用（如有）后，以申请当日该类基金份额的基金份额净值为基准计算，四舍五入保留到小数点后两位，由此误差产生的收益或损失由基金财产承担；场内申购时，申购A类基金份额的有效份额为按实际确认的申购金额在扣除相应的费用（如有）后，以申请当日A类基金份额的基金份额净值为基准计算，保留到整数位，剩余部分按每份基金份额申购价格折回金额返回投资人，折回金额的计算保留到小数点后2位，小数点2位以后的部分四舍五入，由此误差产生的收益或损失由基金财产承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A类基金份额或C类基金份额的有效赎回份额乘以申请当日该类基金份额的基金份额净值并扣除相应的费用（如有），四舍五入保留到小数点后两位，由此误差产生的收益或损失由基金财产承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申购费用=申购总金额-净申购金额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例一：某投资人投资40,000元申购本基金的A类基金份额，申购费率为1.5%，假设申购当日A类基金份额净值为1.0400元，如果其选择前端收费方式，则其可得到的申购份额为：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如果投资人是场内申购，申购份额为37,893份，其余0.14份对应金额返回给投资人。如果投资人是场外申购，申购份额为37,893.14份。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申购份额＝申购总金额/T日A类基金份额净值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例二：某投资人投资40,000元申购本基金的A类基金份额，假设申购当日A类基金份额净值为1.0400元，如果其选择后端收费方式，则其可得到的申购份额为：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40,000元申购本基金的A类基金份额，假设申购当日A类基金份额净值为1.0400元，则可得到38,461.54份A类基金份额，但其在赎回时需根据其持有时间按对应的A类基金份额后端申购费率交纳后端申购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w:t>
      </w:r>
      <w:r>
        <w:rPr>
          <w:rFonts w:ascii="宋体" w:hAnsi="宋体"/>
          <w:sz w:val="24"/>
        </w:rPr>
        <w:lastRenderedPageBreak/>
        <w:t>份额净值为1.0400元，则其可得到96,153.85份C类基金份额。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赎回金额为按实际确认的A类基金份额或C类基金份额有效赎回份额乘以当日该类基金份额的基金份额净值并扣除相应的费用（如有），赎回金额单位为元，计算结果保留到小数点后两位，第三位四舍五入。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1）如果投资人在认（申）购时选择交纳前端认（申）购费用，则赎回金额的计算方法如下：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例四：某投资人赎回通过前端认购（申购）持有的10,000份A类基金份额，持有期限为30日，对应的赎回费率为0.5%，假设赎回当日A类基金份额净值是1.0160元，则其可得到的赎回金额为：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即：投资人赎回本基金10,000份A类基金份额，假设赎回当日A类基金份额净值是1.0160元，则其可得到的赎回金额为10,109.20元。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2）如果投资人在认（申）购时选择交纳后端认（申）购费用，则赎回金额的计算方法如下：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后端认（申）购费用＝赎回份额×认（申）购日A类基金份额净值×后端认（申）购费率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人赎回通过后端认购持有的10,000份A类基金份额，持有期限为30日，对应的赎回费率为0.5%，假设赎回当日A类基金份额净值是1.0160元，投资人对应的后端申购费是1.8%，申购时的A类基金份额净值为1.0100元，则其可得到的赎回金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赎回费用=10,160×0.5%=50.80元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A类基金份额，对应的赎回费率为0.5%，假设赎回当日A类基金份额净值是1.0160元，投资人对应的后端申购费是1.8%，申购时的A类基金份额净值为1.0100元，则其可得到的赎回金额为9,927.40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例六：某投资者赎回10,000份C类基金份额，持有期限为20日，对应的赎回费率为0.5%，假设赎回当日C类基金份额净值是1.0160元，则其可得到的赎回金额为：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（八）拒绝或暂停申购的情形及处理方式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（2）证券交易场所在交易时间非正常停市，导致基金管理人无法计算当日的基金资产净值；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（3）发生本基金合同规定的暂停基金资产估值情况；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（4）基金财产规模过大，使基金管理人无法找到合适的投资品种，或其他可能对基金业绩产生负面影响，从而损害现有基金份额持有人的利益；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（5）基金管理人认为会有损于现有基金份额持有人利益的，或违反有关法律法规的某笔申购或某些申购；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4）、（6）、（8）项暂停申购情形时，基金管理人应当根据《信息披露办法》的有关规定在指定媒介上刊登暂停申购公告。如果投资人的申购申请被拒绝，被拒绝的申购款项将全额退还投资人。在暂停申购的情况消除时，基金管理人应及时恢复申购业务的办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（九）暂停赎回或者延缓支付赎回款项的情形及处理方式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（2）证券交易场所交易时间非正常停市，导致基金管理人无法计算当日基金资产净值；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（3）连续两个开放日巨额赎回；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（4）发生基金合同规定的暂停基金资产估值情况；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时，基金管理人应在当日报中国证监会备案，已接受的赎回申请，基金管理人应足额支付；如暂时不能足额支付，应将可支付部分按单个账户申请量占申请总量的比例分配给赎回申请人，未支付部分可延期支付，并以后续开放</w:t>
      </w:r>
      <w:r>
        <w:rPr>
          <w:rFonts w:ascii="宋体" w:hAnsi="宋体"/>
          <w:sz w:val="24"/>
        </w:rPr>
        <w:lastRenderedPageBreak/>
        <w:t>日的基金份额净值为依据计算赎回金额，若连续两个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暂停基金的赎回，基金管理人应根据《信息披露办法》的有关规定及时在指定媒介上刊登暂停赎回公告。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内的基金净赎回申请份额（赎回申请份额总数加上基金转换中转出申请份额总数扣除申购申请份额总数及基金转换中转入申请份额总数后的余额）超过上一日基金总份额的10%时，即认为发生了巨额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当基金出现巨额赎回时，基金管理人可以根据本基金当时的资产组合状况决定全额赎回或部分延期赎回。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w:t>
      </w:r>
      <w:r>
        <w:rPr>
          <w:rFonts w:ascii="宋体" w:hAnsi="宋体"/>
          <w:sz w:val="24"/>
        </w:rPr>
        <w:lastRenderedPageBreak/>
        <w:t>分，基金管理人可以根据前段“（1）全额赎回”或“（2）部分延期赎回”的约定方式与其他基金份额持有人的赎回申请一并办理。但是，如基金份额持有人在当日选择取消赎回，则其当日未获受理的部分赎回申请将被撤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（3）当出现巨额赎回时，基金转换中转出份额的申请的处理方式遵照相关的业务规则及届时开展转换业务的公告。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当发生巨额赎回并延期赎回时，基金管理人应通过邮寄、传真、刊登公告或者通知代销机构代为告知等方式在3个交易日内通知基金份额持有人，说明有关处理方法，并在2日内在指定媒介上刊登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2、如发生暂停的时间为1日，基金管理人应于重新开放日，在指定媒介上刊登基金重新开放申购或赎回公告，并公布最近1个开放日各类基金份额的基金份额净值。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暂停结束，基金重新开放申购或赎回时，基金管理人应依照《信息披露办法》的有关规定提前2日在指定媒介上刊登基金重新开放申购或赎回公告，并公告最近1个开放日各类基金份额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（十二）转托管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基金份额持有人可办理已持有基金份额在不同销售机构之间的转托管，包括在上证所场内不同会员营业部之间进行转指定，也包括在上证所场内系统和场外系统之间进行跨市场转托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（十三）定期定额投资计划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w:t>
      </w:r>
      <w:r>
        <w:rPr>
          <w:rFonts w:ascii="宋体" w:hAnsi="宋体"/>
          <w:sz w:val="24"/>
        </w:rPr>
        <w:lastRenderedPageBreak/>
        <w:t>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自2009年6月15日起开通A类基金份额的定期定额投资计划业务，具体开通销售机构名单和业务规则参见相关公告。本基金2021年11月2日刊登公告自2021年11月5日起增设C类基金份额并开通C类基金份额的定期定额投资计划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（十四）定时不定额投资计划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自2009年7月23日起，投资者可通过中国工商银行股份有限公司的“基智定投”办理本基金A类基金份额的定时不定额投资业务。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（十五）定期定额赎回业务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2009年6月15日刊登公告自即日起在中国农业银行股份有限公司下属各代销网点开通A类基金份额的定期定额赎回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代销网点或中国农业银行股份有限公司客户服务热线（95599）。</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（十六）基金的非交易过户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w:t>
      </w:r>
      <w:r>
        <w:rPr>
          <w:rFonts w:ascii="宋体" w:hAnsi="宋体"/>
          <w:sz w:val="24"/>
        </w:rPr>
        <w:lastRenderedPageBreak/>
        <w:t>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（十七）基金的冻结和解冻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注册登记机构只受理国家有权机关依法要求的基金份额的冻结与解冻，以及注册登记机构认可、符合法律法规的其他情况下的基金份额的冻结与解冻。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（十八）实施侧袋机制期间本基金的申购与赎回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1" w:name="_Toc135812796"/>
      <w:r>
        <w:rPr>
          <w:rFonts w:ascii="Times New Roman" w:hAnsi="Times New Roman"/>
          <w:sz w:val="30"/>
        </w:rPr>
        <w:lastRenderedPageBreak/>
        <w:t>九、基金的转换</w:t>
      </w:r>
      <w:bookmarkEnd w:id="11"/>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（一）基金转换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（二）转换业务办理时间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本基金2009年6月30日刊登公告自2009年7月1日起开放A类基金份额的日常转换业务。本基金2021年12月20日刊登公告自2021年12月20日起开放C类基金份额的日常转换业务。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（三）基金转换的程序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（四）基金转换的数额限制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基金转换以份额为单位进行申请，申请转换份额精确到小数点后两位，小数点后两位以后的部分四舍五入，误差部分归基金财产。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（五）基金转换费用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转出基金的赎回费用及归入基金资产的比例按照各基金最新的更新招募说明书及相关公告规定的赎回费率和计费方式收取。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w:t>
      </w:r>
      <w:r>
        <w:rPr>
          <w:rFonts w:ascii="宋体" w:hAnsi="宋体"/>
          <w:sz w:val="24"/>
        </w:rPr>
        <w:lastRenderedPageBreak/>
        <w:t>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（六）基金转换份额的计算公式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w:t>
      </w:r>
      <w:r>
        <w:rPr>
          <w:rFonts w:ascii="宋体" w:hAnsi="宋体"/>
          <w:sz w:val="24"/>
        </w:rPr>
        <w:lastRenderedPageBreak/>
        <w:t>份额转换为交银增利A类基金份额，则转入确认的交银增利A类基金份额为：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w:t>
      </w:r>
      <w:r>
        <w:rPr>
          <w:rFonts w:ascii="宋体" w:hAnsi="宋体"/>
          <w:sz w:val="24"/>
        </w:rPr>
        <w:lastRenderedPageBreak/>
        <w:t>份额净值为1.00元。若该投资者将100,000份交银先锋后端A类基金份额转换为交银货币，则转入交银货币的基金份额为：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（七）业务规则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（八）暂停基金转换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2" w:name="_Toc135812797"/>
      <w:r>
        <w:rPr>
          <w:rFonts w:ascii="Times New Roman" w:hAnsi="Times New Roman"/>
          <w:sz w:val="30"/>
        </w:rPr>
        <w:lastRenderedPageBreak/>
        <w:t>十、基金的投资</w:t>
      </w:r>
      <w:bookmarkEnd w:id="12"/>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 投资理念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理念是：在坚持一贯的价值投资理念基础上，通过专业化研究分析，积极挖掘具有持续成长潜力的的企业，特别是处于快速成长过程中的中型及小型企业所蕴涵的投资机会。该理念至少包含以下两方面的含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1、证券市场不是完全有效，通过多角度、多层次的基本面研究可以获得信息优势，挖掘具有持续成长潜力的企业，特别是处于快速成长过程中的中型及小型企业，积极投资，可以获得较高的超额收益。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2、国民经济持续高速增长和中小板股票市场的发展给中型及小型企业提供了良好的发展环境和广阔的成长空间，越来越多具有优良品质和巨大发展潜力的中型及小型企业成为投资人关注的对象。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（二）投资目标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本基金主要通过投资于经过严格的品质筛选且具有持续成长潜力企业的股票，特别是处于快速成长过程中的中型及小型企业股票，在适度控制风险的前提下，为基金份额持有人谋求长期持续的资本增值。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（三）投资范围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本基金的投资范围为国内依法发行上市的股票（含存托凭证）、债券、货币市场工具、权证、资产支持证券以及法律法规或中国证监会允许基金投资的其他证券品种。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如法律法规或监管机构以后允许基金投资的其他证券品种，基金管理人在履行适当程序后，可以将其纳入投资范围。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（四）投资对象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60%-95%；债券、货币市场工具、权证、资产支持证券以及法律法规或中国证监会允许基金投资的其他证券品种占基金资产的5%-40%,其中现金以及投资于到期日在一年以内的政府债券的比例合计不低于基金资产净值的5%，现金不包括结算备付金、存出保证金和应收申购款等。在基金实际管理过程中，本基金具体配置比例由基金管理人根据中国宏观经济情况和证券市场的阶段性变化做主动调整，以求基金资产在各类资产的投资中达到风险和收益的最佳平衡，但比例不超出基金合同约定的限定范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（五）业绩比较基准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75%×中证700指数+25%×中证综合债券指数。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中证700指数作为股票投资部分的业绩比较基准主要基于以下原因：中证700指数是中证指数有限公司以沪深300指数为基础编制的系列规模指数之一，其成分股由中盘指数（中证500）和小盘指数（中证200）的成份股一起构成，具有较高的权威性及市场代表性，投资人可以方便地从报纸、互联网等财经媒体中获取。本基金股票投资部分主要投资于具有良好品质和较大发展潜力的企业，尤其是处于快速成长过程中的中型及小型企业的股票，中证700指数作为综合反映沪深证券市场中小市值公司整体状况的基准指数，可以较合理地衡量本基金股票投资业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今后法律法规发生变化，或者有更权威的、更能为市场普遍接受的业绩比较基准推出，或者是市场上出现更加适合用于本基金的业绩基准的指数时，本基金管理人将视情况经与本基金托管人协商一致并报中国证监会备案后，变更业绩比较基准并及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在分析和判断宏观经济运行和行业景气变化，以及上市公司成长潜力的基础上，主要通过优选成长性好、成长具有可持续性、成长质量优良、定价相对合理的股票，特别是处于快速成长过程中的中型及小型企业股票进行投资，以谋求超额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以下三类最具有成长潜能的中型及小型企业是本基金积极关注的对象：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①处于创业期或成长期，未来企业扩张能够带来巨大成长空间的中型及小型企业，尤其是根据当前行业竞争格局进行分析有望成为行业龙头的企业；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②经营管理较为灵活，能敏锐捕捉市场机会应对市场变化的中型及小型企业；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③具有独特的盈利模式和业务特征，经营业绩具备巨大增长潜力的中型及小型企业。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此，本基金建立了一套上市公司成长性评价指标体系，该评价体系以上市公司未来两年的预期成长性为核心，通过定量与定性相结合的评价方法，自下而上选择具有持续增长潜力的企业，特别是处于快速成长过程中的中型及小型企业股票买</w:t>
      </w:r>
      <w:r>
        <w:rPr>
          <w:rFonts w:ascii="宋体" w:hAnsi="宋体"/>
          <w:sz w:val="24"/>
        </w:rPr>
        <w:lastRenderedPageBreak/>
        <w:t>入并持续持有，获取这些企业快速成长带来的资本增值。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自上而下”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自下而上的方式挑选成长性好、成长具有可持续性、成长质量优良、定价相对合理的股票，特别是处于快速成长过程中的中型及小型企业股票为主要投资对象。上述中型及小型企业股票既包括在中小板上市的股票，也包括在主板上市、按总市值从小到大排序并相加得到的累计总市值达到主板总市值四分之三的中小市值股票。若日后推出创业板，则在创业板上市的股票也将自动纳入选择范围。具体分以下三个层次进行股票挑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筛选出在公司治理、财务及管理品质上符合基本品质要求的上市公司，构建备选股票池，主要筛选指标包括：盈利能力指标（如P/E、P/Cash Flow、P/FCF、P/S、P/EBIT等）、经营效率指标（如ROE、ROA、Return on operating assets等）和财务状况指标（如D/A、流动比率等）。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此外，为了控制中型及小型企业投资的个股风险，对以下股票进行剔除：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①*ST和ST公司股票；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②财务资料可信度较低或者财务资料有重大瑕疵的公司股票；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③有关媒体报道有重大虚假陈述和重大利益输送以及其他重大违规、违法的公司股票；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④根据涨跌幅、振幅及换手率的偏离值等指标，交易异常波动的股票。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（2）成长性评估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对公司成长性的评估分为两个部分：收入和利润增长率预测，以及成长性综合评价。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考虑到公司未来盈利的增长是股价上涨的主要驱动因素，本基金首先对于公司未来两年预期主营业务收入增长率和息税前利润进行预测，对预测增长率在备选股</w:t>
      </w:r>
      <w:r>
        <w:rPr>
          <w:rFonts w:ascii="宋体" w:hAnsi="宋体"/>
          <w:sz w:val="24"/>
        </w:rPr>
        <w:lastRenderedPageBreak/>
        <w:t>票池中排名后30%的股票进行剔除。然后根据交银施罗德企业成长性评价体系，对公司的成长性进行综合评分并排序，挑选出其中最具成长潜力而且成长质量优良居前的股票构建股票组合。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交银施罗德企业成长性评价体系从宏观环境、行业前景、公司质量和成长性质量四个方面对企业的成长性进行评价，采用定性分析结合定量分析的方法对企业的成长性进行综合评分。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1）宏观环境分析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通过分析经济周期所处的阶段、包括宏观政策和产业政策在内的政策环境等因素，判断是否存在有利于公司快速成长的宏观环境因素。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2）行业前景评价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分析公司所处行业的市场需求空间（收入增长率）、行业生命周期、行业竞争环境和成长驱动因素等，对公司所处行业的景气程度进行评价。例如，从市场需求空间看，对于市场需求空间大，距离市场饱和程度较远，消费需求持续增长的行业而言，行业景气指数较高；从行业生命周期看，重点关注处于发展期，或成熟期前期，或正从衰退中复苏的行业；对成长驱动因素的考察，主要是考虑到行业成长对不同企业的推动力是不一样的，因此需要考察行业成长是否对公司的收入和盈利有明显的推动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3）公司质量评价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质量评价主要是考察影响未来成长性的企业自身的各项因素，包括企业的规模和产能、产品或技术创新能力、公司治理、管理层评价、核心竞争力等。例如，对于创新能力强，高技术含量产品所占收入的比例不断提高的企业，或者拥有难以为竞争对手模仿的竞争优势，如在资源、技术、人才、资金、经营许可证、销售网络等方面优势的企业，公司质量评价较高。通过对以上因素的综合评价可以最终得到对公司未来成长潜质的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4）成长质量评价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最后，公司成长质量的优良，要落实到股东价值创造上。本基金在一般的盈利及盈利增长指标之外，还加入了控制企业盈利增长质量的指标，如ROIC–WACC、EVA等，来挑选具有优质成长特征的上市公司。只有EVA不断增长或改善的成长，才是我们所要投资的成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此外，如果通过专业研究获得信息优势，了解到公司有潜在发生重组、兼并收</w:t>
      </w:r>
      <w:r>
        <w:rPr>
          <w:rFonts w:ascii="宋体" w:hAnsi="宋体"/>
          <w:sz w:val="24"/>
        </w:rPr>
        <w:lastRenderedPageBreak/>
        <w:t>购的可能或机会，并且重组或并购后将对企业的盈利能力有明显改善，也会提高对该公司未来成长性的评价。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（3）多元化价值评估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对上述核心股票池中的重点上市公司进行内在价值的评估和成长性跟踪研究，在明确的价值评估基础上选择定价相对合理且成长性可持续的投资标的。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可转换债券等债券品种。本基金的债券投资采取主动的投资管理方式，获得与风险相匹配的投资收益，以实现在一定程度上规避股票市场的系统性风险和保证基金资产的流动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6、其他衍生工具投资策略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密切跟踪国内各种衍生产品的动向，一旦有新的产品推出市场，将在届时相应法律法规的框架内，制订符合本基金投资目标的投资策略，同时结合对衍生工具的研究，在充分考虑衍生产品风险和收益特征的前提下，谨慎进行投资。本</w:t>
      </w:r>
      <w:r>
        <w:rPr>
          <w:rFonts w:ascii="宋体" w:hAnsi="宋体"/>
          <w:sz w:val="24"/>
        </w:rPr>
        <w:lastRenderedPageBreak/>
        <w:t>基金将按照相关法律法规通过利用股票指数期货及其他金融工具进行套利、避险交易，控制基金组合风险，获取超额收益。本基金投资于股票指数期货主要用于避险交易及套利交易。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为了保证整个投资组合计划的顺利贯彻与实施，本基金遵循以下投资决策依据以及具体的决策程序：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（1）国家有关法律法规和本基金合同的有关规定；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（2）宏观经济发展态势、证券市场运行环境和走势，以及上市公司的基本面；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（3）投资对象的风险和预期收益的匹配关系，本基金将在承担适度风险的前提下，选择风险和预期收益配比最佳的品种进行投资。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2、决策和交易机制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本基金实行投资决策委员会领导下的基金经理负责制，投资总监、固定收益部总经理是投资决策委员会的执行代表。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投资决策委员会、投资总监、固定收益部总经理的主要职责是确定基金的资产配置政策，审批重大单项投资决定等。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3、投资流程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基金经理、分析师、交易员在投资管理过程中既密切合作，又责任明确，在各自职责内按照业务程序独立工作并合理地相互制衡。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具体的投资管理流程如下：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（1）投资决策委员会每月召开投资决策会议，决定基金的资产配置比例和股票、债券的投资重点等；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（2）研究部策略分析师、股票分析师、固定收益产品分析师、定量分析师各</w:t>
      </w:r>
      <w:r>
        <w:rPr>
          <w:rFonts w:ascii="宋体" w:hAnsi="宋体"/>
          <w:sz w:val="24"/>
        </w:rPr>
        <w:lastRenderedPageBreak/>
        <w:t>自独立完成相应的研究报告，为投资决策提供依据；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（3）投资总监每周召集投资例会，根据投资决策委员会的决定，结合市场运行变化，决定具体的投资策略；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依据策略分析师的宏观经济分析和策略建议、股票分析师的行业分析和个股研究、固定收益产品分析师的债券市场研究和券种选择、定量分析师的定量投资策略研究，结合本基金产品定位及风险控制的要求，在权限范围内制定具体的投资组合方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（5）基金经理根据基金投资组合方案，向中央交易室下达交易指令；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（6）中央交易室执行基金经理小组的交易指令，对交易情况及时反馈；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（7）定量分析师负责完成有关投资风险监控报告及内部基金业绩评估报告。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投资决策委员会有权根据市场变化和实际情况的需要，对上述投资管理程序做出调整。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（八）投资组合限制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本基金投资组合遵循如下投资限制：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2、本基金管理人管理的全部基金持有一家公司发行的证券，不超过该证券的10%；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3、基金财产参与股票发行申购，本基金所申报的金额不超过本基金的总资产，本基金所申报的股票数量不超过拟发行股票公司本次发行股票的总量；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4、本基金持有的全部权证，其市值不得超过基金资产净值的3%；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5、本基金管理人管理的全部基金持有的同一权证，不得超过该权证的10%；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6、本基金在任何交易日买入权证的总金额，不得超过上一交易日基金资产净值的0.5%；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不得违反基金合同关于投资范围、投资策略和投资比例的约定：本基金持有的股票资产（含存托凭证）占基金资产的比例为60%-95%；本基金持有的债券、货币市场工具、权证、资产支持证券以及法律法规或中国证监会允许基金投资的其他证券品种占基金资产的比例为5%－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保持不低于基金资产净值5%的现金或者到期日在一年以内的政府债券，其中现金不包括结算备付金、存出保证金和应收申购款等；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w:t>
      </w:r>
      <w:r>
        <w:rPr>
          <w:rFonts w:ascii="宋体" w:hAnsi="宋体"/>
          <w:sz w:val="24"/>
        </w:rPr>
        <w:lastRenderedPageBreak/>
        <w:t>资产净值的10%；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12、本基金进入全国银行间同业市场进行债券回购的资金余额不得超过基金资产净值的40%；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15、本基金与私募类证券资管产品及中国证监会认定的其他主体为交易对手开展逆回购交易的，可接受质押品的资质要求应当与基金合同约定的投资范围保持一致。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如果法律法规对基金合同约定投资组合比例限制进行变更的，以变更后的规定为准。法律法规或监管部门取消上述限制，如适用于本基金，则本基金投资不再受相关限制。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基金管理人应当自基金合同生效之日起6个月内使基金的投资组合比例符合基金合同的有关约定。除投资资产配置外，基金托管人对基金的投资的监督和检查自本基金合同生效之日起开始。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7项第二款、14、15项外，因证券市场波动、上市公司合并、基金规模变动、股权分置改革中支付对价等基金管理人之外的因素致使基金投资比例不符合上述规定的投资比例的，基金管理人应当在10个交易日内进行调整，以达到上述标准。法律法规另有规定的从其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（九）禁止行为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5、向其基金管理人、基金托管人出资或者买卖基金托管人、基金管理人发行的股票或债券；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6、买卖与其基金管理人、基金托管人有控股关系的股东或者与其基金管理人、基金托管人有其他重大利害关系的公司发行的证券或承销期内承销的证券；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8、法律法规、中国证监会及基金合同规定禁止的其他活动。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法律法规或中国证监会取消上述禁止性规定，如适用于本基金，则本基金不受相关限制。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（十）风险收益特征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以具有持续成长潜力企业的股票，特别是处于快速成长过程中的中型及小型企业为主要投资对象，追求超额收益，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（十一）基金管理人代表基金行使股东及债权人权利的处理原则及方法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（十二）基金的融资、融券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本基金可以按照国家的有关法律法规规定进行融资、融券。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（十三）侧袋机制的实施和投资运作安排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（十四）基金投资组合报告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本基金托管人中国农业银行根据本基金合同规定，于2023年04月20日复核了本报告中的财务指标、净值表现和投资组合报告等内容，保证复核内容不存在虚假记载、误导性陈述或者重大遗漏。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本投资组合报告期为2023年01月01日至03月31日。所载财务数据未经审计师审计。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568,402,507.02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85.81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568,402,507.02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85.81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47,330,907.92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7.15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47,330,907.92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7.15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46,017,795.66</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6.95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655,304.95</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0.10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662,406,515.55</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21,848,040.40</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3.32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87,177.67</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324,891,896.87</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49.34</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368,222.80</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20,938,308.46</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3.18</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407,631.67</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24,442,002.36</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3.71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98,568,488.29</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14.97</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177,156.69</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17,919,066.90</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2.72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6,435,790.61</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0.98</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166,334.39</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38,287,611.66</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5.81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13,864,778.25</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2.11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568,402,507.02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86.32</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276,081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45,680,362.26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6.94</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振华科技</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479,201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43,156,842.06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6.55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688111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金山办公</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59,766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28,269,318.00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4.29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300896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爱美客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50,580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28,261,575.00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4.29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600079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人福医药</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1,037,542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27,785,374.76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4.22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002230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科大讯飞</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412,700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26,280,736.00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3.99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300498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温氏股份</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1,067,320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21,848,040.40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3.32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福斯特</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358,060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21,036,025.00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3.19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002271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东方雨虹</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615,790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20,616,649.20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3.13</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爱尔眼科</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635,188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19,735,291.16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3.00</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40,444,689.87</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6.14</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BA0BBB">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40,444,689.87</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6.14</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6,886,218.05</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1.05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47,330,907.92</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7.19</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30,458,786.30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4.63</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2303664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23</w:t>
            </w:r>
            <w:r>
              <w:rPr>
                <w:rFonts w:ascii="Times New Roman" w:hAnsi="Times New Roman"/>
                <w:color w:val="000000"/>
                <w:kern w:val="0"/>
                <w:sz w:val="25"/>
                <w:szCs w:val="24"/>
              </w:rPr>
              <w:t>进出</w:t>
            </w:r>
            <w:r>
              <w:rPr>
                <w:rFonts w:ascii="Times New Roman" w:hAnsi="Times New Roman"/>
                <w:color w:val="000000"/>
                <w:kern w:val="0"/>
                <w:sz w:val="25"/>
                <w:szCs w:val="24"/>
              </w:rPr>
              <w:t>664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9,985,903.57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1.52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113641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20,940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2,398,081.50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0.36</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福莱转债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12,550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1,481,625.15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110085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通</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11,600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1,435,750.12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2023年2月7日，上海证券交易所公示上海证券交易所纪律处分决定书202310号，给予人福医药集团股份公司公开谴责。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11.2 基金投资的前十名股票是否超出基金合同规定的备选股票库</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527,136.25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128,168.70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655,304.95</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113641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2,398,081.50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0.36</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福莱转债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1,481,625.15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110085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通</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1,435,750.12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113061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拓普转债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798,203.19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723,033.73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3" w:name="_Toc135812798"/>
      <w:r>
        <w:rPr>
          <w:rFonts w:ascii="Times New Roman" w:hAnsi="Times New Roman"/>
          <w:sz w:val="30"/>
        </w:rPr>
        <w:lastRenderedPageBreak/>
        <w:t>十一、基金的业绩</w:t>
      </w:r>
      <w:bookmarkEnd w:id="13"/>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（1）交银先锋混合A：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0.83%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6.54%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0.60%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-6.62%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-24.87%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-15.79%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0.99%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-9.08%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0.36%</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19.27%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1.48%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9.34%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0.81%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9.93%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0.67%</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73.94%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1.69%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21.84%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52.10%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41.58%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1.60%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24.95%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16.63%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0.54%</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-9.65%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-23.77%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14.12%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0.86%</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-20.67%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2.61%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-23.28%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-18.72%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2.37%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-12.37%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-6.35%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64.80%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3.54%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27.02%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37.78%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13.22%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30.95%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0.90%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-17.73%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7.03%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8.43%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19.63%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2.18%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17.45%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-25.73%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-24.89%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6.15%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5.91%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r>
              <w:rPr>
                <w:rFonts w:ascii="Times New Roman" w:hAnsi="Times New Roman"/>
                <w:color w:val="000000"/>
                <w:kern w:val="0"/>
                <w:sz w:val="25"/>
                <w:szCs w:val="24"/>
              </w:rPr>
              <w:t>2009</w:t>
            </w:r>
            <w:r>
              <w:rPr>
                <w:rFonts w:ascii="Times New Roman" w:hAnsi="Times New Roman"/>
                <w:color w:val="000000"/>
                <w:kern w:val="0"/>
                <w:sz w:val="25"/>
                <w:szCs w:val="24"/>
              </w:rPr>
              <w:t>年</w:t>
            </w:r>
            <w:r>
              <w:rPr>
                <w:rFonts w:ascii="Times New Roman" w:hAnsi="Times New Roman"/>
                <w:color w:val="000000"/>
                <w:kern w:val="0"/>
                <w:sz w:val="25"/>
                <w:szCs w:val="24"/>
              </w:rPr>
              <w:t>4</w:t>
            </w:r>
            <w:r>
              <w:rPr>
                <w:rFonts w:ascii="Times New Roman" w:hAnsi="Times New Roman"/>
                <w:color w:val="000000"/>
                <w:kern w:val="0"/>
                <w:sz w:val="25"/>
                <w:szCs w:val="24"/>
              </w:rPr>
              <w:t>月</w:t>
            </w:r>
            <w:r>
              <w:rPr>
                <w:rFonts w:ascii="Times New Roman" w:hAnsi="Times New Roman"/>
                <w:color w:val="000000"/>
                <w:kern w:val="0"/>
                <w:sz w:val="25"/>
                <w:szCs w:val="24"/>
              </w:rPr>
              <w:t>10</w:t>
            </w:r>
            <w:r>
              <w:rPr>
                <w:rFonts w:ascii="Times New Roman" w:hAnsi="Times New Roman"/>
                <w:color w:val="000000"/>
                <w:kern w:val="0"/>
                <w:sz w:val="25"/>
                <w:szCs w:val="24"/>
              </w:rPr>
              <w:t>日至</w:t>
            </w:r>
            <w:r>
              <w:rPr>
                <w:rFonts w:ascii="Times New Roman" w:hAnsi="Times New Roman"/>
                <w:color w:val="000000"/>
                <w:kern w:val="0"/>
                <w:sz w:val="25"/>
                <w:szCs w:val="24"/>
              </w:rPr>
              <w:t>2009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24.57%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1.67%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36.86%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-12.29%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（2）交银先锋混合C：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0.83%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6.54%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0.60%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-6.76%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-25.34%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-15.79%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0.99%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-9.55%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0.36%</w:t>
            </w:r>
          </w:p>
        </w:tc>
      </w:tr>
      <w:tr w:rsidR="00BA0BB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2021</w:t>
            </w:r>
            <w:r>
              <w:rPr>
                <w:rFonts w:ascii="Times New Roman" w:hAnsi="Times New Roman"/>
                <w:color w:val="000000"/>
                <w:kern w:val="0"/>
                <w:sz w:val="25"/>
                <w:szCs w:val="24"/>
              </w:rPr>
              <w:t>年度（</w:t>
            </w:r>
            <w:r>
              <w:rPr>
                <w:rFonts w:ascii="Times New Roman" w:hAnsi="Times New Roman"/>
                <w:color w:val="000000"/>
                <w:kern w:val="0"/>
                <w:sz w:val="25"/>
                <w:szCs w:val="24"/>
              </w:rPr>
              <w:t>2021</w:t>
            </w:r>
            <w:r>
              <w:rPr>
                <w:rFonts w:ascii="Times New Roman" w:hAnsi="Times New Roman"/>
                <w:color w:val="000000"/>
                <w:kern w:val="0"/>
                <w:sz w:val="25"/>
                <w:szCs w:val="24"/>
              </w:rPr>
              <w:t>年</w:t>
            </w:r>
            <w:r>
              <w:rPr>
                <w:rFonts w:ascii="Times New Roman" w:hAnsi="Times New Roman"/>
                <w:color w:val="000000"/>
                <w:kern w:val="0"/>
                <w:sz w:val="25"/>
                <w:szCs w:val="24"/>
              </w:rPr>
              <w:t>11</w:t>
            </w:r>
            <w:r>
              <w:rPr>
                <w:rFonts w:ascii="Times New Roman" w:hAnsi="Times New Roman"/>
                <w:color w:val="000000"/>
                <w:kern w:val="0"/>
                <w:sz w:val="25"/>
                <w:szCs w:val="24"/>
              </w:rPr>
              <w:t>月</w:t>
            </w:r>
            <w:r>
              <w:rPr>
                <w:rFonts w:ascii="Times New Roman" w:hAnsi="Times New Roman"/>
                <w:color w:val="000000"/>
                <w:kern w:val="0"/>
                <w:sz w:val="25"/>
                <w:szCs w:val="24"/>
              </w:rPr>
              <w:t>8</w:t>
            </w:r>
            <w:r>
              <w:rPr>
                <w:rFonts w:ascii="Times New Roman" w:hAnsi="Times New Roman"/>
                <w:color w:val="000000"/>
                <w:kern w:val="0"/>
                <w:sz w:val="25"/>
                <w:szCs w:val="24"/>
              </w:rPr>
              <w:t>日至</w:t>
            </w:r>
            <w:r>
              <w:rPr>
                <w:rFonts w:ascii="Times New Roman" w:hAnsi="Times New Roman"/>
                <w:color w:val="000000"/>
                <w:kern w:val="0"/>
                <w:sz w:val="25"/>
                <w:szCs w:val="24"/>
              </w:rPr>
              <w:t>2021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4.27%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3.01%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bl>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2015年10月1日起，由“75%×中证700指数+25%×中信全债指数”变更为“75%×中证700指数+25%×中证综合债券指数”，下图同。详情见本基金管理人于2015年9月28日发布的《交银施罗德基金管理有限公司关于旗下部分基金业绩比较基准变更并修改基金合同相关内容的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BA0BBB" w:rsidRDefault="003E11BC">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交银施罗德先锋混合型证券投资基金</w:t>
      </w:r>
    </w:p>
    <w:p w:rsidR="00BA0BBB" w:rsidRDefault="003E11BC">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BA0BBB" w:rsidRDefault="003E11BC">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（2009年4月10日至2023年03月31日）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（1）交银先锋混合A</w:t>
      </w:r>
    </w:p>
    <w:p w:rsidR="00BA0BBB" w:rsidRDefault="00BA3862">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454914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4549140"/>
                    </a:xfrm>
                    <a:prstGeom prst="rect">
                      <a:avLst/>
                    </a:prstGeom>
                    <a:noFill/>
                    <a:ln>
                      <a:noFill/>
                    </a:ln>
                  </pic:spPr>
                </pic:pic>
              </a:graphicData>
            </a:graphic>
          </wp:inline>
        </w:drawing>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（2）交银先锋混合C</w:t>
      </w:r>
    </w:p>
    <w:p w:rsidR="00BA0BBB" w:rsidRDefault="00BA3862">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454914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4549140"/>
                    </a:xfrm>
                    <a:prstGeom prst="rect">
                      <a:avLst/>
                    </a:prstGeom>
                    <a:noFill/>
                    <a:ln>
                      <a:noFill/>
                    </a:ln>
                  </pic:spPr>
                </pic:pic>
              </a:graphicData>
            </a:graphic>
          </wp:inline>
        </w:drawing>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2、本基金自2021年11月5日起，开始销售C类份额，投资者提交的申购申请于2021年11月8日被确认并将有效份额登记在册。</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4" w:name="_Toc135812799"/>
      <w:r>
        <w:rPr>
          <w:rFonts w:ascii="Times New Roman" w:hAnsi="Times New Roman"/>
          <w:sz w:val="30"/>
        </w:rPr>
        <w:lastRenderedPageBreak/>
        <w:t>十二、基金的财产</w:t>
      </w:r>
      <w:bookmarkEnd w:id="14"/>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以基金名义开立银行存款账户，以基金托管人的名义开立证券交易清算资金的结算备付金账户，并以基金托管人和“交银施罗德先锋混合型证券投资基金”联名的方式开立基金证券账户，以“交银施罗德先锋混合型证券投资基金”的名义开立银行间债券托管账户并报中国人民银行备案。开立的基金专用账户与基金管理人、基金托管人、基金代销机构和基金注册登记机构自有的财产账户以及其他基金财产账户相独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（四）基金财产的保管与处分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和基金托管人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固有财产承担法律责任，其债权人不得对基金财产行使请求冻结、扣押和其他权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5" w:name="_Toc135812800"/>
      <w:r>
        <w:rPr>
          <w:rFonts w:ascii="Times New Roman" w:hAnsi="Times New Roman"/>
          <w:sz w:val="30"/>
        </w:rPr>
        <w:lastRenderedPageBreak/>
        <w:t>十三、基金资产的估值</w:t>
      </w:r>
      <w:bookmarkEnd w:id="15"/>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基金资产估值的目的是客观、准确地反映基金财产是否保值、增值，依据经基金资产估值后确定的基金资产净值计算出的基金份额净值，是计算基金申购与赎回价格的基础。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本基金的估值日为本基金相关的证券交易场所的正常营业日以及国家法律法规规定需要对外披露基金净值的非营业日。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（1）上市股票的估值：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1）首次发行未上市的股票，采用估值技术确定公允价值，在估值技术难以可靠计量公允价值的情况下，按成本价估值；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2）送股、转增股、配股和公开增发新股等发行未上市的股票，按估值日在证券交易所上市的同一股票的市价进行估值；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3）首次公开发行有明确锁定期的股票，同一股票在交易所上市后，按估值日在证券交易所上市的同一股票的市价进行估值；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4）非公开发行的且在发行时明确一定期限锁定期的股票，按监管机构或行业协会有关规定确定公允价值。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（3）本基金投资存托凭证的估值核算依照境内上市交易的股票执行。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w:t>
      </w:r>
      <w:r>
        <w:rPr>
          <w:rFonts w:ascii="宋体" w:hAnsi="宋体"/>
          <w:sz w:val="24"/>
        </w:rPr>
        <w:lastRenderedPageBreak/>
        <w:t>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（1）交易所市场上市交易或挂牌转让的固定收益品种（另有规定的除外），选取第三方估值机构提供的相应品种当日的估值净价进行估值；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（3）首次发行未上市债券采用估值技术确定的公允价值进行估值，在估值技术难以可靠计量公允价值的情况下，按成本估值；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（4）交易所以大宗交易方式转让的资产支持证券，采用估值技术确定公允价值，在估值技术难以可靠计量公允价值的情况下，按成本进行后续计量；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（5）在全国银行间债券市场交易的债券、资产支持证券等固定收益品种，采用估值技术确定公允价值；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（6）同一债券同时在两个或两个以上市场交易的，按债券所处的市场分别估值；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w:t>
      </w:r>
      <w:r>
        <w:rPr>
          <w:rFonts w:ascii="宋体" w:hAnsi="宋体"/>
          <w:sz w:val="24"/>
        </w:rPr>
        <w:lastRenderedPageBreak/>
        <w:t>经济环境发生了重大变化的，可参考类似投资品种的现行市价及重大变化因素，调整最近交易市价，确定公允价格；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（2）首次发行未上市的权证，采用估值技术确定公允价值，在估值技术难以可靠计量公允价值的情况下，按成本估值；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（3）因持有股票而享有的配股权，以及停止交易、但未行权的权证，采用估值技术确定公允价值进行估值；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4、其他有价证券等资产按国家有关规定进行估值。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5、如基金管理人或基金托管人发现基金估值违反基金合同订明的估值方法、程序及相关法律法规的规定或者未能充分维护基金份额持有人利益时，应立即通知对方，共同查明原因，双方协商解决。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（四）估值对象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本基金所拥有的股票、权证、债券和银行存款本息、应收款项、其它投资等资产。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日常估值由基金管理人进行。各类基金份额的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（六）估值错误的确认和处理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和基金托管人将采取必要、适当、合理的措施确保基金资产估值的准确性、及时性。各类基金份额的基金份额净值的计算均保留到小数点后4位，小数点后第5位四舍五入。当基金份额净值小数点后4位以内(含第4位)发生差错时，视为基金份额净值错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代销机构、或投资人自身的行为造成差错，导致其他基金合同当事人遭受损失的，责任人应当对由于该差错遭受损失的当事人(“受损方”)按下述“差错处理原则”给予赔偿，承担赔偿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w:t>
      </w:r>
      <w:r>
        <w:rPr>
          <w:rFonts w:ascii="宋体" w:hAnsi="宋体"/>
          <w:sz w:val="24"/>
        </w:rPr>
        <w:lastRenderedPageBreak/>
        <w:t>利的权利；如果获得不当得利的当事人已经将此部分不当得利返还给受损方，则受损方应当将其已经获得的赔偿额加上已经获得的不当得利返还的总和超过其实际损失的差额部分支付给差错责任方。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（4）根据差错处理的方法，需要修改基金注册登记机构交易数据的，由基金注册登记机构进行更正，并就差错的更正向有关当事人进行确认。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4、基金份额净值差错处理的原则和方法如下：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（2）错误偏差达到基金份额净值的0.25%时，基金管理人应当报告中国证监会；错误偏差达到基金份额净值的0.5%时，基金管理人应当公告、通报基金托管人并报中国证监会备案。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（3）因基金份额净值计算错误，给基金或基金份额持有人造成实际损失的，应由基金管理人先行赔付，基金管理人按差错情形，有权向其他当事人追偿。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（4）基金管理人和基金托管人由于各自技术系统设置而产生的净值计算尾差，以基金管理人计算结果为准。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（5）前述内容如法律法规或监管机关另有规定的，从其规定处理。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1、基金投资有关的证券交易场所遇法定节假日或因其他原因暂停营业时；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2、因不可抗力或其它情形致使基金管理人、基金托管人无法准确评估基金资产价值时；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4、中国证监会和基金合同认定的其它情形。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1、基金管理人按股票估值方法的第(4)项、债券估值方法的第(7)项或权证估值方法的第(4)项进行估值时，所造成的误差不作为基金资产估值错误处理；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注册登记机构发送的数据错误，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6" w:name="_Toc135812801"/>
      <w:r>
        <w:rPr>
          <w:rFonts w:ascii="Times New Roman" w:hAnsi="Times New Roman"/>
          <w:sz w:val="30"/>
        </w:rPr>
        <w:lastRenderedPageBreak/>
        <w:t>十四、基金的收益与分配</w:t>
      </w:r>
      <w:bookmarkEnd w:id="16"/>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（一）基金收益的构成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1、买卖证券差价；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2、基金投资所得红利、股息、债券利息；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3、银行存款利息；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4、已实现的其他合法收入。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因运用基金财产带来的成本或费用的节约应计入收益。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（二）基金净收益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基金净收益为基金收益扣除按照有关规定可以在基金收益中扣除的费用后的余额。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收益分配方式分为现金分红与红利再投资，投资人可选择获取现金红利或将现金红利按再投日的基金份额净值自动转为相应类别的基金份额进行再投资，若投资人不选择，本基金默认的收益分配方式是现金红利；基金份额持有人可对其持有的A类基金份额和C类基金份额分别选择不同的收益分配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2、由于本基金A类基金份额不收取销售服务费，C类基金份额收取销售服务费，各基金份额类别对应的可供分配利润将有所不同；本基金同一基金份额类别的每份基金份额享有同等分配权；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3、在符合有关基金收益分配条件的前提下，基金收益分配每年至少一次；基金年度收益分配比例不低于基金年度已实现收益的10%，且每年收益分配次数最多为10次；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4、若基金合同生效不满3个月则可不进行收益分配；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5、基金投资当年出现净亏损，则不进行收益分配；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6、基金收益分配后任一类基金份额净值不能低于面值；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7、基金当年收益应先弥补上一年度亏损后，方可进行当年收益分配；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8、法律法规或中国证监会另有规定的从其规定。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基金收益分配方案中应载明基金收益分配对象、分配时间、分配数额、分配方</w:t>
      </w:r>
      <w:r>
        <w:rPr>
          <w:rFonts w:ascii="宋体" w:hAnsi="宋体"/>
          <w:sz w:val="24"/>
        </w:rPr>
        <w:lastRenderedPageBreak/>
        <w:t>式等内容。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基金收益分配方案由基金管理人拟定，并由基金托管人复核，依照《信息披露办法》的有关规定在指定媒介上公告。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在收益分配方案公布后，基金管理人依据具体方案的规定就支付的现金红利向基金托管人发送划款指令，基金托管人按照基金管理人的指令及时进行分红资金的划付。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（六）收益分配中发生的费用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收益分配采用红利再投资方式免收再投资的费用。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不同的交易账户可设置不同的收益分配方式。投资者同一日多次申报分红方式变更的，按照《业务规则》执行，最终确认的分红方式以注册登记机构记录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7" w:name="_Toc135812802"/>
      <w:r>
        <w:rPr>
          <w:rFonts w:ascii="Times New Roman" w:hAnsi="Times New Roman"/>
          <w:sz w:val="30"/>
        </w:rPr>
        <w:lastRenderedPageBreak/>
        <w:t>十五、基金的费用与税收</w:t>
      </w:r>
      <w:bookmarkEnd w:id="17"/>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3、基金财产拨划支付的银行费用；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4、基金合同生效后的基金信息披露费用；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6、基金合同生效后与基金相关的会计师费和律师费；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8、本基金从C类基金份额的基金财产中计提的销售服务费；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9、依法可以在基金财产中列支的其他费用。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本基金基金合同终止基金财产清算时所发生费用，按实际支出额从基金财产总值中扣除。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在通常情况下，基金管理费按前一日基金资产净值的1.</w:t>
      </w:r>
      <w:r w:rsidR="00EC5E07">
        <w:rPr>
          <w:rFonts w:ascii="宋体" w:hAnsi="宋体"/>
          <w:sz w:val="24"/>
        </w:rPr>
        <w:t>2</w:t>
      </w:r>
      <w:r>
        <w:rPr>
          <w:rFonts w:ascii="宋体" w:hAnsi="宋体"/>
          <w:sz w:val="24"/>
        </w:rPr>
        <w:t>%的年费率计提。管理费的计算方法如下：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 = E×1.</w:t>
      </w:r>
      <w:r w:rsidR="00EC5E07">
        <w:rPr>
          <w:rFonts w:ascii="宋体" w:hAnsi="宋体"/>
          <w:sz w:val="24"/>
        </w:rPr>
        <w:t>2</w:t>
      </w:r>
      <w:r>
        <w:rPr>
          <w:rFonts w:ascii="宋体" w:hAnsi="宋体"/>
          <w:sz w:val="24"/>
        </w:rPr>
        <w:t>% ÷当年天数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H为每日应付的基金管理费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款指令，基金托管人复核后于次月前2个工作日内从基金财产中一次性支付给基金管理人。若遇法定节假日、公休假等，支付日期顺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w:t>
      </w:r>
      <w:bookmarkStart w:id="18" w:name="_GoBack"/>
      <w:r>
        <w:rPr>
          <w:rFonts w:ascii="宋体" w:hAnsi="宋体"/>
          <w:sz w:val="24"/>
        </w:rPr>
        <w:t>常情况下，基金的托管费按前一日基金资产净值的0.2%的年费率计提。托管费的计算方法如下：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 ÷当年天数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H为每日应支付的基金托管费</w:t>
      </w:r>
    </w:p>
    <w:bookmarkEnd w:id="18"/>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E为前一日的基金资产净值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基金托管费每日计提，按月支付，由基金管理人向基金托管人发送基金托管费划款指令，基金托管人复核后于次月前2个工作日内从基金财产中一次性支取。若遇法定节假日、公休假等，支付日期顺延。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本基金A类基金份额不收取销售服务费，C类基金份额的销售服务费按前一日C类基金资产净值的0.6%年费率计提。计算方法如下：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付指令，经基金托管人复核后于次月首日起5个工作日内从基金资产中一次性支付给基金管理人，由基金管理人代付给销售机构。若遇法定节假日、休息日或不可抗力致使无法按时支付的，顺延至最近可支付日支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（4）除管理费、托管费和销售服务费之外的基金费用由基金托管人根据其他有关法规及相应协议的规定，按费用实际支出金额支付，列入或摊入当期基金费用。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w:t>
      </w:r>
      <w:r>
        <w:rPr>
          <w:rFonts w:ascii="宋体" w:hAnsi="宋体"/>
          <w:sz w:val="24"/>
        </w:rPr>
        <w:lastRenderedPageBreak/>
        <w:t>产的损失，以及处理与基金运作无关的事项发生的费用等不列入基金费用。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基金合同生效前所发生的信息披露费、会计师费、律师费及其他费用，不得从基金财产中列支。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（四）基金管理费、托管费和销售服务费的调整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协商调整基金管理费率、基金托管费率、销售服务费率等相关费率或改变收费模式。降低基金管理费率、基金托管费率、销售服务费率等相关费率或在不提高整体费率水平的情况下改变收费模式，此项调整不需要基金份额持有人大会决议通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基金管理人必须于新的费率或收费模式实施日前依照《信息披露办法》的有关规定在指定媒介上公告。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基金和基金份额持有人根据国家法律法规的规定，履行纳税义务。</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19" w:name="_Toc135812803"/>
      <w:r>
        <w:rPr>
          <w:rFonts w:ascii="Times New Roman" w:hAnsi="Times New Roman"/>
          <w:sz w:val="30"/>
        </w:rPr>
        <w:lastRenderedPageBreak/>
        <w:t>十六、基金的会计与审计</w:t>
      </w:r>
      <w:bookmarkEnd w:id="19"/>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1、基金的会计年度为公历年度的1月1日至12月31日；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2、本基金的会计核算以人民币为记账本位币，以人民币元为记账单位；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3、会计制度执行国家有关会计制度；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4、本基金独立建账、独立核算；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5、基金管理人保留完整的会计账目、凭证并进行日常的会计核算，按照有关规定编制基金会计报表；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6、基金托管人定期与基金管理人就基金的会计核算、报表编制等进行核对并书面确认。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（二）基金的审计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1、基金管理人聘请具有证券、期货相关业务资格的会计师事务所及其注册会计师对本基金的年度财务报表及其他规定事项进行审计。会计师事务所及其注册会计师与基金管理人、基金托管人相互独立。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3、基金管理人（或基金托管人）认为有充足理由更换会计师事务所，经基金托管人（或基金管理人）同意可以更换。就更换会计师事务所，基金管理人应当依照《信息披露办法》的有关规定在指定媒介上公告。</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0" w:name="_Toc135812804"/>
      <w:r>
        <w:rPr>
          <w:rFonts w:ascii="Times New Roman" w:hAnsi="Times New Roman"/>
          <w:sz w:val="30"/>
        </w:rPr>
        <w:lastRenderedPageBreak/>
        <w:t>十七、基金的信息披露</w:t>
      </w:r>
      <w:bookmarkEnd w:id="20"/>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本基金的信息披露应符合《基金法》、《运作办法》、《信息披露办法》、《流动性规定》、基金合同及其他有关规定。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（一）基金招募说明书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w:t>
      </w:r>
      <w:r>
        <w:rPr>
          <w:rFonts w:ascii="宋体" w:hAnsi="宋体"/>
          <w:sz w:val="24"/>
        </w:rPr>
        <w:lastRenderedPageBreak/>
        <w:t>更的，基金管理人应当在三个工作日内，更新基金招募说明书并登载在指定网站上；基金招募说明书其他信息发生变更的，基金管理人至少每年更新一次。基金终止运作的，基金管理人不再更新基金招募说明书。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（二）《基金合同》、基金托管协议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《基金合同》是界定《基金合同》当事人的各项权利、义务关系，明确基金份额持有人大会召开的规则及具体程序，说明基金产品的特性等涉及基金投资者重大利益的事项的法律文件。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基金托管协议是界定基金托管人和基金管理人在基金财产保管及基金运作监督等活动中的权利、义务关系的法律文件。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（三）基金产品资料概要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（四）发售公告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基金管理人应当就基金份额发售的具体事宜编制基金份额发售公告，并在披露招募说明书的当日登载于指定报刊和网站上。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（五）基金合同生效公告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基金管理人应当在本基金合同生效的次日在指定报刊和网站上登载基金合同生效公告。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（六）基金净值信息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分别披露开放日A类基金份额和C类基金份额所对应的基金份额净值和基金份额累计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基金管理人应当在不晚于半年度和年度最后一日的次日，在指定网站披露半年度和年度最后一日A类基金份额和C类基金份额所对应的基金份额净值和基金份额累</w:t>
      </w:r>
      <w:r>
        <w:rPr>
          <w:rFonts w:ascii="宋体" w:hAnsi="宋体"/>
          <w:sz w:val="24"/>
        </w:rPr>
        <w:lastRenderedPageBreak/>
        <w:t>计净值。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（七）基金份额申购、赎回价格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（八）基金定期报告，包括基金年度报告、基金中期报告和基金季度报告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（九）临时报告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w:t>
      </w:r>
      <w:r>
        <w:rPr>
          <w:rFonts w:ascii="宋体" w:hAnsi="宋体"/>
          <w:sz w:val="24"/>
        </w:rPr>
        <w:lastRenderedPageBreak/>
        <w:t>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23、基金信息披露义务人认为可能对基金份额持有人权益或者基金份额的价格产生重大影响的其他事项或中国证监会规定的其他事项。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（十）澄清公告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（十一）基金份额持有人大会决议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（十二）实施侧袋机制期间的信息披露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（十三）本基金的信息披露还应当遵守上海证券交易所的有关规定。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（十四）中国证监会规定的其他信息。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（十五）信息披露事务管理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为基金信息披露义务人公开披露的基金信息出具审计报告、法律意见书的专业机构，应当制作工作底稿，并将相关档案至少保存到《基金合同》终止后10年。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（十六）信息披露文件的存放与查阅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（十七）本基金信息披露事项以法律法规规定及本章节约定的内容为准。</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1" w:name="_Toc135812805"/>
      <w:r>
        <w:rPr>
          <w:rFonts w:ascii="Times New Roman" w:hAnsi="Times New Roman"/>
          <w:sz w:val="30"/>
        </w:rPr>
        <w:lastRenderedPageBreak/>
        <w:t>十八、侧袋机制</w:t>
      </w:r>
      <w:bookmarkEnd w:id="21"/>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（一）侧袋机制的实施条件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（二）实施侧袋机制期间基金份额的申购与赎回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（三）实施侧袋机制期间的基金投资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（四）实施侧袋机制期间的基金估值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（五）实施侧袋账户期间的基金费用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（六）侧袋账户中特定资产的处置变现和支付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（七）侧袋机制的信息披露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BA0BBB" w:rsidRDefault="003E11BC">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BA0BBB" w:rsidRDefault="003E11BC">
      <w:pPr>
        <w:pStyle w:val="1"/>
        <w:snapToGrid w:val="0"/>
        <w:spacing w:beforeLines="0" w:before="240" w:after="240"/>
        <w:rPr>
          <w:rFonts w:ascii="宋体" w:hAnsi="宋体"/>
          <w:szCs w:val="30"/>
        </w:rPr>
      </w:pPr>
      <w:bookmarkStart w:id="22" w:name="_Toc135812806"/>
      <w:r>
        <w:rPr>
          <w:rFonts w:ascii="Times New Roman" w:hAnsi="Times New Roman"/>
          <w:sz w:val="30"/>
        </w:rPr>
        <w:lastRenderedPageBreak/>
        <w:t>十九、风险揭示</w:t>
      </w:r>
      <w:bookmarkEnd w:id="22"/>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如果基金资产不能迅速转变成现金，或者变现为现金时使资金净值产生不利的影响，都会影响基金运作和收益水平。尤其是在发生巨额赎回时，如</w:t>
      </w:r>
      <w:r>
        <w:rPr>
          <w:rFonts w:ascii="宋体" w:hAnsi="宋体"/>
          <w:sz w:val="24"/>
        </w:rPr>
        <w:lastRenderedPageBreak/>
        <w:t>果基金资产变现能力差，可能会产生基金仓位调整的困难，导致流动性风险，可能影响基金份额净值。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扣除申购申请份额总数及基金转换中转入申请份额总数后的余额)超过前一日的基金总份额的10%，即认为是发生了巨额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（1）全额赎回：当基金管理人认为有能力支付投资人的赎回申请时，按正常赎回程序执行。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支付投资人的赎回申请而进行的财产变现可能会对基金资产净值造成较大波动时，基金管理人在当日接受赎回比例不低于上一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赎回的部分赎回申请将被撤销。延期的赎回申请与下一开放日赎回申请一并处理，无优先权并以该开放日的该类基金份额净值为基础计算赎回金额，并以此类推，直到全部赎回为止。如投资人在提交赎回申请时未作明确选择，投资人未能赎回部分作自动延期赎回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 因此实施侧袋机制后</w:t>
      </w:r>
      <w:r>
        <w:rPr>
          <w:rFonts w:ascii="宋体" w:hAnsi="宋体"/>
          <w:sz w:val="24"/>
        </w:rPr>
        <w:lastRenderedPageBreak/>
        <w:t>主袋账户份额存在暂停申购的可能。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本基金属于混合型基金，将维持较高的股票持仓比例。如果股票市场出现整体下跌，本基金的净值表现将受到影响。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于具有持续成长潜力的企业股票，特别是处于快速成长过程中的中型及小型企业股票，虽然可以通过分散投资策略和组合管理降低风险，但单个中小市值股票和大市值股票相比，具有相对较高的价格波动性。在选股策略上本基金特有的风险主要来自两个方面：一是对行业及上市公司的基本面研究是否准确、深入，二是对具有持续增长潜力的中型及小型企业股票的优选和判断是否科学、准确。基本面研究及上市企业分析的错误均可能导致所选择的证券不能完全符合本基金的预期目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本基金可投资创业板股票，创业板个股上市后的前五个交易日不设价格涨跌幅限制，第六个交易日开始涨跌幅限制比例为20%。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（六）投资科创板股票的特定风险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科创板个股上市前五日无涨跌停限制，第六日开始涨跌幅限制在正负20%以内，个股波动幅度较其他股票加大，市场风险随之上升。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（七）投资存托凭证的特定风险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w:t>
      </w:r>
      <w:r>
        <w:rPr>
          <w:rFonts w:ascii="宋体" w:hAnsi="宋体"/>
          <w:sz w:val="24"/>
        </w:rPr>
        <w:lastRenderedPageBreak/>
        <w:t>方面与境内可能存在差异的风险；境内外法律制度、监管环境差异可能导致的其他风险。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（八）其他风险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3" w:name="_Toc135812807"/>
      <w:r>
        <w:rPr>
          <w:rFonts w:ascii="Times New Roman" w:hAnsi="Times New Roman"/>
          <w:sz w:val="30"/>
        </w:rPr>
        <w:lastRenderedPageBreak/>
        <w:t>二十、基金合同的终止与基金财产的清算</w:t>
      </w:r>
      <w:bookmarkEnd w:id="23"/>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有下列情形之一的，基金合同经中国证监会核准后将终止：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2、因重大违法、违规行为，被中国证监会责令终止的；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3、基金管理人因解散、破产、撤销等事由，不能继续担任基金管理人的职务，而在6个月内无其他适当的基金管理公司承接其原有权利义务；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4、基金托管人因解散、破产、撤销等事由，不能继续担任基金托管人的职务，而在6个月内无其他适当的托管机构承接其原有权利义务；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5、法律法规、中国证监会规定的或基金合同约定的其他情形。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（二）基金财产的清算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1、基金合同终止时，成立基金财产清算组，基金财产清算组在中国证监会的监督下进行基金财产清算。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2、基金财产清算组成员由基金管理人、基金托管人、具有从事证券相关业务资格的注册会计师、律师以及中国证监会指定的人员组成。基金财产清算组可以聘用必要的工作人员。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3、基金财产清算组负责基金财产的保管、清理、估价、变现和分配。基金财产清算组可以依法进行必要的民事活动。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基金合同终止，应当按法律法规和基金合同的有关规定对基金财产进行清算。基金财产清算程序主要包括：</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（1）基金合同终止事由发生后，发布基金财产清算公告；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（2）基金合同终止时，由基金财产清算组统一接管基金财产；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（5）制作清算报告；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（6）聘请律师事务所出具法律意见书；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（7）聘请会计师事务所对清算报告进行审计；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（8）将基金清算结果报告中国证监会；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（9）公布基金财产清算结果；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（10）对基金剩余财产进行分配。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（三）清算费用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清算费用是指基金财产清算组在进行基金清算过程中发生的所有合理费用，清算费用由基金财产清算组优先从基金财产中支付。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（四）基金财产的清偿、分配顺序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基金财产按照下列顺序清偿和分配：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（五）基金财产清算的公告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报告于基金合同终止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（六）基金财产清算账册及文件的保存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4" w:name="_Toc135812808"/>
      <w:r>
        <w:rPr>
          <w:rFonts w:ascii="Times New Roman" w:hAnsi="Times New Roman"/>
          <w:sz w:val="30"/>
        </w:rPr>
        <w:lastRenderedPageBreak/>
        <w:t>二十一、基金合同内容摘要</w:t>
      </w:r>
      <w:bookmarkEnd w:id="24"/>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根据《基金法》及其他有关法律法规，基金管理人的权利为：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（1）自本基金合同生效之日起，依照有关法律法规和本基金合同的规定独立运用基金财产；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（2）依照基金合同获得基金管理费以及法律法规规定或中国证监会批准的其他收入；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（3）发售基金份额；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（4）依照有关规定行使因基金财产投资于证券所产生的权利；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根据本基金合同及有关规定监督基金托管人，对于基金托管人违反了本基金合同或有关法律法规规定的行为，对基金财产、其他基金合同当事人的利益造成重大损失的情形，应及时呈报中国证监会，并采取必要措施保护基金及相关当事人的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（7）在基金合同约定的范围内，拒绝或暂停受理申购和赎回申请；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（8）在法律法规允许的前提下，为基金的利益依法为基金进行融资、融券；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（9）自行担任或选择、更换注册登记机构，获取基金份额持有人名册，并对注册登记机构的代理行为进行必要的监督和检查；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（10）选择、更换代销机构，并依据销售代理协议和有关法律法规，对其行为进行必要的监督和检查；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（11）选择、更换律师、审计师、证券经纪商或其他为基金提供服务的外部机构；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（12）在基金托管人更换时，提名新的基金托管人；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（13）依法召集基金份额持有人大会；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（14）法律法规和基金合同规定的其他权利。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根据《基金法》及其他有关法律法规，基金管理人的义务为：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（3）自基金合同生效之日起，以诚实信用、勤勉尽责的原则管理和运用基金财产；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（5）建立健全内部风险控制、监察与稽核、财务管理及人事管理等制度，保证所管理的基金财产和管理人的财产相互独立，对所管理的不同基金分别管理，分别记账，进行证券投资；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（6）除依据《基金法》、基金合同及其他有关规定外，不得为自己及任何第三人谋取利益，不得委托第三人运作基金财产；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（8）计算并公告基金净值信息，确定基金份额申购、赎回价格；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（9）采取适当合理的措施使计算基金份额认购、申购、赎回和注销价格的方法符合基金合同等法律文件的规定；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（10）按规定受理申购和赎回申请，及时、足额支付赎回款项；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（11）进行基金会计核算并编制基金财务会计报告；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（12）编制季度报告、中期报告和年度报告；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（13）严格按照《基金法》、基金合同及其他有关规定，履行信息披露及报告义务；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（14）保守基金商业秘密，不得泄露基金投资计划、投资意向等，除《基金法》、基金合同及其他有关规定另有规定外，在基金信息公开披露前应予保密，不得向他人泄露；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（15）按照基金合同的约定确定基金收益分配方案，及时向基金份额持有人分配收益；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（16）依据《基金法》、基金合同及其他有关规定召集基金份额持有人大会或配合基金托管人、基金份额持有人依法召集基金份额持有人大会；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（17）保存基金财产管理业务活动的记录、账册、报表和其他相关资料；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（18）以基金管理人名义，代表基金份额持有人利益行使诉讼权利或者实施其他法律行为；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（19）组织并参加基金财产清算小组，参与基金财产的保管、清理、估价、变现和分配；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（20）因违反基金合同导致基金财产的损失或损害基金份额持有人合法权益，应当承担赔偿责任，其赔偿责任不因其退任而免除；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（21）基金托管人违反基金合同造成基金财产损失时，应为基金份额持有人利益向基金托管人追偿；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（22）按规定向基金托管人提供基金份额持有人名册资料；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（23）面临解散、依法被撤销或者被依法宣告破产时，及时报告中国证监会并通知基金托管人；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（25）不从事任何有损基金及其他基金当事人利益的活动；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（26）依照法律法规为基金的利益对被投资公司行使股东权利，为基金的利益行使因基金财产投资于证券所产生的权利，不谋求对上市公司的控股和直接管理；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（27）法律法规、中国证监会和基金合同规定的其他义务。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根据《基金法》及其他有关法律法规，基金托管人的权利为：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（1）依基金合同约定获得基金托管费以及法律法规规定或中国证监会批准的其他收入；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（3）自本基金合同生效之日起，依法保管基金财产；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（4）在基金管理人更换时，提名新任基金管理人；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当事人的利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（6）依法召集基金份额持有人大会；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（7）按规定取得基金份额持有人名册资料；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（8）法律法规和基金合同规定的其他权利。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根据《基金法》及其他有关法律法规，基金托管人的义务为：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（1）安全保管基金财产；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（2）设立专门的基金托管部，具有符合要求的营业场所，配备足够的、合格的熟悉基金托管业务的专职人员，负责基金财产托管事宜；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（3）对所托管的不同基金财产分别设置账户，确保基金财产的完整与独立；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（4）除依据《基金法》、基金合同及其他有关规定外，不得为自己及任何第三人谋取利益，不得委托第三人托管基金财产；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（7）保守基金商业秘密，除《基金法》、基金合同及其他有关规定另有规定外，在基金信息公开披露前应予保密，不得向他人泄露；</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（9）保存基金托管业务活动的记录、账册、报表和其他相关资料；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（10）按照基金合同的约定，根据基金管理人的投资指令，及时办理清算、交割事宜；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（11）办理与基金托管业务活动有关的信息披露事项；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（12）复核、审查基金管理人计算的基金资产净值、各类基金份额净值和基金份额申购、赎回价格；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（13）按照规定监督基金管理人的投资运作；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（14）按规定制作相关账册并与基金管理人核对；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（15）依据基金管理人的指令或有关规定向基金份额持有人支付基金收益和赎回款项；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（16）按照规定召集基金份额持有人大会或配合基金份额持有人依法自行召集基金份额持有人大会；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（17）因违反基金合同导致基金财产损失，应承担赔偿责任，其赔偿责任不因其退任而免除；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（18）基金管理人因违反基金合同造成基金财产损失时，应为基金向基金管理人追偿；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（19）参加基金财产清算小组，参与基金财产的保管、清理、估价、变现和分配；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（20）面临解散、依法被撤销或者被依法宣告破产时，及时报告中国证监会和银行业监督管理机构，并通知基金管理人；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（22）不从事任何有损基金及其他基金合同当事人利益的活动；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（23）建立并保存基金份额持有人名册；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（24）法律法规、中国证监会和基金合同规定的其他义务。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根据《基金法》及其他有关法律法规，基金份额持有人的权利为：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（3）依法转让及根据基金合同约定申请赎回其持有的基金份额；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（8）对基金管理人、基金托管人、基金份额发售机构损害其合法权益的行为依法提起诉讼；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根据《基金法》及其他有关法律法规，基金份额持有人的义务为：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（1）遵守法律法规、基金合同及其他有关规定；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（2）交纳基金认购、申购款项及法律法规和基金合同所规定的费用；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（4）不从事任何有损基金及其他基金份额持有人合法权益的活动；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（5）执行生效的基金份额持有人大会决议；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（6）返还在基金交易过程中因任何原因，自基金管理人、基金托管人、代销</w:t>
      </w:r>
      <w:r>
        <w:rPr>
          <w:rFonts w:ascii="宋体" w:hAnsi="宋体"/>
          <w:sz w:val="24"/>
        </w:rPr>
        <w:lastRenderedPageBreak/>
        <w:t>机构、其他基金份额持有人处获得的不当得利；</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本基金合同当事各方的权利义务以本基金合同为依据，不因基金财产账户名称而有所改变。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1、基金份额持有人大会由基金份额持有人或基金份额持有人的合法授权代表共同组成。基金份额持有人持有的每一基金份额具有同等的投票权。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2、召开事由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或需要决定下列事由之一的，经基金管理人、基金托管人或持有基金份额10%以上(“以上”含本数，下同)的基金份额持有人(以基金管理人收到提议当日的基金份额计算，下同)提议时，应当召开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（4）变更基金投资目标、投资范围或投资策略；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（5）变更基金份额持有人大会程序；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（7）提高基金管理人、基金托管人的报酬标准或提高销售服务费率，但法律法规要求提高该等报酬标准的除外；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（9）对基金合同当事人权利、义务产生重大影响的其他事项；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出现以下情形之一的，可由基金管理人和基金托管人协商后修改基金合同，不需召开基金份额持有人大会：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（1）调低基金管理费、基金托管费、销售服务费率和其他应由基金承担的费用；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（2）在法律法规和本基金合同规定的范围内变更基金的申购费率、赎回费率或收费方式；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（3）调整基金份额类别设置、对基金份额分类办法及规则进行调整；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（4）因相应的法律法规发生变动必须对基金合同进行修改；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（5）对基金合同的修改不涉及本基金合同当事人权利义务关系发生变化；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（6）基金合同的修改对基金份额持有人利益无实质性不利影响；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（7）按照法律法规或本基金合同规定不需召开基金份额持有人大会的其他情形。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3、召集人及召集方式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（1）除法律法规或本基金合同另有约定外，基金份额持有人大会由基金管理人召集。基金管理人未按规定召集或者不能召集时，由基金托管人召集。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以下简称“召集人”）负责选择确定开会时间、地点、方式和权益登记日。召开基金份额持有人大会，召集人必须于会议召开日前30天在指定媒介公告。基金份额持有人大会通知须至少载明以下内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（2）会议拟审议的主要事项；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（5）有权出席基金份额持有人大会的基金份额持有人权益登记日；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（6）代理投票的授权委托书的内容要求（包括但不限于代理人身份、代理权限和代理有效期限等）、送达时间和地点；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（8）会务常设联系人姓名、电话；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1）基金份额持有人大会的召开方式包括现场开会和通讯方式开会。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2）现场开会由基金份额持有人本人出席或通过授权委托书委派其代理人出席，现场开会时基金管理人和基金托管人的授权代表应当出席，如基金管理人或基金托管人拒不派代表出席的，不影响表决效力。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3）通讯方式开会指按照本基金合同的相关规定以书面方式进行表决。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（2）召开基金份额持有人大会的条件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①对到会者在权益登记日持有基金份额的统计显示，全部有效凭证所对应的基</w:t>
      </w:r>
      <w:r>
        <w:rPr>
          <w:rFonts w:ascii="宋体" w:hAnsi="宋体"/>
          <w:sz w:val="24"/>
        </w:rPr>
        <w:lastRenderedPageBreak/>
        <w:t>金份额应占权益登记日基金总份额的50%以上(“以上”含本数，下同）；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在同时符合以下条件时，通讯会议方可举行：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①召集人按本基金合同规定公布会议通知后，在2个工作日内连续公布相关提示性公告；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②召集人按基金合同规定通知基金托管人或/和基金管理人(分别或共同称为“监督人”）到指定地点对书面表决意见的计票进行监督；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③召集人在监督人和公证机关的监督下按照会议通知规定的方式收取和统计基金份额持有人的书面表决意见，如基金管理人或基金托管人经通知拒不到场监督的，不影响表决效力；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④本人直接出具书面意见或授权他人代表出具书面意见的基金份额持有人所代表的基金份额占权益登记日基金总份额的50%以上；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⑤直接出具书面意见的基金份额持有人或受托代表他人出具书面意见的代理人提交的持有基金份额的凭证、授权委托书等文件符合法律法规、基金合同和会议通知的规定，并与注册登记机构记录相符。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1）议事内容为本基金合同规定的召开基金份额持有人大会事由所涉及的内容。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3）对于基金份额持有人提交的提案，大会召集人应当按照以下原则对提案进行审核：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w:t>
      </w:r>
      <w:r>
        <w:rPr>
          <w:rFonts w:ascii="宋体" w:hAnsi="宋体"/>
          <w:sz w:val="24"/>
        </w:rPr>
        <w:lastRenderedPageBreak/>
        <w:t>审议；对于不符合上述要求的，不提交基金份额持有人大会审议。如果召集人决定不将基金份额持有人提案提交大会表决，应当在该次基金份额持有人大会上进行解释和说明。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5）基金份额持有人大会的召集人发出召开会议的通知后，如果需要对原有提案进行修改，应当最迟在基金份额持有人大会召开前30日公告。否则，会议的召开日期应当顺延并保证至少与公告日期有30日的间隔期。</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召集人应当制作出席会议人员的签名册。签名册载明参加会议人员姓名(或单位名称)、身份证号码、持有或代表有表决权的基金份额数量、委托人姓名(或单位名称)等事项。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表决开会的方式下，首先由召集人提前30日公布提案，在所通知的表决截止日期后第2个工作日在公证机关及监督人的监督下由召集人统计全部有效表决并形成决议。如监督人经通知但拒绝到场监督，则在公正机关监督下形成的决议有</w:t>
      </w:r>
      <w:r>
        <w:rPr>
          <w:rFonts w:ascii="宋体" w:hAnsi="宋体"/>
          <w:sz w:val="24"/>
        </w:rPr>
        <w:lastRenderedPageBreak/>
        <w:t>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（1）基金份额持有人所持每一基金份额享有平等的表决权。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（2）基金份额持有人大会决议分为一般决议和特别决议：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一般决议须经出席会议的基金份额持有人（或其代理人）所持表决权的50%以上通过方为有效，除下列2）所规定的须以特别决议通过事项以外的其他事项均以一般决议的方式通过；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或其代理人)所持表决权的三分之二以上(含三分之二)通过方为有效；更换基金管理人、更换基金托管人、转换基金运作方式、终止基金合同必须以特别决议通过方为有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（3）基金份额持有人大会决定的事项，应当依法报中国证监会核准或者备案，并予以公告。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（5）基金份额持有人大会采取记名方式进行投票表决。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（6）基金份额持有人大会的各项提案或同一项提案内并列的各项议题应当分开审议、逐项表决。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w:t>
      </w:r>
      <w:r>
        <w:rPr>
          <w:rFonts w:ascii="宋体" w:hAnsi="宋体"/>
          <w:sz w:val="24"/>
        </w:rPr>
        <w:lastRenderedPageBreak/>
        <w:t>管人的授权代表未出席，则大会主持人可自行选举三名基金份额持有人代表担任监票人。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2）监票人应当在基金份额持有人表决后立即进行清点，由大会主持人当场公布计票结果。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9、基金份额持有人大会决议报中国证监会核准或备案后的公告时间、方式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通过的一般决议和特别决议，召集人应当自通过之日起5日内报中国证监会核准或者备案。基金份额持有人大会决定的事项自中国证监会依法核准或者出具无异议意见之日起生效。关于本条第2款所规定的第（1）-（8）项召开事由的基金份额持有人大会决议经中国证监会核准生效后方可执行，关于本条第2款所规定的第（9）、（10）项召开事由的基金份额持有人大会决议经中国证监会核准或出具无异议意见后方可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（2）生效的基金份额持有人大会决议对全体基金份额持有人、基金管理人、基金托管人均有约束力。基金管理人、基金托管人和基金份额持有人应当执行生效的基金份额持有人大会决议。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（3）基金份额持有人大会决议应自生效之日起2日内在指定媒介公告。如果采用通讯方式进行表决，在公告基金份额持有人大会决议时，必须将公证书全文、公证机构、公证员姓名等一同公告。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10、实施侧袋机制期间基金份额持有人大会的特殊约定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w:t>
      </w:r>
      <w:r>
        <w:rPr>
          <w:rFonts w:ascii="宋体" w:hAnsi="宋体"/>
          <w:sz w:val="24"/>
        </w:rPr>
        <w:lastRenderedPageBreak/>
        <w:t>代表的基金份额或表决权符合该等比例：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（3）通讯开会的直接出具书面意见或授权他人代表出具书面意见的基金份额持有人所持有的基金份额不小于在权益登记日相关基金份额的二分之一（含二分之一）；</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11、法律法规或中国证监会对基金份额持有人大会另有规定的，从其规定。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（三）基金合同的变更与终止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（1）基金合同变更内容对基金合同当事人权利、义务产生重大影响的，应召开基金份额持有人大会，基金合同变更的内容应经基金份额持有人大会决议同意。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4）变更基金投资目标、投资范围或投资策略；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5）变更基金份额持有人大会程序；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7）提高基金管理人、基金托管人的报酬标准或提高销售服务费率。但根据适用的相关规定提高该等报酬标准的除外；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9）对基金合同当事人权利、义务产生重大影响的其他事项；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但出现下列情况时，可不经基金份额持有人大会决议，由基金管理人和基金托管人同意变更后公布，并报中国证监会备案：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1）调低基金管理费、基金托管费、销售服务费率和其他应由基金承担的费用；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2）在法律法规和本基金合同规定的范围内变更基金的申购费率、赎回费率或收费方式；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3）调整基金份额类别设置、对基金份额分类办法及规则进行调整；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4）因相应的法律法规发生变动必须对基金合同进行修改；</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5）对基金合同的修改不涉及本基金合同当事人权利义务关系发生变化；</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6）基金合同的修改对基金份额持有人利益无实质性不利影响；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7）按照法律法规或本基金合同规定不需召开基金份额持有人大会的其他情形。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（2）关于变更基金合同的基金份额持有人大会决议应报中国证监会核准或备案，并于中国证监会核准或出具无异议意见后生效执行，并自生效之日起2日内在至少一种指定媒介公告。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有下列情形之一的，本基金合同经中国证监会核准后将终止：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（2）因重大违法、违规行为，被中国证监会责令终止的；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（3）基金管理人因解散、破产、撤销等事由，不能继续担任基金管理人的职务，而在6个月内无其他适当的基金管理公司承接其原有权利义务；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（4）基金托管人因解散、破产、撤销等事由，不能继续担任基金托管人的职务，而在6个月内无其他适当的托管机构承接其原有权利义务；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（5）法律法规、中国证监会规定或基金合同约定的其他情形。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由败诉方承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本基金合同适用中华人民共和国法律并从其解释。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（五）基金合同存放及投资人取得基金合同的方式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本基金合同正本一式六份，除上报有关监管部门两份外，基金管理人和基金托管人各持有两份。每份均具有同等的法律效力。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本基金合同可印制成册，供投资人在基金管理人、基金托管人、代销机构和注册登记机构办公场所查阅，基金合同条款及内容应以基金合同正本为准。</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5" w:name="_Toc135812809"/>
      <w:r>
        <w:rPr>
          <w:rFonts w:ascii="Times New Roman" w:hAnsi="Times New Roman"/>
          <w:sz w:val="30"/>
        </w:rPr>
        <w:lastRenderedPageBreak/>
        <w:t>二十二、托管协议的内容摘要</w:t>
      </w:r>
      <w:bookmarkEnd w:id="25"/>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法定代表人：谷澎</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基金托管业务批准文号：中国证监会证监基字[1998]23号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w:t>
      </w:r>
      <w:r>
        <w:rPr>
          <w:rFonts w:ascii="宋体" w:hAnsi="宋体"/>
          <w:sz w:val="24"/>
        </w:rPr>
        <w:lastRenderedPageBreak/>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本基金的投资范围为国内依法发行上市的股票（含存托凭证）、债券、货币市场工具、权证、资产支持证券及法律法规或中国证监会允许基金投资的其他证券品种。如法律法规或监管机构以后允许基金投资的其它证券品种，基金管理人在履行适当程序后，可以将其纳入投资范围。基金管理人应在基金合同生效后、基金建仓前，及时向基金托管人提供备选股票池名单，如发生变动，应及时向基金托管人提供变更后的备选股票池名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比例为60%-95%，债券、货币市场工具、权证、资产支持证券以及法律法规或中国证监会允许基金投资的其他证券品种占基金资产的比例为5%-40%，其中基金保留的现金以及投资于到期日在一年以内的政府债券不低于基金资产净值的5%，现金不包括结算备付金、存出保证金和应收申购款等。如法律法规或监管机构以后允许基金投资的其他品种，基金管理人在履行适当程序后，可以将其纳入投资范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本基金投资组合遵循如下投资限制：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2）本基金管理人管理的全部基金持有一家公司发行的证券，不超过该证券的10%；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3）基金财产参与股票发行申购，本基金所申报的金额不超过本基金的总资产，本基金所申报的股票数量不超过拟发行股票公司本次发行股票的总量；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4）本基金持有的全部权证，其市值不得超过基金资产净值的3%；</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5）本基金管理人管理的全部基金持有的同一权证，不得超过该权证的10%；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6）本基金在任何交易日买入权证的总金额，不得超过上一交易日基金资产净值的0.5%；</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不得违反基金合同关于投资范围、投资策略和投资比例的约定：本基金持有的股票资产（含存托凭证）占基金资产的比例为60%-95%；本基金持有的债券、货币市场工具、权证、资产支持证券以及法律法规或中国证监会允许基金投资的其他证券品种占基金资产的比例为5%－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本基金保持不低于基金资产净值5%的现金或者到期日在一年以内的政府债券，其中现金不包括结算备付金、存出保证金和应收申购款等；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12）本基金进入全国银行间同业市场进行债券回购的资金余额不得超过基金资产净值的40%；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15）本基金与私募类证券资管产品及中国证监会认定的其他主体为交易对手开展逆回购交易的，可接受质押品的资质要求应当与基金合同约定的投资范围保持一致；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如果法律法规对基金合同约定投资组合比例限制进行变更的，以变更后的规定为准。法律法规或监管部门取消上述限制，如适用于本基金，则本基金投资不再受相关限制。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 个月内使基金的投资组合比例符合基金合同的有关约定。除投资资产配置外，基金托管人对基金的投资的监督和检查自本基金合同生效之日起开始。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7）项第二款、14）、15）项外，因证券市场波动、上市公司合并、基金规模变动、股权分置改革中支付对价等基金管理人之外的因素致使基金投资比例不符合上述规定的投资比例的，基金管理人应当在10个交易日内进行调整，以达到上述标准。法律法规另有规定的从其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项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交易证券名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应向基金托管人说明理由，在与交易对手发生交易前3个工作日内与基金托管人协商解决。基金管理人负责对交易对手的资信控制，按银行间债券市场的交易规则进行交易，基金托管人则根据银行间债券市场成交单对合同履行情况进行监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5、基金托管人根据有关法律法规的规定及基金合同的约定，对基金资产净值</w:t>
      </w:r>
      <w:r>
        <w:rPr>
          <w:rFonts w:ascii="宋体" w:hAnsi="宋体"/>
          <w:sz w:val="24"/>
        </w:rPr>
        <w:lastRenderedPageBreak/>
        <w:t>计算、各类基金份额净值计算、应收资金到账、基金费用开支及收入确定、基金收益分配、相关信息披露、基金宣传推介材料中登载基金业绩表现数据等进行监督和核查。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如果基金管理人未经基金托管人的审核擅自将不实的业绩表现数据印制在基金宣传推介材料上，则基金托管人不承担任何责任，并将在发现后立即报告中国证监会。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在对上述事项的监督与核查中发现基金管理人的实际投资运作违反法律法规、基金合同和本托管协议的规定，应及时通知基金管理人限期纠正。基金托管人发现基金管理人的投资指令违反法律法规和基金合同的，应拒绝执行，立即通知基金管理人，并向中国证监会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基金管理人收到通知后应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7、对基金托管人按照法律法规、基金合同和本托管协议要求需向中国证监会报送基金监督报告的事项，基金管理人应积极配合提供相关数据资料和制度等。</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但不限于基金托管人安全保管基金财产、开设基金财产的资金账户和证券账户、复核基金管理人计算的基金资产净值和各类基金份额净值、根据基金管理人指令办理清算交收、相关信息披露和监督基金投资运作等行为。</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基金托管人收到通知后应在及时核对并以书面形式给基金管理</w:t>
      </w:r>
      <w:r>
        <w:rPr>
          <w:rFonts w:ascii="宋体" w:hAnsi="宋体"/>
          <w:sz w:val="24"/>
        </w:rPr>
        <w:lastRenderedPageBreak/>
        <w:t>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托管协议规定行使监督权，或采取拖延、欺诈等手段妨碍对方进行有效监督，情节严重或经基金管理人提出警告仍不改正的，基金管理人应报告中国证监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5）基金托管人根据基金管理人的指令，按照基金合同和本托管协议的约定保管基金财产，如有特殊情况双方可另行协商解决。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1）基金管理人在收到基金募集期间募集的资金后应存于中国证券登记结算有限责任公司。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w:t>
      </w:r>
      <w:r>
        <w:rPr>
          <w:rFonts w:ascii="宋体" w:hAnsi="宋体"/>
          <w:sz w:val="24"/>
        </w:rPr>
        <w:lastRenderedPageBreak/>
        <w:t>内，聘请具有从事证券相关业务资格的会计师事务所进行验资，出具验资报告。出具的验资报告由参加验资的2名或2名以上中国注册会计师签字方为有效。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1）基金托管人应负责本基金的银行账户的开设和管理。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3）基金银行账户的开立和使用，限于满足开展本基金业务的需要。基金托管人和基金管理人不得假借本基金的名义开立任何其他银行账户；亦不得使用基金的任何账户进行本基金业务以外的活动。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4）基金银行账户的开立和管理应符合相关法律法规的有关规定。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4、基金证券账户和资金交收账户的开立和管理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上海分公司/深圳分公司开立结算备付金账户（资金交收账户），并代表所托管的基金完成与中国证券登记结算有限责任公司的一级法人清算工作，基金管理人应予以积极协助。结算备付金的收取按照中国证券登记结算有限责任公司的规定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5）在本托管协议生效日之后，本基金被允许从事其他投资品种的投资业务的，涉及相关账户的开设、使用的，若无相关规定，则基金托管人应当比照并遵守上述关于账户开设、使用的规定。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1）因业务发展需要而开立的其他账户，可以根据法律法规和基金合同的规定，由基金托管人负责开立。新账户按有关规定使用并管理。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7、基金财产投资的有关实物有价凭证等的保管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托管协议另有规定外，基金管理人在代表基金签署与基金财产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上述重大合同的保管期限为基金合同终止后15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（五）基金资产净值计算和会计核算</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1、基金资产净值的计算、复核与完成的时间及程序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各类基金份额的基金份额净值是指该类基金份额的基金资产净值除以该类基金份额总数，各类基金份额的基金份额净值的计算，均精确到0.0001元，小数点后第五位四舍五入，国家另有规定的，从其规定。</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基金管理人每个工作日计算基金资产净值及各类基金份额的基金份额净值，经基金托管人复核，按规定公告。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基金管理人每工作日对基金资产进行估值后，将各类基金份额的基金份额净值结果以加密传真方式发送基金托管人，基金托管人复核无误后，盖章并以加密传真方式传送给基金管理人，由基金管理人对外公布。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（3）就与本基金有关的会计问题，经相关各方在平等基础上充分讨论达成一致的意见后对外予以公布。</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上市股票的估值：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a）首次发行未上市的股票，采用估值技术确定公允价值，在估值技术难以可靠计量公允价值的情况下，按成本价估值；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b）送股、转增股、配股和公开增发新股等发行未上市的股票，按估值日在证券交易所上市的同一股票的市价进行估值；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c）首次公开发行有明确锁定期的股票，同一股票在交易所上市后，按估值日在证券交易所上市的同一股票的市价进行估值；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d）非公开发行的且在发行时明确一定期限锁定期的股票，按监管机构或行业协会有关规定确定公允价值。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3）本基金投资存托凭证的估值核算依照境内上市交易的股票执行。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w:t>
      </w:r>
      <w:r>
        <w:rPr>
          <w:rFonts w:ascii="宋体" w:hAnsi="宋体"/>
          <w:sz w:val="24"/>
        </w:rPr>
        <w:lastRenderedPageBreak/>
        <w:t>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b.债券估值方法：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1）交易所市场上市交易或挂牌转让的固定收益品种（另有规定的除外），选取第三方估值机构提供的相应品种当日的估值净价进行估值；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3）首次发行未上市债券采用估值技术确定的公允价值进行估值，在估值技术难以可靠计量公允价值的情况下，按成本估值；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4）交易所以大宗交易方式转让的资产支持证券，采用估值技术确定公允价值，在估值技术难以可靠计量公允价值的情况下，按成本进行后续计量；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5）在全国银行间债券市场交易的债券、资产支持证券等固定收益品种，采用估值技术确定公允价值；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6）同一债券同时在两个或两个以上市场交易的，按债券所处的市场分别估值；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c.权证估值方法：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2）首次发行未上市的权证，采用估值技术确定公允价值，在估值技术难以可靠计量公允价值的情况下，按成本估值；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3）因持有股票而享有的配股权，以及停止交易、但未行权的权证，采用估值技术确定公允价值进行估值；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d.其他有价证券等资产按国家有关规定进行估值。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e.如基金管理人或基金托管人发现基金估值违反基金合同订明的估值方法、程序及相关法律法规的规定或者未能充分维护基金份额持有人利益时，应立即通知对方，共同查明原因，双方协商解决。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基金管理人、基金托管人按股票估值方法的第4)项、债券估值方法的第7)项或权证估值方法的第4)项进行估值时，所造成的误差不作为基金份额净值错误处理。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3、估值错误的处理方式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4位以内(含第4位)发生差错时，视为估值错误；估值出现错误时，基金管理人应当立即予以纠正，通报基金托管人，并采取合理的措施防止损失进一步扩大；错误偏差达到基金份额净值的0.25%时，基金管理人应当报告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（2）当估值错误给基金和基金份额持有人造成损失需要进行赔偿时，基金管理人和基金托管人应根据实际情况界定双方承担的责任，经确认后按以下条款进行赔偿：</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各自承担相应的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如基金管理人和基金托管人对基金份额净值的计算结果，虽然多次重新计算和核对，尚不能达成一致时，为避免不能按时公布基金份额净值的情形，以基金管理人的计算结果对外公布，由此给基金份额持有人和基金财产造成的损失，由基金管理人负责赔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③由于基金管理人提供的信息错误（包括但不限于基金申购或赎回金额等），进而导致基金份额净值计算错误而引起的基金份额持有人和基金财产的损失，由基金管理人负责赔付。</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由于证券交易所及注册登记机构发送的数据错误，有关会计制度变化或由于其他不可抗力原因，基金管理人和基金托管人虽然已经采取必要、适当、合理的措施进行检查，但是未能发现该错误而造成的估值错误，基金管理人、基金托管人可以免除赔偿责任。但基金管理人、基金托管人应积极采取必要的措施消除由此造成的影响。</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（4）基金管理人和基金托管人由于各自技术系统设置而产生的净值计算尾差，以基金管理人计算结果为准。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（5）前述内容如法律法规或者监管部门另有规定的，从其规定。如果行业有通行做法，双方当事人应本着平等和保护基金份额持有人利益的原则进行协商。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（2）因不可抗力或其他情形致使基金管理人无法准确评估基金资产价值时；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（4）中国证监会和基金合同认定的其他情形。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5、基金会计制度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财产的安全。若双方对会计处理方法存在分歧，应以基金管理人的处理方法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经对账发现相关各方的账目存在不符的，基金管理人和基金托管人必须及时查明原因并纠正，保证双方平行登录的账册记录完全相符。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7、基金财务报表与定期报告的编制和复核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基金托管人在复核过程中，发现相关各方的报表存在不符时，基金管理人和基金托管人应共同查明原因，进行调整，调整以相关各方认可的账务处理方式为准。核对无误后，基金托管人在基金管理人提供的报告上加盖托管业务部业务专用章，或者出具加盖托管业务部业务专用章的复核意见书，相关各方各自留存一份。</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（3）财务报表的编制与复核时间安排</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1）报表的编制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2）报表的复核</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基金管理人应留足充分的时间，便于基金托管人复核相关报表及报告。基金托管人复核完毕，应出具相应的复核确认书。</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托管协议产生或与之相关的争议，双方当事人应通过协商、调解解决，不愿或者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本协议适用中华人民共和国法律并从其解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本托管协议双方当事人经协商一致，可以对协议进行修改。修改后的新协议，其内容不得与基金合同的规定有任何冲突。基金托管协议的变更报中国证监会核准</w:t>
      </w:r>
      <w:r>
        <w:rPr>
          <w:rFonts w:ascii="宋体" w:hAnsi="宋体"/>
          <w:sz w:val="24"/>
        </w:rPr>
        <w:lastRenderedPageBreak/>
        <w:t>后生效。</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（2）基金托管人解散、依法被撤销、破产或基金托管人更换；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（3）基金管理人解散、依法被撤销、破产或基金管理人更换；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6" w:name="_Toc135812810"/>
      <w:r>
        <w:rPr>
          <w:rFonts w:ascii="Times New Roman" w:hAnsi="Times New Roman"/>
          <w:sz w:val="30"/>
        </w:rPr>
        <w:lastRenderedPageBreak/>
        <w:t>二十三、对基金份额持有人的服务</w:t>
      </w:r>
      <w:bookmarkEnd w:id="26"/>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的申购、赎回、定期定额投资和转换等业务。本公司暂不开展网上直销后端基金份额的认/申购业务，通过转托管转入网上直销账户的后端收费模式的基金份额只能办理赎回业务。通过网上直销交易平台办理本基金前端A类基金份额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在条件成熟的时候，本基金管理人将根据基金网上直销业务的发展状况，适时调整可用于基金网上直销交易平台的银行卡种类，敬请投资人留意相关公告。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赎回等交易情况、分红方式状态、基金账户余额、基金产品与服务等信息，请拨打本基金管理人客户服务电话（400-700-5000，021-61055000）或登录本基金管理人网站（www.fund001.com）进行咨询、查询。</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w:t>
      </w:r>
      <w:r>
        <w:rPr>
          <w:rFonts w:ascii="宋体" w:hAnsi="宋体"/>
          <w:sz w:val="24"/>
        </w:rPr>
        <w:lastRenderedPageBreak/>
        <w:t>资人通过客户服务电话查询基金账户下的账户和交易信息。投资人请在其知晓基金账号后，及时拨打本基金管理人客户服务电话修改基金查询密码。</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本基金收益分配时，投资人可以选择将当期分配所得的红利再投资于本基金，再投资红利按红利再投日（即除息日）除息后的基金份额净值自动转为相应类别的基金份额，并免收申购费用。</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（五）定期定额投资计划和转换业务</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本基金已开通定期定额投资和转换业务，具体实施方法请参见相关公告。</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7" w:name="_Toc135812811"/>
      <w:r>
        <w:rPr>
          <w:rFonts w:ascii="Times New Roman" w:hAnsi="Times New Roman"/>
          <w:sz w:val="30"/>
        </w:rPr>
        <w:lastRenderedPageBreak/>
        <w:t>二十四、其他应披露事项</w:t>
      </w:r>
      <w:bookmarkEnd w:id="27"/>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2022-06-30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交银施罗德基金管理有限公司关于增加中国人寿保险股份有限公司为旗下基金的销售机构的公告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2022-08-31</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BA0BB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交银施罗德先锋混合型证券投资基金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A0BBB" w:rsidRDefault="003E11BC">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8" w:name="_Toc135812812"/>
      <w:r>
        <w:rPr>
          <w:rFonts w:ascii="Times New Roman" w:hAnsi="Times New Roman"/>
          <w:sz w:val="30"/>
        </w:rPr>
        <w:lastRenderedPageBreak/>
        <w:t>二十五、招募说明书的存放及查阅方式</w:t>
      </w:r>
      <w:bookmarkEnd w:id="28"/>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3E11BC"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A0BBB" w:rsidRDefault="003E11BC">
      <w:pPr>
        <w:pStyle w:val="1"/>
        <w:snapToGrid w:val="0"/>
        <w:spacing w:beforeLines="0" w:before="240" w:after="240"/>
        <w:rPr>
          <w:rFonts w:ascii="宋体" w:hAnsi="宋体"/>
          <w:szCs w:val="30"/>
        </w:rPr>
      </w:pPr>
      <w:bookmarkStart w:id="29" w:name="_Toc135812813"/>
      <w:r>
        <w:rPr>
          <w:rFonts w:ascii="Times New Roman" w:hAnsi="Times New Roman"/>
          <w:sz w:val="30"/>
        </w:rPr>
        <w:lastRenderedPageBreak/>
        <w:t>二十六、备查文件</w:t>
      </w:r>
      <w:bookmarkEnd w:id="29"/>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（一）中国证监会核准交银施罗德先锋股票证券投资基金募集的文件</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（二）《交银施罗德先锋混合型证券投资基金基金合同》</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（三）《交银施罗德先锋混合型证券投资基金托管协议》</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BA0BBB" w:rsidRDefault="003E11BC">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（六）关于申请募集交银施罗德先锋股票证券投资基金之法律意见书</w:t>
      </w:r>
    </w:p>
    <w:sectPr w:rsidR="00BA0BBB">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94" w:rsidRDefault="00085A94">
      <w:r>
        <w:separator/>
      </w:r>
    </w:p>
  </w:endnote>
  <w:endnote w:type="continuationSeparator" w:id="0">
    <w:p w:rsidR="00085A94" w:rsidRDefault="000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BB" w:rsidRDefault="00BA3862">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BB" w:rsidRDefault="003E11B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D038F">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BA0BBB" w:rsidRDefault="003E11B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D038F">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BB" w:rsidRDefault="00BA3862">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BB" w:rsidRDefault="003E11B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D038F">
                            <w:rPr>
                              <w:rFonts w:ascii="Times New Roman" w:hAnsi="Times New Roman"/>
                              <w:noProof/>
                              <w:kern w:val="0"/>
                              <w:sz w:val="18"/>
                              <w:szCs w:val="18"/>
                            </w:rPr>
                            <w:t>113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BA0BBB" w:rsidRDefault="003E11BC">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D038F">
                      <w:rPr>
                        <w:rFonts w:ascii="Times New Roman" w:hAnsi="Times New Roman"/>
                        <w:noProof/>
                        <w:kern w:val="0"/>
                        <w:sz w:val="18"/>
                        <w:szCs w:val="18"/>
                      </w:rPr>
                      <w:t>113</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94" w:rsidRDefault="00085A94">
      <w:r>
        <w:separator/>
      </w:r>
    </w:p>
  </w:footnote>
  <w:footnote w:type="continuationSeparator" w:id="0">
    <w:p w:rsidR="00085A94" w:rsidRDefault="0008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BA3862">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A0BBB" w:rsidRDefault="003E11BC">
    <w:pPr>
      <w:pStyle w:val="a3"/>
      <w:jc w:val="right"/>
      <w:rPr>
        <w:rFonts w:ascii="宋体" w:hAnsi="宋体"/>
      </w:rPr>
    </w:pPr>
    <w:r>
      <w:rPr>
        <w:rFonts w:ascii="宋体" w:hAnsi="宋体" w:hint="eastAsia"/>
      </w:rPr>
      <w:t>交银施罗德先锋混合型证券投资基金(更新)招募说明书(2023年第1号)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BB" w:rsidRDefault="00BA0BBB">
    <w:pPr>
      <w:pStyle w:val="10"/>
      <w:jc w:val="right"/>
    </w:pPr>
  </w:p>
  <w:p w:rsidR="00BA0BBB" w:rsidRDefault="00BA0BBB">
    <w:pPr>
      <w:pStyle w:val="10"/>
      <w:jc w:val="right"/>
    </w:pPr>
  </w:p>
  <w:p w:rsidR="00BA0BBB" w:rsidRDefault="00BA0BBB">
    <w:pPr>
      <w:pStyle w:val="a3"/>
      <w:jc w:val="right"/>
    </w:pPr>
  </w:p>
  <w:p w:rsidR="009E65D0" w:rsidRDefault="00BA3862">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A0BBB" w:rsidRDefault="003E11BC">
    <w:pPr>
      <w:pStyle w:val="a3"/>
      <w:jc w:val="right"/>
      <w:rPr>
        <w:rFonts w:ascii="宋体" w:hAnsi="宋体"/>
      </w:rPr>
    </w:pPr>
    <w:r>
      <w:rPr>
        <w:rFonts w:ascii="宋体" w:hAnsi="宋体" w:hint="eastAsia"/>
      </w:rPr>
      <w:t>交银施罗德先锋混合型证券投资基金(更新)招募说明书(2023年</w:t>
    </w:r>
    <w:r w:rsidR="00EC5E07">
      <w:rPr>
        <w:rFonts w:ascii="宋体" w:hAnsi="宋体" w:hint="eastAsia"/>
      </w:rPr>
      <w:t>第</w:t>
    </w:r>
    <w:r w:rsidR="00EC5E07">
      <w:rPr>
        <w:rFonts w:ascii="宋体" w:hAnsi="宋体"/>
      </w:rPr>
      <w:t>2</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BB" w:rsidRDefault="00BA0BBB">
    <w:pPr>
      <w:pStyle w:val="a3"/>
      <w:jc w:val="right"/>
    </w:pPr>
  </w:p>
  <w:p w:rsidR="00BA0BBB" w:rsidRDefault="00BA0BBB">
    <w:pPr>
      <w:pStyle w:val="a3"/>
      <w:jc w:val="right"/>
    </w:pPr>
  </w:p>
  <w:p w:rsidR="00BA0BBB" w:rsidRDefault="00BA0BBB">
    <w:pPr>
      <w:pStyle w:val="a3"/>
      <w:jc w:val="right"/>
    </w:pPr>
  </w:p>
  <w:p w:rsidR="009E65D0" w:rsidRDefault="00BA3862">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A0BBB" w:rsidRDefault="003E11BC">
    <w:pPr>
      <w:pStyle w:val="a3"/>
      <w:jc w:val="right"/>
      <w:rPr>
        <w:rFonts w:ascii="宋体" w:hAnsi="宋体"/>
      </w:rPr>
    </w:pPr>
    <w:r>
      <w:rPr>
        <w:rFonts w:ascii="宋体" w:hAnsi="宋体" w:hint="eastAsia"/>
      </w:rPr>
      <w:t>交银施罗德先锋混合型证券投资基金(更新)招募说明书(2023年</w:t>
    </w:r>
    <w:r w:rsidR="00EC5E07">
      <w:rPr>
        <w:rFonts w:ascii="宋体" w:hAnsi="宋体" w:hint="eastAsia"/>
      </w:rPr>
      <w:t>第</w:t>
    </w:r>
    <w:r w:rsidR="00EC5E07">
      <w:rPr>
        <w:rFonts w:ascii="宋体" w:hAnsi="宋体"/>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5A94"/>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2C1C"/>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1BC"/>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38F"/>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0ABB"/>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0BBB"/>
    <w:rsid w:val="00BA3196"/>
    <w:rsid w:val="00BA3509"/>
    <w:rsid w:val="00BA3862"/>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3EB"/>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346F"/>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C5E07"/>
    <w:rsid w:val="00ED22A8"/>
    <w:rsid w:val="00ED2479"/>
    <w:rsid w:val="00ED4EB4"/>
    <w:rsid w:val="00ED5D09"/>
    <w:rsid w:val="00ED7107"/>
    <w:rsid w:val="00EE2221"/>
    <w:rsid w:val="00EE276F"/>
    <w:rsid w:val="00EE2982"/>
    <w:rsid w:val="00EE634F"/>
    <w:rsid w:val="00EE6C57"/>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1A6A8C-B6EA-487F-A817-CF5210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17166</Words>
  <Characters>97847</Characters>
  <Application>Microsoft Office Word</Application>
  <DocSecurity>0</DocSecurity>
  <Lines>815</Lines>
  <Paragraphs>229</Paragraphs>
  <ScaleCrop>false</ScaleCrop>
  <Company>Microsoft</Company>
  <LinksUpToDate>false</LinksUpToDate>
  <CharactersWithSpaces>114784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郝婷婷</cp:lastModifiedBy>
  <cp:revision>5</cp:revision>
  <cp:lastPrinted>2013-02-18T03:10:00Z</cp:lastPrinted>
  <dcterms:created xsi:type="dcterms:W3CDTF">2023-07-07T10:15:00Z</dcterms:created>
  <dcterms:modified xsi:type="dcterms:W3CDTF">2023-07-10T07:38:00Z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