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C0" w:rsidRPr="00EB07BC" w:rsidRDefault="00CC7851">
      <w:pPr>
        <w:rPr>
          <w:sz w:val="32"/>
        </w:rPr>
      </w:pPr>
    </w:p>
    <w:p w:rsidR="00C92FC0" w:rsidRPr="00EB07BC" w:rsidRDefault="00CC7851">
      <w:pPr>
        <w:rPr>
          <w:sz w:val="32"/>
        </w:rPr>
      </w:pPr>
    </w:p>
    <w:p w:rsidR="00C92FC0" w:rsidRPr="00EB07BC" w:rsidRDefault="00CC7851">
      <w:pPr>
        <w:rPr>
          <w:sz w:val="32"/>
        </w:rPr>
      </w:pPr>
    </w:p>
    <w:p w:rsidR="00C92FC0" w:rsidRPr="00EB07BC" w:rsidRDefault="00B873BF">
      <w:pPr>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9F2B1E" w:rsidRDefault="009F2B1E">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9F2B1E" w:rsidRDefault="009F2B1E">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9F2B1E" w:rsidRDefault="00B873BF">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交银施罗德精选混合型证券投资基金</w:t>
      </w:r>
    </w:p>
    <w:p w:rsidR="009F2B1E" w:rsidRDefault="00B873BF">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9F2B1E" w:rsidRDefault="00B873BF">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w:t>
      </w:r>
      <w:r w:rsidR="00180CC7">
        <w:rPr>
          <w:rFonts w:ascii="Times New Roman" w:hAnsi="Times New Roman"/>
          <w:b/>
          <w:color w:val="000000"/>
          <w:sz w:val="32"/>
          <w:szCs w:val="32"/>
        </w:rPr>
        <w:t>第</w:t>
      </w:r>
      <w:r w:rsidR="00180CC7">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rsidR="009F2B1E" w:rsidRDefault="009F2B1E">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F2B1E" w:rsidRDefault="009F2B1E">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F2B1E" w:rsidRDefault="009F2B1E">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F2B1E" w:rsidRDefault="009F2B1E">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F2B1E" w:rsidRDefault="009F2B1E">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F2B1E" w:rsidRDefault="009F2B1E">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F2B1E" w:rsidRDefault="00B873BF">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9F2B1E" w:rsidRDefault="00B873BF">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rsidR="009F2B1E" w:rsidRDefault="009F2B1E">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F2B1E" w:rsidRDefault="009F2B1E">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F2B1E" w:rsidRDefault="00B873BF">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180CC7">
        <w:rPr>
          <w:rFonts w:ascii="Times New Roman" w:hAnsi="Times New Roman" w:hint="eastAsia"/>
          <w:b/>
          <w:spacing w:val="2"/>
          <w:w w:val="99"/>
          <w:kern w:val="0"/>
          <w:sz w:val="28"/>
          <w:szCs w:val="32"/>
        </w:rPr>
        <w:t>七</w:t>
      </w:r>
      <w:r>
        <w:rPr>
          <w:rFonts w:ascii="Times New Roman" w:hAnsi="Times New Roman"/>
          <w:b/>
          <w:spacing w:val="2"/>
          <w:w w:val="99"/>
          <w:kern w:val="0"/>
          <w:sz w:val="28"/>
          <w:szCs w:val="32"/>
        </w:rPr>
        <w:t>月</w:t>
      </w:r>
    </w:p>
    <w:p w:rsidR="009F2B1E" w:rsidRDefault="009F2B1E">
      <w:pPr>
        <w:autoSpaceDE w:val="0"/>
        <w:autoSpaceDN w:val="0"/>
        <w:adjustRightInd w:val="0"/>
        <w:snapToGrid w:val="0"/>
        <w:spacing w:line="360" w:lineRule="auto"/>
        <w:ind w:left="1347" w:rightChars="6" w:right="13"/>
        <w:rPr>
          <w:rFonts w:ascii="宋体" w:hAnsi="宋体"/>
          <w:kern w:val="0"/>
          <w:sz w:val="32"/>
          <w:szCs w:val="32"/>
        </w:rPr>
        <w:sectPr w:rsidR="009F2B1E">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9F2B1E" w:rsidRDefault="00B873BF">
      <w:pPr>
        <w:pStyle w:val="1"/>
        <w:snapToGrid w:val="0"/>
        <w:spacing w:beforeLines="0" w:before="240" w:after="240"/>
        <w:rPr>
          <w:rFonts w:ascii="宋体" w:hAnsi="宋体"/>
          <w:kern w:val="0"/>
        </w:rPr>
      </w:pPr>
      <w:bookmarkStart w:id="0" w:name="_Toc324920538"/>
      <w:bookmarkStart w:id="1" w:name="_Toc496884613"/>
      <w:bookmarkStart w:id="2" w:name="_Toc124238826"/>
      <w:r>
        <w:rPr>
          <w:rFonts w:ascii="Times New Roman" w:hAnsi="Times New Roman"/>
          <w:kern w:val="0"/>
        </w:rPr>
        <w:lastRenderedPageBreak/>
        <w:t>重要提示</w:t>
      </w:r>
      <w:bookmarkEnd w:id="0"/>
      <w:bookmarkEnd w:id="1"/>
      <w:bookmarkEnd w:id="2"/>
    </w:p>
    <w:p w:rsidR="009F2B1E" w:rsidRDefault="00B873B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交银施罗德精选混合型证券投资基金（以下简称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）由交银施罗德精选股票证券投资基金变更而来，交银施罗德精选股票证券投资基金经</w:t>
      </w:r>
      <w:r>
        <w:rPr>
          <w:rFonts w:ascii="Times New Roman" w:hAnsi="Times New Roman"/>
          <w:kern w:val="0"/>
          <w:sz w:val="24"/>
        </w:rPr>
        <w:t>2005</w:t>
      </w:r>
      <w:r>
        <w:rPr>
          <w:rFonts w:ascii="Times New Roman" w:hAnsi="Times New Roman"/>
          <w:kern w:val="0"/>
          <w:sz w:val="24"/>
        </w:rPr>
        <w:t>年</w:t>
      </w:r>
      <w:r>
        <w:rPr>
          <w:rFonts w:ascii="Times New Roman" w:hAnsi="Times New Roman"/>
          <w:kern w:val="0"/>
          <w:sz w:val="24"/>
        </w:rPr>
        <w:t>8</w:t>
      </w:r>
      <w:r>
        <w:rPr>
          <w:rFonts w:ascii="Times New Roman" w:hAnsi="Times New Roman"/>
          <w:kern w:val="0"/>
          <w:sz w:val="24"/>
        </w:rPr>
        <w:t>月</w:t>
      </w:r>
      <w:r>
        <w:rPr>
          <w:rFonts w:ascii="Times New Roman" w:hAnsi="Times New Roman"/>
          <w:kern w:val="0"/>
          <w:sz w:val="24"/>
        </w:rPr>
        <w:t>17</w:t>
      </w:r>
      <w:r>
        <w:rPr>
          <w:rFonts w:ascii="Times New Roman" w:hAnsi="Times New Roman"/>
          <w:kern w:val="0"/>
          <w:sz w:val="24"/>
        </w:rPr>
        <w:t>日中国证券监督管理委员会证监基金字【</w:t>
      </w:r>
      <w:r>
        <w:rPr>
          <w:rFonts w:ascii="Times New Roman" w:hAnsi="Times New Roman"/>
          <w:kern w:val="0"/>
          <w:sz w:val="24"/>
        </w:rPr>
        <w:t>2005</w:t>
      </w:r>
      <w:r>
        <w:rPr>
          <w:rFonts w:ascii="Times New Roman" w:hAnsi="Times New Roman"/>
          <w:kern w:val="0"/>
          <w:sz w:val="24"/>
        </w:rPr>
        <w:t>】</w:t>
      </w:r>
      <w:r>
        <w:rPr>
          <w:rFonts w:ascii="Times New Roman" w:hAnsi="Times New Roman"/>
          <w:kern w:val="0"/>
          <w:sz w:val="24"/>
        </w:rPr>
        <w:t>140</w:t>
      </w:r>
      <w:r>
        <w:rPr>
          <w:rFonts w:ascii="Times New Roman" w:hAnsi="Times New Roman"/>
          <w:kern w:val="0"/>
          <w:sz w:val="24"/>
        </w:rPr>
        <w:t>号文核准募集。其基金基金合同于</w:t>
      </w:r>
      <w:r>
        <w:rPr>
          <w:rFonts w:ascii="Times New Roman" w:hAnsi="Times New Roman"/>
          <w:kern w:val="0"/>
          <w:sz w:val="24"/>
        </w:rPr>
        <w:t>2005</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w:t>
      </w:r>
      <w:r>
        <w:rPr>
          <w:rFonts w:ascii="Times New Roman" w:hAnsi="Times New Roman"/>
          <w:kern w:val="0"/>
          <w:sz w:val="24"/>
        </w:rPr>
        <w:t>29</w:t>
      </w:r>
      <w:r>
        <w:rPr>
          <w:rFonts w:ascii="Times New Roman" w:hAnsi="Times New Roman"/>
          <w:kern w:val="0"/>
          <w:sz w:val="24"/>
        </w:rPr>
        <w:t>日正式生效。</w:t>
      </w:r>
    </w:p>
    <w:p w:rsidR="009F2B1E" w:rsidRDefault="00B873B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审核同意，但中国证监会对交银施罗德精选股票证券投资基金作出的任何决定，均不表明其对本基金的价值和收益作出实质性判断或保证，也不表明投资于本基金没有风险。</w:t>
      </w:r>
    </w:p>
    <w:p w:rsidR="009F2B1E" w:rsidRDefault="00B873B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9F2B1E" w:rsidRDefault="00B873B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9F2B1E" w:rsidRDefault="00B873B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9F2B1E" w:rsidRDefault="00B873BF">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投资有风险，投资人在认购（或申购）本基金前应认真阅读本招募说明书。基金的过往业绩并不代表将来业绩。基金管理人管理的其他基金的业绩并不构成对本基金业绩表现的保证。</w:t>
      </w:r>
    </w:p>
    <w:p w:rsidR="009F2B1E" w:rsidRDefault="00180CC7">
      <w:pPr>
        <w:autoSpaceDE w:val="0"/>
        <w:autoSpaceDN w:val="0"/>
        <w:adjustRightInd w:val="0"/>
        <w:snapToGrid w:val="0"/>
        <w:spacing w:line="360" w:lineRule="auto"/>
        <w:ind w:leftChars="50" w:left="105" w:firstLineChars="200" w:firstLine="480"/>
        <w:rPr>
          <w:rFonts w:ascii="宋体" w:hAnsi="宋体"/>
          <w:kern w:val="0"/>
          <w:sz w:val="24"/>
        </w:rPr>
      </w:pPr>
      <w:r w:rsidRPr="00180CC7">
        <w:rPr>
          <w:rFonts w:ascii="Times New Roman" w:hAnsi="Times New Roman" w:hint="eastAsia"/>
          <w:kern w:val="0"/>
          <w:sz w:val="24"/>
        </w:rPr>
        <w:t>本次更新招募说明书主要对调整管理费率和</w:t>
      </w:r>
      <w:r w:rsidRPr="00180CC7">
        <w:rPr>
          <w:rFonts w:ascii="Times New Roman" w:hAnsi="Times New Roman" w:hint="eastAsia"/>
          <w:kern w:val="0"/>
          <w:sz w:val="24"/>
        </w:rPr>
        <w:t>/</w:t>
      </w:r>
      <w:r w:rsidRPr="00180CC7">
        <w:rPr>
          <w:rFonts w:ascii="Times New Roman" w:hAnsi="Times New Roman" w:hint="eastAsia"/>
          <w:kern w:val="0"/>
          <w:sz w:val="24"/>
        </w:rPr>
        <w:t>或托管费率相关事项进行了相应更新，更新截止日为</w:t>
      </w:r>
      <w:r w:rsidRPr="00180CC7">
        <w:rPr>
          <w:rFonts w:ascii="Times New Roman" w:hAnsi="Times New Roman" w:hint="eastAsia"/>
          <w:kern w:val="0"/>
          <w:sz w:val="24"/>
        </w:rPr>
        <w:t>2023</w:t>
      </w:r>
      <w:r w:rsidRPr="00180CC7">
        <w:rPr>
          <w:rFonts w:ascii="Times New Roman" w:hAnsi="Times New Roman" w:hint="eastAsia"/>
          <w:kern w:val="0"/>
          <w:sz w:val="24"/>
        </w:rPr>
        <w:t>年</w:t>
      </w:r>
      <w:r w:rsidRPr="00180CC7">
        <w:rPr>
          <w:rFonts w:ascii="Times New Roman" w:hAnsi="Times New Roman" w:hint="eastAsia"/>
          <w:kern w:val="0"/>
          <w:sz w:val="24"/>
        </w:rPr>
        <w:t>07</w:t>
      </w:r>
      <w:r w:rsidRPr="00180CC7">
        <w:rPr>
          <w:rFonts w:ascii="Times New Roman" w:hAnsi="Times New Roman" w:hint="eastAsia"/>
          <w:kern w:val="0"/>
          <w:sz w:val="24"/>
        </w:rPr>
        <w:t>月</w:t>
      </w:r>
      <w:r w:rsidRPr="00180CC7">
        <w:rPr>
          <w:rFonts w:ascii="Times New Roman" w:hAnsi="Times New Roman" w:hint="eastAsia"/>
          <w:kern w:val="0"/>
          <w:sz w:val="24"/>
        </w:rPr>
        <w:t>10</w:t>
      </w:r>
      <w:r w:rsidRPr="00180CC7">
        <w:rPr>
          <w:rFonts w:ascii="Times New Roman" w:hAnsi="Times New Roman" w:hint="eastAsia"/>
          <w:kern w:val="0"/>
          <w:sz w:val="24"/>
        </w:rPr>
        <w:t>日，</w:t>
      </w:r>
      <w:r w:rsidR="00FA3F23">
        <w:rPr>
          <w:rFonts w:ascii="Times New Roman" w:hAnsi="Times New Roman"/>
          <w:kern w:val="0"/>
          <w:sz w:val="24"/>
        </w:rPr>
        <w:t>基金经理变更相关事项更新截止日为</w:t>
      </w:r>
      <w:r w:rsidR="00FA3F23">
        <w:rPr>
          <w:rFonts w:ascii="Times New Roman" w:hAnsi="Times New Roman"/>
          <w:kern w:val="0"/>
          <w:sz w:val="24"/>
        </w:rPr>
        <w:t>2023</w:t>
      </w:r>
      <w:r w:rsidR="00FA3F23">
        <w:rPr>
          <w:rFonts w:ascii="Times New Roman" w:hAnsi="Times New Roman"/>
          <w:kern w:val="0"/>
          <w:sz w:val="24"/>
        </w:rPr>
        <w:t>年</w:t>
      </w:r>
      <w:r w:rsidR="00FA3F23">
        <w:rPr>
          <w:rFonts w:ascii="Times New Roman" w:hAnsi="Times New Roman"/>
          <w:kern w:val="0"/>
          <w:sz w:val="24"/>
        </w:rPr>
        <w:t>01</w:t>
      </w:r>
      <w:r w:rsidR="00FA3F23">
        <w:rPr>
          <w:rFonts w:ascii="Times New Roman" w:hAnsi="Times New Roman"/>
          <w:kern w:val="0"/>
          <w:sz w:val="24"/>
        </w:rPr>
        <w:t>月</w:t>
      </w:r>
      <w:r w:rsidR="00FA3F23">
        <w:rPr>
          <w:rFonts w:ascii="Times New Roman" w:hAnsi="Times New Roman" w:hint="eastAsia"/>
          <w:kern w:val="0"/>
          <w:sz w:val="24"/>
        </w:rPr>
        <w:t>0</w:t>
      </w:r>
      <w:r w:rsidR="00FA3F23">
        <w:rPr>
          <w:rFonts w:ascii="Times New Roman" w:hAnsi="Times New Roman"/>
          <w:kern w:val="0"/>
          <w:sz w:val="24"/>
        </w:rPr>
        <w:t>7</w:t>
      </w:r>
      <w:r w:rsidR="00FA3F23">
        <w:rPr>
          <w:rFonts w:ascii="Times New Roman" w:hAnsi="Times New Roman"/>
          <w:kern w:val="0"/>
          <w:sz w:val="24"/>
        </w:rPr>
        <w:t>日，</w:t>
      </w:r>
      <w:r w:rsidRPr="00180CC7">
        <w:rPr>
          <w:rFonts w:ascii="Times New Roman" w:hAnsi="Times New Roman" w:hint="eastAsia"/>
          <w:kern w:val="0"/>
          <w:sz w:val="24"/>
        </w:rPr>
        <w:t>除非另有说明，</w:t>
      </w:r>
      <w:r w:rsidR="00B873BF">
        <w:rPr>
          <w:rFonts w:ascii="Times New Roman" w:hAnsi="Times New Roman"/>
          <w:kern w:val="0"/>
          <w:sz w:val="24"/>
        </w:rPr>
        <w:t>本招募说明书其他所载内容截止日为</w:t>
      </w:r>
      <w:r w:rsidR="00B873BF">
        <w:rPr>
          <w:rFonts w:ascii="Times New Roman" w:hAnsi="Times New Roman"/>
          <w:kern w:val="0"/>
          <w:sz w:val="24"/>
        </w:rPr>
        <w:t>2022</w:t>
      </w:r>
      <w:r w:rsidR="00B873BF">
        <w:rPr>
          <w:rFonts w:ascii="Times New Roman" w:hAnsi="Times New Roman"/>
          <w:kern w:val="0"/>
          <w:sz w:val="24"/>
        </w:rPr>
        <w:t>年</w:t>
      </w:r>
      <w:r w:rsidR="00B873BF">
        <w:rPr>
          <w:rFonts w:ascii="Times New Roman" w:hAnsi="Times New Roman"/>
          <w:kern w:val="0"/>
          <w:sz w:val="24"/>
        </w:rPr>
        <w:t>09</w:t>
      </w:r>
      <w:r w:rsidR="00B873BF">
        <w:rPr>
          <w:rFonts w:ascii="Times New Roman" w:hAnsi="Times New Roman"/>
          <w:kern w:val="0"/>
          <w:sz w:val="24"/>
        </w:rPr>
        <w:t>月</w:t>
      </w:r>
      <w:r w:rsidR="00B873BF">
        <w:rPr>
          <w:rFonts w:ascii="Times New Roman" w:hAnsi="Times New Roman"/>
          <w:kern w:val="0"/>
          <w:sz w:val="24"/>
        </w:rPr>
        <w:t>10</w:t>
      </w:r>
      <w:r w:rsidR="00B873BF">
        <w:rPr>
          <w:rFonts w:ascii="Times New Roman" w:hAnsi="Times New Roman"/>
          <w:kern w:val="0"/>
          <w:sz w:val="24"/>
        </w:rPr>
        <w:t>日，有关财务和业绩表现数据截止日为</w:t>
      </w:r>
      <w:r w:rsidR="00B873BF">
        <w:rPr>
          <w:rFonts w:ascii="Times New Roman" w:hAnsi="Times New Roman"/>
          <w:kern w:val="0"/>
          <w:sz w:val="24"/>
        </w:rPr>
        <w:t>2022</w:t>
      </w:r>
      <w:r w:rsidR="00B873BF">
        <w:rPr>
          <w:rFonts w:ascii="Times New Roman" w:hAnsi="Times New Roman"/>
          <w:kern w:val="0"/>
          <w:sz w:val="24"/>
        </w:rPr>
        <w:t>年</w:t>
      </w:r>
      <w:r w:rsidR="00B873BF">
        <w:rPr>
          <w:rFonts w:ascii="Times New Roman" w:hAnsi="Times New Roman"/>
          <w:kern w:val="0"/>
          <w:sz w:val="24"/>
        </w:rPr>
        <w:t>06</w:t>
      </w:r>
      <w:r w:rsidR="00B873BF">
        <w:rPr>
          <w:rFonts w:ascii="Times New Roman" w:hAnsi="Times New Roman"/>
          <w:kern w:val="0"/>
          <w:sz w:val="24"/>
        </w:rPr>
        <w:t>月</w:t>
      </w:r>
      <w:r w:rsidR="00B873BF">
        <w:rPr>
          <w:rFonts w:ascii="Times New Roman" w:hAnsi="Times New Roman"/>
          <w:kern w:val="0"/>
          <w:sz w:val="24"/>
        </w:rPr>
        <w:t>30</w:t>
      </w:r>
      <w:r w:rsidR="00B873BF">
        <w:rPr>
          <w:rFonts w:ascii="Times New Roman" w:hAnsi="Times New Roman"/>
          <w:kern w:val="0"/>
          <w:sz w:val="24"/>
        </w:rPr>
        <w:t>日，财务和业绩表现数据未经审计。</w:t>
      </w:r>
    </w:p>
    <w:p w:rsidR="009F2B1E" w:rsidRDefault="009F2B1E">
      <w:pPr>
        <w:autoSpaceDE w:val="0"/>
        <w:autoSpaceDN w:val="0"/>
        <w:adjustRightInd w:val="0"/>
        <w:snapToGrid w:val="0"/>
        <w:spacing w:before="51" w:line="360" w:lineRule="auto"/>
        <w:ind w:left="120" w:rightChars="6" w:right="13" w:firstLine="480"/>
        <w:rPr>
          <w:rFonts w:ascii="宋体" w:hAnsi="宋体"/>
          <w:kern w:val="0"/>
          <w:szCs w:val="24"/>
        </w:rPr>
        <w:sectPr w:rsidR="009F2B1E">
          <w:headerReference w:type="default" r:id="rId12"/>
          <w:pgSz w:w="11920" w:h="16840"/>
          <w:pgMar w:top="1440" w:right="1680" w:bottom="280" w:left="1680" w:header="0" w:footer="1073" w:gutter="0"/>
          <w:pgNumType w:start="1"/>
          <w:cols w:space="720"/>
        </w:sectPr>
      </w:pPr>
    </w:p>
    <w:p w:rsidR="00EA68E2" w:rsidRPr="00EA68E2" w:rsidRDefault="00B873BF" w:rsidP="00EA68E2">
      <w:pPr>
        <w:pStyle w:val="ad"/>
        <w:snapToGrid w:val="0"/>
        <w:spacing w:after="240" w:line="360" w:lineRule="auto"/>
        <w:jc w:val="center"/>
        <w:rPr>
          <w:rFonts w:ascii="宋体" w:hAnsi="宋体"/>
          <w:noProof/>
          <w:sz w:val="24"/>
        </w:rPr>
      </w:pPr>
      <w:r w:rsidRPr="00EA68E2">
        <w:rPr>
          <w:rFonts w:ascii="宋体" w:hAnsi="宋体"/>
          <w:color w:val="000000"/>
          <w:position w:val="-4"/>
          <w:sz w:val="24"/>
          <w:szCs w:val="30"/>
        </w:rPr>
        <w:lastRenderedPageBreak/>
        <w:t>目</w:t>
      </w:r>
      <w:r w:rsidRPr="00EA68E2">
        <w:rPr>
          <w:rFonts w:ascii="宋体" w:hAnsi="宋体"/>
          <w:color w:val="000000"/>
          <w:position w:val="-4"/>
          <w:sz w:val="24"/>
          <w:szCs w:val="30"/>
        </w:rPr>
        <w:tab/>
        <w:t>录</w:t>
      </w:r>
      <w:r w:rsidR="00EA68E2" w:rsidRPr="00EA68E2">
        <w:rPr>
          <w:rFonts w:ascii="宋体" w:hAnsi="宋体"/>
          <w:color w:val="000000"/>
          <w:position w:val="-4"/>
          <w:sz w:val="24"/>
          <w:szCs w:val="30"/>
        </w:rPr>
        <w:fldChar w:fldCharType="begin"/>
      </w:r>
      <w:r w:rsidR="00EA68E2" w:rsidRPr="00EA68E2">
        <w:rPr>
          <w:rFonts w:ascii="宋体" w:hAnsi="宋体"/>
          <w:color w:val="000000"/>
          <w:position w:val="-4"/>
          <w:sz w:val="24"/>
          <w:szCs w:val="30"/>
        </w:rPr>
        <w:instrText xml:space="preserve"> TOC \o "1-3" \f - \h \t "-1" </w:instrText>
      </w:r>
      <w:r w:rsidR="00EA68E2" w:rsidRPr="00EA68E2">
        <w:rPr>
          <w:rFonts w:ascii="宋体" w:hAnsi="宋体"/>
          <w:color w:val="000000"/>
          <w:position w:val="-4"/>
          <w:sz w:val="24"/>
          <w:szCs w:val="30"/>
        </w:rPr>
        <w:fldChar w:fldCharType="separate"/>
      </w:r>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26" w:history="1">
        <w:r w:rsidR="00EA68E2" w:rsidRPr="00EA68E2">
          <w:rPr>
            <w:rStyle w:val="aa"/>
            <w:rFonts w:ascii="宋体" w:hAnsi="宋体" w:hint="eastAsia"/>
            <w:noProof/>
            <w:kern w:val="0"/>
            <w:sz w:val="24"/>
          </w:rPr>
          <w:t>重要提示</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_Toc124238826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1</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27" w:history="1">
        <w:r w:rsidR="00EA68E2" w:rsidRPr="00EA68E2">
          <w:rPr>
            <w:rStyle w:val="aa"/>
            <w:rFonts w:ascii="宋体" w:hAnsi="宋体" w:hint="eastAsia"/>
            <w:noProof/>
            <w:sz w:val="24"/>
          </w:rPr>
          <w:t>一、绪言</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_Toc124238827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3</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28" w:history="1">
        <w:r w:rsidR="00EA68E2" w:rsidRPr="00EA68E2">
          <w:rPr>
            <w:rStyle w:val="aa"/>
            <w:rFonts w:ascii="宋体" w:hAnsi="宋体" w:hint="eastAsia"/>
            <w:noProof/>
            <w:sz w:val="24"/>
          </w:rPr>
          <w:t>二、释义</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_Toc124238828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4</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29" w:history="1">
        <w:r w:rsidR="00EA68E2" w:rsidRPr="00EA68E2">
          <w:rPr>
            <w:rStyle w:val="aa"/>
            <w:rFonts w:ascii="宋体" w:hAnsi="宋体" w:hint="eastAsia"/>
            <w:noProof/>
            <w:sz w:val="24"/>
          </w:rPr>
          <w:t>三、基金管理人</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_Toc124238829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9</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30" w:history="1">
        <w:r w:rsidR="00EA68E2" w:rsidRPr="00EA68E2">
          <w:rPr>
            <w:rStyle w:val="aa"/>
            <w:rFonts w:ascii="宋体" w:hAnsi="宋体" w:hint="eastAsia"/>
            <w:noProof/>
            <w:sz w:val="24"/>
          </w:rPr>
          <w:t>四、基金托管人</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_Toc124238830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17</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31" w:history="1">
        <w:r w:rsidR="00EA68E2" w:rsidRPr="00EA68E2">
          <w:rPr>
            <w:rStyle w:val="aa"/>
            <w:rFonts w:ascii="宋体" w:hAnsi="宋体" w:hint="eastAsia"/>
            <w:noProof/>
            <w:sz w:val="24"/>
          </w:rPr>
          <w:t>五、相关服务机构</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_Toc124238831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20</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32" w:history="1">
        <w:r w:rsidR="00EA68E2" w:rsidRPr="00EA68E2">
          <w:rPr>
            <w:rStyle w:val="aa"/>
            <w:rFonts w:ascii="宋体" w:hAnsi="宋体" w:hint="eastAsia"/>
            <w:noProof/>
            <w:sz w:val="24"/>
          </w:rPr>
          <w:t>六、基金的历史沿革</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_Toc124238832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60</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33" w:history="1">
        <w:r w:rsidR="00EA68E2" w:rsidRPr="00EA68E2">
          <w:rPr>
            <w:rStyle w:val="aa"/>
            <w:rFonts w:ascii="宋体" w:hAnsi="宋体" w:hint="eastAsia"/>
            <w:noProof/>
            <w:sz w:val="24"/>
          </w:rPr>
          <w:t>七、基金的存续</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_Toc124238833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61</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34" w:history="1">
        <w:r w:rsidR="00EA68E2" w:rsidRPr="00EA68E2">
          <w:rPr>
            <w:rStyle w:val="aa"/>
            <w:rFonts w:ascii="宋体" w:hAnsi="宋体" w:hint="eastAsia"/>
            <w:noProof/>
            <w:sz w:val="24"/>
          </w:rPr>
          <w:t>八、基金份额的申购与赎回</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_Toc124238834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62</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35" w:history="1">
        <w:r w:rsidR="00EA68E2" w:rsidRPr="00EA68E2">
          <w:rPr>
            <w:rStyle w:val="aa"/>
            <w:rFonts w:ascii="宋体" w:hAnsi="宋体" w:hint="eastAsia"/>
            <w:noProof/>
            <w:sz w:val="24"/>
          </w:rPr>
          <w:t>九、基金的转换</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_Toc124238835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74</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36" w:history="1">
        <w:r w:rsidR="00EA68E2" w:rsidRPr="00EA68E2">
          <w:rPr>
            <w:rStyle w:val="aa"/>
            <w:rFonts w:ascii="宋体" w:hAnsi="宋体" w:hint="eastAsia"/>
            <w:noProof/>
            <w:sz w:val="24"/>
          </w:rPr>
          <w:t>十、基金的投资</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_Toc124238836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81</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37" w:history="1">
        <w:r w:rsidR="00EA68E2" w:rsidRPr="00EA68E2">
          <w:rPr>
            <w:rStyle w:val="aa"/>
            <w:rFonts w:ascii="宋体" w:hAnsi="宋体" w:hint="eastAsia"/>
            <w:noProof/>
            <w:sz w:val="24"/>
          </w:rPr>
          <w:t>十一、基金的业绩</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_Toc124238837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91</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38" w:history="1">
        <w:r w:rsidR="00EA68E2" w:rsidRPr="00EA68E2">
          <w:rPr>
            <w:rStyle w:val="aa"/>
            <w:rFonts w:ascii="宋体" w:hAnsi="宋体" w:hint="eastAsia"/>
            <w:noProof/>
            <w:sz w:val="24"/>
          </w:rPr>
          <w:t>十二、基金的财产</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_Toc124238838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93</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39" w:history="1">
        <w:r w:rsidR="00EA68E2" w:rsidRPr="00EA68E2">
          <w:rPr>
            <w:rStyle w:val="aa"/>
            <w:rFonts w:ascii="宋体" w:hAnsi="宋体" w:hint="eastAsia"/>
            <w:noProof/>
            <w:sz w:val="24"/>
          </w:rPr>
          <w:t>十三、基金资产的估值</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_Toc124238839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95</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40" w:history="1">
        <w:r w:rsidR="00EA68E2" w:rsidRPr="00EA68E2">
          <w:rPr>
            <w:rStyle w:val="aa"/>
            <w:rFonts w:ascii="宋体" w:hAnsi="宋体" w:hint="eastAsia"/>
            <w:noProof/>
            <w:sz w:val="24"/>
          </w:rPr>
          <w:t>十四、基金收益与分配</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_Toc124238840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101</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41" w:history="1">
        <w:r w:rsidR="00EA68E2" w:rsidRPr="00EA68E2">
          <w:rPr>
            <w:rStyle w:val="aa"/>
            <w:rFonts w:ascii="宋体" w:hAnsi="宋体" w:hint="eastAsia"/>
            <w:noProof/>
            <w:sz w:val="24"/>
          </w:rPr>
          <w:t>十五、基金的费用与税收</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_Toc124238841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103</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42" w:history="1">
        <w:r w:rsidR="00EA68E2" w:rsidRPr="00EA68E2">
          <w:rPr>
            <w:rStyle w:val="aa"/>
            <w:rFonts w:ascii="宋体" w:hAnsi="宋体" w:hint="eastAsia"/>
            <w:noProof/>
            <w:sz w:val="24"/>
          </w:rPr>
          <w:t>十六、基金的会计与审计</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_Toc124238842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105</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43" w:history="1">
        <w:r w:rsidR="00EA68E2" w:rsidRPr="00EA68E2">
          <w:rPr>
            <w:rStyle w:val="aa"/>
            <w:rFonts w:ascii="宋体" w:hAnsi="宋体" w:hint="eastAsia"/>
            <w:noProof/>
            <w:sz w:val="24"/>
          </w:rPr>
          <w:t>十七、基金的信息披露</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_Toc124238843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106</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44" w:history="1">
        <w:r w:rsidR="00EA68E2" w:rsidRPr="00EA68E2">
          <w:rPr>
            <w:rStyle w:val="aa"/>
            <w:rFonts w:ascii="宋体" w:hAnsi="宋体" w:hint="eastAsia"/>
            <w:noProof/>
            <w:sz w:val="24"/>
          </w:rPr>
          <w:t>十八、风险揭示</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_Toc124238844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112</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45" w:history="1">
        <w:r w:rsidR="00EA68E2" w:rsidRPr="00EA68E2">
          <w:rPr>
            <w:rStyle w:val="aa"/>
            <w:rFonts w:ascii="宋体" w:hAnsi="宋体" w:hint="eastAsia"/>
            <w:noProof/>
            <w:sz w:val="24"/>
          </w:rPr>
          <w:t>十九、基金合同的终止与基金财产的清算</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_Toc124238845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118</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46" w:history="1">
        <w:r w:rsidR="00EA68E2" w:rsidRPr="00EA68E2">
          <w:rPr>
            <w:rStyle w:val="aa"/>
            <w:rFonts w:ascii="宋体" w:hAnsi="宋体" w:hint="eastAsia"/>
            <w:noProof/>
            <w:sz w:val="24"/>
          </w:rPr>
          <w:t>二十、基金合同内容摘要</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_Toc124238846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120</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47" w:history="1">
        <w:r w:rsidR="00EA68E2" w:rsidRPr="00EA68E2">
          <w:rPr>
            <w:rStyle w:val="aa"/>
            <w:rFonts w:ascii="宋体" w:hAnsi="宋体" w:hint="eastAsia"/>
            <w:noProof/>
            <w:sz w:val="24"/>
          </w:rPr>
          <w:t>二十一、托管协议的内容摘要</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_Toc124238847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134</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48" w:history="1">
        <w:r w:rsidR="00EA68E2" w:rsidRPr="00EA68E2">
          <w:rPr>
            <w:rStyle w:val="aa"/>
            <w:rFonts w:ascii="宋体" w:hAnsi="宋体" w:hint="eastAsia"/>
            <w:noProof/>
            <w:sz w:val="24"/>
          </w:rPr>
          <w:t>二十二、对基金份额持有人的服务</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_Toc124238848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145</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49" w:history="1">
        <w:r w:rsidR="00EA68E2" w:rsidRPr="00EA68E2">
          <w:rPr>
            <w:rStyle w:val="aa"/>
            <w:rFonts w:ascii="宋体" w:hAnsi="宋体" w:hint="eastAsia"/>
            <w:noProof/>
            <w:sz w:val="24"/>
          </w:rPr>
          <w:t>二十三、其他应披露事项</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_Toc124238849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147</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50" w:history="1">
        <w:r w:rsidR="00EA68E2" w:rsidRPr="00EA68E2">
          <w:rPr>
            <w:rStyle w:val="aa"/>
            <w:rFonts w:ascii="宋体" w:hAnsi="宋体" w:hint="eastAsia"/>
            <w:noProof/>
            <w:sz w:val="24"/>
          </w:rPr>
          <w:t>二十四、招募说明书的存放及查阅方式</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_Toc124238850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150</w:t>
        </w:r>
        <w:r w:rsidR="00EA68E2" w:rsidRPr="00EA68E2">
          <w:rPr>
            <w:rFonts w:ascii="宋体" w:hAnsi="宋体"/>
            <w:noProof/>
            <w:sz w:val="24"/>
          </w:rPr>
          <w:fldChar w:fldCharType="end"/>
        </w:r>
      </w:hyperlink>
    </w:p>
    <w:p w:rsidR="00EA68E2" w:rsidRPr="00EA68E2" w:rsidRDefault="00CC7851" w:rsidP="00EA68E2">
      <w:pPr>
        <w:pStyle w:val="10"/>
        <w:tabs>
          <w:tab w:val="right" w:leader="dot" w:pos="8550"/>
        </w:tabs>
        <w:spacing w:line="360" w:lineRule="auto"/>
        <w:rPr>
          <w:rFonts w:ascii="宋体" w:hAnsi="宋体" w:cstheme="minorBidi"/>
          <w:noProof/>
          <w:sz w:val="24"/>
        </w:rPr>
      </w:pPr>
      <w:hyperlink w:anchor="_Toc124238851" w:history="1">
        <w:r w:rsidR="00EA68E2" w:rsidRPr="00EA68E2">
          <w:rPr>
            <w:rStyle w:val="aa"/>
            <w:rFonts w:ascii="宋体" w:hAnsi="宋体" w:hint="eastAsia"/>
            <w:noProof/>
            <w:sz w:val="24"/>
          </w:rPr>
          <w:t>二十五、备查文件</w:t>
        </w:r>
        <w:r w:rsidR="00EA68E2" w:rsidRPr="00EA68E2">
          <w:rPr>
            <w:rFonts w:ascii="宋体" w:hAnsi="宋体"/>
            <w:noProof/>
            <w:sz w:val="24"/>
          </w:rPr>
          <w:tab/>
        </w:r>
        <w:r w:rsidR="00EA68E2" w:rsidRPr="00EA68E2">
          <w:rPr>
            <w:rFonts w:ascii="宋体" w:hAnsi="宋体"/>
            <w:noProof/>
            <w:sz w:val="24"/>
          </w:rPr>
          <w:fldChar w:fldCharType="begin"/>
        </w:r>
        <w:r w:rsidR="00EA68E2" w:rsidRPr="00EA68E2">
          <w:rPr>
            <w:rFonts w:ascii="宋体" w:hAnsi="宋体"/>
            <w:noProof/>
            <w:sz w:val="24"/>
          </w:rPr>
          <w:instrText xml:space="preserve"> PAGEREF _Toc124238851 \h </w:instrText>
        </w:r>
        <w:r w:rsidR="00EA68E2" w:rsidRPr="00EA68E2">
          <w:rPr>
            <w:rFonts w:ascii="宋体" w:hAnsi="宋体"/>
            <w:noProof/>
            <w:sz w:val="24"/>
          </w:rPr>
        </w:r>
        <w:r w:rsidR="00EA68E2" w:rsidRPr="00EA68E2">
          <w:rPr>
            <w:rFonts w:ascii="宋体" w:hAnsi="宋体"/>
            <w:noProof/>
            <w:sz w:val="24"/>
          </w:rPr>
          <w:fldChar w:fldCharType="separate"/>
        </w:r>
        <w:r w:rsidR="00EA68E2" w:rsidRPr="00EA68E2">
          <w:rPr>
            <w:rFonts w:ascii="宋体" w:hAnsi="宋体"/>
            <w:noProof/>
            <w:sz w:val="24"/>
          </w:rPr>
          <w:t>151</w:t>
        </w:r>
        <w:r w:rsidR="00EA68E2" w:rsidRPr="00EA68E2">
          <w:rPr>
            <w:rFonts w:ascii="宋体" w:hAnsi="宋体"/>
            <w:noProof/>
            <w:sz w:val="24"/>
          </w:rPr>
          <w:fldChar w:fldCharType="end"/>
        </w:r>
      </w:hyperlink>
    </w:p>
    <w:p w:rsidR="009F2B1E" w:rsidRPr="00EA68E2" w:rsidRDefault="00EA68E2" w:rsidP="00EA68E2">
      <w:pPr>
        <w:pStyle w:val="ad"/>
        <w:snapToGrid w:val="0"/>
        <w:spacing w:after="240" w:line="360" w:lineRule="auto"/>
        <w:jc w:val="center"/>
        <w:rPr>
          <w:rFonts w:ascii="宋体" w:hAnsi="宋体"/>
          <w:color w:val="000000"/>
          <w:sz w:val="24"/>
        </w:rPr>
      </w:pPr>
      <w:r w:rsidRPr="00EA68E2">
        <w:rPr>
          <w:rFonts w:ascii="宋体" w:hAnsi="宋体"/>
          <w:color w:val="000000"/>
          <w:position w:val="-4"/>
          <w:sz w:val="24"/>
          <w:szCs w:val="30"/>
        </w:rPr>
        <w:lastRenderedPageBreak/>
        <w:fldChar w:fldCharType="end"/>
      </w:r>
    </w:p>
    <w:p w:rsidR="009F2B1E" w:rsidRDefault="009F2B1E">
      <w:pPr>
        <w:autoSpaceDE w:val="0"/>
        <w:autoSpaceDN w:val="0"/>
        <w:adjustRightInd w:val="0"/>
        <w:snapToGrid w:val="0"/>
        <w:spacing w:line="360" w:lineRule="auto"/>
        <w:ind w:left="120" w:rightChars="6" w:right="13"/>
        <w:rPr>
          <w:rFonts w:ascii="宋体" w:hAnsi="宋体"/>
          <w:kern w:val="0"/>
          <w:szCs w:val="24"/>
        </w:rPr>
        <w:sectPr w:rsidR="009F2B1E">
          <w:pgSz w:w="11920" w:h="16840"/>
          <w:pgMar w:top="1480" w:right="1680" w:bottom="280" w:left="1680" w:header="0" w:footer="1073" w:gutter="0"/>
          <w:cols w:space="720"/>
        </w:sectPr>
      </w:pPr>
    </w:p>
    <w:p w:rsidR="009F2B1E" w:rsidRDefault="00B873BF">
      <w:pPr>
        <w:pStyle w:val="1"/>
        <w:snapToGrid w:val="0"/>
        <w:spacing w:beforeLines="0" w:before="240" w:after="240"/>
        <w:rPr>
          <w:rFonts w:ascii="宋体" w:hAnsi="宋体"/>
          <w:szCs w:val="30"/>
        </w:rPr>
      </w:pPr>
      <w:bookmarkStart w:id="3" w:name="_Toc124238827"/>
      <w:r>
        <w:rPr>
          <w:rFonts w:ascii="Times New Roman" w:hAnsi="Times New Roman"/>
          <w:sz w:val="30"/>
        </w:rPr>
        <w:lastRenderedPageBreak/>
        <w:t>一、绪言</w:t>
      </w:r>
      <w:bookmarkEnd w:id="3"/>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精选混合型证券投资基金招募说明书（更新）》（以下简称“本招募说明书”）依据《中华人民共和国证券投资基金法》（以下简称《基金法》）、《公开募集证券投资基金运作管理办法》、《证券投资基金销售管理办法》、《公开募集证券投资基金信息披露管理办法》、《公开募集开放式证券投资基金流动性风险管理规定》和其他相关法律法规的规定以及《交银施罗德精选混合型证券投资基金基金合同》（以下简称“基金合同”）编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4" w:name="_Toc124238828"/>
      <w:r>
        <w:rPr>
          <w:rFonts w:ascii="Times New Roman" w:hAnsi="Times New Roman"/>
          <w:sz w:val="30"/>
        </w:rPr>
        <w:lastRenderedPageBreak/>
        <w:t>二、释义</w:t>
      </w:r>
      <w:bookmarkEnd w:id="4"/>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tbl>
      <w:tblPr>
        <w:tblW w:w="5000" w:type="pct"/>
        <w:tblCellMar>
          <w:left w:w="0" w:type="dxa"/>
          <w:right w:w="0" w:type="dxa"/>
        </w:tblCellMar>
        <w:tblLook w:val="0000" w:firstRow="0" w:lastRow="0" w:firstColumn="0" w:lastColumn="0" w:noHBand="0" w:noVBand="0"/>
      </w:tblPr>
      <w:tblGrid>
        <w:gridCol w:w="4325"/>
        <w:gridCol w:w="4325"/>
      </w:tblGrid>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指交银施罗德精选混合型证券投资基金，本基金由交银施罗德精选股票证券投资基金变更而来</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指《交银施罗德精选混合型证券投资基金基金合同》及其任何修订和补充</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招募说明书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指《交银施罗德精选混合型证券投资基金招募说明书》及其更新</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发售公告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指本基金根据《运作办法》变更为混合型基金前的《交银施罗德精选股票证券投资基金基金份额发售公告》</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 xml:space="preserve"> </w:t>
            </w:r>
            <w:r>
              <w:rPr>
                <w:rFonts w:ascii="Times New Roman" w:hAnsi="Times New Roman"/>
                <w:color w:val="000000"/>
                <w:kern w:val="0"/>
                <w:sz w:val="25"/>
                <w:szCs w:val="24"/>
              </w:rPr>
              <w:t>《交银施罗德精选混合型证券投资基金基金产品资料概要》及其更新</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托管协议</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指基金管理人与基金托管人签订的《交银施罗德精选混合型证券投资基金托管协议》及其任何修订和补充</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指中国现时有效并公布实施的法律、行政法规、部门规章及规范性文件、地方性法规、地方政府规章及规范性文件</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《证券法》</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指《中华人民共和国证券法》及颁布机关对其不时作出的修订</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指《中华人民共和国证券投资基金法》及颁布机关对其不时作出的修订</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指《证券投资基金销售管理办法》</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《运作办法》</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指《公开募集证券投资基金运作管理办法》</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《信息披露办法》</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指《公开募集证券投资基金信息披露管理办法》</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日实施的《公开募集开放式证券投资基金流动性风险管理规定》及颁布机关对其不时做出的修订</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上海证交所《业务规则》</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2005</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14</w:t>
            </w:r>
            <w:r>
              <w:rPr>
                <w:rFonts w:ascii="Times New Roman" w:hAnsi="Times New Roman"/>
                <w:color w:val="000000"/>
                <w:kern w:val="0"/>
                <w:sz w:val="25"/>
                <w:szCs w:val="24"/>
              </w:rPr>
              <w:t>日上海证券交易所发布并于</w:t>
            </w:r>
            <w:r>
              <w:rPr>
                <w:rFonts w:ascii="Times New Roman" w:hAnsi="Times New Roman"/>
                <w:color w:val="000000"/>
                <w:kern w:val="0"/>
                <w:sz w:val="25"/>
                <w:szCs w:val="24"/>
              </w:rPr>
              <w:t>2005</w:t>
            </w:r>
            <w:r>
              <w:rPr>
                <w:rFonts w:ascii="Times New Roman" w:hAnsi="Times New Roman"/>
                <w:color w:val="000000"/>
                <w:kern w:val="0"/>
                <w:sz w:val="25"/>
                <w:szCs w:val="24"/>
              </w:rPr>
              <w:t>年</w:t>
            </w:r>
            <w:r>
              <w:rPr>
                <w:rFonts w:ascii="Times New Roman" w:hAnsi="Times New Roman"/>
                <w:color w:val="000000"/>
                <w:kern w:val="0"/>
                <w:sz w:val="25"/>
                <w:szCs w:val="24"/>
              </w:rPr>
              <w:t>7</w:t>
            </w:r>
            <w:r>
              <w:rPr>
                <w:rFonts w:ascii="Times New Roman" w:hAnsi="Times New Roman"/>
                <w:color w:val="000000"/>
                <w:kern w:val="0"/>
                <w:sz w:val="25"/>
                <w:szCs w:val="24"/>
              </w:rPr>
              <w:t>月</w:t>
            </w:r>
            <w:r>
              <w:rPr>
                <w:rFonts w:ascii="Times New Roman" w:hAnsi="Times New Roman"/>
                <w:color w:val="000000"/>
                <w:kern w:val="0"/>
                <w:sz w:val="25"/>
                <w:szCs w:val="24"/>
              </w:rPr>
              <w:t>14</w:t>
            </w:r>
            <w:r>
              <w:rPr>
                <w:rFonts w:ascii="Times New Roman" w:hAnsi="Times New Roman"/>
                <w:color w:val="000000"/>
                <w:kern w:val="0"/>
                <w:sz w:val="25"/>
                <w:szCs w:val="24"/>
              </w:rPr>
              <w:t>日起施行的《上海证券交易所开放式基金认购、申购、赎回业务办理规则（试行）》</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业务规则</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指《交银施罗德基金管理有限公司开放式基金业务规则》</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指中国证券监督管理委员会</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银行业监管机构</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指中国银行业监督管理委员会或其他经国务院授权的机构</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基金管理人或本基金管理人</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指中国农业银行股份有限公司</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基金代销机构</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指符合中国证监会规定的有关条件并与基金管理人签订了代销协议，代为办理基金销售服务业务的机构，以及通过上海证券交易所交易系统办理销售服务业务的会员单位</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会员单位</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指交银施罗德基金管理有限公司及基金代销机构</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基金销售网点</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指交银施罗德基金管理有限公司的直销网点及基金代销机构的代销网点</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注册登记业务</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指基金登记、存管、清算和交收业务，具体内容包括投资人基金账户管理、基金份额注册登记、清算及基金交易确认、发放红利、建立并保管基金份额持有人名册等</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注册登记机构</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指交银施罗德基金管理有限公司或由其委托办理基金注册登记业务的机构</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指受基金合同约束，根据基金合同享受权利并承担义务的基金管理人、基金托管人和基金份额持有人</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指符合法律法规规定可以投资开放式证券投资基金的自然人</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指符合法律法规规定可以投资开放式证券投资基金的在中华人民共和国注册登记或经政府有权部门批准设立的法人、社会团体和其他组织、机构</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指符合法律法规规定可投资于中国境内证券市场的中国境外的机构投资者</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投资人</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指个人投资者、机构投资者和合格境外机构投资者的总称</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指依法或依基金合同、招募说明书取得基金份额的投资人</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指中华人民共和国法定货币人民币元</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销售服务费</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也称持续销售和服务费用，主要用于支付销售机构佣金以及基金管理人的基金营销广告费、促销活动费、基金份额持有人服务费等，该笔费用从基金财产中扣除，属于基金的营运费用</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指本基金募集达到法律规定及基金合同规定的条件，基金管理人聘请法定机构验资并办理完毕基金合同备案手续并获得中国证监会书面确认之日</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开放日</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指销售机构为投资人办理基金申购、赎回等业务的工作日</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募集期</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指自基金份额发售之日起不超过</w:t>
            </w:r>
            <w:r>
              <w:rPr>
                <w:rFonts w:ascii="Times New Roman" w:hAnsi="Times New Roman"/>
                <w:color w:val="000000"/>
                <w:kern w:val="0"/>
                <w:sz w:val="25"/>
                <w:szCs w:val="24"/>
              </w:rPr>
              <w:t>3</w:t>
            </w:r>
            <w:r>
              <w:rPr>
                <w:rFonts w:ascii="Times New Roman" w:hAnsi="Times New Roman"/>
                <w:color w:val="000000"/>
                <w:kern w:val="0"/>
                <w:sz w:val="25"/>
                <w:szCs w:val="24"/>
              </w:rPr>
              <w:t>个月的期间</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基金存续期</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指基金合同生效后合法存续的不定期之期间</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日</w:t>
            </w:r>
            <w:r>
              <w:rPr>
                <w:rFonts w:ascii="Times New Roman" w:hAnsi="Times New Roman"/>
                <w:color w:val="000000"/>
                <w:kern w:val="0"/>
                <w:sz w:val="25"/>
                <w:szCs w:val="24"/>
              </w:rPr>
              <w:t>/</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指公历日</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月</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指公历月</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工作日</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指上海证券交易所和深圳证券交易所的正常交易日</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T</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指销售机构确认的投资人有效申请工作日</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T+n</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T</w:t>
            </w:r>
            <w:r>
              <w:rPr>
                <w:rFonts w:ascii="Times New Roman" w:hAnsi="Times New Roman"/>
                <w:color w:val="000000"/>
                <w:kern w:val="0"/>
                <w:sz w:val="25"/>
                <w:szCs w:val="24"/>
              </w:rPr>
              <w:t>日起第</w:t>
            </w:r>
            <w:r>
              <w:rPr>
                <w:rFonts w:ascii="Times New Roman" w:hAnsi="Times New Roman"/>
                <w:color w:val="000000"/>
                <w:kern w:val="0"/>
                <w:sz w:val="25"/>
                <w:szCs w:val="24"/>
              </w:rPr>
              <w:t>n</w:t>
            </w:r>
            <w:r>
              <w:rPr>
                <w:rFonts w:ascii="Times New Roman" w:hAnsi="Times New Roman"/>
                <w:color w:val="000000"/>
                <w:kern w:val="0"/>
                <w:sz w:val="25"/>
                <w:szCs w:val="24"/>
              </w:rPr>
              <w:t>个工作日（不包含</w:t>
            </w:r>
            <w:r>
              <w:rPr>
                <w:rFonts w:ascii="Times New Roman" w:hAnsi="Times New Roman"/>
                <w:color w:val="000000"/>
                <w:kern w:val="0"/>
                <w:sz w:val="25"/>
                <w:szCs w:val="24"/>
              </w:rPr>
              <w:t>T</w:t>
            </w:r>
            <w:r>
              <w:rPr>
                <w:rFonts w:ascii="Times New Roman" w:hAnsi="Times New Roman"/>
                <w:color w:val="000000"/>
                <w:kern w:val="0"/>
                <w:sz w:val="25"/>
                <w:szCs w:val="24"/>
              </w:rPr>
              <w:t>日）</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指在本基金募集期内，销售机构向投资人销售本基金份额的行为</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认购</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指在本基金募集期内，投资人购买本基金份额的行为</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指基金投资人根据基金销售网点规定的手续，向基金管理人提出申请购买基金份额的行为。本基金的申购自基金合同生效后不超过</w:t>
            </w:r>
            <w:r>
              <w:rPr>
                <w:rFonts w:ascii="Times New Roman" w:hAnsi="Times New Roman"/>
                <w:color w:val="000000"/>
                <w:kern w:val="0"/>
                <w:sz w:val="25"/>
                <w:szCs w:val="24"/>
              </w:rPr>
              <w:t>3</w:t>
            </w:r>
            <w:r>
              <w:rPr>
                <w:rFonts w:ascii="Times New Roman" w:hAnsi="Times New Roman"/>
                <w:color w:val="000000"/>
                <w:kern w:val="0"/>
                <w:sz w:val="25"/>
                <w:szCs w:val="24"/>
              </w:rPr>
              <w:t>个月的时间开始办理</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指基金投资人根据基金销售网点规定的手续，向基金管理人提出申请卖出基金份额的行为。本基金的赎回自基金合同生效后不超过</w:t>
            </w:r>
            <w:r>
              <w:rPr>
                <w:rFonts w:ascii="Times New Roman" w:hAnsi="Times New Roman"/>
                <w:color w:val="000000"/>
                <w:kern w:val="0"/>
                <w:sz w:val="25"/>
                <w:szCs w:val="24"/>
              </w:rPr>
              <w:t>3</w:t>
            </w:r>
            <w:r>
              <w:rPr>
                <w:rFonts w:ascii="Times New Roman" w:hAnsi="Times New Roman"/>
                <w:color w:val="000000"/>
                <w:kern w:val="0"/>
                <w:sz w:val="25"/>
                <w:szCs w:val="24"/>
              </w:rPr>
              <w:t>个月的时间开始办理</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场外或柜台</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指不通过上海证券交易所的交易系统办理基金份额认购、申购和赎回等业务的销售机构和场所</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场内或交易所</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指通过上海证券交易所的交易系统办理基金份额认购、申购和赎回等业务的销售机构和场所</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转托管</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指投资人将其持有的基金在场外不同销售网点之间，上证所场内不同会员之间、或在上证所场内系统和场外系统之间进行份额转移的业务</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投资指令</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指基金管理人在运用基金财产进行投资时，向基金托管人发出的资金划拨及实物券调拨等指令</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指基金注册登记机构给投资人开立的用于记录投资人持有基金管理人管理的开放式基金份额变动及结余情况的账户</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交易账户</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指各销售机构为投资人开立的记录投资人通过该销售机构办理基金交易所引起的基金份额的变动及结余情况的账户</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定期定额投资计划</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指投资人通过向有关销售机构提交申请，约定每期申购日、扣款金额及扣款方式，由指定的销售机构在投资人指定资金账户内自动扣款并于每期约定申购日提交基金申购申请的一种投资方式</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基金收益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指基金投资所得股票红利、债券利息、票据投资收益、买卖证券差价、银行存款利息以及其他收益</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指基金所购买的各类证券及票据价值、银行存款本息和本基金应收的申购基金款以及其他投资所形成的价值总和</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指基金资产总值扣除负债后的净资产值</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指计算日基金资产净值除以计算日发行在外的基金份额总数</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指计算评估基金资产和负债的价值，以确定基金资产净值的过程</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流动性受限资产</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w:t>
            </w:r>
            <w:r>
              <w:rPr>
                <w:rFonts w:ascii="Times New Roman" w:hAnsi="Times New Roman"/>
                <w:color w:val="000000"/>
                <w:kern w:val="0"/>
                <w:sz w:val="25"/>
                <w:szCs w:val="24"/>
              </w:rPr>
              <w:t>10</w:t>
            </w:r>
            <w:r>
              <w:rPr>
                <w:rFonts w:ascii="Times New Roman" w:hAnsi="Times New Roman"/>
                <w:color w:val="000000"/>
                <w:kern w:val="0"/>
                <w:sz w:val="25"/>
                <w:szCs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指定媒介</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指中国证监会指定的用以进行信息披露的全国性报刊及指定互联网网站（包括基金管理人网站、基金托管人网站、中国证监会基金电子披露网站）等媒介</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不可抗力</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合同当事人不能预见、不能避免并不能克服且在本合同由基金托管人、基金管理人签署之日后发生的，使本合同当事人无法全部履行或无法部分履行本合同的任何事件，包括但不限于洪水、地震及其他自然灾害、战争、骚乱、火灾、政府征用、没收、法律法规变化、突发停电或其他突发事件、证券交易所非正常暂停或停止交易</w:t>
            </w:r>
          </w:p>
        </w:tc>
      </w:tr>
    </w:tbl>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5" w:name="_Toc124238829"/>
      <w:r>
        <w:rPr>
          <w:rFonts w:ascii="Times New Roman" w:hAnsi="Times New Roman"/>
          <w:sz w:val="30"/>
        </w:rPr>
        <w:lastRenderedPageBreak/>
        <w:t>三、基金管理人</w:t>
      </w:r>
      <w:bookmarkEnd w:id="5"/>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童洁萍女士，董事，在职工商管理硕士。现任交通银行总行个人金融业务部副总经理。历任交通银行南京分行个人金融业务部副高级经理、江苏省分行个人金融业务部副总经理、总经理、玄武支行行长。</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代任首席信息官，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李定邦（Lieven Debruyne）先生，硕士。现任施罗德集团全球业务总裁, 担任集团管理委员会成员。历任施罗德投资管理有限公司亚洲投资产品总监、亚太区行政总裁、施罗德投资管理（香港）有限公司行政总裁兼亚太区基金业务拓展总监。</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梅津芝女士，监事长，学士。高级经济师、审计师。现任交通银行私人银行部总经理。历任交通银行山西省分行个人金融业务部高级经理，交通银行山西省分行副行长，交通银行个人金融业务部副总经理。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林凯珊女士，监事，硕士。现任施罗德投资管理（香港）有限公司中国内地及中国香港法律部主管。历任香港证券及期货事务监察委员会发牌科经理、的近律师行律师。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谢卫先生，总经理、代任首席信息官。简历同上。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先生:基金经理。北京大学金融学博士，14年证券投资行业从业经验。2008年加入交银施罗德基金管理有限公司，曾任行业分析师、高级研究员，现任权益投资副总监、基金经理。现任交银施罗德新成长混合型证券投资基金(2014年10月22日至今)、交银施罗德精选混合型证券投资基金(2017年06月03日至今)、交银施罗德瑞丰混合型证券投资基金（LOF）(2019年09月04日至今)的基金经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张雪蓉女士:基金经理。上海交通大学金融学硕士、复旦大学金融学学士。8年</w:t>
      </w:r>
      <w:r>
        <w:rPr>
          <w:rFonts w:ascii="宋体" w:hAnsi="宋体"/>
          <w:sz w:val="24"/>
        </w:rPr>
        <w:lastRenderedPageBreak/>
        <w:t>证券投资行业从业经验。曾任中金公司研究部研究员、华泰证券研究部研究员。2020年加入交银施罗德基金管理有限公司，现任行业分析师。现任交银施罗德精选混合型证券投资基金(2023年01月07日至今)的基金经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赵枫先生(2005年09月29日至2008年01月27日)；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李立先生(2007年04月25日至2012年05月07日)；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张鸿羽女士(2012年04月20日至2014年10月21日)；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曹文俊先生(2014年10月22日至2017年06月12日)。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上述人员之间无近亲属关系，上述各项人员信息更新截止日为2023年01月07日，期后变动（如有）敬请关注基金管理人发布的相关公告。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w:t>
      </w:r>
      <w:r>
        <w:rPr>
          <w:rFonts w:ascii="宋体" w:hAnsi="宋体"/>
          <w:sz w:val="24"/>
        </w:rPr>
        <w:lastRenderedPageBreak/>
        <w:t>法律行为；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（5）依照法律、行政法规有关规定，由中国证监会规定禁止的其他行为。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依照有关法律法规和基金合同的规定，本着谨慎的原则为基金份额持有人谋取最大利益；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不利用职务之便为自己、受雇人或任何第三者谋取利益；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不泄露在任职期间知悉的有关证券、基金的商业秘密，尚未依法公开的基金投资内容、基金投资计划等信息；</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不以任何形式为其他组织或个人进行证券交易。</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全面性原则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独立性原则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公司设立独立的风险管理部，风险管理部保持高度的独立性和权威性，负责对公司各部门风险控制工作进行监督和检查。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相互制约原则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定性和定量相结合原则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w:t>
      </w:r>
      <w:r>
        <w:rPr>
          <w:rFonts w:ascii="宋体" w:hAnsi="宋体"/>
          <w:sz w:val="24"/>
        </w:rPr>
        <w:lastRenderedPageBreak/>
        <w:t>一个部门的风险管理系统的发展提供协助，汇总公司业务所有的风险信息，独立识别、评估各类风险，提出风险控制建议，使公司在一种风险管理和控制的环境中实现业务目标。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建立内控体系，完善内控制度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建立相互分离、相互制衡的内控机制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建立、健全岗位责任制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建立风险分类、识别、评估、报告、提示程序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 建立有效的内部监控系统</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使用数量化的风险管理手段</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提供足够的培训</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6" w:name="_Toc124238830"/>
      <w:r>
        <w:rPr>
          <w:rFonts w:ascii="Times New Roman" w:hAnsi="Times New Roman"/>
          <w:sz w:val="30"/>
        </w:rPr>
        <w:lastRenderedPageBreak/>
        <w:t>四、基金托管人</w:t>
      </w:r>
      <w:bookmarkEnd w:id="6"/>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基金托管资格批文及文号：中国证监会证监基字[1998]23号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联系人：秦一楠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w:t>
      </w:r>
      <w:r>
        <w:rPr>
          <w:rFonts w:ascii="宋体" w:hAnsi="宋体"/>
          <w:sz w:val="24"/>
        </w:rPr>
        <w:lastRenderedPageBreak/>
        <w:t>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证券投资基金托管部于1998年5月经中国证监会和中国人民银行批准成立，目前内设综合管理部、业务管理部、客户一部、客户二部、客户三部、客户四部、风险合规部、产品研发与信息技术部、营运一部、营运二部，拥有先进的安全防范设施和基金托管业务系统。</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截止到2022年6月30日，中国农业银行托管的封闭式证券投资基金和开放式证券投资基金共740只。</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（二）基金托管人的内部风险控制制度说明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风险管理委员会总体负责中国农业银行的风险管理与内部控制工作,对托管业</w:t>
      </w:r>
      <w:r>
        <w:rPr>
          <w:rFonts w:ascii="宋体" w:hAnsi="宋体"/>
          <w:sz w:val="24"/>
        </w:rPr>
        <w:lastRenderedPageBreak/>
        <w:t>务风险管理和内部控制工作进行监督和评价。托管业务部专门设置了风险管理处,配备了专职内控监督人员负责托管业务的内控监督工作,独立行使监督稽核职权。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当基金出现异常交易行为时，基金托管人应当针对不同情况进行以下方式的处理：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1、电话提示。对媒体和舆论反映集中的问题，电话提示基金管理人；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2、书面警示。对本基金投资比例接近超标、资金头寸不足等问题，以书面方式对基金管理人进行提示；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7" w:name="_Toc124238831"/>
      <w:r>
        <w:rPr>
          <w:rFonts w:ascii="Times New Roman" w:hAnsi="Times New Roman"/>
          <w:sz w:val="30"/>
        </w:rPr>
        <w:lastRenderedPageBreak/>
        <w:t>五、相关服务机构</w:t>
      </w:r>
      <w:bookmarkEnd w:id="7"/>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个人投资者可以通过本公司网上直销交易平台办理开户、本基金的申购、赎回、转换及定期定额投资等业务，具体交易细则请参阅本公司网站。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（1）名称：中国建设银行股份有限公司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（2）名称：中国工商银行股份有限公司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住所：北京市复兴门内大街55号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办公地址：北京市复兴门内大街55号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法定代表人：陈四清</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网址：www.icbc.com.cn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（3）名称：华夏银行股份有限公司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住所：北京市东城区建国门内大街22号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办公地址：北京市东城区建国门内大街22号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法定代表人：李民吉</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网址：www.hxb.com.cn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（4）名称：江苏银行股份有限公司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住所：南京市中华路26号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办公地址：南京市中华路26号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法定代表人：夏平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电话：（025）58587018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传真：（025）58587038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联系人：田春慧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网址：www.jsbchina.cn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（5）名称：平安银行股份有限公司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（6）名称：北京银行股份有限公司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住所：北京市西城区金融大街甲17号首层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办公地址：北京市西城区金融大街甲17号首层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法定代表人：张东宁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传真：（010）66226045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联系人：孔超</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网址：www.bankofbeijing.com.cn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（7）名称：宁波银行股份有限公司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（8）名称：中国光大银行股份有限公司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（9）名称：中国民生银行股份有限公司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网址：www.cmbc.com.cn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（10）名称：广发银行股份有限公司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住所：广州市越秀区东风东路713号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法定代表人：杨明生</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客户服务电话：800-830-8003，400-830-8003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网址：www.gdb.com.cn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（11）名称：中国农业银行股份有限公司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（12）名称：中信银行股份有限公司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（13）名称：上海银行股份有限公司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住所：上海市银城中路168号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办公地址：上海市银城中路168号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法定代表人：金煜</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电话：（021）68475888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传真：（021）68476111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客户服务电话：（021）962888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网址：www.bankofshanghai.com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（14）名称：招商银行股份有限公司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（15）名称：交通银行股份有限公司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（16）名称：杭州银行股份有限公司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住所：杭州市庆春路46号杭州银行大厦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办公地址：杭州市庆春路46号杭州银行大厦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法定代表人：陈震山</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电话：（0571）85108195、85120696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传真：（0571）86475527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联系人：严峻、夏帆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网址：www.hzbank.com.cn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（17）名称：东莞农村商业银行股份有限公司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（18）名称：江苏常熟农村商业银行股份有限公司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办公地址：江苏省常熟市新世纪大道58号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传真：（0512）52909122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（19）名称：江苏江南农村商业银行股份有限公司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（20）名称：中国邮政储蓄银行股份有限公司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办公地址：北京市西城区金融大街3号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法定代表人：李国华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传真：（010）68858117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联系人：陈春林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网址：www.psbc.com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（21）名称：上海浦东发展银行股份有限公司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（22）名称：光大证券股份有限公司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（23）名称：中信证券股份有限公司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网址：www.cs.ecitic.com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（24）名称：中国中金财富证券有限公司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（25）名称：东北证券股份有限公司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住所：长春市自由大路1138号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办公地址：长春市自由大路1138号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法定代表人：矫正中</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电话：（0431）85096709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客户服务电话：4006000686，（0431）85096733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网址：www.nesc.cn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（26）名称：中银国际证券有限责任公司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住所：上海市银城中路200号39层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办公地址：中国上海浦东银城中路200号中银大厦39-40层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法定代表人：许刚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客户服务电话：400-620-8888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网址：www.bocichina.com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（27）名称：华福证券有限责任公司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住所：福州市五四路157号新天地大厦7、8层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办公地址：福州市五四路新天地大厦7至10层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传真：（0591）87383610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（28）名称：东兴证券股份有限公司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法定代表人：徐勇力</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电话：（010）66555316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传真：（010）66555246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联系人：汤漫川</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400-8888-993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（29）名称：东方证券股份有限公司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住所：上海市中山南路318号2号楼22层-29层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法定代表人：王益民</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电话：（021）63325888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传真：（021）63326173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客户服务电话：95503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网址：www.dfzq.com.cn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（30）名称：方正证券股份有限公司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（31）名称：中国民族证券有限责任公司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住所：北京市西城区金融街5号新盛大厦A座6-9层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办公地址：北京市西城区金融街5号新盛大厦A座6-9层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法定代表人：赵大建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客户服务电话：400-889-5618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网址：www.e5618.com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（32）名称：德邦证券有限责任公司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（33）名称：安信证券股份有限公司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（34）名称：国元证券股份有限公司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住所：中国安徽省合肥市梅山路18号安徽国际金融中心A座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办公地址：中国安徽省合肥市梅山路18号安徽国际金融中心A座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法定代表人：俞仕新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联系电话：0551-62207400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传真：0551-62207148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联系人：汪先哲</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网址：www.gyzq.com.cn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（35）名称：中航证券有限公司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住所：南昌市红谷滩新区红谷中大道1619号国际金融大厦41楼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办公地址：南昌市红谷滩新区红谷中大道1619号国际金融大厦41楼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客户服务电话：400-8866-567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（36）名称：中信建投证券股份有限公司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（37）名称：国信证券股份有限公司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（38）名称：恒泰证券股份有限公司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住所：内蒙古呼和浩特市新城区新华东街111号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办公地址：内蒙古呼和浩特市新城区新华东街111号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法定代表人：庞介民</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电话：（0471）4979037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传真：（0471）4961259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联系人：王旭华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客户服务电话：（0471）4960762，（021）68405273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网址：www.cnht.com.cn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（39）名称：华泰证券股份有限公司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（40）名称：湘财证券股份有限公司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住所：湖南省长沙市黄兴中路63号中山国际大厦12楼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办公地址：湖南省长沙市天心区湘府中路198号标志商务中心11楼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法定代表人：林俊波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电话：（021）68634518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传真：（021）68865680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联系人：钟康莺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客户服务电话：400-888-1551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网址：www.xcsc.com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（41）名称：兴业证券股份有限公司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 www.xyzq.com.cn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（42）名称：广发证券股份有限公司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（43）名称：海通证券股份有限公司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（44）名称：华龙证券股份有限公司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（45）名称：华宝证券股份有限公司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住所：中国上海市陆家嘴环路166号未来资产大厦27楼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（46）名称：长城国瑞证券有限公司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（47）名称：爱建证券有限责任公司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住所：上海市南京西路758号24楼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办公地址：上海市浦东新区世纪大道1600号32楼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法定代表人：张建华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电话：（021）32229888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传真：（021）68728703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客户服务电话：（021）63340678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网址：www.ajzq.com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（48）名称：长江证券股份有限公司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住所：武汉市新华路特8号长江证券大厦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办公地址：武汉市新华路特8号长江证券大厦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法定代表人：胡运钊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电话：（027）65799999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传真：（027）85481900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联系人：李良</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客户服务电话：95579或4008-888-999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网址：www.95579.com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（49）名称：招商证券股份有限公司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（50）名称：国泰君安证券股份有限公司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（51）名称：中国银河证券股份有限公司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网址：www.chinastock.com.cn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（52）名称：申万宏源证券有限公司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（53）名称：国都证券股份有限公司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（54）名称：平安证券股份有限公司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（55）名称：中信证券（山东）有限责任公司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联系人：焦刚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（56）名称：申万宏源西部证券有限公司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（57）名称：中泰证券股份有限公司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（58）名称：江海证券有限公司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（59）名称：中国国际金融股份有限公司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住所：北京建国门外大街1号国贸大厦2座27层及28层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（60）名称：瑞银证券有限责任公司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住所：北京市西城区金融大街7号英蓝国际金融中心12层、15层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办公地址：北京市西城区金融大街7号英蓝国际金融中心12层、15层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（61）名称：长城证券有限责任公司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（62）名称：国金证券股份有限公司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联系人：刘婧漪 贾鹏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（63）名称：渤海证券股份有限公司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办公地址：天津市南开区宾水西道8号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法定代表人：王春峰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400-651-5988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网址：www.bhzq.com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（64）名称：信达证券股份有限公司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（65）名称：西南证券股份有限公司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（66）名称：国新证券股份有限公司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（67）名称：中原证券股份有限公司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住所：郑州市郑东新区商务外环路10号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办公地址：郑州市郑东新区商务外环路10号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法定代表人：菅明军</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联系人：程月艳 李盼盼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电话：0371-69099881/2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客户服务电话：95377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网址：https://www.ccnew.com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（68）名称：联讯证券股份有限公司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（69）名称：华西证券股份有限公司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法定代表人：杨炯洋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（70）名称：大同证券有限责任公司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（71）名称：东莞证券股份有限公司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（72）名称：第一创业证券股份有限公司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客户服务电话：4008881888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（73）名称：东方财富证券股份有限公司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（74）名称：民生证券股份有限公司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住所：北京市东城区建国门内大街28号民生金融中心A座16层--18层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办公地址：北京市东城区建国门内大街28号民生金融中心A座16层--18层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法定代表人：冯鹤年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电话：（010）85127561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传真：（010）85127641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联系人：周照清</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客户服务电话：400-619-8888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网址：www.mszq.com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（75）名称：中信证券华南股份有限公司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（76）名称：天相投资顾问有限公司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住所：北京市西城区金融街19号富凯大厦B座701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（77）名称：北京钱景财富投资管理有限公司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（78）名称：上海大智慧基金销售有限公司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（79）名称：上海利得基金销售有限公司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电话：021-50583533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（80）名称：上海凯石财富基金销售有限公司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（81）名称：北京虹点基金销售有限公司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（82）名称：诺亚正行(上海)基金销售投资顾问有限公司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客户服务电话：400-821-5399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（83）名称：上海好买基金销售有限公司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（84）名称：上海长量基金销售投资顾问有限公司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（85）名称：深圳众禄基金销售有限公司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（86）名称：蚂蚁（杭州）基金销售有限公司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办公地址：浙江省杭州市西湖区西溪路556号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（87）名称：一路财富（北京）信息科技有限公司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（88）名称：北京展恒基金销售股份有限公司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（89）名称：深圳市新兰德证券投资咨询有限公司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客户服务电话：400-850-7771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（90）名称：和讯信息科技有限公司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（91）名称：上海天天基金销售有限公司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（92）名称：上海联泰基金销售有限公司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（93）名称：珠海盈米财富管理有限公司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住所：珠海市横琴新区宝华路6号105室-3491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（94）名称：上海基煜基金销售有限公司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（95）名称：宜信普泽投资顾问（北京）有限公司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（96）名称：浙江同花顺基金销售有限公司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法定代表人：凌顺平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（97）名称：中信期货有限公司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（98）名称：上海陆金所资产管理有限公司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（99）名称：北京中植基金销售有限公司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电话：（010）56642600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（100）名称：北京汇成基金销售有限公司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（101）名称：奕丰基金销售有限公司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（102）名称：北京唐鼎耀华投资咨询有限公司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 刘美薇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（103）名称：北京创金启富基金销售有限公司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（104）名称：上海云湾投资管理有限公司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（105）名称：中证金牛（北京）投资咨询有限公司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（106）名称：北京新浪仓石基金销售有限公司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（107）名称：北京肯特瑞基金销售有限公司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kern w:val="0"/>
          <w:sz w:val="24"/>
        </w:rPr>
        <w:t>住所： 北京市海淀区西三旗建材城中路12号17号平房157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（108）名称：北京雪球基金销售有限公司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（109）名称：凤凰金信（银川）投资管理有限公司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（110）名称：深圳市金斧子基金销售有限公司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（111）名称：格上富信投资顾问有限公司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（112）名称：上海万得基金销售有限公司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办公地址：上海市浦东新区福山路33号9楼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（113）名称：天津万家财富资产管理有限公司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（114）名称：上海挖财金融信息服务有限公司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（115）名称：嘉实财富管理有限公司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传真：（021）68880023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（116）名称：南京苏宁基金销售有限公司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（117）名称：北京度小满基金销售有限公司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（118）名称：上海华夏财富投资管理有限公司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 www.amcfortune.com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（119）名称：江苏汇林保大基金销售有限公司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（120）名称：玄元保险代理有限公司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（121）名称：阳光人寿保险股份有限公司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（122）名称：大连网金基金销售有限公司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 樊怀东</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（123）名称：泛华普益基金销售有限公司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（124）名称：上海中欧财富基金销售有限公司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中国（上海）自由贸易试验区陆家嘴环路333号502室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上海市虹口区公平路18号8栋嘉昱大厦6层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许欣</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电话：021-68609600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传真：021-33830351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黎静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客户服务电话：400-700-9700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www.qiangungun.com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（125）名称：中国人寿保险股份有限公司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（126）名称：和耕传承基金销售有限公司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（127）名称：腾安基金销售（深圳）有限公司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（128）名称：北京植信基金销售有限公司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（129）名称：上海钜派钰茂基金销售有限公司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办公地址：上海市闵行区闵虹路166弄中庚环球创意中心T2栋9层</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基金管理人可根据有关法律法规的要求，选择其它符合要求的机构代理销售本基金，并在管理人网站公示。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名称：上海源泰律师事务所</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住所：上海市浦东南路256号华夏银行大厦1405室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办公地址：上海市浦东南路256号华夏银行大厦1405室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负责人：廖海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电话：（021）51150298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传真：（021）51150398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联系人：廖海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经办律师：梁丽金、刘佳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名称：德勤华永会计师事务所（特殊普通合伙）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住所：上海市延安东路222号外滩中心30楼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办公地址：上海市延安东路222号外滩中心30楼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执行事务合伙人：曾顺福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电话：（010）85207788</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联系人：汪芳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经办注册会计师：汪芳、刘芳芳</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8" w:name="_Toc124238832"/>
      <w:r>
        <w:rPr>
          <w:rFonts w:ascii="Times New Roman" w:hAnsi="Times New Roman"/>
          <w:sz w:val="30"/>
        </w:rPr>
        <w:lastRenderedPageBreak/>
        <w:t>六、基金的历史沿革</w:t>
      </w:r>
      <w:bookmarkEnd w:id="8"/>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精选混合型证券投资基金由交银施罗德精选股票证券投资基金变更而来，交银施罗德精选股票证券投资基金由基金管理人依照《基金法》、《运作办法》、《销售办法》、基金合同及其他有关规定，并经中国证监会证监基金字[2005]140号文批准募集发售。</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交银施罗德精选股票证券投资基金为契约型开放式股票型基金。基金存续期间为不定期。</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本基金的募集期限不超过3个月，自基金份额开始发售之日起计算。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本基金自2005年8月26日至2005年9月26日进行发售。</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本基金设立募集期共募集4,874,882,643.01份基金份额，有效认购户数为114,637户。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国人民共和国证券投资基金法》、《公开募集证券投资基金运作管理办法》、《关于实施&lt;公开募集证券投资基金运作管理办法&g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2015年8月8日起，本基金正式变更为交银施罗德精选混合型证券投资基金，由《交银施罗德精选股票证券投资基金基金合同》修订而成的《交银施罗德精选混合型证券投资基金基金合同》自该日起生效。</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9" w:name="_Toc124238833"/>
      <w:r>
        <w:rPr>
          <w:rFonts w:ascii="Times New Roman" w:hAnsi="Times New Roman"/>
          <w:sz w:val="30"/>
        </w:rPr>
        <w:lastRenderedPageBreak/>
        <w:t>七、基金的存续</w:t>
      </w:r>
      <w:bookmarkEnd w:id="9"/>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10" w:name="_Toc124238834"/>
      <w:r>
        <w:rPr>
          <w:rFonts w:ascii="Times New Roman" w:hAnsi="Times New Roman"/>
          <w:sz w:val="30"/>
        </w:rPr>
        <w:lastRenderedPageBreak/>
        <w:t>八、基金份额的申购与赎回</w:t>
      </w:r>
      <w:bookmarkEnd w:id="10"/>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直销机构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本基金直销机构为本公司以及本公司的网上直销交易平台。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客户服务热线：400-700-5000（免长途话费），（021）61055000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个人投资者可以通过本公司网上直销交易平台办理开户、本基金的申购、赎回、转换及定期定额投资等业务，具体交易细则请参阅本公司网站。网上直销交易平台网址：www.fund001.com。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2、不通过上海证券交易所交易系统办理相关业务的场外代销机构的代销网点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本基金的场外代销机构的代销网点请见本招募说明书“五、相关服务机构”章节或拨打本公司客户服务电话进行咨询。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3、通过上海证券交易所交易系统办理相关业务的上海证券交易所会员单位目前场内交易只支持前端收费基金申购。具体名单详见上海证券交易所网站。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投资人可通过上述场所按照规定的方式进行申购或赎回。本基金管理人可根据情况增减基金代销机构，并在管理人网站公示。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若基金管理人或其指定的代销机构开通电话、传真或网上等交易方式，投资人可以通过上述方式进行申购与赎回。</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基金的开放日是指为投资人办理基金申购、赎回等业务的证券交易所交易日。</w:t>
      </w:r>
      <w:r>
        <w:rPr>
          <w:rFonts w:ascii="宋体" w:hAnsi="宋体"/>
          <w:sz w:val="24"/>
        </w:rPr>
        <w:lastRenderedPageBreak/>
        <w:t>代销网点在开放日的具体业务办理时间为上海证券交易所、深圳证券交易所交易日的交易时间。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若出现新的证券交易市场、证券交易所交易时间变更或其他特殊情况，基金管理人将视情况对前述开放日及具体业务办理时间进行相应的调整并公告。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投资人在基金合同约定之外的日期和时间提出申购、赎回申请的，其基金份额申购、赎回价格为下次办理基金份额申购、赎回时间所在开放日的价格。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本基金已于2005年10月19日起开放场外申购业务，于2005年11月29日起开放场内申购业务。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本基金已于2005年11月29日起开放场内、场外赎回业务。</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（三）申购和赎回的原则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1、“未知价”原则，即申购、赎回价格以有效申请当日收市后计算的基金份额净值为基准进行计算。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3、投资人申购基金份额时，必须全额交付申购款项，投资人交付款项后，申购申请方为有效。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4、赎回遵循“先进先出”原则，即按照投资人认（申）购的先后次序进行顺序赎回。</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5、当日的申购和赎回申请可以在基金管理人规定的时间以前撤销。</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基金管理人在不损害基金份额持有人权益的情况下可更改上述原则。在变更上述原则时，基金管理人应在变更依照《信息披露办法》和《信息披露特别规定》的有关规定在指定媒介上公告。</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场外申购时，代销网点每个账户单笔申购的最低金额为1元人民币（含申购费）。如果代销机构业务规则规定的最低单笔申购金额高于1元，以代销机构的规定为准。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直销网点每个账户首次申购的最低金额为单笔100万元人民币（含申购费），追加申购的最低金额为单笔10万元人民币；已在直销网点有认购或申购过本基金管理</w:t>
      </w:r>
      <w:r>
        <w:rPr>
          <w:rFonts w:ascii="宋体" w:hAnsi="宋体"/>
          <w:sz w:val="24"/>
        </w:rPr>
        <w:lastRenderedPageBreak/>
        <w:t>人管理的任一基金（包括本基金）记录的投资人不受首次申购最低金额的限制。通过本公司网上直销交易平台办理基金申购业务的不受直销网点最低申购金额的限制，单笔申购的最低金额为1元。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场内申购时，每笔申购金额最低为1,000元人民币，同时每笔申购必须是100元的整数倍，并且单笔申购最高不超过99,999,900元。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场外赎回时，赎回的最低份额为1份基金份额，如果其他销售机构业务规则规定的单笔最低赎回份额高于1份，以该销售机构的规定为准；场内赎回时，赎回的最低份额为50 份基金份额，同时赎回份额必须是整数份额，并且单笔赎回最多不超过99,999,999份基金份额。</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每个工作日投资人在单个交易账户保留的本基金份额余额少于1份时，若当日该账户同时有份额减少类业务（如赎回、转换出等）被确认，则基金管理人有权将投资人在该账户保留的本基金份额一次性全部赎回。</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5、基金管理人可根据市场情况，在法律法规允许的情况下，调整申购的金额和赎回的份额以及最低保留余额的数量限制，基金管理人必须在调整前3个工作日至少在一种中国证监会指定的媒介上刊登公告。</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2、申购和赎回的确认与通知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正常情况下，T日规定时间受理的申请，基金注册登记机构在T＋1日内为投资人对该交易的有效性进行确认，在T＋2日后(包括该日)投资人可向销售机构查询申购、赎回的成交情况。</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3、申购和赎回款项支付</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申购采用全额缴款方式，若申购资金在规定时间内未全额到账则申购不成功，若申购不成功或无效，申购款项将退回投资人账户。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投资人赎回申请成功后，赎回款项在T＋7日(包括该日)内从托管账户将赎回款项划出，经销售机构划往基金份额持有人银行账户。在发生巨额赎回时，款项的支付办法参照基金合同的有关条款处理。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4.申购和赎回基金份额的注册登记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投资人申购申请受理后，注册登记机构在T+1日为投资人办理增加权益的登记手续，投资人自T+2日起可赎回该部分基金份额。</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投资人赎回基金成功后，注册登记机构在T+1日为投资人办理扣除权益的登记手续。</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基金管理人可以在法律法规允许的范围内，对上述注册登记办理时间进行调整，但不得实质影响投资人的合法权益，并最迟于开始实施前3个工作日在至少一种中国证监会指定的媒介上刊登公告。</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本基金的申购费用由申购人承担，不列入基金财产，申购费用于本基金的市场推广和销售。场外申购可以采取前端收费模式和后端收费模式，场内申购目前只支持前端收费模式。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9F2B1E">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前端申购费率</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r w:rsidR="009F2B1E">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申购费率（后端）</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持有期限（年）</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后端申购费率</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注：因红利自动再投资而产生的基金份额，不收取相应的申购费用。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本基金自2013年4月11日起，对通过本公司直销柜台申购本基金前端基金份额的养老金客户实施特定申购费率。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w:t>
      </w:r>
      <w:r>
        <w:rPr>
          <w:rFonts w:ascii="宋体" w:hAnsi="宋体"/>
          <w:sz w:val="24"/>
        </w:rPr>
        <w:lastRenderedPageBreak/>
        <w:t>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通过本公司直销柜台申购本基金前端基金份额的养老金客户特定申购费率如下表：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9F2B1E">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特定申购费率（前端）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前端特定申购费率</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0.20%</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注：有关养老金客户实施特定申购费率的具体规定以及活动时间如有变化，敬请投资人留意本公司发布的相关公告。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赎回费用由基金赎回人承担，赎回费用的25％归基金资产，其余部分作为注册</w:t>
      </w:r>
      <w:r>
        <w:rPr>
          <w:rFonts w:ascii="宋体" w:hAnsi="宋体"/>
          <w:sz w:val="24"/>
        </w:rPr>
        <w:lastRenderedPageBreak/>
        <w:t>登记等其他必要的手续费。其中，对持续持有期少于7日的基金份额持有人收取不低于1.5%的赎回费并全额计入基金财产。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9F2B1E">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持有期限（年）</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7</w:t>
            </w:r>
            <w:r>
              <w:rPr>
                <w:rFonts w:ascii="Times New Roman" w:hAnsi="Times New Roman"/>
                <w:color w:val="000000"/>
                <w:kern w:val="0"/>
                <w:sz w:val="25"/>
                <w:szCs w:val="24"/>
              </w:rPr>
              <w:t>日）到</w:t>
            </w:r>
            <w:r>
              <w:rPr>
                <w:rFonts w:ascii="Times New Roman" w:hAnsi="Times New Roman"/>
                <w:color w:val="000000"/>
                <w:kern w:val="0"/>
                <w:sz w:val="25"/>
                <w:szCs w:val="24"/>
              </w:rPr>
              <w:t>1</w:t>
            </w:r>
            <w:r>
              <w:rPr>
                <w:rFonts w:ascii="Times New Roman" w:hAnsi="Times New Roman"/>
                <w:color w:val="000000"/>
                <w:kern w:val="0"/>
                <w:sz w:val="25"/>
                <w:szCs w:val="24"/>
              </w:rPr>
              <w:t>年（含</w:t>
            </w:r>
            <w:r>
              <w:rPr>
                <w:rFonts w:ascii="Times New Roman" w:hAnsi="Times New Roman"/>
                <w:color w:val="000000"/>
                <w:kern w:val="0"/>
                <w:sz w:val="25"/>
                <w:szCs w:val="24"/>
              </w:rPr>
              <w:t>1</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年到</w:t>
            </w:r>
            <w:r>
              <w:rPr>
                <w:rFonts w:ascii="Times New Roman" w:hAnsi="Times New Roman"/>
                <w:color w:val="000000"/>
                <w:kern w:val="0"/>
                <w:sz w:val="25"/>
                <w:szCs w:val="24"/>
              </w:rPr>
              <w:t>2</w:t>
            </w:r>
            <w:r>
              <w:rPr>
                <w:rFonts w:ascii="Times New Roman" w:hAnsi="Times New Roman"/>
                <w:color w:val="000000"/>
                <w:kern w:val="0"/>
                <w:sz w:val="25"/>
                <w:szCs w:val="24"/>
              </w:rPr>
              <w:t>年（含</w:t>
            </w:r>
            <w:r>
              <w:rPr>
                <w:rFonts w:ascii="Times New Roman" w:hAnsi="Times New Roman"/>
                <w:color w:val="000000"/>
                <w:kern w:val="0"/>
                <w:sz w:val="25"/>
                <w:szCs w:val="24"/>
              </w:rPr>
              <w:t>2</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9F2B1E">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超过</w:t>
            </w:r>
            <w:r>
              <w:rPr>
                <w:rFonts w:ascii="Times New Roman" w:hAnsi="Times New Roman"/>
                <w:color w:val="000000"/>
                <w:kern w:val="0"/>
                <w:sz w:val="25"/>
                <w:szCs w:val="24"/>
              </w:rPr>
              <w:t>2</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根据法律法规规定及基金合同调整申购费率和赎回费率，最新的申购费率和赎回费率在更新的招募说明书中列示。费率如发生变更，基金管理人最迟应于新的费率开始实施3个工作日前在指定媒介上公告。</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份额余额的处理方式：场外申购时，申购的有效份额为按实际确认的申购金额在扣除相应的费用后，以申请当日基金份额净值为基准计算，四舍五入保留到小数点后两位，四舍五入部分代表的资产归基金所有；场内申购时，申购的有效份额为按实际确认的申购金额在扣除相应的费用后，以申请当日基金份额净值为基准计算，保留到整数位，非整数份额部分对应金额返回投资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（2）赎回金额的处理方式：赎回金额为按实际确认的有效赎回份额乘以申请当日基金份额净值并扣除相应的费用，四舍五入保留到小数点后两位，四舍五入部分代表的资产归基金所有。</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场外申购可以采取前端收费模式和后端收费模式，场内申购目前只支持前端收费模式。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6408F6">
        <w:rPr>
          <w:rFonts w:ascii="宋体" w:hAnsi="宋体"/>
          <w:noProof/>
          <w:kern w:val="0"/>
          <w:sz w:val="24"/>
        </w:rPr>
        <w:drawing>
          <wp:inline distT="0" distB="0" distL="0" distR="0">
            <wp:extent cx="1417320" cy="426720"/>
            <wp:effectExtent l="0" t="0" r="0" b="0"/>
            <wp:docPr id="9"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7320" cy="426720"/>
                    </a:xfrm>
                    <a:prstGeom prst="rect">
                      <a:avLst/>
                    </a:prstGeom>
                    <a:noFill/>
                    <a:ln>
                      <a:noFill/>
                    </a:ln>
                  </pic:spPr>
                </pic:pic>
              </a:graphicData>
            </a:graphic>
          </wp:inline>
        </w:drawing>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例一：某投资人投资4万元申购本基金，申购费率为1.5%，假设申购当日基金</w:t>
      </w:r>
      <w:r>
        <w:rPr>
          <w:rFonts w:ascii="宋体" w:hAnsi="宋体"/>
          <w:sz w:val="24"/>
        </w:rPr>
        <w:lastRenderedPageBreak/>
        <w:t>份额净值为1.0400元，如果其选择前端收费方式，则其可得到的申购份额为：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申购份额=（40,000-591.13）/1.0400=37,893.14份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如果投资人是场内申购，申购份额为37,893份，其余0.14份对应金额返回给投资人。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6408F6">
        <w:rPr>
          <w:rFonts w:ascii="宋体" w:hAnsi="宋体"/>
          <w:noProof/>
          <w:kern w:val="0"/>
          <w:sz w:val="24"/>
        </w:rPr>
        <w:drawing>
          <wp:inline distT="0" distB="0" distL="0" distR="0">
            <wp:extent cx="1318260" cy="449580"/>
            <wp:effectExtent l="0" t="0" r="0" b="0"/>
            <wp:docPr id="8"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8260" cy="449580"/>
                    </a:xfrm>
                    <a:prstGeom prst="rect">
                      <a:avLst/>
                    </a:prstGeom>
                    <a:noFill/>
                    <a:ln>
                      <a:noFill/>
                    </a:ln>
                  </pic:spPr>
                </pic:pic>
              </a:graphicData>
            </a:graphic>
          </wp:inline>
        </w:drawing>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当投资人提出赎回时，后端申购费用的计算方法为：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后端申购费用＝赎回份额×申购日基金份额净值×后端申购费率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例二：某投资人投资4万元申购本基金，假设申购当日基金份额净值为1.0400元，如果其选择后端收费方式，则其可得到的申购份额为：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 ＝ 40,000 / 1.0400 ＝ 38,461.54份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即：投资人投资4万元申购本基金，假设申购当日基金份额净值为1.0400元，则可得到38,461.54份基金份额。</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赎回金额为按实际确认的有效赎回份额乘以当日基金份额净值并扣除相应的费用，赎回金额单位为“元”，计算结果保留到小数点后两位，第三位四舍五入。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（1）如果投资人在申购时选择交纳前端认（申）购费用，则赎回金额的计算方法如下：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赎回费用=赎回份额×T日基金份额净值×赎回费率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赎回金额=赎回份额×T日基金份额净值-赎回费用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例三：某投资人赎回1万份基金份额，对应的赎回费率为0.5%，假设赎回当日基金份额净值是1.0160元，则其可得到的赎回金额为：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=10,000×1.0160×0.5％ ＝ 50.80元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 ×1.0160-50.8 ＝ 10,109.20元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即：投资人赎回本基金1万份基金份额，假设赎回当日基金份额净值是1.0160</w:t>
      </w:r>
      <w:r>
        <w:rPr>
          <w:rFonts w:ascii="宋体" w:hAnsi="宋体"/>
          <w:sz w:val="24"/>
        </w:rPr>
        <w:lastRenderedPageBreak/>
        <w:t>元，则其可得到的赎回金额为10,109.20元。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（2）如果投资人在申购时选择交纳后端认（申）购费用，则赎回金额的计算方法如下：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赎回总额＝赎回份额×T日基金份额净值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后端认（申）购费用＝赎回份额×认（申）购日基金份额净值×后端认（申）购费率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赎回费用＝赎回总额×赎回费率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赎回金额＝赎回总额－后端认（申）购费用－赎回费用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例四：某投资人赎回1万份基金份额，对应的赎回费率为0.5%，假设赎回当日基金份额净值是1.0160元，投资人对应的后端申购费是1.8%，申购时的基金净值为1.0100元，则其可得到的赎回金额为：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赎回总额=10,000×1.0160=10,160元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后端申购费用=10,000×1.0100×1.8%=181.80元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赎回费用=10,160×0.5%=50.80元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赎回金额=10,160-181.80-50.80=9,927.40元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即：投资人赎回本基金1万份基金份额，假设赎回当日基金份额净值是1.0160元，则其可得到的赎回金额为9,927.40元。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4、基金份额资产净值的计算公式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基金份额净值＝基金资产净值总额/发行在外的基金份额总数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本基金T日的基金份额净值在当天收市后计算，并在T＋1日公告。遇特殊情况，经中国证监会同意，可以适当延迟计算或公告。</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（八）暂停申购的情形及处理方式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发生下列情况时，基金管理人可暂停接受基金投资人的申购申请：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1、不可抗力的原因导致基金无法正常运作；</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2、证券交易场所在交易时间非正常停市，导致无法计算当日的基金净值；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3、基金财产规模过大，使基金管理人无法找到合适的投资品种，或可能对基金业绩产生负面影响，从而损害现有基金份额持有人的利益；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4、当前一估值日基金资产净值50%以上的资产出现无可参考的活跃市场价格且采用估值技术仍导致公允价值存在重大不确定性时，经与基金托管人协商确认后，基金管理人应当暂停接受基金申购申请；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5、法律法规规定或中国证监会认定的其他可暂停申购的情形；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6、基金管理人认为会有损于现有基金份额持有人利益的某笔申购。</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7、基金管理人接受某笔或者某些申购申请有可能导致单一投资者持有基金份额的比例超过50%，或者变相规避50%集中度的情形。出现上述情形时，基金管理人有权将上述申购申请全部或部分确认失败。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发生上述1到5项暂停申购情形时，基金管理人应当在规定期限内在指定媒介上刊登暂停申购公告。</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（九）暂停赎回或者延缓支付赎回款项的情形及处理方式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发生下列情形时，基金管理人可暂停接受基金份额持有人的赎回申请：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1、不可抗力的原因导致基金无法正常运作；</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2、证券交易场所交易时间非正常停市，导致当日基金资产净值无法计算；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3、因市场剧烈波动或其他原因而出现连续两个或两个以上开放日巨额赎回，导致本基金的现金支付出现困难；</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5、基金管理人认为会有损于现有基金份额持有人利益的某笔赎回；</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的，基金管理人应在当日立即向中国证监会报告备案。已接受的赎回申请，基金管理人将足额支付；如暂时不能支付的，可支付部分按每个赎回申请人已被接受的赎回申请量占已接受赎回申请总量的比例分配给赎回申请人，未支付部分由基金管理人按照发生的情况制定相应的处理办法在后续开放日予以支付。同时在出现上述第3项的情形时，对已接受的赎回申请可延期支付赎回款项，最长不超过正常支付时间20个工作日，并在至少一种中国证监会指定的媒介上公告。投资人在申请赎回时可事先选择将当日可能未获受理部分予以撤销。</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暂停基金的赎回，基金管理人应在规定期限内在指定媒介上刊登暂停赎回公告。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在暂停赎回的情况消除时，基金管理人应及时恢复赎回业务的办理。</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单个开放日，基金净赎回申请份额（该基金赎回申请总份额加上基金转换中转出申请总份额后扣除申购申请总份额及基金转换中转入申请总份额后的余额）超过上一日基金总份额的10%时，即认为发生了巨额赎回。</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当出现巨额赎回时，基金管理人可以根据本基金当时的资产组合状况决定全额赎回或部分顺延赎回。</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（1）全额赎回：当基金管理人认为有能力支付投资人的赎回申请时，按正常赎回程序执行。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顺延赎回：当基金管理人认为支付投资人的赎回申请有困难或认为支付投资人的赎回申请可能会对基金的资产净值造成较大波动时，基金管理人在当日接受赎回比例不低于基金总份额的10%的前提下，对其余赎回申请予以延期办理。对于当日的赎回申请，应当按单个账户赎回申请量占赎回申请总量的比例，确定当日受理的赎回份额，未受理部分可延迟至下一开放日办理。依照上述规定转入下一个开放日的赎回不享有赎回优先权并将以下一个开放日的基金份额净值为准计算赎回金额，并以此类推，直到全部赎回为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顺延赎回”的约定方式与其他基金份额持有人的赎回申请一并办理。但是，如该类基金份额持有人在当日选择取消赎回，则其当日未获受理的部分赎回申请将被撤销。</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当发生巨额赎回并顺延赎回时，基金管理人应当通过邮寄、传真、刊登公告或者通知代销机构代为告知等方式，在3个交易日内通知基金份额持有人，说明有关处理方法，并在2日内在指定媒介上刊登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连续2个开放日以上发生巨额赎回，如基金管理人认为有必要，可暂停接受赎回申请；已经接受的赎回申请可以延缓支付赎回款项，但不得超过正常支付时间20个工作日，并应当在至少一种中国证监会指定的媒介上公告。</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（十一）重新开放申购或赎回的公告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如果发生暂停申购或赎回的时间为一天，第二个工作日基金管理人应在至少一种中国证监会指定的媒介上刊登基金重新开放申购或赎回公告并公布最近一个开放</w:t>
      </w:r>
      <w:r>
        <w:rPr>
          <w:rFonts w:ascii="宋体" w:hAnsi="宋体"/>
          <w:sz w:val="24"/>
        </w:rPr>
        <w:lastRenderedPageBreak/>
        <w:t>日的基金份额净值。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发生暂停的时间超过一天但少于两周，基金重新开放申购或赎回时，基金管理人应提前一个工作日在至少一种中国证监会指定的媒介上刊登基金重新开放申购或赎回公告，并在重新开放申购或赎回日公告最近一个工作日的基金份额净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发生暂停的时间超过两周，暂停期间，基金管理人应至少每两周重复刊登暂停公告一次。基金重新开放申购或赎回时，基金管理人应提前3个工作日在至少一种中国证监会指定的媒介上连续刊登基金重新开放申购或赎回公告并在重新开放申购或赎回日公告最近一个开放日的基金份额净值。</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（十二）转托管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目前实行份额托管的交易制度。投资人可将所持有的基金份额在场外不同销售网点之间，上证所场内不同会员之间、或在上证所场内系统和场外系统之间进行份额转移。在上证所场内不同会员营业部之间进行转指定，也可以在上证所场内系统和场外系统之间进行跨市场托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进行份额转托管时，投资人可以将其某个交易账户下的基金份额全部或部分转托管。办理转托管业务的基金份额持有人需在转出方办理基金份额转出手续，在转入方办理基金账户注册手续。对于有效的转托管申请，转出的基金份额将在投资人申请转托管转出手续后次一工作日转入其指定的交易账户。</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（十三）定期定额投资计划</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2006年2月20日刊登公告自2006年2月23日起开通定期定额投资计划业务，具体开通销售机构名单和业务规则参见相关公告。</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（十四）定时不定额投资计划</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自2009年2月26日起，投资者可通过中国工商银行股份有限公司的“基智定投”办理本基金的定时不定额投资业务。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基智定投业务是中国工商银行股份有限公司普通基金定投业务的升级业务，基智定投分为定时不定额和定时定额两种投资方式。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（十五）定期定额赎回业务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2007年1月18日刊登公告自即日起在中国农业银行股份有限公司下属各代销网点开通定期定额赎回业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（十六）基金的非交易过户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指基金注册登记机构受理继承、捐赠、司法强制执行和经注册登记机构认可的其他情况下的非交易过户。无论在上述何种情况下，接受划转的主体必须是合格的个人投资者或机构投资者。</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按基金注册登记机构的规定办理，并按基金注册登记机构规定的标准收费。</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（十七）基金的冻结和解冻</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基金注册登记机构只受理国家有权机关依法要求基金份额冻结与解冻。</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11" w:name="_Toc124238835"/>
      <w:r>
        <w:rPr>
          <w:rFonts w:ascii="Times New Roman" w:hAnsi="Times New Roman"/>
          <w:sz w:val="30"/>
        </w:rPr>
        <w:lastRenderedPageBreak/>
        <w:t>九、基金的转换</w:t>
      </w:r>
      <w:bookmarkEnd w:id="11"/>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本基金2006年2月20日刊登公告自2006年2月23日起开放日常转换业务。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本基金遵循“份额转换”的原则，单笔转换份额不得低于1份。基金持有人可将其全部或部分基金份额转换成其它基金，单笔转换申请不受转入基金最低申购限额限制。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转出基金的赎回费用及归入基金资产的比例按照各基金最新的更新招募说明书及相关公告规定的赎回费率和计费方式收取。</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w:t>
      </w:r>
      <w:r>
        <w:rPr>
          <w:rFonts w:ascii="宋体" w:hAnsi="宋体"/>
          <w:sz w:val="24"/>
        </w:rPr>
        <w:lastRenderedPageBreak/>
        <w:t>基金后端申购费率减去转入基金后端申购费率差额进行补差。</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6、基金管理人可以根据法律法规及基金合同的规定对上述收费方式和费率进行调整，并应于调整后的收费方式和费率在实施前依照《信息披露办法》的有关规定在中国证监会指定媒介上公告。</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w:t>
      </w:r>
      <w:r>
        <w:rPr>
          <w:rFonts w:ascii="宋体" w:hAnsi="宋体"/>
          <w:sz w:val="24"/>
        </w:rPr>
        <w:lastRenderedPageBreak/>
        <w:t>额净值为2.2700元。若该投资者将100,000份交银趋势前端A类基金份额转换为交银成长前端基金份额，则转入交银成长确认的基金份额为：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转出基金的赎回费=0元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转出确认金额=100,000×1.2500=125,000元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w:t>
      </w:r>
      <w:r>
        <w:rPr>
          <w:rFonts w:ascii="宋体" w:hAnsi="宋体"/>
          <w:sz w:val="24"/>
        </w:rPr>
        <w:lastRenderedPageBreak/>
        <w:t>式的其他基金。货币市场基金、债券基金C类基金份额与其他基金之间的转换不受上述收费模式的限制。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12" w:name="_Toc124238836"/>
      <w:r>
        <w:rPr>
          <w:rFonts w:ascii="Times New Roman" w:hAnsi="Times New Roman"/>
          <w:sz w:val="30"/>
        </w:rPr>
        <w:lastRenderedPageBreak/>
        <w:t>十、基金的投资</w:t>
      </w:r>
      <w:bookmarkEnd w:id="12"/>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交银施罗德精选混合型证券投资基金是在坚持交银施罗德价值投资理念前提下，针对中国证券市场当前状况及未来发展前景，为满足投资人不断增长的投资理财需求而设计的一个混合型基金。</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坚持并不断深化价值投资的基本理念，利用施罗德集团的全球投资研究网络和分析方法，深入分析高速发展的中国经济与资本市场的无限商机，充分发挥专业研究与管理能力，适度配置资产，精选证券，在防御型股票、成长型股票和固定收益证券上作适度的配置。在有效控制下行风险的前提下，最大程度实现基金资产的长期稳定增长。</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（一）投资理念</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本基金的投资理念是：通过专业化研究分析，积极挖掘非完全有效市场中的投资机会。该理念至少包含以下三方面的含义：</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1、证券市场不是完全有效，通过专业研究可以获得信息优势，识别未被合理定价的投资品种。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2、内在价值是判断买卖时机的重要依据。</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本基金管理人的研究分析将注重证券的长期内在价值，并以此为依据来识别未被合理定价的证券的投资机会，寻找合理的买卖时机。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3、根据经济周期的变化适度配置资产，精选证券，在防御型股票、成长型股票和固定收益证券上作适度的配置，是抵御市场风险的最有效手段。</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（二）投资目标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坚持并不断深化价值投资的基本理念，充分发挥专业研究与管理能力，自上而下配置资产，自下而上精选证券，有效控制风险，分享中国经济与资本市场的高速成长的成果，谋求实现基金财产的长期稳定增长。</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（三）投资对象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本基金的投资对象重点为经过严格品质筛选和价值评估的上市公司股票，这些公司具备良好的产业前景、明确的发展策略、完善的治理结构和良好的财务状况。本基金也将投资于债券和货币市场工具。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在正常市场情况下，基金的投资组合为：股票资产（含存托凭证）占基金资产的60－95%，债券、货币市场工具、权证、资产支持证券以及中国证监会允许基金</w:t>
      </w:r>
      <w:r>
        <w:rPr>
          <w:rFonts w:ascii="宋体" w:hAnsi="宋体"/>
          <w:sz w:val="24"/>
        </w:rPr>
        <w:lastRenderedPageBreak/>
        <w:t>投资的其他证券品种占基金资产的5%-40%，其中，基金保留的现金以及投资于一年期以内的政府债券的比例合计不低于基金资产净值的5%，现金不包括结算备付金、存出保证金和应收申购款等。在基金实际管理过程中，管理人将根据中国宏观经济情况和证券市场的阶段性变化，适时调整基金资产在股票、债券及货币市场工具间的配置比例。本基金的资产配置限制如下表所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表一：资产类别和配置比例</w:t>
      </w:r>
    </w:p>
    <w:tbl>
      <w:tblPr>
        <w:tblW w:w="5000" w:type="pct"/>
        <w:tblCellMar>
          <w:left w:w="0" w:type="dxa"/>
          <w:right w:w="0" w:type="dxa"/>
        </w:tblCellMar>
        <w:tblLook w:val="0000" w:firstRow="0" w:lastRow="0" w:firstColumn="0" w:lastColumn="0" w:noHBand="0" w:noVBand="0"/>
      </w:tblPr>
      <w:tblGrid>
        <w:gridCol w:w="4325"/>
        <w:gridCol w:w="4325"/>
      </w:tblGrid>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资产类别</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资产配置范围</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股票（含存托凭证）</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60-95%</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债券、货币市场工具、权证、资产支持证券以及中国证监会允许的其他证券品种</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5-40%</w:t>
            </w:r>
          </w:p>
        </w:tc>
      </w:tr>
    </w:tbl>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（四）业绩比较基准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本基金的业绩比较基准采用：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75%×沪深300指数+25%×中证综合债券指数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如果今后市场有其他代表性更强的业绩比较基准推出，本基金可以在经过适当的程序后变更业绩比较基准。</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（五）投资范围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本基金的投资范围为具有良好流动性的金融工具，包括国内依法发行上市的股票（含存托凭证）、债券、货币市场工具、权证、资产支持证券及法律法规或中国证监会允许基金投资的其他金融工具。</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（六）投资策略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本基金的投资策略为：自上而下配置资产，自下而上精选证券，有效控制下行风险。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自上而下”的多因素分析决策支持系统，结合定性分析和定量分析，形成对不同市场的预测和判断，确定基金财产在股票、债券及货币市场工具等类别资产间的分配比例，并随着各类证券风险收益特征的相对变化，动态调整股票资产、债券资产和货币市场工具的比例，以规避或控制市场风险，提高基金收益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2、行业配置</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本基金将通过对经济周期、产业环境、产业政策和行业竞争格局的分析和预</w:t>
      </w:r>
      <w:r>
        <w:rPr>
          <w:rFonts w:ascii="宋体" w:hAnsi="宋体"/>
          <w:sz w:val="24"/>
        </w:rPr>
        <w:lastRenderedPageBreak/>
        <w:t>测，确定宏观及行业经济变量的变动对不同行业的潜在影响，得出各行业的相对投资价值与投资时机，并据此对基金股票投资资产的行业分布进行动态调整。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3、股票选择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本基金综合运用施罗德集团的股票研究分析方法和其它投资分析工具精选股票构建成份股。具体分以下三个层次进行：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通过净资产收益率、自由现金流量等选定的财务指标筛选出在财务及管理品质上符合基本品质要求的上市公司。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（2）公司质量评价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（3）多元化价值评估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在质量评估的基础上，根据上市公司所处的不同行业特点，综合运用多元化的股票估值指标，对股票进行合理估值，并评定投资级别。在明确的价值评估基础上选择价值被低估的投资标的。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股票组合的风格配置策略：在股票组合中，防御型股票和增长型股票做适度均衡的配置，并在经济周期减速与衰退期，加大防御型股票的投资比重；在经济扩张期则加大增长型股票的投资比重。通过不同经济周期下采取相应的阶段性投资策略，追求更稳定的投资回报和更低的波动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4、权证投资策略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5、资产支持证券投资策略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w:t>
      </w:r>
      <w:r>
        <w:rPr>
          <w:rFonts w:ascii="宋体" w:hAnsi="宋体"/>
          <w:sz w:val="24"/>
        </w:rPr>
        <w:lastRenderedPageBreak/>
        <w:t>市场交易机会等积极策略，在严格控制风险的情况下，通过信用研究和流动性管理，选择风险调整后的收益高的品种进行投资，以期获得长期稳定收益。</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（七）投资限制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（1）本基金持有一家上市公司的股票，其市值不超过基金资产净值的10%；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（2）本基金与由本基金管理人管理的其他基金持有一家公司发行的证券，不超过该证券的10%；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（3）本基金财产参与股票发行申购，基金所申报的金额不超过本基金的总资产，本基金所申报的股票数量不超过拟发行股票公司本次发行股票的总量；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（6）本基金与私募类证券资管产品及中国证监会认定的其他主体为交易对手开展逆回购交易的，可接受质押品的资质要求应当与基金合同约定的投资范围保持一致；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（7）本基金持有的全部权证，其市值不得超过基金资产净值的3%；</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（8）本基金管理人管理的全部基金持有的同一权证，不得超过该权证的10%；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（9）本基金在任何交易日买入权证的总金额，不得超过上一交易日基金资产净值的5‰；</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（10）本基金投资于资产支持证券的比例，不得超过该资产支持证券总规模的10%；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（11）本基金持有的同一（指同一信用级别）资产支持证券的比例，不得超过该资产支持证券规模的10%；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（12）本基金投资于同一原始权益人的各类资产支持证券的比例，不得超过基金资产净值的10%；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（13）同一基金管理公司管理的全部证券投资基金投资于同一原始权益人的各类资产支持证券，不得超过其各类资产支持证券合计规模的10%；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（14）本基金持有的全部资产支持证券，其市值不得超过基金资产净值的20%；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（15）本基金不得违反基金合同中有关投资范围、投资策略、投资比例的规定；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（16）本基金投资存托凭证的比例限制依照境内上市交易的股票执行；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（17）法律法规或监管部门取消上述限制，则本基金不受上述限制。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5）、（6）项以外，因证券市场波动、上市公司合并、基金规模变动、股权分置改革中支付对价等基金管理人之外的因素致使基金投资比例不符合上述规定的投资比例的，基金管理人应当在10个交易日内进行调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禁止行为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为维护基金份额持有人的合法权益，本基金禁止从事下列行为：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承销证券；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向他人贷款或者提供担保；</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从事承担无限责任的投资；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买卖其他基金份额，但是国务院另有规定的除外；</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向其基金管理人、基金托管人出资或者买卖其基金管理人、基金托管人发行的股票或者债券；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买卖与其基金管理人、基金托管人有控股关系的股东或者与其基金管理人、基金托管人有其他重大利害关系的公司发行的证券或者承销期内承销的证券；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从事内幕交易、操纵证券交易价格及其他不正当的证券交易活动；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依照法律、行政法规有关规定，由中国证监会规定禁止的其他活动。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如法律法规有关规定发生变更，上述禁止行为应相应变更。</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（八）投资组合比例调整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约定。除“（七）投资限制”之“1、组合限制”中第（5）、（6）项外，因证券市场波动、上市公司合并、基金规模变动等基金管理人之外的因素致使基金投资不符合基金合同约定的投资比例规定的，基金管理人应当在10个交易日内进行调整。</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（九）风险收益特征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风险和预期收益高于债券型基金和货币市场基金，低于股票型基金。属于承担较高风险、预期收益较高的证券投资基金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（十）基金管理人代表基金行使股东权利的处理原则及方法</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1、基金管理人按照国家有关规定代表基金独立行使股东权利，保护基金份额持有人的利益；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（十一）基金投资组合报告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本基金托管人中国农业银行股份有限公司根据本基金合同规定，于2022年07月19日复核了本报告中的财务指标、净值表现和投资组合报告等内容，保证复核内容不存在虚假记载、误导性陈述或者重大遗漏。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本报告期为2022年04月01日至06月30日。本报告财务资料未经审计师审计。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6,190,424,075.39</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79.68</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6,190,424,075.39</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79.68</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378,869,597.52</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4.88</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378,869,597.52</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4.88</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6</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1,029,356,178.84</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13.25</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170,392,633.19</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2.19</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7,769,042,484.94</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5,559.90</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1,349,628.66</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4,750,749,815.34</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61.39</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28,380.62</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135,904.94</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28,740.40</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574,181,263.86</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7.42</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38,710.56</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178,363,180.02</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2.30</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40,699.23</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310,526,461.42</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4.01</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34,416.58</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374,906,327.75</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4.84</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34,986.11</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6,190,424,075.39</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80.00</w:t>
            </w:r>
          </w:p>
        </w:tc>
      </w:tr>
    </w:tbl>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600519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XD</w:t>
            </w:r>
            <w:r>
              <w:rPr>
                <w:rFonts w:ascii="Times New Roman" w:hAnsi="Times New Roman"/>
                <w:color w:val="000000"/>
                <w:kern w:val="0"/>
                <w:sz w:val="25"/>
                <w:szCs w:val="24"/>
              </w:rPr>
              <w:t>贵州茅</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322,254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659,009,430.00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8.52</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002493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荣盛石化</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36,646,226</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563,985,418.14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7.29</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603613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国联股份</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5,907,924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523,442,066.40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6.76</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603799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华友钴业</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4,147,126</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396,548,188.12</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5.12</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002049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紫光国微</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1,980,965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375,828,679.80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4.86</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603882</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金域医学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4,539,224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374,712,941.20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4.84</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603259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药明康德</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2,982,382</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310,137,904.18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4.01</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300750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宁德时代</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577,003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308,119,602.00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3.98</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002271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东方雨虹</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5,329,610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274,315,026.70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3.54</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603816</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顾家家居</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4,814,670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272,654,762.10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3.52</w:t>
            </w:r>
          </w:p>
        </w:tc>
      </w:tr>
    </w:tbl>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375,530,443.83</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4.85</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9F2B1E">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375,530,443.83</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4.85</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3,339,153.69</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0.04</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378,869,597.52</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4.90</w:t>
            </w:r>
          </w:p>
        </w:tc>
      </w:tr>
    </w:tbl>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210407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农发</w:t>
            </w:r>
            <w:r>
              <w:rPr>
                <w:rFonts w:ascii="Times New Roman" w:hAnsi="Times New Roman"/>
                <w:color w:val="000000"/>
                <w:kern w:val="0"/>
                <w:sz w:val="25"/>
                <w:szCs w:val="24"/>
              </w:rPr>
              <w:t>07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101,910,273.97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1.32</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210306</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进出</w:t>
            </w:r>
            <w:r>
              <w:rPr>
                <w:rFonts w:ascii="Times New Roman" w:hAnsi="Times New Roman"/>
                <w:color w:val="000000"/>
                <w:kern w:val="0"/>
                <w:sz w:val="25"/>
                <w:szCs w:val="24"/>
              </w:rPr>
              <w:t>06</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101,873,972.60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1.32</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220201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国开</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900,000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90,951,928.77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1.18</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210308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进出</w:t>
            </w:r>
            <w:r>
              <w:rPr>
                <w:rFonts w:ascii="Times New Roman" w:hAnsi="Times New Roman"/>
                <w:color w:val="000000"/>
                <w:kern w:val="0"/>
                <w:sz w:val="25"/>
                <w:szCs w:val="24"/>
              </w:rPr>
              <w:t>08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50,638,465.75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0.65</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220401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30,155,802.74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0.39</w:t>
            </w:r>
          </w:p>
        </w:tc>
      </w:tr>
    </w:tbl>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w:t>
      </w:r>
      <w:r>
        <w:rPr>
          <w:rFonts w:ascii="宋体" w:hAnsi="宋体"/>
          <w:sz w:val="24"/>
        </w:rPr>
        <w:lastRenderedPageBreak/>
        <w:t>投资明细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2,257,015.91</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2</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162,468,075.53</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5,667,541.75</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right"/>
              <w:rPr>
                <w:rFonts w:ascii="宋体" w:hAnsi="宋体"/>
                <w:color w:val="000000"/>
                <w:kern w:val="0"/>
                <w:sz w:val="25"/>
                <w:szCs w:val="24"/>
              </w:rPr>
            </w:pPr>
            <w:r>
              <w:rPr>
                <w:rFonts w:ascii="Times New Roman" w:hAnsi="Times New Roman"/>
                <w:color w:val="000000"/>
                <w:kern w:val="0"/>
                <w:sz w:val="25"/>
                <w:szCs w:val="24"/>
              </w:rPr>
              <w:t>170,392,633.19</w:t>
            </w:r>
          </w:p>
        </w:tc>
      </w:tr>
    </w:tbl>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13" w:name="_Toc124238837"/>
      <w:r>
        <w:rPr>
          <w:rFonts w:ascii="Times New Roman" w:hAnsi="Times New Roman"/>
          <w:sz w:val="30"/>
        </w:rPr>
        <w:lastRenderedPageBreak/>
        <w:t>十一、基金的业绩</w:t>
      </w:r>
      <w:bookmarkEnd w:id="13"/>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基金业绩截止日为2022年06月30日，所载财务数据未经审计师审计。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10.81%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1.65%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5.02%</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5.79%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0.58%</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-8.65%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1.62%</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-6.36%</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1.09%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-2.29%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0.53%</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3.59%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-2.39%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0.88%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5.98%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55.07%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21.26%</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33.81%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58.45%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27.90%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0.93%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30.55%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0.17%</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-16.28%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-17.72%</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1.44%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0.50%</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20.71%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0.73%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16.11%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4.60%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1.61%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-7.69%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1.05%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8.53%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0.56%</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61.03%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2.79%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7.24%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1.87%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53.79%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0.92%</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1.85%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40.22%</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0.92%</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-38.37%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8.28%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1.25%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-4.97%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1.05%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13.25%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8.13%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1.06%</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7.06%</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0.96%</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-27.14%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1.05%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-18.35%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-8.79%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2010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-14.24%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1.44%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-8.57%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1.19%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-5.67%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2009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78.17%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1.87%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67.87%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1.54%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10.30%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0.33%</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2008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-48.87%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1.89%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-53.36%</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2.28%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4.49%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-0.39%</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2007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115.97%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1.77%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107.77%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1.73%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8.20%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2006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135.29%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1.23%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82.87%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1.05%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52.42%</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0.18%</w:t>
            </w:r>
          </w:p>
        </w:tc>
      </w:tr>
      <w:tr w:rsidR="009F2B1E">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2005</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2005</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2.15%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1.77</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-0.45%</w:t>
            </w:r>
          </w:p>
        </w:tc>
      </w:tr>
    </w:tbl>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注：本基金业绩比较基准自2015年10月1日起，由“75%×沪深300指数+25%×中信全债指数”变更为“75%×沪深300指数+25%×中证综合债券指数”，下图同。</w:t>
      </w:r>
      <w:r>
        <w:rPr>
          <w:rFonts w:ascii="宋体" w:hAnsi="宋体"/>
          <w:sz w:val="24"/>
        </w:rPr>
        <w:lastRenderedPageBreak/>
        <w:t>详情见本基金管理人于2015年9月28日发布的《交银施罗德基金管理有限公司关于旗下部分基金业绩比较基准变更并修改基金合同相关内容的公告》。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9F2B1E" w:rsidRDefault="00B873BF">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交银施罗德精选混合型证券投资基金</w:t>
      </w:r>
    </w:p>
    <w:p w:rsidR="009F2B1E" w:rsidRDefault="00B873BF">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rsidR="009F2B1E" w:rsidRDefault="00B873BF">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（2005年9月29日至2022年06月30日）</w:t>
      </w:r>
    </w:p>
    <w:p w:rsidR="009F2B1E" w:rsidRDefault="006408F6">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3413760"/>
            <wp:effectExtent l="0" t="0" r="0" b="0"/>
            <wp:docPr id="7"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14" w:name="_Toc124238838"/>
      <w:r>
        <w:rPr>
          <w:rFonts w:ascii="Times New Roman" w:hAnsi="Times New Roman"/>
          <w:sz w:val="30"/>
        </w:rPr>
        <w:lastRenderedPageBreak/>
        <w:t>十二、基金的财产</w:t>
      </w:r>
      <w:bookmarkEnd w:id="14"/>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（一）基金资产的总值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基金资产总值是指基金购买的各类证券及票据价值、银行存款本息和基金应收的申购款以及其他投资所形成的价值总和。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其构成主要有：</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1、银行存款及其应计利息；</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2、清算备付金及其应计利息；</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3、根据有关规定缴纳的保证金；</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4、应收证券交易清算款；</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5、应收申购款；</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6、股票投资及其估值调整；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7、债券投资及其估值调整和应计利息；</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8、其他投资及其估值调整；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9、其他资产等。</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基金资产净值是指基金资产总值扣除基金负债后的价值。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其构成主要有：</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1、基金份额持有人申购基金份额所支付的款项；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2、运用基金财产所获得收益（亏损）；</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3、以前年度实现的尚未分配的收益或尚未弥补的亏损。</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 基金财产的账户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基金托管人的名义开立资金结算账户和托管专户用于基金的资金结算业务，并以基金托管人和“交银施罗德精选混合型开放式证券投资基金”联名的方式开立基金证券账户、以“交银施罗德精选混合型开放式证券投资基金”的名义开立银行间债券托管账户并报中国人民银行备案。开立的基金专用账户与基金管理人、基金托管人、基金代销机构和基金注册登记机构自有的财产账户以及其他基金财产账户相独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（四）基金财产的保管与处分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基金财产应独立于基金管理人、基金托管人的固有财产。基金管理人、基金托</w:t>
      </w:r>
      <w:r>
        <w:rPr>
          <w:rFonts w:ascii="宋体" w:hAnsi="宋体"/>
          <w:sz w:val="24"/>
        </w:rPr>
        <w:lastRenderedPageBreak/>
        <w:t>管人不得将基金财产归入其固有财产。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基金管理人、基金托管人因基金财产的管理、运用或者其他情形而取得的财产和收益，归入基金财产。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非因基金财产本身承担的债务，不得对基金财产强制执行。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基金管理人、基金托管人可以按基金合同的规定，收取管理费、托管费及其他费用。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除依法律法规和基金合同的规定处分外，基金财产不得被处分。</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15" w:name="_Toc124238839"/>
      <w:r>
        <w:rPr>
          <w:rFonts w:ascii="Times New Roman" w:hAnsi="Times New Roman"/>
          <w:sz w:val="30"/>
        </w:rPr>
        <w:lastRenderedPageBreak/>
        <w:t>十三、基金资产的估值</w:t>
      </w:r>
      <w:bookmarkEnd w:id="15"/>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（一）估值目的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基金资产估值的目的是客观、准确地反映基金财产是否保值、增值，依据经基金资产估值后确定的基金资产净值而计算出的基金份额净值，是计算基金申购与赎回价格的基础。</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本基金的估值日为相关的证券交易场所的正常营业日以及国家法律法规规定需要对外披露基金净值的非营业日。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（三）估值方法</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1、股票估值方法：</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（1）上市流通股票按估值日其所在证券交易所的收盘价估值；估值日无交易的，以最近交易日的收盘价估值；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（2）未上市股票的估值：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1）首次发行未上市的股票，按成本计量；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2）送股、转增股、配股和公开增发新股等发行未上市的股票，按估值日在证券交易所上市的同一股票的市价进行估值；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3）首次公开发行有明确锁定期的股票，同一股票在交易所上市后，按估值日在证券交易所上市的同一股票的市价进行估值；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4）非公开发行有明确锁定期的流通受限股票，按监管机构或行业协会有关规定确定公允价值。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（3）本基金投资存托凭证的估值核算依照境内上市交易的股票执行。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任何情况下，基金管理人如采用本项第（1）－（3）小项规定的方法对基金资产进行估值，均应被认为采用了适当的估值方法。但是，如果基金管理人认为按本项第（1）－（3）小项规定的方法对基金资产进行估值不能客观反映其公允价值的，基金管理人可根据具体情况，并与基金托管人商定后，按最能反映公允价值的价格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（5）国家有最新规定的，按其规定进行估值。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2、债券估值方法：</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（1）交易所市场上市交易或挂牌转让的固定收益品种（另有规定的除外），选</w:t>
      </w:r>
      <w:r>
        <w:rPr>
          <w:rFonts w:ascii="宋体" w:hAnsi="宋体"/>
          <w:sz w:val="24"/>
        </w:rPr>
        <w:lastRenderedPageBreak/>
        <w:t>取第三方估值机构提供的相应品种当日的估值净价进行估值；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证券交易所市场挂牌交易未实行净价交易的债券按估值日收盘价减去债券收盘价中所含的应收利息(自债券计息起始日或上一起息日至估值当日的利息)得到的净价进行估值；估值日没有交易的，以最近交易日的收盘净价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（3）发行未上市债券采用估值技术确定的公允价值进行估值，在估值技术难以可靠计量公允价值的情况下，按成本进行后续计量；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（4）在全国银行间债券市场交易的债券、资产支持证券等固定收益品种，采用估值技术确定公允价值；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（5）同一债券同时在两个或两个以上市场交易的，按债券所处的市场分别估值；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（7）国家有最新规定的，按其规定进行估值。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3、权证估值方法：</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（1）基金持有的权证，从持有确认日起到卖出日或行权日止，上市交易的权证按估值日在证券交易所挂牌的该权证的收盘价估值；估值日没有交易的，按最近交易日的收盘价估值；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未上市交易的权证，采用估值技术确定公允价值，在估值技术难以可靠计量公允价值的情况下，按成本计量；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（3）国家有最新规定的，按其规定进行估值。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4、其他有价证券等资产按国家有关规定进行估值。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5、如基金管理人或基金托管人发现基金估值违反基金合同订明的估值方法、程序及相关法律法规的规定或者未能充分维护基金份额持有人利益时，应立即通知对方，共同查明原因，双方协商解决。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开放式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（四）估值对象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基金所拥有的股票、债券、票据、股息红利、债券利息、票据利息和银行存款本息、权证、资产支持证券等资产。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日常估值由基金管理人进行。基金资产净值由基金管理人完成估值后，将估值结果加盖业务公章以书面形式传真至基金托管人，基金托管人按法律法规、基金合同规定的估值方法、时间、程序进行复核；基金托管人复核无误后加盖业务公章返回给基金管理人；月末、年中和年末估值复核与基金会计账目的核对同时进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（六）基金份额净值的确认和估值错误的处理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的计算保留到小数点后4位，小数点后第5位四舍五入。当基金估值出现影响基金份额净值的错误时，基金管理人应当立即纠正，并采取合理的措施防止损失进一步扩大；当错误偏差达到或超过基金份额净值的0.25%时，基金管理人应当及时通知基金托管人并报中国证监会；错误偏差达到基金份额净值的0.5%时，基金管理人应当公告、通报基金托管人并报中国证监会备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因基金估值错误给投资人造成损失的应先由基金管理人承担，基金管理人对不应由其承担的责任，有权向过错人追偿。本合同的当事人应将按照以下约定处理：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1、差错类型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注册登记机构、或代理销售机构、或投资人自身的过错造成差错，导致其他当事人遭受损失的，过错的责任人应当对由于该差错遭受损失的当事人（“受损方”）按下述“差错处理原则”给予赔偿承担赔偿责任。</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上述差错的主要类型包括但不限于：资料申报差错、数据传输差错、数据计算差错、系统故障差错、下达指令差错等；对于因技术原因引起的差错，若系同行业</w:t>
      </w:r>
      <w:r>
        <w:rPr>
          <w:rFonts w:ascii="宋体" w:hAnsi="宋体"/>
          <w:sz w:val="24"/>
        </w:rPr>
        <w:lastRenderedPageBreak/>
        <w:t>现有技术水平不能预见、不能避免、不能克服，则属不可抗力，按照下述规定执行。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2、差错处理原则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（2）差错的责任方对可能导致有关当事人的直接损失负责，不对间接损失负责，并且仅对差错的有关直接当事人负责，不对第三方负责。</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（4）差错调整采用尽量恢复至假设未发生差错的正确情形的方式。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差错责任方拒绝进行赔偿时，如果因基金管理人过错造成基金财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w:t>
      </w:r>
      <w:r>
        <w:rPr>
          <w:rFonts w:ascii="宋体" w:hAnsi="宋体"/>
          <w:sz w:val="24"/>
        </w:rPr>
        <w:lastRenderedPageBreak/>
        <w:t>偿或补偿由此发生的费用和遭受的损失。</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（7）按法律法规规定的其他原则处理差错。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3、差错处理程序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差错被发现后，有关的当事人应当及时进行处理，处理的程序如下：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（1）查明差错发生的原因，列明所有的当事人，并根据差错发生的原因确定差错的责任方；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（2）根据差错处理原则或当事人协商的方法对因差错造成的损失进行评估；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（3）根据差错处理原则或当事人协商的方法由差错的责任方进行更正和赔偿损失；</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（4）根据差错处理的方法，需要修改基金注册登记机构的交易数据的，由基金注册登记机构进行更正，并就差错的更正向有关当事人进行确认；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及基金托管人基金份额净值计算错误偏差达到或超过基金份额净值的0.25%时，基金管理人应当及时通知基金托管人并报中国证监会；错误偏差达到基金份额净值的0.5%时，基金管理人应当公告、通报基金托管人并报中国证监会备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1、与本基金投资有关的证券交易场所遇法定节假日或因其他原因暂停营业时；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2、因不可抗力或其他情形致使基金管理人无法准确评估基金财产价值时；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3、当前一估值日基金资产净值50%以上的资产出现无可参考的活跃市场价格且采用估值技术仍导致公允价值存在重大不确定性时，经与基金托管人协商确认后，基金管理人应当暂停估值；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4、中国证监会认定的其他情形。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（八）特殊情形的处理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1、基金管理人、基金托管人按股票估值方法的第（3）项、债券估值方法的第（6）项或权证估值方法的第（2）项进行估值时，所造成的误差不作为基金份额净值错误处理；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w:t>
      </w:r>
      <w:r>
        <w:rPr>
          <w:rFonts w:ascii="宋体" w:hAnsi="宋体"/>
          <w:sz w:val="24"/>
        </w:rPr>
        <w:lastRenderedPageBreak/>
        <w:t>可以免除赔偿责任。但基金管理人、基金托管人应当积极采取必要的措施消除由此造成的影响。</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16" w:name="_Toc124238840"/>
      <w:r>
        <w:rPr>
          <w:rFonts w:ascii="Times New Roman" w:hAnsi="Times New Roman"/>
          <w:sz w:val="30"/>
        </w:rPr>
        <w:lastRenderedPageBreak/>
        <w:t>十四、基金收益与分配</w:t>
      </w:r>
      <w:bookmarkEnd w:id="16"/>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（一）基金收益的构成</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基金收益包括：基金投资所得红利、股息、债券利息、票据投资收益、买卖证券差价、银行存款利息以及其他收入。因运用基金财产带来的成本或费用的节约计入基金收益。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（二）基金净收益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基金净收益为基金收益扣除按照有关规定可以在基金收益中扣除的费用后的余额。</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1、基金收益分配比例按有关规定制定；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2、本基金每年收益分配次数最多为6次，年度收益分配比例不低于基金年度已实现收益的50%；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人可选择现金红利或将现金红利按除息日的基金份额净值自动转为基金份额进行再投资；若投资人不选择，本基金默认的收益分配方式是现金分红；分红方式最终以注册登记机构确认的分红方式为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4、基金投资当期出现净亏损，则不进行收益分配；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5、基金当年收益应先弥补上一年度亏损后，方可进行当年收益分配；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6、在符合有关基金分红条件的前提下，本基金收益每年至少分配一次，但若基金合同生效不满3个月则不进行收益分配；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7、基金收益分配后基金份额净值不能低于面值；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8、每一基金份额享有同等分配权；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9、法律法规或监管机关另有规定的，从其规定。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基金收益分配方案中应载明基金收益的范围、基金净收益、基金收益分配对象、分配原则、分配时间、分配数额及比例、分配方式等内容。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（六）基金收益分配中发生的费用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现金红利分配时所发生的银行转账或其他手续费用由投资人自行承担。</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不同的交易账户可设置不同的收益分配方式。投资者同一日多次申报分红方式变更的，按照《业务规则》执行，最终确认的分红方式以注册登记机构记录为准。</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17" w:name="_Toc124238841"/>
      <w:r>
        <w:rPr>
          <w:rFonts w:ascii="Times New Roman" w:hAnsi="Times New Roman"/>
          <w:sz w:val="30"/>
        </w:rPr>
        <w:lastRenderedPageBreak/>
        <w:t>十五、基金的费用与税收</w:t>
      </w:r>
      <w:bookmarkEnd w:id="17"/>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3、基金证券交易费用；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4、基金份额持有人大会费用；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5、合同生效后与基金相关的会计师费和律师费；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6、基金合同生效后的基金信息披露费；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7、在有关规定允许的前提下，本基金可以从基金财产中计提销售服务费，销售服务费的具体计提方法、计提标准在有关公告中载明。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8、按照国家有关规定和基金合同约定，可以在基金财产中列支的其他费用。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本基金终止清算时所发生费用，按实际支出额从基金资产总值中扣除。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基金管理人的管理费按基金资产净值的1.</w:t>
      </w:r>
      <w:r w:rsidR="005E4D7E">
        <w:rPr>
          <w:rFonts w:ascii="宋体" w:hAnsi="宋体"/>
          <w:sz w:val="24"/>
        </w:rPr>
        <w:t>2</w:t>
      </w:r>
      <w:r>
        <w:rPr>
          <w:rFonts w:ascii="宋体" w:hAnsi="宋体"/>
          <w:sz w:val="24"/>
        </w:rPr>
        <w:t>%年费率计提。管理费的计算方法如下：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H=E×1.</w:t>
      </w:r>
      <w:r w:rsidR="005E4D7E">
        <w:rPr>
          <w:rFonts w:ascii="宋体" w:hAnsi="宋体"/>
          <w:sz w:val="24"/>
        </w:rPr>
        <w:t>2</w:t>
      </w:r>
      <w:r>
        <w:rPr>
          <w:rFonts w:ascii="宋体" w:hAnsi="宋体"/>
          <w:sz w:val="24"/>
        </w:rPr>
        <w:t>%/当年天数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基金托管人的托管费按前一日的基金资产净值的</w:t>
      </w:r>
      <w:r w:rsidR="00A84579">
        <w:rPr>
          <w:rFonts w:ascii="宋体" w:hAnsi="宋体" w:hint="eastAsia"/>
          <w:sz w:val="24"/>
        </w:rPr>
        <w:t>2</w:t>
      </w:r>
      <w:r w:rsidR="00A84579">
        <w:rPr>
          <w:rFonts w:ascii="宋体" w:hAnsi="宋体"/>
          <w:sz w:val="24"/>
        </w:rPr>
        <w:t>.0</w:t>
      </w:r>
      <w:r>
        <w:rPr>
          <w:rFonts w:ascii="宋体" w:hAnsi="宋体"/>
          <w:sz w:val="24"/>
        </w:rPr>
        <w:t>‰的年费率计提。托管费的计算方法如下：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w:t>
      </w:r>
      <w:r w:rsidR="00A84579">
        <w:rPr>
          <w:rFonts w:ascii="宋体" w:hAnsi="宋体"/>
          <w:sz w:val="24"/>
        </w:rPr>
        <w:t>2.0</w:t>
      </w:r>
      <w:r>
        <w:rPr>
          <w:rFonts w:ascii="宋体" w:hAnsi="宋体"/>
          <w:sz w:val="24"/>
        </w:rPr>
        <w:t>‰/当年天数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w:t>
      </w:r>
      <w:bookmarkStart w:id="18" w:name="_GoBack"/>
      <w:bookmarkEnd w:id="18"/>
      <w:r>
        <w:rPr>
          <w:rFonts w:ascii="宋体" w:hAnsi="宋体"/>
          <w:sz w:val="24"/>
        </w:rPr>
        <w:t>产净值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托管费每日计算，逐日累计至每月月末，按月支付，由基金管理人向基金托管人发送基金托管费划款指令，基金托管人复核后于次月前2个工作日内从基金财产中一次性支取。若遇法定节假日、公休假等，支付日期顺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（3）上述（一）基金费用的种类中3－6、8项费用由基金托管人根据有关法规及相应协议规定，按费用实际支出金额列入当期费用，从基金财产中支付。</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本基金申购费的费率水平、计算公式和收取方式详见“基金的申购与赎回”一章。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本基金赎回费的费率水平、计算公式和收取方式详见“基金的申购与赎回”一章。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（4）销售服务费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基金管理人可以根据中国证监会的有关规定从基金财产中计提销售服务费，用于基金的持续销售和服务基金份额持有人。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基金管理人和基金托管人因未履行或未完全履行义务导致的费用支出或基金财产的损失，以及处理与基金运作无关的事项发生的费用等不列入基金费用。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基金募集期间的信息披露费、会计师费、律师费及其他费用，不得从基金财产中列支。其他具体不列入基金费用的项目依据中国证监会有关规定执行。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（四）基金管理费和托管费的调整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可根据基金发展情况调整基金管理费率或基金托管费率。调高基金管理费率或基金托管费率，须召开基金份额持有人大会审议；调低基金管理费率或基金托管费率，无须召开基金份额持有人大会。基金管理人必须最迟于新的费率实施日前3个工作日在至少一种中国证监会指定的媒介上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（五）基金税收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基金运作过程中涉及的各类纳税主体，其纳税义务按国家税收法律法规执行。</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19" w:name="_Toc124238842"/>
      <w:r>
        <w:rPr>
          <w:rFonts w:ascii="Times New Roman" w:hAnsi="Times New Roman"/>
          <w:sz w:val="30"/>
        </w:rPr>
        <w:lastRenderedPageBreak/>
        <w:t>十六、基金的会计与审计</w:t>
      </w:r>
      <w:bookmarkEnd w:id="19"/>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2、基金的会计年度为公历年度的1月1日至12月31日；基金募集所在会计年度按如下原则：如果基金合同生效少于2个月，可以并入下一个会计年度；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（二）基金审计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1、本基金管理人聘请与基金管理人、基金托管人相互独立的具有证券、期货相关业务资格的会计师事务所及其注册会计师对本基金的年度财务报表进行审计。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2、会计师事务所更换经办注册会计师，应事先征得基金管理人和基金托管人同意，并报中国证监会备案。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3、基金管理人（或基金托管人）认为有充足理由更换会计师事务所，须经基金托管人（或基金管理人）同意。更换会计师事务所需按照《信息披露办法》的有关规定在指定媒介公告。</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20" w:name="_Toc124238843"/>
      <w:r>
        <w:rPr>
          <w:rFonts w:ascii="Times New Roman" w:hAnsi="Times New Roman"/>
          <w:sz w:val="30"/>
        </w:rPr>
        <w:lastRenderedPageBreak/>
        <w:t>十七、基金的信息披露</w:t>
      </w:r>
      <w:bookmarkEnd w:id="20"/>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本基金的信息披露应符合《基金法》、《运作办法》、《信息披露办法》、《流动性规定》、基金合同及其他有关规定。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本基金信息披露义务人承诺公开披露的基金信息，不得有下列行为：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本基金公开披露的信息应采用中文文本。如同时采用外文文本的，基金信息披露义务人应保证不同文本的内容一致。不同文本之间发生歧义的，以中文文本为准。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（一）公开披露的基金信息</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基金募集申请经中国证监会核准后，基金管理人在基金份额发售的3日前，将基金招募说明书、基金合同摘要登载在指定报刊和网站上；基金管理人、基金托管</w:t>
      </w:r>
      <w:r>
        <w:rPr>
          <w:rFonts w:ascii="宋体" w:hAnsi="宋体"/>
          <w:sz w:val="24"/>
        </w:rPr>
        <w:lastRenderedPageBreak/>
        <w:t>人应当将基金合同、基金托管协议登载在网站上。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2、发售公告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基金管理人应当就基金份额发售的具体事宜编制基金份额发售公告，并在披露招募说明书的当日登载于指定报刊和网站上。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基金管理人应当在本基金合同生效的次日在指定报刊和网站上登载基金合同生效公告。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《基金合同》生效后，在开始办理基金份额申购或者赎回前，基金管理人应当至少每周在指定网站披露一次基金份额净值和基金份额累计净值。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在开始办理基金份额申购或者赎回后，基金管理人应当在不晚于每个开放日的次日，通过指定网站、销售机构网站或者营业网点披露开放日的基金份额净值和基金份额累计净值。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基金管理人应当在不晚于半年度和年度最后一日的次日，在指定网站披露半年度和年度最后一日的基金份额净值和基金份额累计净值。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（4）更换基金管理人、基金托管人、基金份额登记机构，基金改聘会计师事务所；</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（15）管理费、托管费、申购费、赎回费等费用计提标准、计提方式和费率发生变更；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（16）基金份额净值计价错误达基金份额净值百分之零点五；</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（22）基金信息披露义务人认为可能对基金份额持有人权益或者基金份额的价格产生重大影响的其他事项或中国证监会规定的其他事项。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10、本基金的信息披露还应当遵守上交所《业务规则》的有关规定。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11、中国证监会规定的其他信息。</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（二）信息披露事务管理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w:t>
      </w:r>
      <w:r>
        <w:rPr>
          <w:rFonts w:ascii="宋体" w:hAnsi="宋体"/>
          <w:sz w:val="24"/>
        </w:rPr>
        <w:lastRenderedPageBreak/>
        <w:t>机构，应当制作工作底稿，并将相关档案至少保存到《基金合同》终止后10年。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（三）信息披露文件的存放与查阅</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（四）本基金信息披露事项以法律法规规定及本章节约定的内容为准。</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21" w:name="_Toc124238844"/>
      <w:r>
        <w:rPr>
          <w:rFonts w:ascii="Times New Roman" w:hAnsi="Times New Roman"/>
          <w:sz w:val="30"/>
        </w:rPr>
        <w:lastRenderedPageBreak/>
        <w:t>十八、风险揭示</w:t>
      </w:r>
      <w:bookmarkEnd w:id="21"/>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w:t>
      </w:r>
      <w:r>
        <w:rPr>
          <w:rFonts w:ascii="宋体" w:hAnsi="宋体"/>
          <w:sz w:val="24"/>
        </w:rPr>
        <w:lastRenderedPageBreak/>
        <w:t>担。</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1、政策风险。因国家宏观政策（如货币政策、财政政策、行业政策、地区发展政策等）发生变化，导致市场价格波动而产生风险。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2、经济周期风险。随经济运行的周期性变化，证券市场的收益水平也呈周期性变化。基金投资于国债与上市公司的股票，收益水平也会随之变化，从而产生风险。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3、利率风险。金融市场利率的波动会导致证券市场价格和收益率的变动。利率直接影响着国债的价格和收益率，影响着企业的融资成本和利润。基金投资于国债和股票，其收益水平会受到利率变化的影响。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5、购买力风险。基金的利润将主要通过现金形式来分配，而现金可能因为通货膨胀的影响而导致购买力下降，从而使基金的实际收益下降。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申购和赎回。由于开放式基金在国内发展历史不长，应对基金赎回的经验不足，加之中国股票市场波动性较大，在市场下跌时经常出现交易量急剧减少的情况，如果在这时出现较大数额的基金赎回申请，则使基金资产变现困难，基金面临</w:t>
      </w:r>
      <w:r>
        <w:rPr>
          <w:rFonts w:ascii="宋体" w:hAnsi="宋体"/>
          <w:sz w:val="24"/>
        </w:rPr>
        <w:lastRenderedPageBreak/>
        <w:t>流动性风险。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当出现巨额赎回时，基金管理人可以根据本基金当时的资产组合状况决定全额赎回或部分顺延赎回。</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（1）全额赎回：当基金管理人认为有能力支付投资者的赎回申请时，按正常赎回程序执行。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顺延赎回：当基金管理人认为支付投资者的赎回申请有困难或认为支付投资者的赎回申请可能会对基金的资产净值造成较大波动时，基金管理人在当日接受赎回比例不低于基金总份额的10%的前提下，对其余赎回申请予以延期办理。对于当日的赎回申请，应当按单个账户赎回申请量占赎回申请总量的比例，确定当日受理的赎回份额，未受理部分可延迟至下一开放日办理。依照上述规定转入下一个开放日的赎回不享有赎回优先权并将以下一个开放日的基金份额净值为准计算赎回金额，并以此类推，直到全部赎回为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顺延赎</w:t>
      </w:r>
      <w:r>
        <w:rPr>
          <w:rFonts w:ascii="宋体" w:hAnsi="宋体"/>
          <w:sz w:val="24"/>
        </w:rPr>
        <w:lastRenderedPageBreak/>
        <w:t>回”的约定方式与其他基金份额持有人的赎回申请一并办理。但是，如该类基金份额持有人在当日选择取消赎回，则其当日未获受理的部分赎回申请将被撤销。</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本基金连续2个开放日以上发生巨额赎回，如基金管理人认为有必要，可暂停接受赎回申请；已经接受的赎回申请可以延缓支付赎回款项，但不得超过正常支付时间20个工作日，并应当在至少一种中国证监会指定的媒介上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（四）本基金的特定风险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属于混合型基金，将维持较高的股票持仓比例。如果股票市场出现整体下跌，本基金的净值表现将受到影响。基金虽然采用防御型和增长型股票配置的组合构建策略，但并不能完全抵御下跌的风险，在股市大幅上涨时也不能完全保证基金净值能够完全跟随或超越大盘走势。</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2、本基金可投资创业板股票，创业板个股上市后的前五个交易日不设价格涨跌幅限制，第六个交易日开始涨跌幅限制比例为20%。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（五）投资科创板股票的特定风险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w:t>
      </w:r>
      <w:r>
        <w:rPr>
          <w:rFonts w:ascii="宋体" w:hAnsi="宋体"/>
          <w:sz w:val="24"/>
        </w:rPr>
        <w:lastRenderedPageBreak/>
        <w:t>及生物医药等高新技术和战略新兴产业领域。大多数企业为初创型公司，企业未来盈利、现金流、估值均存在不确定性，与传统二级市场投资存在差异，整体投资难度加大，个股市场风险加大。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（六）投资存托凭证的特定风险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w:t>
      </w:r>
      <w:r>
        <w:rPr>
          <w:rFonts w:ascii="宋体" w:hAnsi="宋体"/>
          <w:sz w:val="24"/>
        </w:rPr>
        <w:lastRenderedPageBreak/>
        <w:t>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（七）其他风险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22" w:name="_Toc124238845"/>
      <w:r>
        <w:rPr>
          <w:rFonts w:ascii="Times New Roman" w:hAnsi="Times New Roman"/>
          <w:sz w:val="30"/>
        </w:rPr>
        <w:lastRenderedPageBreak/>
        <w:t>十九、基金合同的终止与基金财产的清算</w:t>
      </w:r>
      <w:bookmarkEnd w:id="22"/>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（一）基金合同的终止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出现下列情况之一的，基金合同终止：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2、基金管理人职责终止，而在6个月内没有新基金管理人承接其原有职责的；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3、基金托管人职责终止，而6个月内没有新基金托管人承接其原有职责的；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4、基金合同规定的其他情况或中国证监会允许的其它情况。</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（二）基金财产清算小组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自基金合同终止之日起30个工作日内成立基金财产清算小组，清算财产小组必须在中国证监会的监督下进行基金清算。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基金财产清算小组成员由基金管理人、基金托管人、具有从事证券相关业务资格的注册会计师、律师以及中国证监会指定的人员组成。基金清算小组可以聘请必要的工作人员。</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基金财产清算小组接管基金资产后，负责基金财产的保管、清理、估价、变现和分配。基金财产清算小组可以依法进行必要的民事活动。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（三）清算程序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1、基金合同终止后，由基金财产清算小组统一接管基金资产；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2、对基金财产进行清理和确认；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3、对基金资产进行估值和变现；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4、对基金财产进行分配；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5、制作清算报告；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6、聘请会计师事务所对清算报告进行外部审计，聘请律师事务所对清算报告出具法律意见书；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7、将清算报告报中国证监会备案并公告。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清算费用是指基金财产清算小组在进行基金清算过程中发生的所有合理费用，清算费用由清算小组优先从基金财产中支付。</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（五）基金资产按下列顺序清偿</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1、支付清算费用；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2、交纳所欠税款；</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3、清偿基金债务；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4、按基金份额持有人持有的基金份额比例进行分配。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基金财产按前款1-4项规定依顺序清偿，在上一顺序权利人未得以清偿前，不进行对下一顺序权利人的分配。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（六）基金清算的公告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清算过程中的有关重大事项将及时公告；基金财产清算报告经会计师事务所审计并由律师事务所出具法律意见书后报中国证监会备案并公告。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（七）基金清算账册及文件的保存</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基金清算账册及有关文件由基金托管人保存15年以上。</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23" w:name="_Toc124238846"/>
      <w:r>
        <w:rPr>
          <w:rFonts w:ascii="Times New Roman" w:hAnsi="Times New Roman"/>
          <w:sz w:val="30"/>
        </w:rPr>
        <w:lastRenderedPageBreak/>
        <w:t>二十、基金合同内容摘要</w:t>
      </w:r>
      <w:bookmarkEnd w:id="23"/>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一、基金合同当事人及权利义务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（一）基金管理人的权利与义务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依法募集基金；</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自基金合同生效之日起，根据法律法规和基金合同独立运用并管理基金财产；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依照基金合同收取基金认购费、申购费和基金赎回手续费以及法律法规规定或监管部门批准的其他收入；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销售基金份额；</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召集基金份额持有人大会；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依据基金合同及有关法律规定监督基金托管人，如认为基金托管人违反了基金合同及国家有关法律规定，应呈报中国证监会和其他监管部门，并采取必要措施保护基金投资者的利益；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在基金托管人更换时，提名新的基金托管人；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选择、委托、更换基金代销机构，对代销机构的相关行为进行监督和处理。如认为基金代销机构违反本基金合同、代销协议及法律法规的规定，应呈报中国证监会和其他监管部门，并采取必要措施保护基金份额持有人的利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依据本基金合同及有关法律法规规定决定基金收益的分配方案；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 在基金合同约定的范围内，拒绝或暂停受理申购与赎回申请；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 在符合有关法律法规和基金合同的前提下，制订和调整开放式基金业务规则，决定和调整基金的除调高托管费率和管理费率之外的相关费率结构和收费方式；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 依照法律法规为基金的利益对被投资公司行使股东权利，为基金的利益行使因基金财产投资于证券所产生的权利；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 在法律法规允许的前提下，为基金的利益依法为基金进行融资；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 以基金管理人的名义，代表基金份额持有人的利益行使诉讼权利或者实施其他法律行为；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 选择、更换律师、审计师、证券经纪商或其他为基金提供服务的外部机构；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 法律法规和基金合同规定的其他权利。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办理基金备案手续；</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自基金合同生效之日起,以诚实信用、勤勉尽责的原则管理和运用基金财产；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配备足够的具有专业资格的人员进行基金投资分析、决策，以专业化的经营方式管理和运作基金财产；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办理或者委托经中国证监会认定的其他机构代为办理基金份额的发售、申购、赎回和登记事宜；</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建立健全内部风险控制、监察与稽核、财务管理及人事管理等制度，保证所管理的基金财产和基金管理人的财产相互独立,对所管理的不同基金分别管理，分别记账，进行证券投资；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除依据《基金法》、基金合同及其他有关规定外,不得利用基金财产为自己及任何第三人谋取利益，不得委托第三人运作基金财产；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依法接受基金托管人的监督；</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采取适当合理的措施使计算基金份额认购、申购、赎回和注销价格的方法符合基金合同等法律文件的规定，按有关规定计算并公告基金净值信息，确定基金份额申购、赎回的价格；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进行基金会计核算并编制基金财务会计报告；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 编制季度报告、中期报告和年度报告；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 严格按照《基金法》、基金合同及其他有关规定，履行信息披露及报告义务；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 保守基金商业秘密，不泄露基金投资计划、投资意向等。除《基金法》、基金合同及其他有关规定另有规定外，在基金信息公开披露前应予保密，不得向他人泄露；</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 按照基金合同的约定确定基金收益分配方案，及时向基金份额持有人分配收益；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（14） 按规定受理申购与赎回申请，及时、足额支付赎回款项；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 依据《基金法》、基金合同及其他有关规定召集基金份额持有人大会或配合基金托管人、基金份额持有人依法召集基金份额持有人大会；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 按规定保存基金财产管理业务活动的会计账册、报表、记录和其他相关资料；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 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 组织并参加基金财产清算小组,参与基金财产的保管、清理、估价、变现和分配；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 面临解散、依法被撤销或者被依法宣告破产时，及时报告中国证监会并通知基金托管人；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 因违反基金合同导致基金财产的损失或损害基金份额持有人合法权益时，应当承担赔偿责任，其赔偿责任不因其退任而免除；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基金托管人因违反基金合同造成基金财产损失时，应为基金份额持有人利益向基金托管人追偿；</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以基金管理人名义，代表基金份额持有人利益行使诉讼权利或实施其他法律行为；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 基金管理人在募集期间未能达到基金的备案条件，基金合同不能生效，基金管理人承担全部募集费用，将已募集资金并加计在募集期内产生的利息在募集期结束后30天内退还基金认购人；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 执行生效的基金份额持有人大会的决定；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 不从事任何有损基金及其他基金当事人利益的活动；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 依照法律法规为基金的利益对被投资公司行使股东权利，为基金的利益行使因基金财产投资于证券所产生的权利，不谋求对上市公司的控股和直接管理；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 法律法规和基金合同规定的其他义务。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（二）基金托管人的权利与义务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 自本基金合同生效之日起，依法律法规和基金合同的规定安全保管基金财产；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依基金合同约定获得基金托管费以及法律法规规定或监管部门批准的其他收入；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监督基金管理人对本基金的投资运作，如发现基金管理人有违反基金合同及国家法律法规行为，应呈报中国证监会，并采取必要措施保护基金份额持有人的利益；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以基金托管人和基金联名的方式在中国证券登记结算有限责任公司上海分公司和深圳分公司开设证券账户；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以基金托管人名义开立证券交易资金账户，用于证券交易资金清算；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以基金的名义在中央国债登记结算有限公司开设银行间债券托管账户，负责基金的债券及资金的清算；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提议召开基金份额持有人大会；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在基金管理人更换时，提名新的基金管理人；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法律法规和基金合同规定的其他权利。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以诚实信用、勤勉尽责的原则持有并安全保管基金财产；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设立专门的资产托管部，具有符合要求的营业场所，配备足够的、合格的熟悉基金托管业务的专职人员，负责基金财产托管事宜；</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建立健全内部风险控制、监察与稽核、财务管理及人事管理等制度，确保基金财产的安全，保证其托管的基金财产与基金托管人自有财产以及不同的基金财产相互独立；对不同的基金分别设置账户，独立核算，分账管理，保证不同基金之间在名册登记、账户设置、资金划拨、账册记录等方面相互独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除依据《基金法》、基金合同及其他有关规定外，不得利用基金财产为自己及任何第三人谋取利益，不得委托第三人托管基金财产；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保管由基金管理人代表基金签订的与基金有关的重大合同及有关凭证；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按规定开设基金财产的资金账户和证券账户，按照基金合同的约定，根据基金管理人的投资指令，及时办理清算、交割事宜；</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保守基金商业秘密，除《基金法》、基金合同及其他有关规定另有规定</w:t>
      </w:r>
      <w:r>
        <w:rPr>
          <w:rFonts w:ascii="宋体" w:hAnsi="宋体"/>
          <w:sz w:val="24"/>
        </w:rPr>
        <w:lastRenderedPageBreak/>
        <w:t>外，在基金信息公开披露前予以保密，不得向他人泄露；</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复核、审查基金管理人计算的基金资产净值、基金份额净值、基金份额申购、赎回价格；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办理与基金托管业务活动有关的信息披露事项；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 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 按有关规定，保存基金托管业务活动的记录、账册、报表和其他相关资料；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 建立并保存基金份额持有人名册；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 按规定制作相关账册并与基金管理人核对；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 依据基金管理人的指令或有关规定向基金份额持有人支付基金收益和赎回款项；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 按照规定召集基金份额持有人大会或配合基金份额持有人依法自行召集基金份额持有人大会；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 按照规定监督基金管理人的投资运作；</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 参加基金财产清算小组，参与基金财产的保管、清理、估价、变现和分配；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 面临解散、依法被撤销或者被依法宣告破产时，及时报告中国证监会和银行监管机构，并通知基金管理人；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 因违反基金合同导致基金财产损失时，应承担赔偿责任，其赔偿责任不因其退任而免除；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 基金管理人因违反基金合同造成基金财产损失时，应为基金份额持有人的利益向基金管理人追偿；</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执行生效的基金份额持有人大会的决定；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不从事任何有损基金及其他基金当事人利益的活动；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 法律法规和基金合同规定的其他义务。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（三）基金份额持有人的权利与义务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每份基金份额具有同等的合法权益。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根据《基金法》、《运作办法》及其他有关规定，基金份额持有人的权利包括但不限于：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分享基金财产收益；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参与分配清算后的剩余基金财产；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依法转让或者申请赎回其持有的基金份额；</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按照规定要求召开基金份额持有人大会；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出席或者委派代表出席基金份额持有人大会，对基金份额持有人大会审议事项行使表决权；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查阅或者复制公开披露的基金信息资料；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监督基金管理人的投资运作；</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对基金管理人、基金托管人、基金份额发售机构损害其合法权益的行为依法提起诉讼；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法律法规和基金合同规定的其他权利。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根据《基金法》、《运作办法》及其他有关规定，基金份额持有人的义务包括但不限于：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遵守基金合同；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缴纳基金认购、申购款项及法律法规和基金合同所规定的费用；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在持有的基金份额范围内，承担基金亏损或者基金合同终止的有限责任；</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不从事任何有损基金及基金份额持有人合法权益的活动；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返还在基金交易过程中因任何原因，自基金管理人、基金托管人及基金管理人的代理人处获得的不当得利；</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执行生效的基金份额持有人大会的决定；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法律法规和基金合同规定的其他义务。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基金合同当事各方的权利和义务以基金合同为依据，不因基金财产账户名称的改变而有所改变。</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基金份额持有人大会由基金份额持有人或基金份额持有人的合法授权代表共同组成。</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（一）召开事由</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1、当出现或需要决定下列事由之一的，应当召开基金份额持有人大会：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（1）提前终止基金合同；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（7）变更基金投资目标、范围或策略；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（8）变更基金份额持有人大会程序；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（9）对基金当事人权利和义务产生重大影响的事项；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（10）法律法规、基金合同或中国证监会规定的其他应当召开基金份额持有人大会的事项。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（2）在基金合同规定的范围内变更本基金的申购费率、赎回费率或收费方式；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（3）因相应的法律法规发生变动而应当对基金合同进行修改；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（4）对基金合同的修改对基金份额持有人利益无实质性不利影响或修改不涉及基金合同当事人权利义务关系发生变化；</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（5）除按照法律法规和基金合同规定应当召开基金份额持有人大会的以外的其他情形。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（二）会议召集人及召集方式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w:t>
      </w:r>
      <w:r>
        <w:rPr>
          <w:rFonts w:ascii="宋体" w:hAnsi="宋体"/>
          <w:sz w:val="24"/>
        </w:rPr>
        <w:lastRenderedPageBreak/>
        <w:t>自行召集。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基金管理人决定召集的，应当自出具书面决定之日起60日内召开；基金管理人决定不召集，代表基金份额10%以上（含10%）的基金份额持有人仍认为有必要召开的，应当向基金托管人提出书面提议。</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基金托管人应当自收到书面提议之日起10日内决定是否召集，并书面告知提出提议的基金份额持有人代表和基金管理人；基金托管人决定召集的，应当自出具书面决定之日起60日内召开。</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5、如在上述第4条情况下，基金管理人、基金托管人都不召集的，代表基金份额10%以上（含10%）的基金份额持有人有权自行召集，并至少提前30日报中国证监会备案。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（三）召开基金份额持有人大会的通知时间、通知内容、通知方式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1、召开基金份额持有人大会，召集人应于会议召开前30天，在至少一种中国证监会指定的媒介上公告。基金份额持有人大会通知应至少载明以下内容：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（3）有权出席基金份额持有人大会的基金份额持有人的权利登记日；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（4）代理投票授权委托书送达时间和地点；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通讯方式和书面表决方式，并在会议通知中说明本次基金份额持有人大会所采取的具体通讯方式、委托的公证机关及其联系方式和联系人、书面表决意见的寄交的截止时间和收取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（四）基金份额持有人出席会议的方式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基金份额持有人大会可通过现场开会方式或通讯开会方式召开。</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会议的召开方式由会议召集人确定，但更换基金管理人和基金托管人必须以现场开会方式召开。</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书委派代表出席，现场开会时基金管理人和基金托管人的授权代表应当列席基金份额持有人大会，基金管理人或托管人拒不派代表列席的，不影响表决效力。现场开会同时符合以下条件时，可以进行基金份额持有人大会议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（1）亲自出席会议者持有基金份额的凭证、受托出席会议者出具的委托人持有基金份额的凭证及委托人出具的代理投票授权委托书符合法律法规、基金合同和会议通知的规定；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（2）经核对，汇总到会者出示的在权利登记日持有基金份额的凭证显示，有效的基金份额不少于在权利登记日本基金总份额的50%（含50%）。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2、通讯开会。通讯开会应以书面方式进行表决。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（1）会议召集人按基金合同规定公布会议通知后，在2个工作日内连续公布相关提示性公告；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在基金托管人（如果基金托管人为召集人，则为基金管理人）和公证机关的监督下按照会议通知规定的方式收取基金份额持有人的书面表决意见；基金托管人或基金管理人经通知拒不参加收取书面表决意见的，不影响表决效力；</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本人直接出具书面意见或授权他人代为出具书面意见的基金份额持有人所持有的基金份额不少于在权利登记日基金总份额的50%（含50%）；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提交的持有基金份额的凭证、受托出具书面意见的代理人出具的委托人持有基金份额的凭证及委托人出具的代理投票授权委托书符合法律法规、基金合同和会议通知的规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（5）会议通知公布前报中国证监会备案。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（五）议事内容与程序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议事内容为限于部分第一款规定的基金份额持有人大会召开事由范围内的事项。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基金管理人、基金托管人、单独或合并持有权利登记日基金总份额10%以上</w:t>
      </w:r>
      <w:r>
        <w:rPr>
          <w:rFonts w:ascii="宋体" w:hAnsi="宋体"/>
          <w:sz w:val="24"/>
        </w:rPr>
        <w:lastRenderedPageBreak/>
        <w:t>（含10%）的基金份额持有人可以在大会召集人发出会议通知前向大会召集人提交需由基金份额持有人大会审议表决的提案。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大会召集人应当按照以下原则对提案进行审核：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关联性。对于涉及事项与本基金有直接关系，并且不超出法律法规和基金合同规定的基金份额持有人大会职权范围的提案，大会召集人应将提案提交大会审议；对于不符合上述要求的，不提交基金份额持有人大会审议。如果召集人决定不将基金份额持有人提案提交大会表决，应当在该次基金份额持有人大会上进行解释和说明。</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独或合并持有权利登记日基金总份额10%以上（含10%）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的除外。</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出席或主持大会，则由出席大会的基金份额持有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在通讯开会的情况下，公告会议通知时应当同时公布提案，在所通知的表决截</w:t>
      </w:r>
      <w:r>
        <w:rPr>
          <w:rFonts w:ascii="宋体" w:hAnsi="宋体"/>
          <w:sz w:val="24"/>
        </w:rPr>
        <w:lastRenderedPageBreak/>
        <w:t>止日期后2个工作日内统计全部有效表决，在公证机关监督下形成决议。</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（六）表决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1、一般决议，一般决议须经参加大会的基金份额持有人所持表决权的50%以上（含50%）通过方为有效；除下列第2项所规定的须以特别决议通过事项以外的其他事项均以一般决议的方式通过。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所持表决权的三分之二以上（含三分之二）通过方可为有效。转换基金运作方式、更换基金管理人或者基金托管人、提前终止基金合同以特别决议通过方为有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（七）计票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拒不出席大会的，不影响计票的效力。</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（3）如果会议主持人或基金份额持有人对于提交的表决结果有怀疑，可以在宣布表决结果后立即对所投票数要求进行重新清点。监票人应当进行重新清点，重</w:t>
      </w:r>
      <w:r>
        <w:rPr>
          <w:rFonts w:ascii="宋体" w:hAnsi="宋体"/>
          <w:sz w:val="24"/>
        </w:rPr>
        <w:lastRenderedPageBreak/>
        <w:t>新清点以一次为限。重新清点后，大会主持人应当当场公布重新清点结果。</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托管人拒不派代表监督计票的，不影响计票效力。</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（八）生效与公告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基金份额持有人大会表决通过的事项，召集人应当自通过之日起5日内报中国证监会核准或者备案。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基金份额持有人大会决定的事项自中国证监会依法核准或者出具无异议意见之日起生效。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基金份额持有人大会决议自生效之日起两日内在至少一种中国证监会指定的媒介上公告。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如果采用通讯方式进行表决，在公告基金份额持有人大会决议时，必须将公证书全文、公证机关、公证员姓名等一同公告。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基金份额持有人大会决议对全体基金份额持有人、基金管理人、基金托管人均有约束力。</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三、基金合同的变更、终止与基金财产的清算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下列涉及到基金合同内容变更的事项须召开基金份额持有人大会：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1）更换基金管理人；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2）更换基金托管人；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4）提高基金管理人、基金托管人的报酬标准；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5）变更基金类别；</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6）变更基金投资目标、范围或策略；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7）变更基金份额持有人大会程序；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8）对基金当事人权利和义务产生重大影响的事项；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9）法律法规、基金合同或中国证监会规定的其他事项。</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2、除非法律法规和基金合同另有规定，对基金合同的变更应当召开基金份额持有人大会的，基金合同变更的内容应经基金份额持有人大会决议通过，并报中国证监会核准或备案。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3、依现行有效的有关法律法规，对基金合同的变更自中国证监会核准或出具无异议意见之日起生效。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本基金合同和依现行有效的有关法律法规，对基金合同的变更须基金份额持有人大会决议通过和须报中国证监会核准以外的情形，经基金管理人和基金托管人同意可对基金合同进行变更后公布，并报中国证监会备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出现下列情形之一的，基金合同应当终止：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4、中国证监会规定的其他情况。</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基金合同终止时，基金管理人应予公告并组织清算小组对基金财产进行清算。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3、基金财产清算小组职责：基金财产清算小组负责基金财产的保管、清理、估价、变现和分配。基金财产清算小组可以依法以基金的名义进行必要的民事活动。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1）基金合同终止后，由基金财产清算小组统一接管基金；</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2）对基金财产和债权债务进行清理和确认；</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4）对基金财产进行分配；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5）制作清算报告；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6）聘请会计师事务所对清算报告进行外部审计，聘请律师事务所对清算报告出具法律意见书；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7）将清算报告报中国证监会备案并公告。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四、争议的处理和适用的法律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应提交中国国际经济贸易仲裁委员会根据该会当时有效的仲裁规则进行仲裁，仲裁的地点在上海分会，仲裁裁决是终局性的并对各方当事人具有约束力，仲裁费由败诉方承担。</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本基金合同受中国法律管辖。</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五、基金合同存放及投资人取得基金合同的方式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基金合同自生效之日起对包括基金管理人、基金托管人和基金份额持有人在内的基金合同各方当事人具有同等的法律约束力。</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基金合同可印制成册，供投资人在基金管理人、基金托管人、代销机构的办公场所和营业场所查阅；投资人也可按工本费购买基金合同复制件或复印件，但内容应以本基金合同正本为准。</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24" w:name="_Toc124238847"/>
      <w:r>
        <w:rPr>
          <w:rFonts w:ascii="Times New Roman" w:hAnsi="Times New Roman"/>
          <w:sz w:val="30"/>
        </w:rPr>
        <w:lastRenderedPageBreak/>
        <w:t>二十一、托管协议的内容摘要</w:t>
      </w:r>
      <w:bookmarkEnd w:id="24"/>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基金托管业务批准文号：中国证监会证监基字[1998]23号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注册资本：32,479,411.7万元人民币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w:t>
      </w:r>
      <w:r>
        <w:rPr>
          <w:rFonts w:ascii="宋体" w:hAnsi="宋体"/>
          <w:sz w:val="24"/>
        </w:rPr>
        <w:lastRenderedPageBreak/>
        <w:t>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三、基金托管人与基金管理人之间的业务监督、核查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基金合同》、本协议和有关基金法规的规定，基金托管人对基金的投资对象、基金财产的投资组合比例、基金财产的核算、基金资产净值的计算、基金管理人报酬的计提和支付、基金费用的支付、基金申购资金的到账和赎回资金的划付、基金收益分配、基金的融资条件等行为的合法性、合规性进行监督和核查，其中对基金的投资比例的监督和检查自本《基金合同》生效之后六个月开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违反《基金法》、《基金合同》、本协议或有关基金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基金托管人有义务要求基金管理人赔偿因其过失致使投资者遭受的损失。</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基金托管人发现基金管理人有重大违规行为，应立即报告中国证监会，同时通知基金管理人限期纠正。</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基金合同》、本协议及其他有关规定，基金管理人就基金托管人是否及时执行基金管理人的划款指令、是否擅自动用基金财产、是否按时将分配给基金份额持有人的收益划入分红派息账户等事项，对基金托管人进行监督和核查。</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定期对基金托管人保管的基金财产进行核查。基金管理人发现基金托管人未对基金财产实行分账管理、擅自挪用基金财产、因基金托管人的过错导致基金财产灭失、减损或处于危险状态的，基金管理人应立即以书面的方式要求基金</w:t>
      </w:r>
      <w:r>
        <w:rPr>
          <w:rFonts w:ascii="宋体" w:hAnsi="宋体"/>
          <w:sz w:val="24"/>
        </w:rPr>
        <w:lastRenderedPageBreak/>
        <w:t>托管人予以纠正并采取必要的补救措施。基金管理人有义务要求基金托管人赔偿基金因此所遭受的损失。</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的行为违反《基金法》、《基金合同》、本协议或有关基金法规的规定，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基金管理人发现基金托管人有重大违规行为，应立即报告中国证监会，同时通知基金托管人限期纠正。</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（一）基金财产保管的原则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1、基金托管人应依法持有并安全、完整地保管基金财产。未经基金管理人的正当指令，不得自行运用、处分、分配基金的任何财产。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2、基金财产应独立于基金管理人、基金托管人的固有财产。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3、基金托管人按照规定开立基金财产的资金账户和证券账户，对所托管的基金财产分别设置账户，与基金托管人的其他业务和其他基金的托管业务实行严格的分账管理，确保基金财产的完整与独立。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于因基金投资、基金申（认）购过程中产生的应收财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（二）募集资金的验证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期满，由基金管理人聘请具有从事证券业务资格的会计师事务所进行验资，出具验资报告，出具的验资报告应由参加验资的2名以上（含2名）中国注册会计师签字方为有效。验资完成，基金管理人应将募集到的全部资金存入基金托管人为基金开立的基金托管专户中，基金托管人在收到资金当日出具基金财产接收报</w:t>
      </w:r>
      <w:r>
        <w:rPr>
          <w:rFonts w:ascii="宋体" w:hAnsi="宋体"/>
          <w:sz w:val="24"/>
        </w:rPr>
        <w:lastRenderedPageBreak/>
        <w:t>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（三）基金银行账户的开设和管理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的名义在其营业机构开设基金托管专户，保管基金的银行存款。该基金托管专户是指基金托管人在集中托管模式下，代表所托管的基金与中国证券登记结算有限责任公司进行一级结算的专用账户。该账户的开设和管理由基金托管人承担。本基金的一切货币收支活动，均需通过基金托管人的基金托管专户进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基金托管专户的开立和使用，限于满足开展本基金业务的需要。基金托管人和基金管理人不得假借本基金的名义开立其他任何银行账户；亦不得使用基金的任何银行账户进行本基金业务以外的活动。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基金托管专户的管理应符合《银行账户管理办法》、《现金管理条例》、《中国人民银行利率管理的有关规定》、《关于大额现金支付管理的通知》、《支付结算办法》以及中国人民银行的其他规定。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（四）基金证券账户和证券交易资金账户的开设和管理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基金托管人以基金托管人和本基金联名的方式在中国证券登记结算有限责任公司上海分公司/深圳分公司开设证券账户。</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基金证券账户的开立和使用，限于满足开展本基金业务的需要。基金托管人和基金管理人不得出借和未经对方同意擅自转让本基金的任何证券账户；亦不得使用本基金的任何账户进行本基金业务以外的活动。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基金托管人以基金托管人的名义在中国证券登记结算有限责任公司上海分公司/深圳分公司开立基金证券交易资金账户，用于证券清算。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订立日之后，本基金被允许从事其他投资品种的投资业务的，涉及相关账户的开设、使用的，除非法规另有规定，基金托管人应当比照并遵守上述关于账户开设、使用的规定；法规另有规定的从其规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（五）债券托管自营账户的开设和管理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基金管理人负责以基金的名义申请并取得进入全国银行间同业拆借市场的交易资格，并代表基金进行交易；由基金管理人在中国外汇交易中心开设同业拆借市场交易账户，由基金托管人负责以基金的名义在中央国债登记结算有限责任公司开设银行间债券市场债券托管自营账户，并由基金托管人负责基金的债券的后台匹配及资金的清算。在上述手续办理完毕之后，由基金托管人负责</w:t>
      </w:r>
      <w:r>
        <w:rPr>
          <w:rFonts w:ascii="宋体" w:hAnsi="宋体"/>
          <w:sz w:val="24"/>
        </w:rPr>
        <w:lastRenderedPageBreak/>
        <w:t>向中国人民银行进行报备。</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同业拆借市场交易账户和债券托管账户根据中国人民银行、中国外汇交易中心和中央国债登记结算有限责任公司的有关规定，由基金管理人和基金托管人签订补充协议，进行使用和管理。基金管理人和基金托管人应一起负责为基金对外签订全国银行间国债市场回购主协议，正本由基金托管人保管，基金管理人保存副本。</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（六）基金财产投资的有关实物证券的保管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物证券由基金托管人存放于托管银行的保管库；也可存入中央国债登记结算有限责任公司或中国证券登记结算有限责任公司上海分公司/深圳分公司或票据营业中心的代保管库。保管凭证由基金托管人持有。实物证券的购买和转让，由基金托管人根据基金管理人的指令办理。托管人对托管人以外机构实际有效控制的证券不承担责任。</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属于基金托管人实际有效控制下的实物证券在基金托管人保管期间的损坏、灭失，由此产生的责任应由基金托管人承担。</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（七）与基金财产有关的重大合同的保管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由基金管理人代表基金签署的与基金有关的重大合同的原件分别由基金托管人、基金管理人保管。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本协议另有规定外，基金管理人在代表基金签署与基金有关的重大合同时应保证基金一方持有两份以上的正本，以便基金管理人和基金托管人至少各持有一份正本的原件。如上述合同只有一份正本先由基金管理人取得，则基金管理人应及时将正本送达基金托管人处保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五、资产净值计算和会计核算</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（一）基金资产净值的计算和复核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1、基金资产净值是指基金资产总值减去负债后的价值。基金份额净值是指计算日基金资产净值除以计算日基金份额总份额后的价值。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加密传真方式发送给基金托管人。基金托管人对净值计算结果复核后，签名、盖章并以加密传真方式传送</w:t>
      </w:r>
      <w:r>
        <w:rPr>
          <w:rFonts w:ascii="宋体" w:hAnsi="宋体"/>
          <w:sz w:val="24"/>
        </w:rPr>
        <w:lastRenderedPageBreak/>
        <w:t>给基金管理人，由基金管理人公布基金份额净值。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3、估值对象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本基金依法持有的股票、债券、票据、股息红利、债券利息、票据利息和银行存款本息等资产。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4、估值方法</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a.股票估值方法：</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（1）上市流通股票按估值日其所在证券交易所的收盘价估值；估值日无交易的，以最近交易日的收盘价估值；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（2）未上市股票的估值：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a）首次发行未上市的股票，按成本计量；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b）送股、转增股、配股和公开增发新股等发行未上市的股票，按估值日在证券交易所上市的同一股票的市价进行估值；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c）首次公开发行有明确锁定期的股票，同一股票在交易所上市后，按估值日在证券交易所上市的同一股票的市价进行估值；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d）非公开发行有明确锁定期的流通受限股票，按监管机构或行业协会有关规定确定公允价值。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（3）本基金投资存托凭证的估值核算依照境内上市交易的股票执行。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（4）国家有最新规定的，按其规定进行估值。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b.债券估值方法：</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（1）在证券交易所市场挂牌交易实行净价交易的债券按估值日收盘价估值；估值日没有交易的，按最近交易日的收盘价估值；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证券交易所市场挂牌交易未实行净价交易的债券按估值日收盘价减去债券收盘价中所含的应收利息(自债券计息起始日或上一起息日至估值当日的利息)得到的净价进行估值；估值日没有交易的，以最近交易日的收盘净价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（3）发行未上市债券采用估值技术确定的公允价值进行估值，在估值技术难</w:t>
      </w:r>
      <w:r>
        <w:rPr>
          <w:rFonts w:ascii="宋体" w:hAnsi="宋体"/>
          <w:sz w:val="24"/>
        </w:rPr>
        <w:lastRenderedPageBreak/>
        <w:t>以可靠计量公允价值的情况下，按成本进行后续计量；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（4）在全国银行间债券市场交易的债券、资产支持证券等固定收益品种，采用估值技术确定公允价值；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（5）同一债券同时在两个或两个以上市场交易的，按债券所处的市场分别估值；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（7）国家有最新规定的，按其规定进行估值。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c.权证估值方法：</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（1）基金持有的权证，从持有确认日起到卖出日或行权日止，上市交易的权证按估值日在证券交易所挂牌的该权证的收盘价估值；估值日没有交易的，按最近交易日的收盘价估值；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未上市交易的权证，采用估值技术确定公允价值，在估值技术难以可靠计量公允价值的情况下，按成本计量；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（3）国家有最新规定的，按其规定进行估值。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d.其他有价证券等资产按国家有关规定进行估值。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e.如基金管理人或基金托管人发现基金估值违反基金合同订明的估值方法、程序及相关法律法规的规定或者未能充分维护基金份额持有人利益时，应立即通知对方，共同查明原因，双方协商解决。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5、特殊情形的处理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基金管理人、基金托管人按股票估值方法的第（3）项、债券估值方法的第</w:t>
      </w:r>
      <w:r>
        <w:rPr>
          <w:rFonts w:ascii="宋体" w:hAnsi="宋体"/>
          <w:sz w:val="24"/>
        </w:rPr>
        <w:lastRenderedPageBreak/>
        <w:t>（6）项或权证的估值方法第（2）项进行估值时，所造成的误差不作为基金份额净值错误处理。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相关法律法规的规定，开放式基金的基金会计责任方由基金管理人担任，因此就与本基金有关的会计问题如经相关各方在平等基础上充分讨论后，仍无法达成一致的意见，基金管理人有权按照其对基金份额净值的计算结果对外予以公布。</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6、暂停估值与公告基金份额净值的情形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（1）基金投资所涉及的证券交易所遇法定节假日或因其他原因暂停营业时；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（2）因不可抗力或其他情形致使基金管理人、基金托管人无法准确评估基金财产价值时；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（3）当前一估值日基金资产净值50%以上的资产出现无可参考的活跃市场价格且采用估值技术仍导致公允价值存在重大不确定性时，经与基金托管人协商确认后，基金管理人应当暂停估值；</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（4）中国证监会和基金合同认定的其他情形。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（二）净值差错处理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因基金估值错误给投资者造成损失的应先由基金管理人承担，基金管理人对不应由其承担的责任，有权向过错人追偿。</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基金份额净值已由基金托管人复核确认后公告的，由此造成的投资者或基金的损失，应根据法律法规的规定对投资者或基金支付赔偿金，就实际向投资者或基金支付的赔偿金额，按照差错发生的具体情况，由基金管理人与基金托管人各自承担相应的责任。</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份额净值计算错误造成投资者或基金的损失，以及由此造成以后交易日基金份额净值计算顺延错误而引起的投资者或基金的损失，由提供错误信息的当事人一方负责赔偿。由于证券交易所及其登记结算公司发送的数据错误，或由于其他不可抗力原因，基金管理人和基金托管人虽然已经采取必要、适当、合理的措施进行检查，但是未能发现该错误的，由此造成的基金财产估值错误，基金管理人和基金托管人可以免除赔偿责任。但基金管理人和基金托管人应当积极采取必要的措施消除由此造成的影响。</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针对净值差错处理，如果法律法规或证监会有新的规定，则按新的规定执行；如果行业有通行做法，在不违背法律法规且不损害投资者利益的前提下，相关各方</w:t>
      </w:r>
      <w:r>
        <w:rPr>
          <w:rFonts w:ascii="宋体" w:hAnsi="宋体"/>
          <w:sz w:val="24"/>
        </w:rPr>
        <w:lastRenderedPageBreak/>
        <w:t>当事人应本着平等互利的原则重新协商确定处理原则。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基金份额净值与基金托管人的计算结果不一致时，相关各方应本着勤勉尽责的态度重新计算核对，如果最后仍无法达成一致，应以基金管理人的计算结果为准对外公布，如基金管理人净值计算错误造成的损失以及因该交易日基金份额净值计算顺延错误而引起的损失由基金管理人承担赔偿责任，但有权向相关责任方追偿。</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（三）基金账册的建账和对账</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财产的安全。若双方对会计处理方法存在分歧，应以基金管理人的处理方法为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（四）基金财务报表与报告的编制和复核</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基金财务报表由基金管理人和基金托管人每月分别独立编制。月度报表的编制，应于每月终了后5日内完成。</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基金管理人在季度结束之日起15个工作日内完成季度报告编制并公告；在会计年度半年终了后两个月内完成中期报告编制并公告；在会计年度结束后三个月内完成年度报告编制并公告。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月度报表完成当日，对报表盖章后，以加密传真方式或双方商定的其他方式将有关报表提供基金托管人复核；基金托管人在2日内立即进行复核，并将复核结果及时书面通知基金管理人。基金管理人在季度报告完成当日，将有关报告提供基金托管人复核，基金托管人在收到后2日内进行复核，并将复核结果书面通知基金管理人。基金管理人在中期报告完成当日，将有关报告提供基金托管人复核，基金托管人在收到后7日内进行复核，并将复核结果书面通知基金管理人。基金管理人在年度报告完成当日，将有关报告提供基金托管人复核，基金托管人在收到后7日内复核，并将复核结果书面通知基金管理人。基金托管人在复核过程中，发现相关各方的报表存在不符时，基金管理人和基金托管人应共同查明原因，</w:t>
      </w:r>
      <w:r>
        <w:rPr>
          <w:rFonts w:ascii="宋体" w:hAnsi="宋体"/>
          <w:sz w:val="24"/>
        </w:rPr>
        <w:lastRenderedPageBreak/>
        <w:t>进行调整，调整以相关各方认可的账务处理方式为准。若双方无法达成一致以基金管理人的账务处理为准。核对无误后，基金托管人在基金管理人提供的报告上加盖公章或者出具加盖托管业务部门公章的复核意见书，相关各方各自留存一份。</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基金托管人在对财务会计报告、中期报告或年度报告复核完毕后，需盖章确认或出具相应的复核确认书，以备有权机构对相关文件审核时提示。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六、基金份额持有人名册的登记与保管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注册登记机构负责编制和保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七、争议的处理和适用法律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相关各方当事人同意，因本协议而产生的或与本协议有关的一切争议，除经友好协商可以解决的，应提交中国国际经济贸易仲裁委员会根据提交争议时该会当时有效的仲裁规则进行仲裁，仲裁的地点在上海，仲裁裁决是终局性的并对相关各方均具有约束力，仲裁费用按仲裁裁决决定。</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争议处理期间，相关各方当事人应恪守基金管理人和基金托管人职责，继续忠实、勤勉、尽责地履行《基金合同》和托管协议规定的义务，维护基金份额持有人的合法权益。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八、托管协议的修改与终止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1、本协议相关各方当事人经协商一致，可以对协议进行修改。修改后的新协议，其内容不得与《基金合同》的规定有任何冲突。修改后的新协议向中国证监会办理完必要的核准或备案手续后生效。</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2、发生以下情况，本托管协议终止：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（2）因基金托管人解散、依法被撤销、破产或其他事由造成本基金更换基金托管人；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（3）因基金管理人解散、依法被撤销、破产或其他事由造成本基金更换基金管理人；</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（4）发生《基金法》或其他法律法规规定的终止事项。</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rsidR="009F2B1E" w:rsidRDefault="00B873BF">
      <w:pPr>
        <w:pStyle w:val="1"/>
        <w:snapToGrid w:val="0"/>
        <w:spacing w:beforeLines="0" w:before="240" w:after="240"/>
        <w:rPr>
          <w:rFonts w:ascii="宋体" w:hAnsi="宋体"/>
          <w:szCs w:val="30"/>
        </w:rPr>
      </w:pPr>
      <w:bookmarkStart w:id="25" w:name="_Toc124238848"/>
      <w:r>
        <w:rPr>
          <w:rFonts w:ascii="Times New Roman" w:hAnsi="Times New Roman"/>
          <w:sz w:val="30"/>
        </w:rPr>
        <w:lastRenderedPageBreak/>
        <w:t>二十二、对基金份额持有人的服务</w:t>
      </w:r>
      <w:bookmarkEnd w:id="25"/>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本基金管理人承诺为基金份额持有人提供一系列的服务。本基金管理人根据基金份额持有人的需要和市场的变化，有权增加或变更服务项目。主要服务内容如下：</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 持有人交易资料的寄送服务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公司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在条件成熟的时候，本基金管理人将根据基金网上直销业务的发展状况，适时调整可用于基金网上直销交易平台的的银行卡种类，敬请投资人留意相关公告。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 信息咨询、查询服务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w:t>
      </w:r>
      <w:r>
        <w:rPr>
          <w:rFonts w:ascii="宋体" w:hAnsi="宋体"/>
          <w:sz w:val="24"/>
        </w:rPr>
        <w:lastRenderedPageBreak/>
        <w:t>资人通过客户服务电话查询基金账户下的账户和交易信息。投资人请在其知晓基金账号后，及时拨打本基金管理人客户服务电话修改基金查询密码。</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 基金红利再投资</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本基金收益分配时，投资人可以选择将当期分配所得的红利再投资于本基金，再投资红利按红利再投日（即除息日）除息后的基金份额净值自动转为基金份额，并免收申购费用。</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 定期定额投资计划和转换业务</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本基金已开通定期定额投资和转换业务，具体实施方法请参见相关公告。</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投资人也可登录本基金管理人网站，直接提出有关本基金的问题和建议。</w:t>
      </w:r>
    </w:p>
    <w:p w:rsidR="009F2B1E" w:rsidRDefault="00B873BF">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（六）如本招募说明书存在任何您/贵机构无法理解的内容，请通过上述方式联系基金管理人。请确保投资前，您/贵机构已经全面理解了本招募说明书。</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26" w:name="_Toc124238849"/>
      <w:r>
        <w:rPr>
          <w:rFonts w:ascii="Times New Roman" w:hAnsi="Times New Roman"/>
          <w:sz w:val="30"/>
        </w:rPr>
        <w:lastRenderedPageBreak/>
        <w:t>二十三、其他应披露事项</w:t>
      </w:r>
      <w:bookmarkEnd w:id="26"/>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交银施罗德精选混合型证券投资基金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2021-10-15</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交银施罗德精选混合型证券投资基金基金产品资料概要更新</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2021-10-15</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交银施罗德精选混合型证券投资基金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2021-10-26</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交银施罗德基金管理有限公司关于旗下部分基金投资非公开发行股票的公告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2021-11-23</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交银施罗德基金管理有限公司关于调整旗下部分开放式基金转换业务规则的公告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2021-11-30</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2021-12-07</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交银施罗德基金管理有限公司关于恢复代销机构合作业务的公告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2021-12-11</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交银施罗德基金管理有限公司关于交银施罗德精选混合型证券投资基金恢复直销机构大额申购（转换转入、定期定额投资）业务的公告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2021-12-30</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交银施罗德基金管理有限公司关于交银施罗德精选混合型证券投资基金暂停直销机构大额申购（转换转入、定期定额投资）业务的公告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2022-01-04</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交银施罗德基金管理有限公司关于交银施罗德精选混合型证券投资基金分红公告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2022-01-12</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交银施罗德精选混合型证券投资基金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2022-01-21</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2022-01-29</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交银施罗德基金管理有限公司关于旗下部分公开募集证券投资基金可投资北交所上市股票的风险提示性公告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2022-03-15</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交银施罗德基金管理有限公司关于交银施罗德精选混合型证券投资基金恢复大额申购（转换转入、定期定额投资）业务的公告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交银施罗德基金管理有限公司关于增加上海钜派钰茂基金销售有限公司为旗下基金销售机构的公告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交银施罗德精选混合型证券投资基金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2022-03-30</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交银施罗德精选混合型证券投资基金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2022-04-21</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交银施罗德精选混合型证券投资基金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交银施罗德基金管理有限公司关于增加中邮证券有限责任公司为旗下基金销售机构的公告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2022-07-28</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交银施罗德基金管理有限公司关于增加开源证券股份有限公司为旗下基金销售机构的公告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2022-08-12</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交银施罗德精选混合型证券投资基金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9F2B1E">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24</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F2B1E" w:rsidRDefault="00B873BF">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bl>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27" w:name="_Toc124238850"/>
      <w:r>
        <w:rPr>
          <w:rFonts w:ascii="Times New Roman" w:hAnsi="Times New Roman"/>
          <w:sz w:val="30"/>
        </w:rPr>
        <w:lastRenderedPageBreak/>
        <w:t>二十四、招募说明书的存放及查阅方式</w:t>
      </w:r>
      <w:bookmarkEnd w:id="27"/>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B439CC" w:rsidRDefault="00B873BF"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F2B1E" w:rsidRDefault="00B873BF">
      <w:pPr>
        <w:pStyle w:val="1"/>
        <w:snapToGrid w:val="0"/>
        <w:spacing w:beforeLines="0" w:before="240" w:after="240"/>
        <w:rPr>
          <w:rFonts w:ascii="宋体" w:hAnsi="宋体"/>
          <w:szCs w:val="30"/>
        </w:rPr>
      </w:pPr>
      <w:bookmarkStart w:id="28" w:name="_Toc124238851"/>
      <w:r>
        <w:rPr>
          <w:rFonts w:ascii="Times New Roman" w:hAnsi="Times New Roman"/>
          <w:sz w:val="30"/>
        </w:rPr>
        <w:lastRenderedPageBreak/>
        <w:t>二十五、备查文件</w:t>
      </w:r>
      <w:bookmarkEnd w:id="28"/>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（一）中国证监会批准交银施罗德精选股票证券投资基金募集的文件</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（二）《交银施罗德精选混合型证券投资基金基金合同》</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（三）《交银施罗德精选混合型证券投资基金托管协议》</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9F2B1E" w:rsidRDefault="00B873B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（六）关于募集交银施罗德精选股票证券投资基金之法律意见书</w:t>
      </w:r>
    </w:p>
    <w:sectPr w:rsidR="009F2B1E">
      <w:footerReference w:type="default" r:id="rId16"/>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851" w:rsidRDefault="00CC7851">
      <w:r>
        <w:separator/>
      </w:r>
    </w:p>
  </w:endnote>
  <w:endnote w:type="continuationSeparator" w:id="0">
    <w:p w:rsidR="00CC7851" w:rsidRDefault="00CC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B1E" w:rsidRDefault="006408F6">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B1E" w:rsidRDefault="00B873B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F1F1D">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rsidR="009F2B1E" w:rsidRDefault="00B873B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F1F1D">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B1E" w:rsidRDefault="006408F6">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B1E" w:rsidRDefault="00B873B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F1F1D">
                            <w:rPr>
                              <w:rFonts w:ascii="Times New Roman" w:hAnsi="Times New Roman"/>
                              <w:noProof/>
                              <w:kern w:val="0"/>
                              <w:sz w:val="18"/>
                              <w:szCs w:val="18"/>
                            </w:rPr>
                            <w:t>105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rsidR="009F2B1E" w:rsidRDefault="00B873B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F1F1D">
                      <w:rPr>
                        <w:rFonts w:ascii="Times New Roman" w:hAnsi="Times New Roman"/>
                        <w:noProof/>
                        <w:kern w:val="0"/>
                        <w:sz w:val="18"/>
                        <w:szCs w:val="18"/>
                      </w:rPr>
                      <w:t>105</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851" w:rsidRDefault="00CC7851">
      <w:r>
        <w:separator/>
      </w:r>
    </w:p>
  </w:footnote>
  <w:footnote w:type="continuationSeparator" w:id="0">
    <w:p w:rsidR="00CC7851" w:rsidRDefault="00CC7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D0" w:rsidRDefault="00B873BF">
    <w:pPr>
      <w:pStyle w:val="a3"/>
      <w:jc w:val="right"/>
    </w:pPr>
    <w:r>
      <w:rPr>
        <w:noProof/>
      </w:rPr>
      <w:drawing>
        <wp:anchor distT="0" distB="0" distL="114300" distR="114300" simplePos="0" relativeHeight="251655680"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9F2B1E" w:rsidRDefault="00B873BF">
    <w:pPr>
      <w:pStyle w:val="a3"/>
      <w:jc w:val="right"/>
      <w:rPr>
        <w:rFonts w:ascii="宋体" w:hAnsi="宋体"/>
      </w:rPr>
    </w:pPr>
    <w:r>
      <w:rPr>
        <w:rFonts w:ascii="宋体" w:hAnsi="宋体" w:hint="eastAsia"/>
      </w:rPr>
      <w:t>交银施罗德精选混合型证券投资基金(更新)招募说明书(2023年第1号)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B1E" w:rsidRDefault="009F2B1E">
    <w:pPr>
      <w:pStyle w:val="10"/>
      <w:jc w:val="right"/>
    </w:pPr>
  </w:p>
  <w:p w:rsidR="009F2B1E" w:rsidRDefault="009F2B1E">
    <w:pPr>
      <w:pStyle w:val="10"/>
      <w:jc w:val="right"/>
    </w:pPr>
  </w:p>
  <w:p w:rsidR="009F2B1E" w:rsidRDefault="009F2B1E">
    <w:pPr>
      <w:pStyle w:val="a3"/>
      <w:jc w:val="right"/>
    </w:pPr>
  </w:p>
  <w:p w:rsidR="009E65D0" w:rsidRDefault="00B873BF">
    <w:pPr>
      <w:pStyle w:val="a3"/>
      <w:jc w:val="right"/>
    </w:pPr>
    <w:r>
      <w:rPr>
        <w:noProof/>
      </w:rPr>
      <w:drawing>
        <wp:anchor distT="0" distB="0" distL="114300" distR="114300" simplePos="0" relativeHeight="251656704"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9F2B1E" w:rsidRDefault="00B873BF">
    <w:pPr>
      <w:pStyle w:val="a3"/>
      <w:jc w:val="right"/>
      <w:rPr>
        <w:rFonts w:ascii="宋体" w:hAnsi="宋体"/>
      </w:rPr>
    </w:pPr>
    <w:r>
      <w:rPr>
        <w:rFonts w:ascii="宋体" w:hAnsi="宋体" w:hint="eastAsia"/>
      </w:rPr>
      <w:t>交银施罗德精选混合型证券投资基金(更新)招募说明书(2023年</w:t>
    </w:r>
    <w:r w:rsidR="00180CC7">
      <w:rPr>
        <w:rFonts w:ascii="宋体" w:hAnsi="宋体" w:hint="eastAsia"/>
      </w:rPr>
      <w:t>第</w:t>
    </w:r>
    <w:r w:rsidR="00180CC7">
      <w:rPr>
        <w:rFonts w:ascii="宋体" w:hAnsi="宋体"/>
      </w:rPr>
      <w:t>2</w:t>
    </w:r>
    <w:r>
      <w:rPr>
        <w:rFonts w:ascii="宋体" w:hAnsi="宋体"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B1E" w:rsidRDefault="009F2B1E">
    <w:pPr>
      <w:pStyle w:val="a3"/>
      <w:jc w:val="right"/>
    </w:pPr>
  </w:p>
  <w:p w:rsidR="009F2B1E" w:rsidRDefault="009F2B1E">
    <w:pPr>
      <w:pStyle w:val="a3"/>
      <w:jc w:val="right"/>
    </w:pPr>
  </w:p>
  <w:p w:rsidR="009F2B1E" w:rsidRDefault="009F2B1E">
    <w:pPr>
      <w:pStyle w:val="a3"/>
      <w:jc w:val="right"/>
    </w:pPr>
  </w:p>
  <w:p w:rsidR="009E65D0" w:rsidRDefault="00B873BF">
    <w:pPr>
      <w:pStyle w:val="a3"/>
      <w:jc w:val="right"/>
    </w:pPr>
    <w:r>
      <w:rPr>
        <w:noProof/>
      </w:rPr>
      <w:drawing>
        <wp:anchor distT="0" distB="0" distL="114300" distR="114300" simplePos="0" relativeHeight="251657728"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9F2B1E" w:rsidRDefault="00B873BF">
    <w:pPr>
      <w:pStyle w:val="a3"/>
      <w:jc w:val="right"/>
      <w:rPr>
        <w:rFonts w:ascii="宋体" w:hAnsi="宋体"/>
      </w:rPr>
    </w:pPr>
    <w:r>
      <w:rPr>
        <w:rFonts w:ascii="宋体" w:hAnsi="宋体" w:hint="eastAsia"/>
      </w:rPr>
      <w:t>交银施罗德精选混合型证券投资基金(更新)招募说明书(2023年</w:t>
    </w:r>
    <w:r w:rsidR="00180CC7">
      <w:rPr>
        <w:rFonts w:ascii="宋体" w:hAnsi="宋体" w:hint="eastAsia"/>
      </w:rPr>
      <w:t>第</w:t>
    </w:r>
    <w:r w:rsidR="00180CC7">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801"/>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0CC7"/>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1F1D"/>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E4D7E"/>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08F6"/>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2B1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4579"/>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873BF"/>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851"/>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0039"/>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A68E2"/>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23"/>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01ECBE-E3F4-4839-BEF3-422BDCAA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nhideWhenUsed/>
    <w:rPr>
      <w:sz w:val="21"/>
      <w:szCs w:val="21"/>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
    <w:link w:val="a5"/>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 w:type="paragraph" w:styleId="af">
    <w:name w:val="Revision"/>
    <w:hidden/>
    <w:uiPriority w:val="99"/>
    <w:semiHidden/>
    <w:rsid w:val="00FA3F2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14819</Words>
  <Characters>84473</Characters>
  <Application>Microsoft Office Word</Application>
  <DocSecurity>0</DocSecurity>
  <Lines>703</Lines>
  <Paragraphs>198</Paragraphs>
  <ScaleCrop>false</ScaleCrop>
  <Company>Microsoft</Company>
  <LinksUpToDate>false</LinksUpToDate>
  <CharactersWithSpaces>99094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郝婷婷</cp:lastModifiedBy>
  <cp:revision>8</cp:revision>
  <cp:lastPrinted>2013-02-18T03:10:00Z</cp:lastPrinted>
  <dcterms:created xsi:type="dcterms:W3CDTF">2023-07-07T10:06:00Z</dcterms:created>
  <dcterms:modified xsi:type="dcterms:W3CDTF">2023-07-10T07:12:00Z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