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C0" w:rsidRPr="00EB07BC" w:rsidRDefault="008A64F0">
      <w:pPr>
        <w:rPr>
          <w:sz w:val="32"/>
        </w:rPr>
      </w:pPr>
    </w:p>
    <w:p w:rsidR="00C92FC0" w:rsidRPr="00EB07BC" w:rsidRDefault="008A64F0">
      <w:pPr>
        <w:rPr>
          <w:sz w:val="32"/>
        </w:rPr>
      </w:pPr>
    </w:p>
    <w:p w:rsidR="00C92FC0" w:rsidRPr="00EB07BC" w:rsidRDefault="008A64F0">
      <w:pPr>
        <w:rPr>
          <w:sz w:val="32"/>
        </w:rPr>
      </w:pPr>
    </w:p>
    <w:p w:rsidR="00C92FC0" w:rsidRPr="00EB07BC" w:rsidRDefault="00EA0691">
      <w:pPr>
        <w:jc w:val="center"/>
        <w:rPr>
          <w:sz w:val="32"/>
        </w:rPr>
      </w:pPr>
      <w:r>
        <w:rPr>
          <w:noProof/>
        </w:rPr>
        <w:drawing>
          <wp:inline distT="0" distB="0" distL="0" distR="0">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AC00FB" w:rsidRDefault="00AC00FB">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AC00FB" w:rsidRDefault="00AC00FB">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AC00FB" w:rsidRDefault="00A2121F">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交银施罗德主题优选灵活配置混合型证券投资基金</w:t>
      </w:r>
    </w:p>
    <w:p w:rsidR="00AC00FB" w:rsidRDefault="00A2121F">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AC00FB" w:rsidRDefault="00A2121F">
      <w:pPr>
        <w:snapToGrid w:val="0"/>
        <w:spacing w:line="360" w:lineRule="auto"/>
        <w:jc w:val="center"/>
        <w:rPr>
          <w:rFonts w:ascii="宋体" w:hAnsi="宋体"/>
          <w:b/>
          <w:sz w:val="30"/>
          <w:szCs w:val="30"/>
        </w:rPr>
      </w:pPr>
      <w:r>
        <w:rPr>
          <w:rFonts w:ascii="Times New Roman" w:hAnsi="Times New Roman"/>
          <w:b/>
          <w:color w:val="000000"/>
          <w:sz w:val="32"/>
          <w:szCs w:val="32"/>
        </w:rPr>
        <w:t>(2023</w:t>
      </w:r>
      <w:r>
        <w:rPr>
          <w:rFonts w:ascii="Times New Roman" w:hAnsi="Times New Roman"/>
          <w:b/>
          <w:color w:val="000000"/>
          <w:sz w:val="32"/>
          <w:szCs w:val="32"/>
        </w:rPr>
        <w:t>年第</w:t>
      </w:r>
      <w:r w:rsidR="00285CFA">
        <w:rPr>
          <w:rFonts w:ascii="Times New Roman" w:hAnsi="Times New Roman" w:hint="eastAsia"/>
          <w:b/>
          <w:color w:val="000000"/>
          <w:sz w:val="32"/>
          <w:szCs w:val="32"/>
        </w:rPr>
        <w:t>2</w:t>
      </w:r>
      <w:r>
        <w:rPr>
          <w:rFonts w:ascii="Times New Roman" w:hAnsi="Times New Roman"/>
          <w:b/>
          <w:color w:val="000000"/>
          <w:sz w:val="32"/>
          <w:szCs w:val="32"/>
        </w:rPr>
        <w:t>号</w:t>
      </w:r>
      <w:r>
        <w:rPr>
          <w:rFonts w:ascii="Times New Roman" w:hAnsi="Times New Roman"/>
          <w:b/>
          <w:color w:val="000000"/>
          <w:sz w:val="32"/>
          <w:szCs w:val="32"/>
        </w:rPr>
        <w:t>)</w:t>
      </w:r>
    </w:p>
    <w:p w:rsidR="00AC00FB" w:rsidRDefault="00AC00F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C00FB" w:rsidRDefault="00AC00F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C00FB" w:rsidRDefault="00AC00F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C00FB" w:rsidRDefault="00AC00F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C00FB" w:rsidRDefault="00AC00F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C00FB" w:rsidRDefault="00AC00F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C00FB" w:rsidRDefault="00A2121F">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AC00FB" w:rsidRDefault="00A2121F">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基金托管人：中国建设银行股份有限公司</w:t>
      </w:r>
    </w:p>
    <w:p w:rsidR="00AC00FB" w:rsidRDefault="00AC00F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C00FB" w:rsidRDefault="00AC00FB">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AC00FB" w:rsidRDefault="00A2121F">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二〇二三年</w:t>
      </w:r>
      <w:r w:rsidR="00285CFA">
        <w:rPr>
          <w:rFonts w:ascii="Times New Roman" w:hAnsi="Times New Roman" w:hint="eastAsia"/>
          <w:b/>
          <w:spacing w:val="2"/>
          <w:w w:val="99"/>
          <w:kern w:val="0"/>
          <w:sz w:val="28"/>
          <w:szCs w:val="32"/>
        </w:rPr>
        <w:t>七</w:t>
      </w:r>
      <w:r>
        <w:rPr>
          <w:rFonts w:ascii="Times New Roman" w:hAnsi="Times New Roman"/>
          <w:b/>
          <w:spacing w:val="2"/>
          <w:w w:val="99"/>
          <w:kern w:val="0"/>
          <w:sz w:val="28"/>
          <w:szCs w:val="32"/>
        </w:rPr>
        <w:t>月</w:t>
      </w:r>
    </w:p>
    <w:p w:rsidR="00AC00FB" w:rsidRDefault="00AC00FB">
      <w:pPr>
        <w:autoSpaceDE w:val="0"/>
        <w:autoSpaceDN w:val="0"/>
        <w:adjustRightInd w:val="0"/>
        <w:snapToGrid w:val="0"/>
        <w:spacing w:line="360" w:lineRule="auto"/>
        <w:ind w:left="1347" w:rightChars="6" w:right="13"/>
        <w:rPr>
          <w:rFonts w:ascii="宋体" w:hAnsi="宋体"/>
          <w:kern w:val="0"/>
          <w:sz w:val="32"/>
          <w:szCs w:val="32"/>
        </w:rPr>
        <w:sectPr w:rsidR="00AC00FB">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AC00FB" w:rsidRDefault="00A2121F">
      <w:pPr>
        <w:pStyle w:val="1"/>
        <w:snapToGrid w:val="0"/>
        <w:spacing w:beforeLines="0" w:before="240" w:after="240"/>
        <w:rPr>
          <w:rFonts w:ascii="宋体" w:hAnsi="宋体"/>
          <w:kern w:val="0"/>
        </w:rPr>
      </w:pPr>
      <w:bookmarkStart w:id="0" w:name="_Toc324920538"/>
      <w:bookmarkStart w:id="1" w:name="_Toc496884613"/>
      <w:bookmarkStart w:id="2" w:name="_Toc137828536"/>
      <w:r>
        <w:rPr>
          <w:rFonts w:ascii="Times New Roman" w:hAnsi="Times New Roman"/>
          <w:kern w:val="0"/>
        </w:rPr>
        <w:lastRenderedPageBreak/>
        <w:t>重要提示</w:t>
      </w:r>
      <w:bookmarkEnd w:id="0"/>
      <w:bookmarkEnd w:id="1"/>
      <w:bookmarkEnd w:id="2"/>
    </w:p>
    <w:p w:rsidR="00AC00FB" w:rsidRDefault="00A2121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交银施罗德主题优选灵活配置混合型证券投资基金（以下简称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2010</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12</w:t>
      </w:r>
      <w:r>
        <w:rPr>
          <w:rFonts w:ascii="Times New Roman" w:hAnsi="Times New Roman"/>
          <w:kern w:val="0"/>
          <w:sz w:val="24"/>
        </w:rPr>
        <w:t>日中国证券监督管理委员会证监许可【</w:t>
      </w:r>
      <w:r>
        <w:rPr>
          <w:rFonts w:ascii="Times New Roman" w:hAnsi="Times New Roman"/>
          <w:kern w:val="0"/>
          <w:sz w:val="24"/>
        </w:rPr>
        <w:t>2010</w:t>
      </w:r>
      <w:r>
        <w:rPr>
          <w:rFonts w:ascii="Times New Roman" w:hAnsi="Times New Roman"/>
          <w:kern w:val="0"/>
          <w:sz w:val="24"/>
        </w:rPr>
        <w:t>】</w:t>
      </w:r>
      <w:r>
        <w:rPr>
          <w:rFonts w:ascii="Times New Roman" w:hAnsi="Times New Roman"/>
          <w:kern w:val="0"/>
          <w:sz w:val="24"/>
        </w:rPr>
        <w:t>624</w:t>
      </w:r>
      <w:r>
        <w:rPr>
          <w:rFonts w:ascii="Times New Roman" w:hAnsi="Times New Roman"/>
          <w:kern w:val="0"/>
          <w:sz w:val="24"/>
        </w:rPr>
        <w:t>号文核准募集。本基金基金合同于</w:t>
      </w:r>
      <w:r>
        <w:rPr>
          <w:rFonts w:ascii="Times New Roman" w:hAnsi="Times New Roman"/>
          <w:kern w:val="0"/>
          <w:sz w:val="24"/>
        </w:rPr>
        <w:t>2010</w:t>
      </w:r>
      <w:r>
        <w:rPr>
          <w:rFonts w:ascii="Times New Roman" w:hAnsi="Times New Roman"/>
          <w:kern w:val="0"/>
          <w:sz w:val="24"/>
        </w:rPr>
        <w:t>年</w:t>
      </w:r>
      <w:r>
        <w:rPr>
          <w:rFonts w:ascii="Times New Roman" w:hAnsi="Times New Roman"/>
          <w:kern w:val="0"/>
          <w:sz w:val="24"/>
        </w:rPr>
        <w:t>6</w:t>
      </w:r>
      <w:r>
        <w:rPr>
          <w:rFonts w:ascii="Times New Roman" w:hAnsi="Times New Roman"/>
          <w:kern w:val="0"/>
          <w:sz w:val="24"/>
        </w:rPr>
        <w:t>月</w:t>
      </w:r>
      <w:r>
        <w:rPr>
          <w:rFonts w:ascii="Times New Roman" w:hAnsi="Times New Roman"/>
          <w:kern w:val="0"/>
          <w:sz w:val="24"/>
        </w:rPr>
        <w:t>30</w:t>
      </w:r>
      <w:r>
        <w:rPr>
          <w:rFonts w:ascii="Times New Roman" w:hAnsi="Times New Roman"/>
          <w:kern w:val="0"/>
          <w:sz w:val="24"/>
        </w:rPr>
        <w:t>日正式生效。</w:t>
      </w:r>
    </w:p>
    <w:p w:rsidR="00AC00FB" w:rsidRDefault="00A2121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AC00FB" w:rsidRDefault="00A2121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AC00FB" w:rsidRDefault="00A2121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流动性风险（包括实施侧袋机制时的特定风险），本基金投资债券引发的信用风险，投资科创板股票的特定风险，以及本基金投资策略所特有的风险等等。本基金是一只灵活配置的混合型基金，属于基金中的中高风险品种，本基金的风险与预期收益介于股票型基金和债券型基金之间。</w:t>
      </w:r>
    </w:p>
    <w:p w:rsidR="00AC00FB" w:rsidRDefault="00A2121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rsidR="00AC00FB" w:rsidRDefault="00A2121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rsidR="00AC00FB" w:rsidRDefault="00A2121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投资有风险，投资人在投资本基金前应认真阅读本基金的招募说明书、基金合同、基金产品资料概要。基金的过往业绩并不代表其未来表现。基金管理人管</w:t>
      </w:r>
      <w:r>
        <w:rPr>
          <w:rFonts w:ascii="Times New Roman" w:hAnsi="Times New Roman"/>
          <w:kern w:val="0"/>
          <w:sz w:val="24"/>
        </w:rPr>
        <w:lastRenderedPageBreak/>
        <w:t>理的其他基金的业绩并不构成对本基金业绩表现的保证。</w:t>
      </w:r>
    </w:p>
    <w:p w:rsidR="00AC00FB" w:rsidRDefault="00285CFA">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hint="eastAsia"/>
          <w:kern w:val="0"/>
          <w:sz w:val="24"/>
        </w:rPr>
        <w:t>本次更新招募说明书主要对调整管理费率和</w:t>
      </w:r>
      <w:r>
        <w:rPr>
          <w:rFonts w:ascii="Times New Roman" w:hAnsi="Times New Roman"/>
          <w:kern w:val="0"/>
          <w:sz w:val="24"/>
        </w:rPr>
        <w:t>/</w:t>
      </w:r>
      <w:r>
        <w:rPr>
          <w:rFonts w:ascii="Times New Roman" w:hAnsi="Times New Roman" w:hint="eastAsia"/>
          <w:kern w:val="0"/>
          <w:sz w:val="24"/>
        </w:rPr>
        <w:t>或托管费率相关事项进行了相应更新，更新截止日为</w:t>
      </w:r>
      <w:r>
        <w:rPr>
          <w:rFonts w:ascii="Times New Roman" w:hAnsi="Times New Roman"/>
          <w:kern w:val="0"/>
          <w:sz w:val="24"/>
        </w:rPr>
        <w:t>2023</w:t>
      </w:r>
      <w:r>
        <w:rPr>
          <w:rFonts w:ascii="Times New Roman" w:hAnsi="Times New Roman" w:hint="eastAsia"/>
          <w:kern w:val="0"/>
          <w:sz w:val="24"/>
        </w:rPr>
        <w:t>年</w:t>
      </w:r>
      <w:r>
        <w:rPr>
          <w:rFonts w:ascii="Times New Roman" w:hAnsi="Times New Roman"/>
          <w:kern w:val="0"/>
          <w:sz w:val="24"/>
        </w:rPr>
        <w:t>07</w:t>
      </w:r>
      <w:r>
        <w:rPr>
          <w:rFonts w:ascii="Times New Roman" w:hAnsi="Times New Roman" w:hint="eastAsia"/>
          <w:kern w:val="0"/>
          <w:sz w:val="24"/>
        </w:rPr>
        <w:t>月</w:t>
      </w:r>
      <w:r>
        <w:rPr>
          <w:rFonts w:ascii="Times New Roman" w:hAnsi="Times New Roman"/>
          <w:kern w:val="0"/>
          <w:sz w:val="24"/>
        </w:rPr>
        <w:t>10</w:t>
      </w:r>
      <w:r>
        <w:rPr>
          <w:rFonts w:ascii="Times New Roman" w:hAnsi="Times New Roman" w:hint="eastAsia"/>
          <w:kern w:val="0"/>
          <w:sz w:val="24"/>
        </w:rPr>
        <w:t>日，除非另有说明，</w:t>
      </w:r>
      <w:r w:rsidR="00A2121F">
        <w:rPr>
          <w:rFonts w:ascii="Times New Roman" w:hAnsi="Times New Roman"/>
          <w:kern w:val="0"/>
          <w:sz w:val="24"/>
        </w:rPr>
        <w:t>本招募说明书</w:t>
      </w:r>
      <w:r>
        <w:rPr>
          <w:rFonts w:ascii="Times New Roman" w:hAnsi="Times New Roman" w:hint="eastAsia"/>
          <w:kern w:val="0"/>
          <w:sz w:val="24"/>
        </w:rPr>
        <w:t>其他</w:t>
      </w:r>
      <w:r w:rsidR="00A2121F">
        <w:rPr>
          <w:rFonts w:ascii="Times New Roman" w:hAnsi="Times New Roman"/>
          <w:kern w:val="0"/>
          <w:sz w:val="24"/>
        </w:rPr>
        <w:t>所载内容截止日为</w:t>
      </w:r>
      <w:r w:rsidR="00A2121F">
        <w:rPr>
          <w:rFonts w:ascii="Times New Roman" w:hAnsi="Times New Roman"/>
          <w:kern w:val="0"/>
          <w:sz w:val="24"/>
        </w:rPr>
        <w:t>2023</w:t>
      </w:r>
      <w:r w:rsidR="00A2121F">
        <w:rPr>
          <w:rFonts w:ascii="Times New Roman" w:hAnsi="Times New Roman"/>
          <w:kern w:val="0"/>
          <w:sz w:val="24"/>
        </w:rPr>
        <w:t>年</w:t>
      </w:r>
      <w:r w:rsidR="00A2121F">
        <w:rPr>
          <w:rFonts w:ascii="Times New Roman" w:hAnsi="Times New Roman"/>
          <w:kern w:val="0"/>
          <w:sz w:val="24"/>
        </w:rPr>
        <w:t>05</w:t>
      </w:r>
      <w:r w:rsidR="00A2121F">
        <w:rPr>
          <w:rFonts w:ascii="Times New Roman" w:hAnsi="Times New Roman"/>
          <w:kern w:val="0"/>
          <w:sz w:val="24"/>
        </w:rPr>
        <w:t>月</w:t>
      </w:r>
      <w:r w:rsidR="00A2121F">
        <w:rPr>
          <w:rFonts w:ascii="Times New Roman" w:hAnsi="Times New Roman"/>
          <w:kern w:val="0"/>
          <w:sz w:val="24"/>
        </w:rPr>
        <w:t>27</w:t>
      </w:r>
      <w:r w:rsidR="00A2121F">
        <w:rPr>
          <w:rFonts w:ascii="Times New Roman" w:hAnsi="Times New Roman"/>
          <w:kern w:val="0"/>
          <w:sz w:val="24"/>
        </w:rPr>
        <w:t>日，有关财务数据和净值表现截止日为</w:t>
      </w:r>
      <w:r w:rsidR="00A2121F">
        <w:rPr>
          <w:rFonts w:ascii="Times New Roman" w:hAnsi="Times New Roman"/>
          <w:kern w:val="0"/>
          <w:sz w:val="24"/>
        </w:rPr>
        <w:t>2023</w:t>
      </w:r>
      <w:r w:rsidR="00A2121F">
        <w:rPr>
          <w:rFonts w:ascii="Times New Roman" w:hAnsi="Times New Roman"/>
          <w:kern w:val="0"/>
          <w:sz w:val="24"/>
        </w:rPr>
        <w:t>年</w:t>
      </w:r>
      <w:r w:rsidR="00A2121F">
        <w:rPr>
          <w:rFonts w:ascii="Times New Roman" w:hAnsi="Times New Roman"/>
          <w:kern w:val="0"/>
          <w:sz w:val="24"/>
        </w:rPr>
        <w:t>03</w:t>
      </w:r>
      <w:r w:rsidR="00A2121F">
        <w:rPr>
          <w:rFonts w:ascii="Times New Roman" w:hAnsi="Times New Roman"/>
          <w:kern w:val="0"/>
          <w:sz w:val="24"/>
        </w:rPr>
        <w:t>月</w:t>
      </w:r>
      <w:r w:rsidR="00A2121F">
        <w:rPr>
          <w:rFonts w:ascii="Times New Roman" w:hAnsi="Times New Roman"/>
          <w:kern w:val="0"/>
          <w:sz w:val="24"/>
        </w:rPr>
        <w:t>31</w:t>
      </w:r>
      <w:r w:rsidR="00A2121F">
        <w:rPr>
          <w:rFonts w:ascii="Times New Roman" w:hAnsi="Times New Roman"/>
          <w:kern w:val="0"/>
          <w:sz w:val="24"/>
        </w:rPr>
        <w:t>日。本招募说明书所载的财务数据未经审计。</w:t>
      </w:r>
    </w:p>
    <w:p w:rsidR="00AC00FB" w:rsidRDefault="00AC00FB">
      <w:pPr>
        <w:autoSpaceDE w:val="0"/>
        <w:autoSpaceDN w:val="0"/>
        <w:adjustRightInd w:val="0"/>
        <w:snapToGrid w:val="0"/>
        <w:spacing w:before="51" w:line="360" w:lineRule="auto"/>
        <w:ind w:left="120" w:rightChars="6" w:right="13" w:firstLine="480"/>
        <w:rPr>
          <w:rFonts w:ascii="宋体" w:hAnsi="宋体"/>
          <w:kern w:val="0"/>
          <w:szCs w:val="24"/>
        </w:rPr>
        <w:sectPr w:rsidR="00AC00FB">
          <w:headerReference w:type="default" r:id="rId12"/>
          <w:pgSz w:w="11920" w:h="16840"/>
          <w:pgMar w:top="1440" w:right="1680" w:bottom="280" w:left="1680" w:header="0" w:footer="1073" w:gutter="0"/>
          <w:pgNumType w:start="1"/>
          <w:cols w:space="720"/>
        </w:sectPr>
      </w:pPr>
    </w:p>
    <w:p w:rsidR="003F1A01" w:rsidRPr="003F1A01" w:rsidRDefault="00A2121F" w:rsidP="003F1A01">
      <w:pPr>
        <w:pStyle w:val="af3"/>
        <w:snapToGrid w:val="0"/>
        <w:spacing w:after="240" w:line="360" w:lineRule="auto"/>
        <w:jc w:val="center"/>
        <w:rPr>
          <w:rFonts w:ascii="宋体" w:hAnsi="宋体"/>
          <w:noProof/>
          <w:sz w:val="24"/>
        </w:rPr>
      </w:pPr>
      <w:r w:rsidRPr="003F1A01">
        <w:rPr>
          <w:rFonts w:ascii="宋体" w:hAnsi="宋体"/>
          <w:color w:val="000000"/>
          <w:position w:val="-4"/>
          <w:sz w:val="24"/>
          <w:szCs w:val="30"/>
        </w:rPr>
        <w:lastRenderedPageBreak/>
        <w:t>目</w:t>
      </w:r>
      <w:r w:rsidRPr="003F1A01">
        <w:rPr>
          <w:rFonts w:ascii="宋体" w:hAnsi="宋体"/>
          <w:color w:val="000000"/>
          <w:position w:val="-4"/>
          <w:sz w:val="24"/>
          <w:szCs w:val="30"/>
        </w:rPr>
        <w:tab/>
        <w:t>录</w:t>
      </w:r>
      <w:r w:rsidR="003F1A01" w:rsidRPr="003F1A01">
        <w:rPr>
          <w:rFonts w:ascii="宋体" w:hAnsi="宋体"/>
          <w:color w:val="000000"/>
          <w:position w:val="-4"/>
          <w:sz w:val="24"/>
          <w:szCs w:val="30"/>
        </w:rPr>
        <w:fldChar w:fldCharType="begin"/>
      </w:r>
      <w:r w:rsidR="003F1A01" w:rsidRPr="003F1A01">
        <w:rPr>
          <w:rFonts w:ascii="宋体" w:hAnsi="宋体"/>
          <w:color w:val="000000"/>
          <w:position w:val="-4"/>
          <w:sz w:val="24"/>
          <w:szCs w:val="30"/>
        </w:rPr>
        <w:instrText xml:space="preserve"> TOC \o "1-3" \f - \h \t "-1" </w:instrText>
      </w:r>
      <w:r w:rsidR="003F1A01" w:rsidRPr="003F1A01">
        <w:rPr>
          <w:rFonts w:ascii="宋体" w:hAnsi="宋体"/>
          <w:color w:val="000000"/>
          <w:position w:val="-4"/>
          <w:sz w:val="24"/>
          <w:szCs w:val="30"/>
        </w:rPr>
        <w:fldChar w:fldCharType="separate"/>
      </w:r>
    </w:p>
    <w:p w:rsidR="003F1A01" w:rsidRPr="00AB7E82" w:rsidRDefault="008A64F0" w:rsidP="003F1A01">
      <w:pPr>
        <w:pStyle w:val="11"/>
        <w:tabs>
          <w:tab w:val="right" w:leader="dot" w:pos="8550"/>
        </w:tabs>
        <w:spacing w:line="360" w:lineRule="auto"/>
        <w:rPr>
          <w:rFonts w:ascii="宋体" w:hAnsi="宋体"/>
          <w:noProof/>
          <w:sz w:val="24"/>
        </w:rPr>
      </w:pPr>
      <w:hyperlink w:anchor="_Toc137828536" w:history="1">
        <w:r w:rsidR="003F1A01" w:rsidRPr="003F1A01">
          <w:rPr>
            <w:rStyle w:val="af0"/>
            <w:rFonts w:ascii="宋体" w:hAnsi="宋体" w:hint="eastAsia"/>
            <w:noProof/>
            <w:kern w:val="0"/>
            <w:sz w:val="24"/>
          </w:rPr>
          <w:t>重要提示</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_Toc137828536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1</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37" w:history="1">
        <w:r w:rsidR="003F1A01" w:rsidRPr="003F1A01">
          <w:rPr>
            <w:rStyle w:val="af0"/>
            <w:rFonts w:ascii="宋体" w:hAnsi="宋体" w:hint="eastAsia"/>
            <w:noProof/>
            <w:sz w:val="24"/>
          </w:rPr>
          <w:t>一、绪言</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_Toc137828537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4</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38" w:history="1">
        <w:r w:rsidR="003F1A01" w:rsidRPr="003F1A01">
          <w:rPr>
            <w:rStyle w:val="af0"/>
            <w:rFonts w:ascii="宋体" w:hAnsi="宋体" w:hint="eastAsia"/>
            <w:noProof/>
            <w:sz w:val="24"/>
          </w:rPr>
          <w:t>二、释义</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_Toc137828538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5</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39" w:history="1">
        <w:r w:rsidR="003F1A01" w:rsidRPr="003F1A01">
          <w:rPr>
            <w:rStyle w:val="af0"/>
            <w:rFonts w:ascii="宋体" w:hAnsi="宋体" w:hint="eastAsia"/>
            <w:noProof/>
            <w:sz w:val="24"/>
          </w:rPr>
          <w:t>三、基金管理人</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_Toc137828539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11</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40" w:history="1">
        <w:r w:rsidR="003F1A01" w:rsidRPr="003F1A01">
          <w:rPr>
            <w:rStyle w:val="af0"/>
            <w:rFonts w:ascii="宋体" w:hAnsi="宋体" w:hint="eastAsia"/>
            <w:noProof/>
            <w:sz w:val="24"/>
          </w:rPr>
          <w:t>四、基金托管人</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_Toc137828540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19</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41" w:history="1">
        <w:r w:rsidR="003F1A01" w:rsidRPr="003F1A01">
          <w:rPr>
            <w:rStyle w:val="af0"/>
            <w:rFonts w:ascii="宋体" w:hAnsi="宋体" w:hint="eastAsia"/>
            <w:noProof/>
            <w:sz w:val="24"/>
          </w:rPr>
          <w:t>五、相关服务机构</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_Toc137828541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22</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42" w:history="1">
        <w:r w:rsidR="003F1A01" w:rsidRPr="003F1A01">
          <w:rPr>
            <w:rStyle w:val="af0"/>
            <w:rFonts w:ascii="宋体" w:hAnsi="宋体" w:hint="eastAsia"/>
            <w:noProof/>
            <w:sz w:val="24"/>
          </w:rPr>
          <w:t>六、基金的募集</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_Toc137828542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63</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43" w:history="1">
        <w:r w:rsidR="003F1A01" w:rsidRPr="003F1A01">
          <w:rPr>
            <w:rStyle w:val="af0"/>
            <w:rFonts w:ascii="宋体" w:hAnsi="宋体" w:hint="eastAsia"/>
            <w:noProof/>
            <w:sz w:val="24"/>
          </w:rPr>
          <w:t>七、基金合同的生效</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_Toc137828543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64</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44" w:history="1">
        <w:r w:rsidR="003F1A01" w:rsidRPr="003F1A01">
          <w:rPr>
            <w:rStyle w:val="af0"/>
            <w:rFonts w:ascii="宋体" w:hAnsi="宋体" w:hint="eastAsia"/>
            <w:noProof/>
            <w:sz w:val="24"/>
          </w:rPr>
          <w:t>八、基金份额的申购与赎回</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_Toc137828544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65</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45" w:history="1">
        <w:r w:rsidR="003F1A01" w:rsidRPr="003F1A01">
          <w:rPr>
            <w:rStyle w:val="af0"/>
            <w:rFonts w:ascii="宋体" w:hAnsi="宋体" w:hint="eastAsia"/>
            <w:noProof/>
            <w:sz w:val="24"/>
          </w:rPr>
          <w:t>九、基金的转换</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_Toc137828545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81</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46" w:history="1">
        <w:r w:rsidR="003F1A01" w:rsidRPr="003F1A01">
          <w:rPr>
            <w:rStyle w:val="af0"/>
            <w:rFonts w:ascii="宋体" w:hAnsi="宋体" w:hint="eastAsia"/>
            <w:noProof/>
            <w:sz w:val="24"/>
          </w:rPr>
          <w:t>十、基金的投资</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_Toc137828546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88</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47" w:history="1">
        <w:r w:rsidR="003F1A01" w:rsidRPr="003F1A01">
          <w:rPr>
            <w:rStyle w:val="af0"/>
            <w:rFonts w:ascii="宋体" w:hAnsi="宋体" w:hint="eastAsia"/>
            <w:noProof/>
            <w:sz w:val="24"/>
          </w:rPr>
          <w:t>十一、基金的业绩</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_Toc137828547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102</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48" w:history="1">
        <w:r w:rsidR="003F1A01" w:rsidRPr="003F1A01">
          <w:rPr>
            <w:rStyle w:val="af0"/>
            <w:rFonts w:ascii="宋体" w:hAnsi="宋体" w:hint="eastAsia"/>
            <w:noProof/>
            <w:sz w:val="24"/>
          </w:rPr>
          <w:t>十二、基金的财产</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_Toc137828548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105</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49" w:history="1">
        <w:r w:rsidR="003F1A01" w:rsidRPr="003F1A01">
          <w:rPr>
            <w:rStyle w:val="af0"/>
            <w:rFonts w:ascii="宋体" w:hAnsi="宋体" w:hint="eastAsia"/>
            <w:noProof/>
            <w:sz w:val="24"/>
          </w:rPr>
          <w:t>十三、基金资产的估值</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_Toc137828549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106</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50" w:history="1">
        <w:r w:rsidR="003F1A01" w:rsidRPr="003F1A01">
          <w:rPr>
            <w:rStyle w:val="af0"/>
            <w:rFonts w:ascii="宋体" w:hAnsi="宋体" w:hint="eastAsia"/>
            <w:noProof/>
            <w:sz w:val="24"/>
          </w:rPr>
          <w:t>十四、基金的收益与分配</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_Toc137828550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112</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51" w:history="1">
        <w:r w:rsidR="003F1A01" w:rsidRPr="003F1A01">
          <w:rPr>
            <w:rStyle w:val="af0"/>
            <w:rFonts w:ascii="宋体" w:hAnsi="宋体" w:hint="eastAsia"/>
            <w:noProof/>
            <w:sz w:val="24"/>
          </w:rPr>
          <w:t>十五、基金的费用与税收</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_Toc137828551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114</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52" w:history="1">
        <w:r w:rsidR="003F1A01" w:rsidRPr="003F1A01">
          <w:rPr>
            <w:rStyle w:val="af0"/>
            <w:rFonts w:ascii="宋体" w:hAnsi="宋体" w:hint="eastAsia"/>
            <w:noProof/>
            <w:sz w:val="24"/>
          </w:rPr>
          <w:t>十六、基金的会计与审计</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_Toc137828552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117</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53" w:history="1">
        <w:r w:rsidR="003F1A01" w:rsidRPr="003F1A01">
          <w:rPr>
            <w:rStyle w:val="af0"/>
            <w:rFonts w:ascii="宋体" w:hAnsi="宋体" w:hint="eastAsia"/>
            <w:noProof/>
            <w:sz w:val="24"/>
          </w:rPr>
          <w:t>十七、基金的信息披露</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_Toc137828553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118</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54" w:history="1">
        <w:r w:rsidR="003F1A01" w:rsidRPr="003F1A01">
          <w:rPr>
            <w:rStyle w:val="af0"/>
            <w:rFonts w:ascii="宋体" w:hAnsi="宋体" w:hint="eastAsia"/>
            <w:noProof/>
            <w:sz w:val="24"/>
          </w:rPr>
          <w:t>十八、侧袋机制</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_Toc137828554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124</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55" w:history="1">
        <w:r w:rsidR="003F1A01" w:rsidRPr="003F1A01">
          <w:rPr>
            <w:rStyle w:val="af0"/>
            <w:rFonts w:ascii="宋体" w:hAnsi="宋体" w:hint="eastAsia"/>
            <w:noProof/>
            <w:sz w:val="24"/>
          </w:rPr>
          <w:t>十九、风险揭示</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_Toc137828555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127</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56" w:history="1">
        <w:r w:rsidR="003F1A01" w:rsidRPr="003F1A01">
          <w:rPr>
            <w:rStyle w:val="af0"/>
            <w:rFonts w:ascii="宋体" w:hAnsi="宋体" w:hint="eastAsia"/>
            <w:noProof/>
            <w:sz w:val="24"/>
          </w:rPr>
          <w:t>二十、基金合同的终止与基金财产的清算</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_Toc137828556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134</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57" w:history="1">
        <w:r w:rsidR="003F1A01" w:rsidRPr="003F1A01">
          <w:rPr>
            <w:rStyle w:val="af0"/>
            <w:rFonts w:ascii="宋体" w:hAnsi="宋体" w:hint="eastAsia"/>
            <w:noProof/>
            <w:sz w:val="24"/>
          </w:rPr>
          <w:t>二十一、基金合同的内容摘要</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_Toc137828557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136</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58" w:history="1">
        <w:r w:rsidR="003F1A01" w:rsidRPr="003F1A01">
          <w:rPr>
            <w:rStyle w:val="af0"/>
            <w:rFonts w:ascii="宋体" w:hAnsi="宋体" w:hint="eastAsia"/>
            <w:noProof/>
            <w:sz w:val="24"/>
          </w:rPr>
          <w:t>二十二、托管协议的内容摘要</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_Toc137828558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152</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59" w:history="1">
        <w:r w:rsidR="003F1A01" w:rsidRPr="003F1A01">
          <w:rPr>
            <w:rStyle w:val="af0"/>
            <w:rFonts w:ascii="宋体" w:hAnsi="宋体" w:hint="eastAsia"/>
            <w:noProof/>
            <w:sz w:val="24"/>
          </w:rPr>
          <w:t>二十三、对基金份额持有人的服务</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_Toc137828559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164</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60" w:history="1">
        <w:r w:rsidR="003F1A01" w:rsidRPr="003F1A01">
          <w:rPr>
            <w:rStyle w:val="af0"/>
            <w:rFonts w:ascii="宋体" w:hAnsi="宋体" w:hint="eastAsia"/>
            <w:noProof/>
            <w:sz w:val="24"/>
          </w:rPr>
          <w:t>二十四、其他应披露事项</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_Toc137828560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166</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61" w:history="1">
        <w:r w:rsidR="003F1A01" w:rsidRPr="003F1A01">
          <w:rPr>
            <w:rStyle w:val="af0"/>
            <w:rFonts w:ascii="宋体" w:hAnsi="宋体" w:hint="eastAsia"/>
            <w:noProof/>
            <w:sz w:val="24"/>
          </w:rPr>
          <w:t>二十五、招募说明书的存放及查阅方式</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_Toc137828561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170</w:t>
        </w:r>
        <w:r w:rsidR="003F1A01" w:rsidRPr="003F1A01">
          <w:rPr>
            <w:rFonts w:ascii="宋体" w:hAnsi="宋体"/>
            <w:noProof/>
            <w:sz w:val="24"/>
          </w:rPr>
          <w:fldChar w:fldCharType="end"/>
        </w:r>
      </w:hyperlink>
    </w:p>
    <w:p w:rsidR="003F1A01" w:rsidRPr="00AB7E82" w:rsidRDefault="008A64F0" w:rsidP="003F1A01">
      <w:pPr>
        <w:pStyle w:val="11"/>
        <w:tabs>
          <w:tab w:val="right" w:leader="dot" w:pos="8550"/>
        </w:tabs>
        <w:spacing w:line="360" w:lineRule="auto"/>
        <w:rPr>
          <w:rFonts w:ascii="宋体" w:hAnsi="宋体"/>
          <w:noProof/>
          <w:sz w:val="24"/>
        </w:rPr>
      </w:pPr>
      <w:hyperlink w:anchor="_Toc137828562" w:history="1">
        <w:r w:rsidR="003F1A01" w:rsidRPr="003F1A01">
          <w:rPr>
            <w:rStyle w:val="af0"/>
            <w:rFonts w:ascii="宋体" w:hAnsi="宋体" w:hint="eastAsia"/>
            <w:noProof/>
            <w:sz w:val="24"/>
          </w:rPr>
          <w:t>二十六、备查文件</w:t>
        </w:r>
        <w:r w:rsidR="003F1A01" w:rsidRPr="003F1A01">
          <w:rPr>
            <w:rFonts w:ascii="宋体" w:hAnsi="宋体"/>
            <w:noProof/>
            <w:sz w:val="24"/>
          </w:rPr>
          <w:tab/>
        </w:r>
        <w:r w:rsidR="003F1A01" w:rsidRPr="003F1A01">
          <w:rPr>
            <w:rFonts w:ascii="宋体" w:hAnsi="宋体"/>
            <w:noProof/>
            <w:sz w:val="24"/>
          </w:rPr>
          <w:fldChar w:fldCharType="begin"/>
        </w:r>
        <w:r w:rsidR="003F1A01" w:rsidRPr="003F1A01">
          <w:rPr>
            <w:rFonts w:ascii="宋体" w:hAnsi="宋体"/>
            <w:noProof/>
            <w:sz w:val="24"/>
          </w:rPr>
          <w:instrText xml:space="preserve"> PAGEREF _Toc137828562 \h </w:instrText>
        </w:r>
        <w:r w:rsidR="003F1A01" w:rsidRPr="003F1A01">
          <w:rPr>
            <w:rFonts w:ascii="宋体" w:hAnsi="宋体"/>
            <w:noProof/>
            <w:sz w:val="24"/>
          </w:rPr>
        </w:r>
        <w:r w:rsidR="003F1A01" w:rsidRPr="003F1A01">
          <w:rPr>
            <w:rFonts w:ascii="宋体" w:hAnsi="宋体"/>
            <w:noProof/>
            <w:sz w:val="24"/>
          </w:rPr>
          <w:fldChar w:fldCharType="separate"/>
        </w:r>
        <w:r w:rsidR="003F1A01" w:rsidRPr="003F1A01">
          <w:rPr>
            <w:rFonts w:ascii="宋体" w:hAnsi="宋体"/>
            <w:noProof/>
            <w:sz w:val="24"/>
          </w:rPr>
          <w:t>171</w:t>
        </w:r>
        <w:r w:rsidR="003F1A01" w:rsidRPr="003F1A01">
          <w:rPr>
            <w:rFonts w:ascii="宋体" w:hAnsi="宋体"/>
            <w:noProof/>
            <w:sz w:val="24"/>
          </w:rPr>
          <w:fldChar w:fldCharType="end"/>
        </w:r>
      </w:hyperlink>
    </w:p>
    <w:p w:rsidR="00AC00FB" w:rsidRDefault="003F1A01" w:rsidP="003A1362">
      <w:pPr>
        <w:pStyle w:val="af3"/>
        <w:snapToGrid w:val="0"/>
        <w:spacing w:after="240" w:line="360" w:lineRule="auto"/>
        <w:jc w:val="center"/>
        <w:rPr>
          <w:rFonts w:ascii="宋体" w:hAnsi="宋体"/>
          <w:szCs w:val="24"/>
        </w:rPr>
        <w:sectPr w:rsidR="00AC00FB">
          <w:pgSz w:w="11920" w:h="16840"/>
          <w:pgMar w:top="1480" w:right="1680" w:bottom="280" w:left="1680" w:header="0" w:footer="1073" w:gutter="0"/>
          <w:cols w:space="720"/>
        </w:sectPr>
      </w:pPr>
      <w:r w:rsidRPr="003F1A01">
        <w:rPr>
          <w:rFonts w:ascii="宋体" w:hAnsi="宋体"/>
          <w:color w:val="000000"/>
          <w:position w:val="-4"/>
          <w:sz w:val="24"/>
          <w:szCs w:val="30"/>
        </w:rPr>
        <w:fldChar w:fldCharType="end"/>
      </w:r>
      <w:bookmarkStart w:id="3" w:name="_GoBack"/>
      <w:bookmarkEnd w:id="3"/>
    </w:p>
    <w:p w:rsidR="00AC00FB" w:rsidRDefault="00A2121F">
      <w:pPr>
        <w:pStyle w:val="1"/>
        <w:snapToGrid w:val="0"/>
        <w:spacing w:beforeLines="0" w:before="240" w:after="240"/>
        <w:rPr>
          <w:rFonts w:ascii="宋体" w:hAnsi="宋体"/>
          <w:szCs w:val="30"/>
        </w:rPr>
      </w:pPr>
      <w:bookmarkStart w:id="4" w:name="_Toc137828537"/>
      <w:r>
        <w:rPr>
          <w:rFonts w:ascii="Times New Roman" w:hAnsi="Times New Roman"/>
          <w:sz w:val="30"/>
        </w:rPr>
        <w:lastRenderedPageBreak/>
        <w:t>一、绪言</w:t>
      </w:r>
      <w:bookmarkEnd w:id="4"/>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主题优选灵活配置混合型证券投资基金招募说明书》（以下简称“本招募说明书”）依据《中华人民共和国证券投资基金法》、《证券投资基金运作管理办法》、《证券投资基金销售管理办法》、《公开募集证券投资基金信息披露管理办法》、《公开募集开放式证券投资基金流动性风险管理规定》（以下简称“《流动性规定》”）和其他相关法律法规的规定以及《交银施罗德主题优选灵活配置混合型证券投资基金基金合同》（以下简称“基金合同”）编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00FB" w:rsidRDefault="00A2121F">
      <w:pPr>
        <w:pStyle w:val="1"/>
        <w:snapToGrid w:val="0"/>
        <w:spacing w:beforeLines="0" w:before="240" w:after="240"/>
        <w:rPr>
          <w:rFonts w:ascii="宋体" w:hAnsi="宋体"/>
          <w:szCs w:val="30"/>
        </w:rPr>
      </w:pPr>
      <w:bookmarkStart w:id="5" w:name="_Toc137828538"/>
      <w:r>
        <w:rPr>
          <w:rFonts w:ascii="Times New Roman" w:hAnsi="Times New Roman"/>
          <w:sz w:val="30"/>
        </w:rPr>
        <w:lastRenderedPageBreak/>
        <w:t>二、释义</w:t>
      </w:r>
      <w:bookmarkEnd w:id="5"/>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tbl>
      <w:tblPr>
        <w:tblW w:w="5000" w:type="pct"/>
        <w:tblCellMar>
          <w:left w:w="0" w:type="dxa"/>
          <w:right w:w="0" w:type="dxa"/>
        </w:tblCellMar>
        <w:tblLook w:val="0000" w:firstRow="0" w:lastRow="0" w:firstColumn="0" w:lastColumn="0" w:noHBand="0" w:noVBand="0"/>
      </w:tblPr>
      <w:tblGrid>
        <w:gridCol w:w="4325"/>
        <w:gridCol w:w="4325"/>
      </w:tblGrid>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基金或本基金</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指交银施罗德主题优选灵活配置混合型证券投资基金</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基金管理人或本基金管理人</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基金托管人</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指中国建设银行股份有限公司</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指《交银施罗德主题优选灵活配置混合型证券投资基金基金合同》及对基金合同的任何有效修订和补充</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托管协议</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指基金管理人与基金托管人就本基金签订之《交银施罗德主题优选灵活配置混合型证券投资基金托管协议》及对该托管协议的任何有效修订和补充</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招募说明书或本招募说明书</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指《交银施罗德主题优选灵活配置混合型证券投资基金招募说明书》及其更新</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基金份额发售公告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指《交银施罗德主题优选灵活配置混合型证券投资基金份额发售公告》</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指《交银施罗德主题优选灵活配置混合型证券投资基金基金产品资料概要》及其更新</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法律法规</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指中国现行有效并公布实施的法律、行政法规、规范性文件、司法解释、行政规章以及其他对基金合同当事人有约束力的决定、决议、通知等</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《基金法》</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w:t>
            </w:r>
            <w:r>
              <w:rPr>
                <w:rFonts w:ascii="Times New Roman" w:hAnsi="Times New Roman"/>
                <w:color w:val="000000"/>
                <w:kern w:val="0"/>
                <w:sz w:val="25"/>
                <w:szCs w:val="24"/>
              </w:rPr>
              <w:t>2003</w:t>
            </w:r>
            <w:r>
              <w:rPr>
                <w:rFonts w:ascii="Times New Roman" w:hAnsi="Times New Roman"/>
                <w:color w:val="000000"/>
                <w:kern w:val="0"/>
                <w:sz w:val="25"/>
                <w:szCs w:val="24"/>
              </w:rPr>
              <w:t>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28</w:t>
            </w:r>
            <w:r>
              <w:rPr>
                <w:rFonts w:ascii="Times New Roman" w:hAnsi="Times New Roman"/>
                <w:color w:val="000000"/>
                <w:kern w:val="0"/>
                <w:sz w:val="25"/>
                <w:szCs w:val="24"/>
              </w:rPr>
              <w:t>日经第十届全国人民代表大会常务委员会第五次会议通过，自</w:t>
            </w:r>
            <w:r>
              <w:rPr>
                <w:rFonts w:ascii="Times New Roman" w:hAnsi="Times New Roman"/>
                <w:color w:val="000000"/>
                <w:kern w:val="0"/>
                <w:sz w:val="25"/>
                <w:szCs w:val="24"/>
              </w:rPr>
              <w:t>2004</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日起实施的《中华人民共和国证券投资基金法》及颁布机关对其不时做出的修订</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《销售办法》</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2011</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9</w:t>
            </w:r>
            <w:r>
              <w:rPr>
                <w:rFonts w:ascii="Times New Roman" w:hAnsi="Times New Roman"/>
                <w:color w:val="000000"/>
                <w:kern w:val="0"/>
                <w:sz w:val="25"/>
                <w:szCs w:val="24"/>
              </w:rPr>
              <w:t>日颁布、同年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日实施的《证券投资基金销售管理办法》及颁布机关对其不时做出的修订</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《信息披露办法》</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26</w:t>
            </w:r>
            <w:r>
              <w:rPr>
                <w:rFonts w:ascii="Times New Roman" w:hAnsi="Times New Roman"/>
                <w:color w:val="000000"/>
                <w:kern w:val="0"/>
                <w:sz w:val="25"/>
                <w:szCs w:val="24"/>
              </w:rPr>
              <w:t>日颁布、同年</w:t>
            </w:r>
            <w:r>
              <w:rPr>
                <w:rFonts w:ascii="Times New Roman" w:hAnsi="Times New Roman"/>
                <w:color w:val="000000"/>
                <w:kern w:val="0"/>
                <w:sz w:val="25"/>
                <w:szCs w:val="24"/>
              </w:rPr>
              <w:t>9</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日实施的《公开募集证券投资基金信息披露管理办法》及颁布机关对其不时做出的修订</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《运作办法》</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2004</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29</w:t>
            </w:r>
            <w:r>
              <w:rPr>
                <w:rFonts w:ascii="Times New Roman" w:hAnsi="Times New Roman"/>
                <w:color w:val="000000"/>
                <w:kern w:val="0"/>
                <w:sz w:val="25"/>
                <w:szCs w:val="24"/>
              </w:rPr>
              <w:t>日颁布、同年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日实施的《证券投资基金运作管理办法》及颁布机关对其不时做出的修订</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《流动性规定》</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2017</w:t>
            </w:r>
            <w:r>
              <w:rPr>
                <w:rFonts w:ascii="Times New Roman" w:hAnsi="Times New Roman"/>
                <w:color w:val="000000"/>
                <w:kern w:val="0"/>
                <w:sz w:val="25"/>
                <w:szCs w:val="24"/>
              </w:rPr>
              <w:t>年</w:t>
            </w:r>
            <w:r>
              <w:rPr>
                <w:rFonts w:ascii="Times New Roman" w:hAnsi="Times New Roman"/>
                <w:color w:val="000000"/>
                <w:kern w:val="0"/>
                <w:sz w:val="25"/>
                <w:szCs w:val="24"/>
              </w:rPr>
              <w:t>8</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日颁布、同年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日实施的《公开募集开放式证券投资基金流动性风险管理规定》及颁布机关对其不时做出的修订</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指中国证券监督管理委员会</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银行业监督管理机构</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指中国人民银行和</w:t>
            </w:r>
            <w:r>
              <w:rPr>
                <w:rFonts w:ascii="Times New Roman" w:hAnsi="Times New Roman"/>
                <w:color w:val="000000"/>
                <w:kern w:val="0"/>
                <w:sz w:val="25"/>
                <w:szCs w:val="24"/>
              </w:rPr>
              <w:t>/</w:t>
            </w:r>
            <w:r>
              <w:rPr>
                <w:rFonts w:ascii="Times New Roman" w:hAnsi="Times New Roman"/>
                <w:color w:val="000000"/>
                <w:kern w:val="0"/>
                <w:sz w:val="25"/>
                <w:szCs w:val="24"/>
              </w:rPr>
              <w:t>或中国银行业监督管理委员会</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基金合同当事人</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指受基金合同约束，根据基金合同享有权利并承担义务的法律主体，包括基金管理人、基金托管人和基金份额持有人</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个人投资者</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指依据有关法律法规规定或经中国证监会核准可投资于证券投资基金的自然人</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机构投资者</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指依法可以投资开放式证券投资基金的、在中华人民共和国境内合法注册登记并存续或经有关政府部门批准设立并存续的企业法人、事业法人、社会团体或其他组织</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合格境外机构投资者</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指符合现行有效的相关法律法规规定可以投资于中国境内证券市场的中国境外的机构投资者</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投资人</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指个人投资者、机构投资者和合格境外机构投资者以及法律法规或中国证监会允许购买证券投资基金的其他投资人的合称</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指依基金合同和招募说明书合法取得基金份额的投资人</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基金销售业务</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指基金管理人或代销机构宣传推介基金，发售基金份额，办理基金份额的申购、赎回、转换、转托管及定期定额投资等业务</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销售机构</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指直销机构和代销机构</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直销机构</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代销机构</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销售办法》和中国证监会规定的其他条件，取得基金代销业务资格并与基金管理人签订了基金销售服务代理协议，代为办理基金销售业务的机构，以及可通过上海证券交易所交易系统办理基金销售业务的会员单位</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会员单位</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指具有开放式基金代销资格，经上海证券交易所和中国证券登记结算有限责任公司认可的、可通过上海证券交易所交易系统办理开放式基金的认购、申购、赎回和转托管等业务的上海证券交易所会员单位</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基金销售网点</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指直销机构的直销中心及代销机构的代销网点</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注册登记业务</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登记、存管、过户、清算和结算业务，具体内容包括投资人基金账户的建立和管理、基金份额注册登记、基金销售业务的确认、清算和结算、代理发放红利、建立并保管基金份额持有人名册、办理非交易过户业务等</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注册登记机构</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指办理注册登记业务的机构。基金的注册登记机构为交银施罗德基金管理有限公司或接受交银施罗德基金管理有限公司委托代为办理注册登记业务的机构</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基金账户</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指注册登记机构为投资人开立的、记录其持有的基金管理人所管理的基金份额余额及其变动情况的账户</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基金交易账户</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指销售机构为投资人开立的、记录投资人通过该销售机构买卖本基金的基金份额变动及结余情况的账户</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基金合同生效日</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指基金募集达到法律法规规定及基金合同规定的条件，基金管理人向中国证监会办理基金备案手续完毕，并获得中国证监会书面确认的日期</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基金合同终止日</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指基金合同规定的基金合同终止事由出现后，基金财产清算完毕，清算结果报中国证监会备案并予以公告的日期</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基金募集期</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指自基金份额发售之日起至发售结束之日止的期间，最长不得超过</w:t>
            </w:r>
            <w:r>
              <w:rPr>
                <w:rFonts w:ascii="Times New Roman" w:hAnsi="Times New Roman"/>
                <w:color w:val="000000"/>
                <w:kern w:val="0"/>
                <w:sz w:val="25"/>
                <w:szCs w:val="24"/>
              </w:rPr>
              <w:t>3</w:t>
            </w:r>
            <w:r>
              <w:rPr>
                <w:rFonts w:ascii="Times New Roman" w:hAnsi="Times New Roman"/>
                <w:color w:val="000000"/>
                <w:kern w:val="0"/>
                <w:sz w:val="25"/>
                <w:szCs w:val="24"/>
              </w:rPr>
              <w:t>个月</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存续期</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指基金合同生效至终止之间的不定期期限</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日</w:t>
            </w:r>
            <w:r>
              <w:rPr>
                <w:rFonts w:ascii="Times New Roman" w:hAnsi="Times New Roman"/>
                <w:color w:val="000000"/>
                <w:kern w:val="0"/>
                <w:sz w:val="25"/>
                <w:szCs w:val="24"/>
              </w:rPr>
              <w:t>/</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指公历日</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月</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指公历月</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工作日</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指上海证券交易所、深圳证券交易所的正常交易日</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T</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指销售机构在规定时间受理投资人申购、赎回或其他业务申请的工作日</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T+n</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w:t>
            </w:r>
            <w:r>
              <w:rPr>
                <w:rFonts w:ascii="Times New Roman" w:hAnsi="Times New Roman"/>
                <w:color w:val="000000"/>
                <w:kern w:val="0"/>
                <w:sz w:val="25"/>
                <w:szCs w:val="24"/>
              </w:rPr>
              <w:t>T</w:t>
            </w:r>
            <w:r>
              <w:rPr>
                <w:rFonts w:ascii="Times New Roman" w:hAnsi="Times New Roman"/>
                <w:color w:val="000000"/>
                <w:kern w:val="0"/>
                <w:sz w:val="25"/>
                <w:szCs w:val="24"/>
              </w:rPr>
              <w:t>日起第</w:t>
            </w:r>
            <w:r>
              <w:rPr>
                <w:rFonts w:ascii="Times New Roman" w:hAnsi="Times New Roman"/>
                <w:color w:val="000000"/>
                <w:kern w:val="0"/>
                <w:sz w:val="25"/>
                <w:szCs w:val="24"/>
              </w:rPr>
              <w:t>n</w:t>
            </w:r>
            <w:r>
              <w:rPr>
                <w:rFonts w:ascii="Times New Roman" w:hAnsi="Times New Roman"/>
                <w:color w:val="000000"/>
                <w:kern w:val="0"/>
                <w:sz w:val="25"/>
                <w:szCs w:val="24"/>
              </w:rPr>
              <w:t>个工作日</w:t>
            </w:r>
            <w:r>
              <w:rPr>
                <w:rFonts w:ascii="Times New Roman" w:hAnsi="Times New Roman"/>
                <w:color w:val="000000"/>
                <w:kern w:val="0"/>
                <w:sz w:val="25"/>
                <w:szCs w:val="24"/>
              </w:rPr>
              <w:t>(</w:t>
            </w:r>
            <w:r>
              <w:rPr>
                <w:rFonts w:ascii="Times New Roman" w:hAnsi="Times New Roman"/>
                <w:color w:val="000000"/>
                <w:kern w:val="0"/>
                <w:sz w:val="25"/>
                <w:szCs w:val="24"/>
              </w:rPr>
              <w:t>不包含</w:t>
            </w:r>
            <w:r>
              <w:rPr>
                <w:rFonts w:ascii="Times New Roman" w:hAnsi="Times New Roman"/>
                <w:color w:val="000000"/>
                <w:kern w:val="0"/>
                <w:sz w:val="25"/>
                <w:szCs w:val="24"/>
              </w:rPr>
              <w:t>T</w:t>
            </w:r>
            <w:r>
              <w:rPr>
                <w:rFonts w:ascii="Times New Roman" w:hAnsi="Times New Roman"/>
                <w:color w:val="000000"/>
                <w:kern w:val="0"/>
                <w:sz w:val="25"/>
                <w:szCs w:val="24"/>
              </w:rPr>
              <w:t>日</w:t>
            </w:r>
            <w:r>
              <w:rPr>
                <w:rFonts w:ascii="Times New Roman" w:hAnsi="Times New Roman"/>
                <w:color w:val="000000"/>
                <w:kern w:val="0"/>
                <w:sz w:val="25"/>
                <w:szCs w:val="24"/>
              </w:rPr>
              <w:t>)</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开放日</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指为投资人办理基金份额申购、赎回或其他业务的工作日</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交易时间</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指开放日基金接受申购、赎回或其他交易的时间段</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《业务规则》</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开放式基金业务规则》，是规范基金管理人所管理的开放式证券投资基金注册登记方面的业务规则，由基金管理人和投资人共同遵守；此外，投资人通过场内认购、申购、赎回本基金还须遵守上海证券交易所及登记结算公司场内业务有关规则</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认购</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指在基金募集期内，投资人申请购买基金份额的行为</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指基金合同生效后，投资人根据基金合同和招募说明书的规定申请购买基金份额的行为</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指基金合同生效后，基金份额持有人按基金合同规定的条件要求将基金份额兑换为现金的行为</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场外</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指不通过上海证券交易所的交易系统办理基金份额认购、申购和赎回等业务的销售机构和场所</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场内</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指通过上海证券交易所的交易系统办理基金份额认购、申购和赎回等业务的销售机构和场所</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基金转换</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份额持有人按照基金合同和基金管理人届时有效公告规定的条件，申请将其持有基金管理人管理的、某一基金的基金份额转换为基金管理人管理的、且由同一注册登记机构办理注册登记的其他基金基金份额的行为</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转托管</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指基金份额持有人在本基金的不同销售机构之间实施的变更所持基金份额销售机构的操作</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定期定额投资计划</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指投资人通过向有关销售机构提交申请，约定每期申购日、扣款金额及扣款方式，由指定的销售机构在投资人指定资金账户内自动扣款并于每期约定的申购日提交基金申购申请的一种投资方式</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巨额赎回</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指本基金单个开放日，基金净赎回申请</w:t>
            </w:r>
            <w:r>
              <w:rPr>
                <w:rFonts w:ascii="Times New Roman" w:hAnsi="Times New Roman"/>
                <w:color w:val="000000"/>
                <w:kern w:val="0"/>
                <w:sz w:val="25"/>
                <w:szCs w:val="24"/>
              </w:rPr>
              <w:t>(</w:t>
            </w:r>
            <w:r>
              <w:rPr>
                <w:rFonts w:ascii="Times New Roman" w:hAnsi="Times New Roman"/>
                <w:color w:val="000000"/>
                <w:kern w:val="0"/>
                <w:sz w:val="25"/>
                <w:szCs w:val="24"/>
              </w:rPr>
              <w:t>赎回申请份额总数加上基金转换中转出申请份额总数后扣除申购申请份额总数及基金转换中转入申请份额总数后的余额</w:t>
            </w:r>
            <w:r>
              <w:rPr>
                <w:rFonts w:ascii="Times New Roman" w:hAnsi="Times New Roman"/>
                <w:color w:val="000000"/>
                <w:kern w:val="0"/>
                <w:sz w:val="25"/>
                <w:szCs w:val="24"/>
              </w:rPr>
              <w:t>)</w:t>
            </w:r>
            <w:r>
              <w:rPr>
                <w:rFonts w:ascii="Times New Roman" w:hAnsi="Times New Roman"/>
                <w:color w:val="000000"/>
                <w:kern w:val="0"/>
                <w:sz w:val="25"/>
                <w:szCs w:val="24"/>
              </w:rPr>
              <w:t>超过上一开放日基金总份额的</w:t>
            </w:r>
            <w:r>
              <w:rPr>
                <w:rFonts w:ascii="Times New Roman" w:hAnsi="Times New Roman"/>
                <w:color w:val="000000"/>
                <w:kern w:val="0"/>
                <w:sz w:val="25"/>
                <w:szCs w:val="24"/>
              </w:rPr>
              <w:t>10%</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元</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指人民币元</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基金利润</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指基金投资所得红利、股息、债券利息、买卖证券价差、银行存款利息、已实现的其他合法收入及因运用基金财产带来的成本和费用的节约</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基金资产总值</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指基金拥有的各类有价证券、银行存款本息、基金应收申购款及其他资产的价值总和</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基金资产净值</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指基金资产总值减去基金负债后的价值</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基金份额净值</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指计算日基金资产净值除以计算日基金份额总数</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基金资产估值</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指计算评估基金资产和负债的价值，以确定基金资产净值和基金份额净值的过程</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销售服务费</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指从基金财产中计提的，用于本基金市场推广、销售以及基金份额持有人服务的费用</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指对投资人收取申购费用且不从本类别基金资产中计提销售服务费的基金份额</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指在投资人申购时不收取申购费用，并从本类别基金资产中计提销售服务费的基金份额</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流动性受限资产</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指由于法律法规、监管、合同或操作障碍等原因无法以合理价格予以变现的资产，包括但不限于到期日在</w:t>
            </w:r>
            <w:r>
              <w:rPr>
                <w:rFonts w:ascii="Times New Roman" w:hAnsi="Times New Roman"/>
                <w:color w:val="000000"/>
                <w:kern w:val="0"/>
                <w:sz w:val="25"/>
                <w:szCs w:val="24"/>
              </w:rPr>
              <w:t>10</w:t>
            </w:r>
            <w:r>
              <w:rPr>
                <w:rFonts w:ascii="Times New Roman" w:hAnsi="Times New Roman"/>
                <w:color w:val="000000"/>
                <w:kern w:val="0"/>
                <w:sz w:val="25"/>
                <w:szCs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指定媒介</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指中国证监会指定的用以进行信息披露的全国性报刊及指定互联网网站（包括基金管理人网站、基金托管人网站、中国证监会基金电子披露网站）等媒介</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侧袋机制</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特定资产</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不可抗力</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当事人无法预见、无法抗拒、无法避免且在基金合同由基金管理人、基金托管人签署之日后发生的，使基金合同当事人无法全部或部分履行基金合同的任何事件，包括但不限于洪水、地震及其他自然灾害、战争、骚乱、火灾、政府征用、没收、恐怖袭击、传染病传播、法律法规变化、突发停电或其他突发事件、证券交易所非正常暂停或停止交易</w:t>
            </w:r>
          </w:p>
        </w:tc>
      </w:tr>
    </w:tbl>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00FB" w:rsidRDefault="00A2121F">
      <w:pPr>
        <w:pStyle w:val="1"/>
        <w:snapToGrid w:val="0"/>
        <w:spacing w:beforeLines="0" w:before="240" w:after="240"/>
        <w:rPr>
          <w:rFonts w:ascii="宋体" w:hAnsi="宋体"/>
          <w:szCs w:val="30"/>
        </w:rPr>
      </w:pPr>
      <w:bookmarkStart w:id="6" w:name="_Toc137828539"/>
      <w:r>
        <w:rPr>
          <w:rFonts w:ascii="Times New Roman" w:hAnsi="Times New Roman"/>
          <w:sz w:val="30"/>
        </w:rPr>
        <w:lastRenderedPageBreak/>
        <w:t>三、基金管理人</w:t>
      </w:r>
      <w:bookmarkEnd w:id="6"/>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童洁萍女士，董事，硕士。现任交通银行总行个人金融业务部副总经理。历任交通银行南京分行个人金融业务部副高级经理、江苏省分行个人金融业务部副总经理、总经理、玄武支行行长。</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 副总经理。历任交通银行总行国际业务部外汇资金处交易员、澳门分行资金部主管、总行</w:t>
      </w:r>
      <w:r>
        <w:rPr>
          <w:rFonts w:ascii="宋体" w:hAnsi="宋体"/>
          <w:sz w:val="24"/>
        </w:rPr>
        <w:lastRenderedPageBreak/>
        <w:t>金融市场部债券投资部副高级经理、外汇交易部高级经理。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博士，高级经济师。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林凯珊女士，监事，硕士。现任施罗德投资管理（香港）有限公司中国内地及</w:t>
      </w:r>
      <w:r>
        <w:rPr>
          <w:rFonts w:ascii="宋体" w:hAnsi="宋体"/>
          <w:sz w:val="24"/>
        </w:rPr>
        <w:lastRenderedPageBreak/>
        <w:t>中国香港法律部主管。历任香港证券及期货事务监察委员会发牌科经理、的近律师行律师。</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沈楠先生:基金经理。复旦大学经济学硕士，14年证券投资行业从业经验。2009年至2011年在长江证券担任高级分析师。2011年加入交银施罗德基金管理有限公司，曾任行业分析师、基金经理助理，现任权益部基金经理。现任交银施罗德主题优选灵活配置混合型证券投资基金(2015年05月05日至今)、交银施罗德国企改革灵活配置混合型证券投资基金(2015年06月10日至今)、交银施罗德瑞思混合型证券投资基金（LOF）(2020年02月21日至今)的基金经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史伟先生(2010年06月30日至2013年06月06日)；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李永兴先生(2012年03月20日至2015年05月31日)。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上述人员之间无近亲属关系，上述各项人员信息更新截止日为2023年05月27日，期后变动（如有）敬请关注基金管理人发布的相关公告。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9、召集基金份额持有人大会；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1、基金管理人承诺不从事违反《证券法》的行为，并承诺建立健全内部控制制度，采取有效措施，防止违反《证券法》行为的发生；</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w:t>
      </w:r>
      <w:r>
        <w:rPr>
          <w:rFonts w:ascii="宋体" w:hAnsi="宋体"/>
          <w:sz w:val="24"/>
        </w:rPr>
        <w:lastRenderedPageBreak/>
        <w:t>控制制度，采取有效措施，防止下列行为的发生：</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（5）依照法律法规有关规定，由中国证监会规定禁止的其他行为。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全面性原则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独立性原则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相互制约原则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定性和定量相结合原则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建立完备的风险管理指标体系，使风险管理更具客观性和操作性。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w:t>
      </w:r>
      <w:r>
        <w:rPr>
          <w:rFonts w:ascii="宋体" w:hAnsi="宋体"/>
          <w:sz w:val="24"/>
        </w:rPr>
        <w:lastRenderedPageBreak/>
        <w:t>助促进公司风险管理、控制和治理过程的完善，实现合规经营目标。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建立内控体系，完善内控制度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建立相互分离、相互制衡的内控机制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建立、健全岗位责任制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建立风险分类、识别、评估、报告、提示程序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建立有效的内部监控系统</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使用数量化的风险管理手段</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w:t>
      </w:r>
      <w:r>
        <w:rPr>
          <w:rFonts w:ascii="宋体" w:hAnsi="宋体"/>
          <w:sz w:val="24"/>
        </w:rPr>
        <w:lastRenderedPageBreak/>
        <w:t>控制和规避，尽可能地减少损失。</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提供足够的培训</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00FB" w:rsidRDefault="00A2121F">
      <w:pPr>
        <w:pStyle w:val="1"/>
        <w:snapToGrid w:val="0"/>
        <w:spacing w:beforeLines="0" w:before="240" w:after="240"/>
        <w:rPr>
          <w:rFonts w:ascii="宋体" w:hAnsi="宋体"/>
          <w:szCs w:val="30"/>
        </w:rPr>
      </w:pPr>
      <w:bookmarkStart w:id="7" w:name="_Toc137828540"/>
      <w:r>
        <w:rPr>
          <w:rFonts w:ascii="Times New Roman" w:hAnsi="Times New Roman"/>
          <w:sz w:val="30"/>
        </w:rPr>
        <w:lastRenderedPageBreak/>
        <w:t>四、基金托管人</w:t>
      </w:r>
      <w:bookmarkEnd w:id="7"/>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名称：中国建设银行股份有限公司(简称：中国建设银行)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办公地址：北京市西城区闹市口大街1号院1号楼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成立时间：2004年09月17日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注册资本：贰仟伍佰亿壹仟零玖拾柒万柒仟肆佰捌拾陆元整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基金托管资格批文及文号：中国证监会证监基字[1998]12号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联系人：王小飞</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联系电话：(021)6063 7103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建设银行总行设资产托管业务部，下设综合处、基金业务处、证券保险业务处、理财信托业务处、全球业务处、养老金业务处、新兴业务处、客户服务与业务协同处、运营管理处、跨境与外包管理处、托管应用系统支持处、内控合规处等12个职能处室，在北京、上海、合肥设有托管运营中心，共有员工300余人。自2007年起，托管部连续聘请外部会计师事务所对托管业务进行内部控制审计，并已经成为常规化的内控工作手段。</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3、基金托管业务经营情况</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2022年年末，中国建设银行已托管1270</w:t>
      </w:r>
      <w:r>
        <w:rPr>
          <w:rFonts w:ascii="宋体" w:hAnsi="宋体"/>
          <w:sz w:val="24"/>
        </w:rPr>
        <w:lastRenderedPageBreak/>
        <w:t>只证券投资基金。中国建设银行专业高效的托管服务能力和业务水平，赢得了业内的高度认同。中国建设银行多次被《全球托管人》、 《财资》、《环球金融》杂志及《中国基金报》评选为“最佳托管银行”、连续多年荣获中央国债登记结算有限责任公司（中债）“优秀资产托管机构”、银行间市场清算所股份有限公司（上清所）“优秀托管银行”奖项、并先后荣获《亚洲银行家》颁发的2017年度“最佳托管系统实施奖”、2019年度“中国年度托管业务科技实施奖”、2021年度“中国最佳数字化资产托管银行”、以及 2020及2022年度“中国年度托管银行（大型银行）”奖项。2022年度，荣获《环球金融》 “中国最佳次托管银行”，并作为唯一中资银行获得《财资》“中国最佳QFII托管银行”奖项。</w:t>
      </w:r>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（二）基金托管人的内部控制制度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2、内部控制组织结构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建设银行设有风险内控管理委员会，负责全行风险管理与内部控制工作，对托管业务风险管理和内部控制的有效性进行指导。资产托管业务部配备了专职内控合规人员负责托管业务的内控合规工作，具有独立行使内控合规工作职权和能力。</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3、内部控制制度及措施</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（三）基金托管人对基金管理人运作基金进行监督的方法和程序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1、监督方法</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2、监督流程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(2)收到基金管理人的划款指令后，对指令要素等内容进行核查。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(3)通过技术或非技术手段发现基金涉嫌违规交易，电话或书面要求基金管理人进行解释或举证，如有必要将及时报告中国证监会。</w:t>
      </w:r>
    </w:p>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00FB" w:rsidRDefault="00A2121F">
      <w:pPr>
        <w:pStyle w:val="1"/>
        <w:snapToGrid w:val="0"/>
        <w:spacing w:beforeLines="0" w:before="240" w:after="240"/>
        <w:rPr>
          <w:rFonts w:ascii="宋体" w:hAnsi="宋体"/>
          <w:szCs w:val="30"/>
        </w:rPr>
      </w:pPr>
      <w:bookmarkStart w:id="8" w:name="_Toc137828541"/>
      <w:r>
        <w:rPr>
          <w:rFonts w:ascii="Times New Roman" w:hAnsi="Times New Roman"/>
          <w:sz w:val="30"/>
        </w:rPr>
        <w:lastRenderedPageBreak/>
        <w:t>五、相关服务机构</w:t>
      </w:r>
      <w:bookmarkEnd w:id="8"/>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本基金直销机构为本公司直销柜台以及本公司的网上直销交易平台（网站及手机APP，下同）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个人投资者可以通过本公司网上直销交易平台办理开户、本基金的申购、赎回、转换及定期定额投资等业务，具体交易细则请参阅本公司网站。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（1）名称：中国建设银行股份有限公司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办公地址：北京市西城区金融大街25号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电话：（010）66275654</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传真：（010）66275654</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网址：www.ccb.com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（2）名称：中国工商银行股份有限公司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住所：北京市复兴门内大街55号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办公地址：北京市复兴门内大街55号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法定代表人：陈四清</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网址：www.icbc.com.cn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（3）名称：华夏银行股份有限公司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住所：北京市东城区建国门内大街22号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办公地址：北京市东城区建国门内大街22号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法定代表人：李民吉</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网址：www.hxb.com.cn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（4）名称：江苏银行股份有限公司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住所：南京市中华路26号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办公地址：南京市中华路26号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法定代表人：夏平</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电话：（025）58587018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传真：（025）58587038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联系人：田春慧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网址：www.jsbchina.cn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（5）名称：平安银行股份有限公司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（6）名称：北京银行股份有限公司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住所：北京市西城区金融大街甲17号首层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办公地址：北京市西城区金融大街甲17号首层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法定代表人：张东宁</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传真：（010）66226045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联系人：孔超</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网址：www.bankofbeijing.com.cn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（7）名称：宁波银行股份有限公司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（8）名称：中国光大银行股份有限公司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办公地址：北京市西城区太平桥大街25号、甲25号中国光大中心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电话：（010）63639681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传真：（010）63639709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联系人：刘昭宇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（9）名称：中国民生银行股份有限公司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传真：（010）57092611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 95568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（10）名称：广发银行股份有限公司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住所：广州市越秀区东风东路713号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法定代表人：杨明生</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客户服务电话：800-830-8003，400-830-8003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网址：www.gdb.com.cn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（11）名称：中国农业银行股份有限公司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（12）名称：中信银行股份有限公司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（13）名称：上海银行股份有限公司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住所：上海市银城中路168号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办公地址：上海市银城中路168号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法定代表人：金煜</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电话：（021）68475888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传真：（021）68476111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联系人：张萍</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客户服务电话：（021）962888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网址：www.bankofshanghai.com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（14）名称：招商银行股份有限公司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（15）名称：交通银行股份有限公司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（16）名称：杭州银行股份有限公司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住所：杭州市庆春路46号杭州银行大厦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办公地址：杭州市庆春路46号杭州银行大厦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法定代表人：陈震山</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电话：（0571）85108195、85120696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传真：（0571）86475527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联系人：严峻、夏帆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客户服务电话:96523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网址：www.hzbank.com.cn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（17）名称：东莞农村商业银行股份有限公司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客户服务电话：（0769）961122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（18）名称：江苏常熟农村商业银行股份有限公司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住所：江苏省常熟市新世纪大道58号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办公地址：江苏省常熟市新世纪大道58号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法定代表人：宋建明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联系电话：（0512）52909128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传真：（0512）52909122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联系人：黄晓</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客户服务电话：962000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网址：www.csrcbank.com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（19）名称：江苏江南农村商业银行股份有限公司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（20）名称：上海浦东发展银行股份有限公司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住所：上海市中山东一路12 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办公地址：上海市中山东一路12 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法定代表人：郑杨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电话：（021）61618888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传真：（021）61618888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联系人：朱瑛</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网址：www.spdb.com.cn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（21）名称：中国邮政储蓄银行股份有限公司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法定代表人：李国华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传真：（010）68858117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联系人：陈春林</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网址：www.psbc.com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（22）名称：东吴证券股份有限公司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住所：苏州工业园区星阳街5号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法定代表人：范力</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电话：0512-62938521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传真：0512-62938527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联系人：陆晓</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客户服务电话：95330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网址：www.dwjq.com.cn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（23）名称：南京银行股份有限公司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住所：南京市玄武区中山路288号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办公地址：南京市玄武区中山路288号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法定代表人：胡升荣</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电话：025-86776111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传真：025-86775054</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客户服务电话：95302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网址：www.njcb.com.cn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（24）名称：光大证券股份有限公司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（25）名称：中信证券股份有限公司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（26）名称：中国中金财富证券有限公司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（27）名称：东北证券股份有限公司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住所：长春市自由大路1138号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办公地址：长春市自由大路1138号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法定代表人：矫正中</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电话：（0431）85096709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客户服务电话：4006000686，（0431）85096733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网址：www.nesc.cn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（28）名称：中银国际证券有限责任公司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住所：上海市银城中路200号39层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办公地址：中国上海浦东银城中路200号中银大厦39-40层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法定代表人：许刚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客户服务电话：400-620-8888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网址：www.bocichina.com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（29）名称：华福证券有限责任公司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住所：福州市五四路157号新天地大厦7、8层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办公地址：福州市五四路新天地大厦7至10层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法定代表人：黄金琳</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电话：（0591）87383623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传真：（0591）87383610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客户服务电话：（0591）96326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网址：www.hfzq.com.cn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（30）名称：东兴证券股份有限公司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住所：北京市西城区金融大街5号新盛大厦B座12-15层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法定代表人：徐勇力</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电话：（010）66555316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传真：（010）66555246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联系人：汤漫川</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400-8888-993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网址：www.dxzq.net</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（31）名称：东方证券股份有限公司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住所：上海市中山南路318号2号楼22层-29层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法定代表人：王益民</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电话：（021）63325888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传真：（021）63326173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客户服务电话：95503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网址：www.dfzq.com.cn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（32）名称：方正证券股份有限公司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（33）名称：中国民族证券有限责任公司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住所：北京市西城区金融街5号新盛大厦A座6-9层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办公地址：北京市西城区金融街5号新盛大厦A座6-9层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法定代表人：赵大建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客户服务电话：400-889-5618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网址：www.e5618.com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（34）名称：德邦证券有限责任公司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（35）名称：安信证券股份有限公司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住所：深圳市福田区金田路4018号安联大厦35层、28层A02单元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办公地址：深圳市福田区金田路4018号安联大厦35层、28层A02单元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法定代表人：黄炎勋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电话：（0755）82558305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客户服务电话：400-800-1001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网址：www.essence.com.cn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（36）名称：国元证券股份有限公司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住所：中国安徽省合肥市梅山路18号安徽国际金融中心A座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办公地址：中国安徽省合肥市梅山路18号安徽国际金融中心A座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法定代表人：俞仕新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联系电话：0551-62207400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传真：0551-62207148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联系人：汪先哲</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网址：www.gyzq.com.cn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（37）名称：中航证券有限公司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住所：南昌市红谷滩新区红谷中大道1619号国际金融大厦41楼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办公地址：南昌市红谷滩新区红谷中大道1619号国际金融大厦41楼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法定代表人：杜航</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电话：（0791）86768681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传真：（0791）86770178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联系人：戴蕾</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客户服务电话：400-8866-567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网址：www.avicsec.com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（38）名称：中信建投证券股份有限公司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电话：（010）85130588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（39）名称：国信证券股份有限公司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法定代表人：何如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（40）名称：恒泰证券股份有限公司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住所：内蒙古呼和浩特市新城区新华东街111号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办公地址：内蒙古呼和浩特市新城区新华东街111号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法定代表人：庞介民</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电话：（0471）4979037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传真：（0471）4961259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联系人：王旭华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客户服务电话：（0471）4960762，（021）68405273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网址：www.cnht.com.cn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（41）名称：华泰证券股份有限公司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客户服务电话：95597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（42）名称：湘财证券股份有限公司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住所：湖南省长沙市黄兴中路63号中山国际大厦12楼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办公地址：湖南省长沙市天心区湘府中路198号标志商务中心11楼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法定代表人：林俊波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电话：（021）68634518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传真：（021）68865680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联系人：钟康莺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客户服务电话：400-888-1551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网址：www.xcsc.com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（43）名称：兴业证券股份有限公司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（44）名称：广发证券股份有限公司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（45）名称：海通证券股份有限公司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办公地址：上海市广东路689号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（46）名称：华龙证券股份有限公司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住所：兰州市城关区东岗西路638号财富中心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办公地址：兰州市城关区东岗西路638号财富中心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电话：（0931）4890208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传真：（0931）4890628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客户服务电话：4006898888、（0931）4890208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网址：www.hlzqgs.com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（47）名称：华宝证券股份有限公司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（48）名称：长城国瑞证券有限公司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住所：厦门市莲前西路2号莲富大厦17楼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办公地址：厦门市莲前西路2号莲富大厦17楼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电话：（0592）5161642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传真：（0592）5161640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客户服务电话：（0592）5163588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网址：www.xmzq.cn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（49）名称：爱建证券有限责任公司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住所：上海市南京西路758号24楼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办公地址：上海市浦东新区世纪大道1600号32楼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法定代表人：张建华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电话：（021）32229888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传真：（021）68728703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客户服务电话：（021）63340678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网址：www.ajzq.com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（50）名称：长江证券股份有限公司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住所：武汉市新华路特8号长江证券大厦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办公地址：武汉市新华路特8号长江证券大厦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法定代表人：胡运钊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电话：（027）65799999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传真：（027）85481900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联系人：李良</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客户服务电话：95579或4008-888-999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网址：www.95579.com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（51）名称：招商证券股份有限公司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网址：www.newone.com.cn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（52）名称：国泰君安证券股份有限公司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（53）名称：中国银河证券股份有限公司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（54）名称：申万宏源证券有限公司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（55）名称：国都证券股份有限公司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客户服务电话：400-818-8118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（56）名称：平安证券股份有限公司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（57）名称：中信证券（山东）有限责任公司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（58）名称：申万宏源西部证券有限公司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（59）名称：中泰证券股份有限公司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住所：山东省济南市市中区经七路86号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（60）名称：江海证券有限公司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住所：黑龙江省哈尔滨市香坊区赣水路56号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（61）名称：中国国际金融股份有限公司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（62）名称：瑞银证券有限责任公司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住所：北京市西城区金融大街7号英蓝国际金融中心12层、15层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办公地址：北京市西城区金融大街7号英蓝国际金融中心12层、15层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法定代表人：程宜荪</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电话：（010）58328112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传真：（010）58328740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联系人：牟冲</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客户服务电话：400-887-8827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网址：www.ubssecurities.com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（63）名称：长城证券有限责任公司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电话：（0755）83516289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传真：（0755）83516199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（64）名称：国金证券股份有限公司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（65）名称：渤海证券股份有限公司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住所：天津经济技术开发区第二大街42号写字楼101室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办公地址：天津市南开区宾水西道8号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法定代表人：安志勇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电话：（022）28451991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传真：（022）28451892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956066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网址：www.ewww.com.cn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（66）名称：信达证券股份有限公司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住所：北京市西城区闹市口大街9号院1号楼信达金融中心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（67）名称：西南证券股份有限公司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住所：重庆市江北区桥北苑8号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办公地址：重庆市江北区桥北苑8号西南证券大厦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电话：（023）63786141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传真：（023）63786212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联系人：张煜</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客户服务电话：95355、400-809-6096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网址：www.swsc.com.cn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（68）名称：国新证券股份有限公司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网址：www.crsec.com.cn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（69）名称：中原证券股份有限公司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住所：郑州市郑东新区商务外环路10号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办公地址：郑州市郑东新区商务外环路10号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法定代表人：菅明军</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联系人：程月艳 李盼盼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电话：0371-69099881/2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客户服务电话：95377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网址：https://www.ccnew.com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（70）名称：联讯证券股份有限公司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惠州市江北东江三路55号广播电视新闻中心西面一层大堂和三、四层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办公地址：惠州市江北东江三路55号广播电视新闻中心西面一层大堂和三、四层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电话：（021）33606736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传真：（021）33606760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联系人：陈思</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客户服务电话：95564</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网址：www.lxzq.com.cn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（71）名称：华西证券股份有限公司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（72）名称：大同证券有限责任公司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注册地址：山西省大同市城区迎宾街15号桐城中央21层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办公地址：太原市长治路 111 号山西世贸中心 A 座 F12、F13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邮政编码：030600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法定代表人：董祥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 话：（0351）4130322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 真：（0351）7219891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客服电话：4007121212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网址：www.dtsbc.com.cn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（73）名称：东莞证券股份有限公司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住所：广东省东莞市莞城区可园南路一号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办公地址：广东省东莞市莞城区可园南路一号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电话：（0769）22115712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传真：（0769）22115712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联系人：李荣</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网址：www.dgzq.com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（74）名称：第一创业证券股份有限公司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（75）名称：财通证券股份有限公司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注册地址：杭州市杭大路15号嘉华国际商务中心201、501、502、1103、1601-1615、1701-1716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办公地址：杭州市杭大路15号嘉华国际商务中心201、501、502、1103、1601-1615、1701-1716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沈继宁</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电话：0571-87789160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陶志华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客户服务电话：95336,40086-96336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网址：www.ctsec.com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（76）名称：东方财富证券股份有限公司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住所：西藏自治区拉萨市柳梧新区国际总部城10栋楼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（77）名称：中信证券华南股份有限公司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（78）名称：中邮证券有限责任公司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注册地址：陕西省西安市唐延路5号（陕西邮政信息大厦9-11层）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办公地址：北京市东城区珠市口东大街17号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法定代表人：郭成林</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电话：010-67017788-8914</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传真：010-67017788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联系人：史蕾</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客户服务电话：4008-888-005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网址：www.cnpsec.com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（79）名称：开源证券股份有限公司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注册地址：陕西省西安市高新区锦业路一号都市之门B座5层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办公地址：陕西省西安市高新区锦业路一号都市之门B座5层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电话：13709210036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联系人：赵东会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网址：www.kysec.cn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（80）名称：天相投资顾问有限公司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（81）名称：北京钱景财富投资管理有限公司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（82）名称：上海大智慧基金销售有限公司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网址：https://www.wg.com.cn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（83）名称：上海利得基金销售有限公司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（84）名称：上海凯石财富基金销售有限公司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（85）名称：北京虹点基金销售有限公司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（86）名称：诺亚正行(上海)基金销售投资顾问有限公司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办公地址：上海杨浦区秦皇岛路32号C栋 2楼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（87）名称：上海好买基金销售有限公司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（88）名称：上海长量基金销售投资顾问有限公司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（89）名称：深圳众禄基金销售有限公司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联系人：汤素娅</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（90）名称：蚂蚁（杭州）基金销售有限公司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（91）名称：深圳市新兰德证券投资咨询有限公司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（92）名称：北京展恒基金销售股份有限公司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（93）名称：一路财富（北京）信息科技有限公司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办公地址：北京西城区阜成门大街2号万通新世界广场A座22层2208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（94）名称：和讯信息科技有限公司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（95）名称：上海天天基金销售有限公司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（96）名称：上海联泰基金销售有限公司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传真：021-52975270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（97）名称：珠海盈米财富管理有限公司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（98）名称：上海基煜基金销售有限公司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（99）名称：宜信普泽投资顾问（北京）有限公司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客户服务电话：400-6099-200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（100）名称：浙江同花顺基金销售有限公司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（101）名称：中信期货有限公司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（102）名称：上海陆金所资产管理有限公司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网址：www.lufunds.com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（103）名称：北京中植基金销售有限公司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（104）名称：北京汇成基金销售有限公司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（105）名称：奕丰基金销售有限公司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（106）名称：北京创金启富基金销售有限公司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 北京市西城区民丰胡同31号中水大厦215A</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（107）名称：上海云湾投资管理有限公司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（108）名称：中证金牛（北京）投资咨询有限公司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（109）名称：北京新浪仓石基金销售有限公司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w:t>
      </w:r>
      <w:r>
        <w:rPr>
          <w:rFonts w:ascii="宋体" w:hAnsi="宋体"/>
          <w:sz w:val="24"/>
        </w:rPr>
        <w:lastRenderedPageBreak/>
        <w:t>浪总部科研楼5层518室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（110）名称：北京肯特瑞基金销售有限公司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（111）名称：北京唐鼎耀华投资咨询有限公司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（112）名称：北京雪球基金销售有限公司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电话：（010）61840688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（113）名称：凤凰金信（银川）投资管理有限公司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住所：宁夏回族自治区银川市金凤区阅海湾中央商务区万寿路142号14层1402(750000)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办公地址：北京市朝阳区紫月路18号院朝来高科技产业园18号楼 (100000)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（114）名称：深圳市金斧子基金销售有限公司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（115）名称：格上富信投资顾问有限公司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联系人：张林</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（116）名称：上海万得基金销售有限公司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（117）名称：天津万家财富资产管理有限公司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（118）名称：上海挖财金融信息服务有限公司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（119）名称：嘉实财富管理有限公司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（120）名称：南京苏宁基金销售有限公司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（121）名称：北京度小满基金销售有限公司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（122）名称：腾安基金销售（深圳）有限公司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办公地址：深圳市南山区海天二路33号腾讯滨海大厦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（123）名称：上海华夏财富投资管理有限公司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（124）名称：江苏汇林保大基金销售有限公司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（125）名称：玄元保险代理有限公司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客户服务电话：400-080-8208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（126）名称：阳光人寿保险股份有限公司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（127）名称：大连网金基金销售有限公司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（128）名称：中国人寿保险股份有限公司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（129）名称：和耕传承基金销售有限公司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法定代表人：温丽燕</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（130）名称：北京植信基金销售有限公司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办公地址：北京市朝阳区惠河南路盛世龙源10号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（131）名称：上海钜派钰茂基金销售有限公司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办公地址：上海市闵行区闵虹路166弄中庚环球创意中心T2栋9层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（132）名称：济安财富（北京）基金销售有限公司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客户服务电话：400-673-7010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基金管理人可根据有关法律法规的要求，选择其它符合要求的机构代理销售本基金，并在管理人网站公示。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联系人：黎明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经办律师：吕红、黎明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注册地址：中国(上海)自由贸易试验区陆家嘴环路1318号星展银行大厦507单元01室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经办注册会计师：沈兆杰、金诗涛</w:t>
      </w:r>
    </w:p>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00FB" w:rsidRDefault="00A2121F">
      <w:pPr>
        <w:pStyle w:val="1"/>
        <w:snapToGrid w:val="0"/>
        <w:spacing w:beforeLines="0" w:before="240" w:after="240"/>
        <w:rPr>
          <w:rFonts w:ascii="宋体" w:hAnsi="宋体"/>
          <w:szCs w:val="30"/>
        </w:rPr>
      </w:pPr>
      <w:bookmarkStart w:id="9" w:name="_Toc137828542"/>
      <w:r>
        <w:rPr>
          <w:rFonts w:ascii="Times New Roman" w:hAnsi="Times New Roman"/>
          <w:sz w:val="30"/>
        </w:rPr>
        <w:lastRenderedPageBreak/>
        <w:t>六、基金的募集</w:t>
      </w:r>
      <w:bookmarkEnd w:id="9"/>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本基金由基金管理人依照《基金法》、《运作办法》、基金合同及其他有关规定，并经中国证监会证监许可[2010]624号文核准募集发售。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本基金为契约型开放式混合型基金。基金存续期间为不定期。</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本基金募集期间基金份额净值为人民币1.00元，按面值发售。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本基金自2010年5月24日至2010年6月24日进行发售。本基金设立募集期共募集3,235,642,950.36份基金份额，有效认购户数为47,822户。</w:t>
      </w:r>
    </w:p>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00FB" w:rsidRDefault="00A2121F">
      <w:pPr>
        <w:pStyle w:val="1"/>
        <w:snapToGrid w:val="0"/>
        <w:spacing w:beforeLines="0" w:before="240" w:after="240"/>
        <w:rPr>
          <w:rFonts w:ascii="宋体" w:hAnsi="宋体"/>
          <w:szCs w:val="30"/>
        </w:rPr>
      </w:pPr>
      <w:bookmarkStart w:id="10" w:name="_Toc137828543"/>
      <w:r>
        <w:rPr>
          <w:rFonts w:ascii="Times New Roman" w:hAnsi="Times New Roman"/>
          <w:sz w:val="30"/>
        </w:rPr>
        <w:lastRenderedPageBreak/>
        <w:t>七、基金合同的生效</w:t>
      </w:r>
      <w:bookmarkEnd w:id="10"/>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根据有关规定，本基金满足基金合同生效条件，基金合同已于2010年6月30日正式生效。自基金合同生效之日起，本基金管理人正式开始管理本基金。</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的存续期内，基金份额持有人数量不满200人或者基金资产净值低于5000万元，基金管理人应当及时报告中国证监会；基金份额持有人数量连续20个工作日达不到200人，或连续20个工作日基金资产净值低于5000万元，基金管理人应当及时向中国证监会报告，说明出现上述情况的原因并提出解决方案。法律法规另有规定的，按其规定办理。</w:t>
      </w:r>
    </w:p>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00FB" w:rsidRDefault="00A2121F">
      <w:pPr>
        <w:pStyle w:val="1"/>
        <w:snapToGrid w:val="0"/>
        <w:spacing w:beforeLines="0" w:before="240" w:after="240"/>
        <w:rPr>
          <w:rFonts w:ascii="宋体" w:hAnsi="宋体"/>
          <w:szCs w:val="30"/>
        </w:rPr>
      </w:pPr>
      <w:bookmarkStart w:id="11" w:name="_Toc137828544"/>
      <w:r>
        <w:rPr>
          <w:rFonts w:ascii="Times New Roman" w:hAnsi="Times New Roman"/>
          <w:sz w:val="30"/>
        </w:rPr>
        <w:lastRenderedPageBreak/>
        <w:t>八、基金份额的申购与赎回</w:t>
      </w:r>
      <w:bookmarkEnd w:id="11"/>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投资者可通过场外和场内两种方式申购与赎回A类基金份额；C类基金份额不开设场内申购、赎回的方式，投资者只能通过场外方式申购与赎回C类基金份额。</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本基金直销机构为本公司以及本公司的网上直销交易平台。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客户服务热线：400-700-5000（免长途话费），（021）61055000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个人投资者可以通过本公司网上直销交易平台办理开户、本基金A类基金份额和C类基金份额的申购、赎回、转换、定期定额投资等业务，具体交易细则请参阅本公司网站。网上直销交易平台网址：www.fund001.com。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2、场外代销机构的代销网点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本基金的场外代销机构的代销网点请见本招募说明书“五、相关服务机构”章节或拨打本公司客户服务电话进行咨询。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3、通过上海证券交易所交易系统办理相关业务的上海证券交易所会员单位，目前场内交易只支持前端A类收费基金申购。具体名单详见上海证券交易所网站。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投资人可通过上述场所按照规定的方式进行申购或赎回。本基金管理人可根据情况变更或增减基金代销机构，并在管理人网站公示。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若基金管理人或其指定的代销机构开通电话、传真或网上等交易方式，投资人可以通过上述方式进行申购与赎回。</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1、开放日及开放时间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的，若该申请被成功确认，则其基金份额申购、赎回、转换价格为下次办理基金份额申购、赎回、转换业务时间所在开放日的价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2、申购的开始日及业务办理时间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本基金A类基金份额已于2010年7月15日起开放场内、场外申购业务。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本基金C类基金份额已于2021年11月26日起开放场外申购业务。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3、赎回的开始日及业务办理时间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本基金A类基金份额已于2010年7月15日起开放场内、场外赎回业务。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本基金C类基金份额已于2021年11月26日起开放场外赎回业务。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（三）申购和赎回的原则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3、投资人申购基金份额时，必须全额交付申购款项，投资人交付款项后，申购申请方为有效；</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4、赎回遵循“先进先出”原则，即按照投资人认购、申购和红利再投的的先后次序进行顺序赎回；</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5、当日的申购与赎回申请可以在基金管理人规定的时间以内撤销。</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基金管理人可根据基金运作的实际情况依法对上述原则进行调整。基金管理人必须在新规则开始实施前依照《信息披露办法》的有关规定在指定媒介上公告。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场外申购时，代销网点每个账户单笔申购的最低金额为单笔1元，如果代销机构业务规则规定的最低单笔申购金额高于1元，以代销机构的规定为准。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中心每个账户首次申购的最低金额为单笔100万元，追加申购的最低金额为单笔10万元；已在直销中心有认购或申购过本基金管理人管理的任一基金（包括本基金）记录的投资人不受首次申购最低金额的限制。通过本公司网上直销交易平台办理基金申购业务的不受直销中心单笔申购最低金额的限制，申购最低金额为单笔1 元。本基金直销中心单笔申购最低金额可由基金管理人酌情调整。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场内申购时，每笔申购金额最低为1000元人民币，同时每笔申购必须是100元的整数倍，并且单笔申购最高不超过99,999,900元。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场外赎回时，赎回的最低份额为1份基金份额，如果销售机构业务规则规定的最低单笔赎回份额高于1份，以该销售机构的规定为准；场内赎回时，赎回的最低份额为50 份基金份额，同时赎回份额必须是整数份额，并且单笔赎回最多不超过99,999,999份基金份额。</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每个工作日投资人在单个交易账户保留的本基金份额余额少于1份时，若当日该账户同时有份额减少类业务（如赎回、转换出等）被确认，则基金管理人有权将投资人在该账户保留的本基金份额一次性全部赎回。</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投资人必须根据基金销售机构规定的程序，在开放日的业务办理时间向基金销售机构提出申购或赎回的申请。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投资人在申购本基金时须按销售机构规定的方式备足申购资金，否则所提交的</w:t>
      </w:r>
      <w:r>
        <w:rPr>
          <w:rFonts w:ascii="宋体" w:hAnsi="宋体"/>
          <w:sz w:val="24"/>
        </w:rPr>
        <w:lastRenderedPageBreak/>
        <w:t>申购申请无效而不予成交。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投资人在提交赎回申请时，必须持有足够的基金份额余额，否则所提交的赎回申请无效而不予成交。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2、申购和赎回申请的确认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注册登记机构应以交易时间结束前受理申购和赎回申请的当天作为申购或赎回申请日(T日)，正常情况下，本基金注册登记机构在T+1日内对该交易的有效性进行确认。T日提交的有效申请，投资人应在T+2日后（包括该日）及时到销售网点柜台或以销售机构规定的其他方式查询申请的确认情况，否则如因申请未得到注册登记机构的确认而产生的后果，由投资人自行承担。</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基金销售机构对申购申请的受理并不代表申请一定成功，而仅代表销售机构确实接收到申请。申购的确认以注册登记机构或基金管理人的确认结果为准。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3、申购和赎回的款项支付</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申购采用全额缴款方式，若申购资金在规定时间内未全额到账，则申购不成功，若申购不成功或无效，基金管理人或基金管理人指定的代销机构将投资人已缴付的申购款项本金退还给投资人。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赎回申请成功后，基金管理人将指示基金托管人在T＋7日（包括该日）内从托管账户将赎回款项划出，经销售机构划往基金份额持有人银行账户。在发生巨额赎回时，款项的支付办法参照基金合同的有关条款处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4、申购和赎回基金份额的份额注册登记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投资人申购基金成功后，注册登记机构在T+1日为投资人登记权益并办理份额注册登记手续，投资人自T+2日（含该日）后有权赎回该部分基金份额。</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投资人赎回基金成功后，注册登记机构在T+1日为投资人办理扣除权益的份额注册登记手续。</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基金管理人可以在法律法规允许的范围内，对上述份额注册登记办理时间进行调整，但不得影响投资人实质的合法权益，并依照《信息披露办法》的有关规定于开始实施前在指定媒介上公告。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本基金基金份额分为A类基金份额和C类基金份额。投资人申购A类基金份额需支付申购费用；申购C类基金份额不支付申购费用，并从该类别基金资产中计提销</w:t>
      </w:r>
      <w:r>
        <w:rPr>
          <w:rFonts w:ascii="宋体" w:hAnsi="宋体"/>
          <w:sz w:val="24"/>
        </w:rPr>
        <w:lastRenderedPageBreak/>
        <w:t>售服务费。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提供两种申购费用的支付模式。投资人可以选择前端收费模式，即在申购时支付申购费用；也可以选择后端收费模式，即在赎回时才支付相应的申购费用，该费用随A类基金份额的持有时间递减。场外申购可以采取前端收费模式和后端收费模式，场内申购目前只支持前端收费模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本基金A类基金份额的申购费用由申购A类基金份额的申购人承担，不列入基金财产，主要用于本基金的市场推广、销售、注册登记等各项费用。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投资人可以多次申购本基金，申购费率按每笔申购申请单独计算。</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AC00FB">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类基金份额的申购费率（前端）</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类基金份额前端申购费率</w:t>
            </w:r>
          </w:p>
        </w:tc>
      </w:tr>
      <w:tr w:rsidR="00AC00F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00FB" w:rsidRDefault="00AC00F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AC00F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00FB" w:rsidRDefault="00AC00F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AC00F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00FB" w:rsidRDefault="00AC00F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AC00F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00FB" w:rsidRDefault="00AC00F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AC00F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00FB" w:rsidRDefault="00AC00F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r w:rsidR="00AC00FB">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类基金份额的申购费率（后端）</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类基金份额后端申购费率</w:t>
            </w:r>
          </w:p>
        </w:tc>
      </w:tr>
      <w:tr w:rsidR="00AC00F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00FB" w:rsidRDefault="00AC00F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年以内（含）</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p>
        </w:tc>
      </w:tr>
      <w:tr w:rsidR="00AC00F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00FB" w:rsidRDefault="00AC00F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AC00F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00FB" w:rsidRDefault="00AC00F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AC00F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00FB" w:rsidRDefault="00AC00F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本基金自2013年4月11日起，对通过本公司直销柜台申购本基金前端A类基金份额的养老金客户实施特定申购费率。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通过本公司直销柜台申购本基金前端A类基金份额的养老金客户特定申购费率如下表：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AC00FB">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类基金份额的特定申购费率（前端）</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类基金份额前端特定申购费率</w:t>
            </w:r>
          </w:p>
        </w:tc>
      </w:tr>
      <w:tr w:rsidR="00AC00F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00FB" w:rsidRDefault="00AC00F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0.60%</w:t>
            </w:r>
          </w:p>
        </w:tc>
      </w:tr>
      <w:tr w:rsidR="00AC00F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00FB" w:rsidRDefault="00AC00F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0.48%</w:t>
            </w:r>
          </w:p>
        </w:tc>
      </w:tr>
      <w:tr w:rsidR="00AC00F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00FB" w:rsidRDefault="00AC00F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AC00F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00FB" w:rsidRDefault="00AC00F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0.20%</w:t>
            </w:r>
          </w:p>
        </w:tc>
      </w:tr>
      <w:tr w:rsidR="00AC00F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00FB" w:rsidRDefault="00AC00F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有关养老金客户实施特定申购费率的具体规定以及活动时间如有变化，敬请投资人留意本公司发布的相关公告。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投资者通过直销机构交易享有如下费率优惠，有关费率优惠活动的具体费率折扣及活动起止时间如有变化，敬请投资者留意本基金管理人的有关公告，届时费率优惠相关事项以最新公告为准：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通过本基金管理人直销柜台办理本基金基金份额前端A类基金份额申购业务的投资者，享受前端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本基金基金份额前端A类基金份额申购及定期定额投资业务的个人投资者享受前端申购费率及定期定额投资费率优惠，赎回费率标准不变。具体优惠费率请参见本基金管理人网站列示的网上直销交易平台申购费率表、定期定额投资费率表或相关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（1）本基金A类基金份额的赎回费率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用由赎回A类基金份额的基金份额持有人承担，在基金份额持有人赎回A类基金份额时收取，赎回费用的25%归基金财产，其余用于支付注册登记费和其他必要的手续费。其中，对持续持有期少于7日的基金份额持有人收取不低于1.5%的赎回费并全额计入基金财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AC00FB">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类基金份额赎回费率</w:t>
            </w:r>
          </w:p>
        </w:tc>
      </w:tr>
      <w:tr w:rsidR="00AC00F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00FB" w:rsidRDefault="00AC00F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AC00F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00FB" w:rsidRDefault="00AC00F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AC00F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00FB" w:rsidRDefault="00AC00F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rsidR="00AC00F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00FB" w:rsidRDefault="00AC00F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AC00FB">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类基金份额赎回费率</w:t>
            </w:r>
          </w:p>
        </w:tc>
      </w:tr>
      <w:tr w:rsidR="00AC00F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00FB" w:rsidRDefault="00AC00F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AC00F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00FB" w:rsidRDefault="00AC00F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AC00FB">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AC00FB" w:rsidRDefault="00AC00FB">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日以上（含）</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本基金C类基金份额的赎回费用由赎回C类基金份额的基金份额持有人承担，在基金份额持有人赎回C类基金份额时收取，对C类基金份额持有人收取的赎回费全额计入基金财产。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根据法律法规及基金合同的规定调整申购费率、降低赎回费率或调整收费方式，最新的申购费率和赎回费率以及收费方式在更新的招募说明书中列示。费率或收费方式如发生变更，基金管理人最迟应于新的费率或收费方式开始实施日前依照《信息披露办法》的有关规定在指定媒介上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4、对特定交易方式（如网上交易、电话交易等），在不违背法律法规规定的情况下，基金管理人可以采用低于柜台交易方式的基金申购费率和基金赎回费率。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以在不违背法律法规规定及基金合同约定的情况下根据市场情况制定基金促销计划，针对基金投资人定期和不定期地开展基金促销活动。在基金促销活动期间，基金管理人按中国证监会要求履行必要手续后，可适当调低基金申购费率、赎回费率和转换费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份额余额的处理方式：场外申购时，申购A类基金份额或C类基金份额的有效份额为按实际确认的申购金额在扣除相应的费用后，以申请当日该类基金份额的基金份额净值为基准计算，四舍五入保留到小数点后两位，由此误差产生的收益或损失由基金财产承担；场内申购时，申购A类基金份额的有效份额为按实际确认的申购金额在扣除相应的费用（如有）后，以申请当日A类基金份额的基金份额净值为基准计算，保留到整数位，剩余部分按每份基金份额申购价格折回金额返回投资人，折回金额的计算保留到小数点后2位，小数点2位以后的部分四舍五入，</w:t>
      </w:r>
      <w:r>
        <w:rPr>
          <w:rFonts w:ascii="宋体" w:hAnsi="宋体"/>
          <w:sz w:val="24"/>
        </w:rPr>
        <w:lastRenderedPageBreak/>
        <w:t>由此误差产生的收益或损失由基金财产承担。</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的处理方式：赎回金额为按实际确认的A类基金份额或C类基金份额有效赎回份额乘以申请当日该类基金份额的基金份额净值并扣除相应的费用（如有），四舍五入保留到小数点后两位，由此误差产生的收益或损失由基金财产承担。</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A类基金份额的场外申购可以采取前端收费模式和后端收费模式，场内申购目前只支持前端收费模式。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T日A类基金份额净值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场内申购金额的有效份额保留到整数位，剩余部分对应申购资金返回投资人。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对应返还申购金额=净申购金额-取整数位后确认的申购份额×T日A类基金份额净值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例一：某投资人投资40,000元申购本基金的A类基金份额，假设申购当日A类基金份额净值为1.0400元，如果其选择前端收费方式，申购费率为1.5%，则其可得到的申购份额为：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净申购金额=40,000/（1+1.5%）=39,408.87元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申购费用=40,000-39,408.87=591.13元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申购份额=（40,000-591.13）/1.0400=37,893.14份</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如果投资人是场内申购，申购份额为37,893份，则：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对应返还申购金额=39,408.87-37,893×1.040=0.15元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即其余0.14份对应金额0.15元返回给投资人。如果投资人是场外申购，申购份额为37,893.14份。</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申购份额＝申购总金额/T日A类基金份额净值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当投资人提出赎回时，后端认购费用的计算方法为：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后端申购费用＝赎回份额×申购日A类基金份额净值×后端申购费率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例二：某投资人投资40,000元申购本基金A类基金份额，假设申购当日A类基金份额净值为1.0400元，如果其选择后端收费方式，则其可得到的申购份额为：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 ＝ 40,000 / 1.0400 ＝ 38,461.54份</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投资40,000元申购本基金的A类基金份额，假设申购当日A类基金份额净值为1.0400元，则可得到38,461.54份A类基金份额，但其在赎回时需根据其持有时间按对应的A类基金份额后端申购费率交纳后端申购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例三：某投资者投资100,000元申购本基金的C类基金份额，假设申购当日C类基金份额净值为1.0400元，则其可得到的申购份额为：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赎回金额为按实际确认的A类基金份额或C类基金份额有效赎回份额乘以当日该类基金份额的基金份额净值并扣除相应的费用（如有），赎回金额单位为元，计算结果保留到小数点后两位，第三位四舍五入。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1）如果投资人在认（申）购时选择交纳前端认（申）购费用，则赎回金额的计算方法如下：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例四：某投资人赎回通过前端认购（申购）持有的10,000份A类基金份额，持有期限为30日，对应的赎回费率为0.5%，假设赎回当日A类基金份额净值是1.0160元，则其可得到的赎回金额为：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赎回费用 = 10,000×1.0160×0.5% ＝ 50.80元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10,000×1.0160-50.80 ＝ 10,109.20元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即：投资人赎回本基金10,000份A类基金份额，假设赎回当日A类基金份额净值是1.0160元，则其可得到的赎回金额为10,109.20元。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2）如果投资人在认（申）购时选择交纳后端认（申）购费用，则赎回金额的计算方法如下：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赎回总额＝赎回份额×T日A类基金份额净值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后端认（申）购费用＝赎回份额×认（申）购日A类基金份额净值×后端认（申）购费率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赎回费用＝赎回总额×赎回费率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赎回金额＝赎回总额－后端认（申）购费用－赎回费用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例五：某投资人赎回通过后端认购持有的10,000份A类基金份额，持有期限为30日，对应的后端认购费率为1.6%，赎回费率为0.5%，假设赎回当日A类基金份额净值是1.0160元，则其可得到的赎回金额为：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后端认购费用 = 10,000×1.0000×1.6% = 160.00元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10,000×1.0160×0.5% ＝ 50.80元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10,000×1.0160-160.00-50.80 ＝ 9,949.20元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赎回通过后端认购所得本基金10,000份A类基金份额，对应的赎回费率为0.5%，假设赎回当日A类基金份额净值是1.0160元，投资人对应的后端认购费率是1.6%，认购时的A类基金份额初始面值为1.0000元，则其可得到的赎回金额为9,949.20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人赎回通过后端申购持有的10,000份A类基金份额，持有期限为30日，对应的后端申购费率是1.8%，赎回费率为0.5%，假设赎回当日A类基金份额净值是1.0160元，申购时的A类基金份额净值为1.0100元，则其可得到的赎回金额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赎回总额=10,000×1.0160=10,160元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后端申购费用=10,000×1.0100×1.8%=181.80元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赎回费用=10,16×0.5%=50.80元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赎回金额=10,160-181.80-50.80=9,927.40元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即：投资人赎回本基金10,000份A类基金份额，对应的赎回费率为0.5%，假设</w:t>
      </w:r>
      <w:r>
        <w:rPr>
          <w:rFonts w:ascii="宋体" w:hAnsi="宋体"/>
          <w:sz w:val="24"/>
        </w:rPr>
        <w:lastRenderedPageBreak/>
        <w:t>赎回当日A类基金份额净值是1.0160元，投资人对应的后端申购费率是1.8%，申购时的A类基金份额净值为1.0100元，则其可得到的赎回金额为9,927.40元。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例七：某投资者赎回10,000份C类基金份额，持有期限为20日，对应的赎回费率为0.5%，假设赎回当日C类基金份额净值是1.0160元，则其可得到的赎回金额为：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赎回费用=10,000×1.0160×0.5%＝50.80元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赎回金额=10,000×1.0160-50.80＝10,109.20元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即：投资者赎回10,000份C类基金份额，持有期限为20日，对应的赎回费率为0.5%，假设赎回当日C类基金份额净值是1.0160元，则其可得到的赎回金额为10,109.20元。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本基金T日的基金份额净值在当天收市后计算，并在T＋1日公告。遇特殊情况，经中国证监会同意，可以适当延迟计算或公告。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（八）拒绝或暂停申购的情形及处理方式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（2）证券交易所在交易时间非正常停市，导致基金管理人无法计算当日的基金资产净值；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（3）发生基金合同规定的暂停基金资产估值情况；</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（4）基金管理人认为接受某笔或某些申购申请可能会影响或损害现有基金份额持有人利益时；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w:t>
      </w:r>
      <w:r>
        <w:rPr>
          <w:rFonts w:ascii="宋体" w:hAnsi="宋体"/>
          <w:sz w:val="24"/>
        </w:rPr>
        <w:lastRenderedPageBreak/>
        <w:t>能对基金业绩产生负面影响，从而损害现有基金份额持有人的利益；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（7）基金管理人接受某笔或者某些申购申请有可能导致单一投资者持有基金份额的比例超过50%，或者变相规避50%集中度的情形。出现上述情形时，基金管理人有权将上述申购申请全部或部分确认失败；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（8）法律法规规定或中国证监会认定的其他情形。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7）项以外的暂停申购情形且基金管理人决定暂停申购时，除拒绝特定申购申请外，基金管理人应当根据《信息披露办法》的有关规定在指定媒介上刊登暂停申购公告。如果投资人的申购申请被拒绝，被拒绝的申购款项将全额退还投资人。在暂停申购的情况消除时，基金管理人应及时恢复申购业务的办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（九）暂停赎回或者延缓支付赎回款项的情形及处理方式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（2）证券交易所交易时间非正常停市，导致基金管理人无法计算当日基金资产净值；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（3）连续两个或两个以上开放日发生巨额赎回；</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（4）发生基金合同规定的暂停基金资产估值情况；</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（6）法律法规规定或中国证监会认定的其他情形。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且基金管理人决定暂停接受投资人的赎回申请或延缓支付赎回款项时，基金管理人应在当日报中国证监会备案，已确认成功的赎回申请，基金管理人应足额支付赎回款项；如暂时不能足额支付，应将可支付部分按单个账户申请量占申请总量的比例分配给赎回申请人，未支付部分可延期支付，并以后续开放日的基金份额净值为依据计算赎回金额。若连续两个或两个以上开放日发生巨额赎回，延期支付最长不得超过20个工作日，并在指定媒介上公告。投资人在申请赎回时可</w:t>
      </w:r>
      <w:r>
        <w:rPr>
          <w:rFonts w:ascii="宋体" w:hAnsi="宋体"/>
          <w:sz w:val="24"/>
        </w:rPr>
        <w:lastRenderedPageBreak/>
        <w:t>事先选择将当日可能未获受理部分予以撤销。在暂停赎回的情况消除时，基金管理人应及时恢复赎回业务的办理并予以公告。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暂停基金的赎回，基金管理人应根据《信息披露办法》的有关规定及时在指定媒介上刊登暂停赎回公告。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内的基金净赎回申请份额（赎回申请份额总数加上基金转换中转出申请份额总数扣除申购申请份额总数及基金转换中转入申请份额总数后的余额）超过上一开放日基金总份额的10%时，即认为发生了巨额赎回。</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当基金出现巨额赎回时，基金管理人可以根据本基金当时的资产组合状况决定全额赎回或部分延期赎回。</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w:t>
      </w:r>
      <w:r>
        <w:rPr>
          <w:rFonts w:ascii="宋体" w:hAnsi="宋体"/>
          <w:sz w:val="24"/>
        </w:rPr>
        <w:lastRenderedPageBreak/>
        <w:t>选择取消赎回，则其当日未获受理的部分赎回申请将被撤销。</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确认成功的赎回申请可以延缓支付赎回款项，但不得超过20个工作日，并应当在指定媒介上进行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巨额赎回并延期赎回时，基金管理人应通过邮寄、传真、刊登公告或者通知代销机构代为告知等方式，在3个交易日内通知基金份额持有人，说明有关处理方法，并在2日内依照《信息披露办法》的有关规定在指定媒介上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（十一）暂停申购或赎回的公告和重新开放申购或赎回的公告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2、如发生暂停的时间为1日，基金管理人应于重新开放日，在指定媒介上刊登基金重新开放申购或赎回公告，并公布最近1个开放日各类基金份额的基金份额净值。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暂停结束，基金重新开放申购或赎回时，基金管理人应依照《信息披露办法》的有关规定于两日内在指定媒介上刊登基金重新开放申购或赎回公告，并公布最近1个开放日各类基金份额的基金份额净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（十二）转托管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目前实行份额托管的交易制度。基金份额持有人可办理已持有基金份额在不同销售机构之间的转托管，对A类基金份额而言包括在上证所场内不同会员营业部之间进行转指定，也包括在上证所场内系统和场外系统之间进行跨市场转托管。除经基金管理人另行公告，C类基金份额不能进行跨系统转托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进行份额转托管时，基金份额持有人可以将其某个交易账户下的基金份额全部或部分转托管。办理转托管业务的基金份额持有人需在转出方办理基金份额转出手续，在转入方办理基金账户注册手续。</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（十三）定期定额投资计划</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w:t>
      </w:r>
      <w:r>
        <w:rPr>
          <w:rFonts w:ascii="宋体" w:hAnsi="宋体"/>
          <w:sz w:val="24"/>
        </w:rPr>
        <w:lastRenderedPageBreak/>
        <w:t>额投资计划的同时，仍然可以进行日常申购、赎回业务。本基金2010年7月12日刊登公告自2010年7月15日起开通A类基金份额的定期定额投资计划业务，本基金2021年11月23日刊登公告自2021年11月26日起增设C类基金份额并开通C类基金份额的定期定额投资计划业务，具体开通销售机构名单和业务规则参见相关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（十四）定时不定额投资计划</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自2012年1月1日起，投资者可通过中国工商银行股份有限公司的“基智定投”办理本基金A类基金份额的定时不定额投资业务。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基智定投业务是中国工商银行股份有限公司普通基金定投业务的升级业务，基智定投分为定时不定额和定时定额两种投资方式。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（十五）定期定额赎回业务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中国农业银行股份有限公司申请办理本基金A类基金份额的定期定额赎回业务。定期定额赎回业务是指投资人可以委托中国农业银行股份有限公司每月固定时间从指定的基金账户代投资人赎回固定份额的基金。本基金2010年7月12日刊登公告自2010年7月15日起在中国农业银行股份有限公司下属各代销网点开通本基金A类基金份额的定期定额赎回业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通过中国农业银行股份有限公司办理本基金A类基金份额的定期定额赎回业务，相关流程和业务规则遵循中国农业银行股份有限公司的有关规定。详情请咨询当地中国农业银行股份有限公司的代销网点或中国农业银行股份有限公司客户服务热线（95599）。</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（十六）基金的非交易过户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注册登记机构受理继承、捐赠和司法强制执行而产生的非交易过户以及注册登记机构认可、符合法律法规的其它非交易过户。无论在上述何种情况下，接受划转的主体必须是依法有权持有本基金基金份额的投资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w:t>
      </w:r>
      <w:r>
        <w:rPr>
          <w:rFonts w:ascii="宋体" w:hAnsi="宋体"/>
          <w:sz w:val="24"/>
        </w:rPr>
        <w:lastRenderedPageBreak/>
        <w:t>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（十七）基金的冻结和解冻</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注册登记机构只受理国家有权机关依法要求的基金份额的冻结与解冻，以及注册登记机构认可、符合法律法规的其他情况下的基金份额的冻结与解冻。</w:t>
      </w:r>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（十八）实施侧袋机制期间本基金的申购与赎回</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00FB" w:rsidRDefault="00A2121F">
      <w:pPr>
        <w:pStyle w:val="1"/>
        <w:snapToGrid w:val="0"/>
        <w:spacing w:beforeLines="0" w:before="240" w:after="240"/>
        <w:rPr>
          <w:rFonts w:ascii="宋体" w:hAnsi="宋体"/>
          <w:szCs w:val="30"/>
        </w:rPr>
      </w:pPr>
      <w:bookmarkStart w:id="12" w:name="_Toc137828545"/>
      <w:r>
        <w:rPr>
          <w:rFonts w:ascii="Times New Roman" w:hAnsi="Times New Roman"/>
          <w:sz w:val="30"/>
        </w:rPr>
        <w:lastRenderedPageBreak/>
        <w:t>九、基金的转换</w:t>
      </w:r>
      <w:bookmarkEnd w:id="12"/>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（一）基金转换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（二）转换业务办理时间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本基金2010年7月12日刊登公告自2010年7月15日起开放A类基金份额的日常转换业务，本基金2021年12月22日刊登公告自2021年12月23日起开放C类基金份额的日常转换业务。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（三）基金转换的程序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（四）基金转换的数额限制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基金转换以份额为单位进行申请，申请转换份额精确到小数点后两位，小数点后两位以后的部分四舍五入，误差部分归基金财产。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（五）基金转换费用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w:t>
      </w:r>
      <w:r>
        <w:rPr>
          <w:rFonts w:ascii="宋体" w:hAnsi="宋体"/>
          <w:sz w:val="24"/>
        </w:rPr>
        <w:lastRenderedPageBreak/>
        <w:t>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6、基金管理人可以根据法律法规及基金合同的规定对上述收费方式和费率进行调整，并应于调整后的收费方式和费率在实施前依照《信息披露办法》的有关规定在中国证监会指定媒介上公告。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（六）基金转换份额的计算公式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w:t>
      </w:r>
      <w:r>
        <w:rPr>
          <w:rFonts w:ascii="宋体" w:hAnsi="宋体"/>
          <w:sz w:val="24"/>
        </w:rPr>
        <w:lastRenderedPageBreak/>
        <w:t>五入，误差部分归基金财产。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例四：某投资者持有交银货币A级基金份额100,000份，该100,000份基金份额未结转的待支付收益为61.52元，转换申请当日交银增利A类基金份额净值为1.2700</w:t>
      </w:r>
      <w:r>
        <w:rPr>
          <w:rFonts w:ascii="宋体" w:hAnsi="宋体"/>
          <w:sz w:val="24"/>
        </w:rPr>
        <w:lastRenderedPageBreak/>
        <w:t>元，交银货币的基金份额净值为1.00元。若该投资者将100,000份交银货币A级基金份额转换为交银增利A类基金份额，则转入确认的交银增利A类基金份额为：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w:t>
      </w:r>
      <w:r>
        <w:rPr>
          <w:rFonts w:ascii="宋体" w:hAnsi="宋体"/>
          <w:sz w:val="24"/>
        </w:rPr>
        <w:lastRenderedPageBreak/>
        <w:t>一年半，转换申请当日交银先锋的A类基金份额净值为1.2500元，交银货币的基金份额净值为1.00元。若该投资者将100,000份交银先锋后端A类基金份额转换为交银货币，则转入交银货币的基金份额为：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（七）业务规则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w:t>
      </w:r>
      <w:r>
        <w:rPr>
          <w:rFonts w:ascii="宋体" w:hAnsi="宋体"/>
          <w:sz w:val="24"/>
        </w:rPr>
        <w:lastRenderedPageBreak/>
        <w:t>申购状态。</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（八）暂停基金转换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00FB" w:rsidRDefault="00A2121F">
      <w:pPr>
        <w:pStyle w:val="1"/>
        <w:snapToGrid w:val="0"/>
        <w:spacing w:beforeLines="0" w:before="240" w:after="240"/>
        <w:rPr>
          <w:rFonts w:ascii="宋体" w:hAnsi="宋体"/>
          <w:szCs w:val="30"/>
        </w:rPr>
      </w:pPr>
      <w:bookmarkStart w:id="13" w:name="_Toc137828546"/>
      <w:r>
        <w:rPr>
          <w:rFonts w:ascii="Times New Roman" w:hAnsi="Times New Roman"/>
          <w:sz w:val="30"/>
        </w:rPr>
        <w:lastRenderedPageBreak/>
        <w:t>十、基金的投资</w:t>
      </w:r>
      <w:bookmarkEnd w:id="13"/>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 投资理念</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在坚持一贯的价值投资理念基础上，通过专业化的研究分析，积极把握非完全有效市场及不断变化的市场环境中的投资机会，注重在优选的投资主题下获取良好投资收益。该理念至少包含以下三方面的含义：</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1、证券市场并非完全有效，通过专业研究可以获得信息优势，把握市场环境变化的契机，积极投资，可以获得较高的超额收益。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2、利用专业化的分析范式和方法，根据经济周期理论，在市场状况不好的情况下通过灵活调整资产的配置比例提升组合收益，实现资产长期稳定的投资回报。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遵循自上而下的分析模式，在全球经济的框架下，结合中国经济的长期发展趋势，把握社会结构、经济结构、产业结构以及商业运作模式变化的根本性趋势以及导致上述根本性变化的关键性驱动因素，从而前瞻性地发掘经济发展过程中的投资主题，从中挖掘行业机会，精选个股，实现投资组合的超额收益。</w:t>
      </w:r>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（二）投资目标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本基金力图通过前瞻性的主题优选，积极把握行业和个股投资机会，在控制风险并保持基金资产良好的流动性的前提下，力争实现基金资产的长期稳定增值。</w:t>
      </w:r>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（三）投资范围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本基金的投资范围为具有良好流动性的金融工具，包括国内依法发行上市的股票（含存托凭证）、债券、货币市场工具、权证、资产支持证券以及法律法规或中国证监会允许基金投资的其他金融工具。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（四）投资对象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含存托凭证）占基金资产的30%-80%；债券、货币市场工具、现金、权证、资产支持证券以及法律法规或中国证监会允许基金投资的其他证券品种占基金资产的20%-70%,其中基金保留的现金以及投资于到期日在一年以内的政府债券的比例合计不低于基金资产净值的5%，现金不包括结算备付金、存出保证金和应收申购款等。在基金实际管理过程中，基金管理人将根据中国宏观经济情况和证券市场的阶段性变化，适时调整基金资产在股票、债券及货币</w:t>
      </w:r>
      <w:r>
        <w:rPr>
          <w:rFonts w:ascii="宋体" w:hAnsi="宋体"/>
          <w:sz w:val="24"/>
        </w:rPr>
        <w:lastRenderedPageBreak/>
        <w:t>市场工具等之间的配置比例。</w:t>
      </w:r>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（五）业绩比较基准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本基金的整体业绩比较基准采用：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60%×沪深300指数收益率+40%×中证综合债券指数收益率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本基金股票投资部分的业绩比较基准是沪深300指数，债券投资部分的业绩比较基准是中证综合债券指数收益率。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本基金采用沪深300指数作为股票投资部分的业绩比较基准主要基于以下原因：</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1.沪深300指数是沪深证券交易所第一次联合发布的反映A股市场整体走势的指数，由中证指数公司编制和维护，是在上海和深圳证券市场中选取300只A股作为样本编制而成。</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2.该指数样本对沪深市场的覆盖度高，具有良好的市场代表性，投资人可以方便地从报纸、互联网等财经媒体中获取。</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3.沪深300指数引进国际指数编制和管理的经验，编制方法清晰透明，具有独立性和良好的市场流动性；与市场整体表现具有较高的相关度，且指数历史表现强于市场平均收益水平。</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因此，沪深300指数是衡量本基金股票投资业绩的理想基准。同时，根据本基金的目标资产配置比例来分配权重，本基金的业绩比较基准中加入了中证综合债券指数并按照本基金的目标资产配置比例来安排。</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基金管理人将视情况经与基金托管人协商同意并履行相关程序后调整本基金的业绩比较基准，及时公告并在更新的招募说明书中列示。</w:t>
      </w:r>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（六）投资策略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1、资产配置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将通过“自上而下”的定性分析和定量分析相结合以实现大类资产的灵活配置。具体而言，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经济周期理论，一个宏观经济运行的周期可以分为减速、衰退、复苏和扩张四个阶段，在经济周期的不同阶段，通货膨胀、利率水平和货币政策等对金融市场有着重要影响的因素往往表现出不同的规律，从而影响到不同大类金融资产的定价和市场表现。而实证研究也表明，经济周期与金融市场的表现往往呈现出很强的相关性，当宏观经济运行处于不同的阶段时，股票、债券和现金等各大类资产也体现出不同的市场表现。经济周期理论下的资产配置模型依据经济周期和金融市场表现所呈现的相关关系，通过预测宏观经济运行所处的阶段，对各类资产在该阶段下可能的市场表现进行判断，从而为资产配置的调整提供依据。具体而言，首先通过分析GDP增长率、失业率、利率水平和通货膨胀率等宏观经济运行指标和货币、财政政策的变化趋势，判断宏观经济运行所处的阶段。然后，根据经济周期不同阶段各类资产市场表现变化情况的实证研究，对股票、债券和现金等大类资产投资的比例进行战略配置和调整，增加该阶段下市场表现优于其他资产类别的资产的配置，减少市场表现相对较差的资产类别的配置，以规避或分散市场风险，提高基金经风险调整后的收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2、主题配置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认为，发生在2008年由次级贷款危机引发的全球性金融危机将为国际化的金融市场、贸易结构乃至各国间国力的此消彼长带来长远而深刻的影响。从经济发展的长期趋势看，此次金融危机的发生为我国提供了改变传统的以投资外加出口的经济增长模式的历史性机遇。本基金深刻分析在这一机遇与挑战并存的环境中推动我国经济新一轮腾飞和企业跨越式发展的关键性和趋势性因素，及时把握中国经济崛起过程中的主题投资机会，自上而下的进行主题发掘。基金管理人认为，</w:t>
      </w:r>
      <w:r>
        <w:rPr>
          <w:rFonts w:ascii="宋体" w:hAnsi="宋体"/>
          <w:sz w:val="24"/>
        </w:rPr>
        <w:lastRenderedPageBreak/>
        <w:t>在相当长一段时期内，内需扩大、消费升级、产业链整合、技术创新将是本轮中国经济腾飞过程中最关键的四大主题，在相当长一段时期内本基金将重点围绕这四大优选主题进行行业的选择和配置。未来，随着中国出现新的经济增长模式及新的经济发展趋势等因素的改变，基金管理人将深入挖掘和把握可能蕴含的更具价值的投资主题，为基金谋取良好的投资机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各优选主题间进行配置的决策过程中，本基金将综合考虑宏观经济发展的长期趋势、经济周期、市场变化以及多个优选主题的活跃程度，对未来市场运行趋势做出预期判断，综合评价相关经济环境变化对精选的有关主题及受益于该主题的行业和上市公司的影响，动态调整各主题受益行业和上市公司在股票资产配置的比重。</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3、行业选择和配置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本基金将利用交银施罗德研究体系对多个优选主题所覆盖的细分行业进行预测和分析，挑选预期具有良好增长前景的行业进行重点投资。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国民经济快速增长的背后蕴涵了不同行业对GDP增长贡献率的差异。而不同行业受宏观经济周期、行业自身生命周期以及相关结构性因素的影响在不同时期表现往往具有明显差异。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操作中，我们对行业的挑选重点分为两个部分，即行业平均增长率预测和行业综合评价。首先考察各行业历史收入和利润增长表现，对未来行业收入增长率和行业平均利润增长率进行预测。然后对行业的综合表现和增长空间进行评估和排序，挑选出未来一段时间内最具增长前景的行业。具体评估将从宏观经济环境（重点包括宏观经济政策、产业政策对相关行业发展的影响）、行业景气度分析和预测（关注上下游行业对本行业景气度影响、密切追踪各行业景气度指标）、行业财务状况（行业盈利能力、行业经营效率）和行业竞争力综合表现四个方面入手，采用定性分析结合定量分析的方法对行业的未来增长前景进行综合评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最后，在完成对行业增长预测和行业综合评价基础上，通过市场及各个行业的相对和绝对估值水平PE、PB等数据的横向、纵向分析，进行估值比较，并跟踪各行</w:t>
      </w:r>
      <w:r>
        <w:rPr>
          <w:rFonts w:ascii="宋体" w:hAnsi="宋体"/>
          <w:sz w:val="24"/>
        </w:rPr>
        <w:lastRenderedPageBreak/>
        <w:t>业的资金流向、机构持仓特征等判断行业吸引力，动态把握行业板块轮换蕴涵的投资机会。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4、股票选择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在前述主题配置和行业优选的基础上，本基金综合运用交银施罗德股票研究分析方法和其它投资分析工具，采用自下而上方式精选具有投资潜力的股票构建股票投资组合。具体分以下两个层次进行股票挑选：</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（1）品质筛选</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筛选出在公司治理、财务及管理品质上符合基本品质要求的上市公司，构建备选股票池。主要筛选指标包括：盈利能力指标（如P/E、P/Cash Flow、P/FCF、P/S、P/EBIT等）、经营效率指标（如ROE、ROA、Return on operating assets等）和财务状况指标（如D/A、流动比率等）。</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此外，为了控制中小企业投资的个股风险，对以下股票进行剔除：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 *ST和ST公司股票；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 财务资料可信度较低或者财务资料有重大瑕疵的公司股票；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 有关媒体报道有重大虚假陈述和重大利益输送以及其他重大违规、违法的公司股票。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（2）多元化价值评估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本基金在前述主题配置和行业优选的基础上，根据下述标准挑选出其中具有投资潜力的上市公司构建核心股票池：</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 公司治理结构良好，管理规范，信息透明；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 主营业务鲜明，盈利能力强，收入和利润稳定增长；</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 公司具有质量优良的成长性；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 公司财务状况良好，具备一定的规模优势和较好的抗风险能力；</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⑤ 公司在管理制度、产品开发、技术进步方面具有相当的核心竞争优势，有良好的市场知名度和较好的品牌效应，处于行业龙头地位。</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对上述核心股票池中的重点上市公司进行内在价值的评估和成长性跟踪研究，在明确的价值评估基础上选择定价相对合理且成长性可持续的投资标的。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5、债券投资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在债券投资方面，本基金可投资于国债、央行票据、金融债、企业债和可转换</w:t>
      </w:r>
      <w:r>
        <w:rPr>
          <w:rFonts w:ascii="宋体" w:hAnsi="宋体"/>
          <w:sz w:val="24"/>
        </w:rPr>
        <w:lastRenderedPageBreak/>
        <w:t>债券等债券品种。本基金的债券投资采取主动的投资管理方式，获得与风险相匹配的投资收益，以实现在一定程度上规避股票市场的系统性风险和保证基金资产的流动性。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6、权证投资策略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7、资产支持证券的投资策略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（七）投资决策依据和投资程序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为了保证整个投资组合计划的顺利贯彻与实施，本基金遵循以下投资决策依据以及具体的决策程序：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（2）宏观经济发展态势、证券市场运行环境和走势，以及上市公司的基本面；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（3）投资对象的风险和预期收益的匹配关系，本基金将在承担适度风险的前提下，选择风险和预期收益配比最佳的品种进行投资。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2、决策和交易机制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本基金实行投资决策委员会领导下的基金经理负责制，投资总监、固定收益部总经理是投资决策委员会的执行代表。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投资决策委员会、投资总监、固定收益部总经理的主要职责是确定基金的资产配置政策，审批重大单项投资决定等。</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3、投资流程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基金经理、分析师、交易员在投资管理过程中既密切合作，又责任明确，在各自职责内按照业务程序独立工作并合理地相互制衡。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具体的投资管理流程如下：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（1）投资决策委员会每月召开投资决策会议，决定基金的资产配置比例和股票、债券的投资重点等；</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（2）研究部策略分析师、股票分析师、固定收益产品分析师、定量分析师各自独立完成相应的研究报告，为投资决策提供依据；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（3）投资总监每周召集投资例会，根据投资决策委员会的决定，结合市场运行变化，决定具体的投资策略；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（5）基金经理根据基金投资组合方案，向中央交易室下达交易指令；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（6）中央交易室执行基金经理的交易指令，对交易情况及时反馈；</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（7）定量分析师负责完成有关投资风险监控报告及内部基金业绩评估报告。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投资决策委员会有权根据市场变化和实际情况的需要，对上述投资管理程序做出调整。</w:t>
      </w:r>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（八）投资组合限制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本基金投资组合遵循如下投资限制：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1、本基金持有一家上市公司的股票，其市值不超过基金资产净值的10%；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2、本基金持有的全部权证，其市值不得超过基金资产净值的3%；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3、基金管理人管理的全部基金持有一家公司发行的证券，不超过该证券的10%；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5、基金管理人管理的全部基金持有的同一权证，不得超过该权证的10%；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6、本基金进入全国银行间同业市场进行债券回购的资金余额不得超过基金资产净值的40%；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7、本基金的投资组合比例为：股票资产（含存托凭证）占基金资产的30%-80%；债券、货币市场工具、现金、权证、资产支持证券以及法律法规或中国证监会允许基金投资的其他证券品种占基金资产的20%-70%；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11、基金管理人管理的全部基金投资于同一原始权益人的各类资产支持证券，不得超过其各类资产支持证券合计规模的10%；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13、基金财产参与股票发行申购，本基金所申报的金额不超过本基金的总资产，本基金所申报的股票数量不超过拟发行股票公司本次发行股票的总量；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14、本基金在任何交易日买入权证的总金额，不得超过上一交易日基金资产净值的0.5%；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15、保持不低于基金资产净值5%的现金或者到期日在一年以内的政府债券，其中现金不包括结算备付金、存出保证金和应收申购款等；</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16、本基金主动投资于流动性受限资产的市值合计不得超过基金资产净值的</w:t>
      </w:r>
      <w:r>
        <w:rPr>
          <w:rFonts w:ascii="宋体" w:hAnsi="宋体"/>
          <w:sz w:val="24"/>
        </w:rPr>
        <w:lastRenderedPageBreak/>
        <w:t>15%；因证券市场波动、上市公司股票停牌、基金规模变动等基金管理人之外的因素致使基金不符合该比例限制的，基金管理人不得主动新增流动性受限资产的投资；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17、本基金与私募类证券资管产品及中国证监会认定的其他主体为交易对手开展逆回购交易的，可接受质押品的资质要求应当与基金合同约定的投资范围保持一致。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18、本基金投资存托凭证的比例限制依照境内上市交易的股票执行。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如果法律法规对基金合同约定投资组合比例限制进行变更的，以变更后的规定为准。法律法规或监管部门取消上述限制，如适用于本基金，则本基金在履行适当程序后不再受相关限制。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12、15、16、17项以外，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基金管理人应当自基金合同生效之日起6个月内使基金的投资组合比例符合基金合同的有关约定。基金托管人对基金的投资的监督和检查自基金合同生效之日起开始。</w:t>
      </w:r>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（九）禁止行为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2、向他人贷款或者提供担保；</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4、买卖其他基金份额，但是国务院另有规定的除外；</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5、向其基金管理人、基金托管人出资或者买卖基金托管人、基金管理人发行的股票或债券；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6、买卖与其基金管理人、基金托管人有控股关系的股东或者与其基金管理人、基金托管人有其他重大利害关系的公司发行的证券或承销期内承销的证券；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7、从事内幕交易、操纵证券交易价格及其他不正当的证券交易活动；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8、依照法律法规有关规定，由中国证监会规定禁止的其他活动。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法律法规或中国证监会取消上述禁止性规定，如适用于本基金，则本基金在履</w:t>
      </w:r>
      <w:r>
        <w:rPr>
          <w:rFonts w:ascii="宋体" w:hAnsi="宋体"/>
          <w:sz w:val="24"/>
        </w:rPr>
        <w:lastRenderedPageBreak/>
        <w:t>行适当程序后不再受相关限制。</w:t>
      </w:r>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（十）风险收益特征</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灵活配置的混合型基金，属于基金中的中高风险品种，本基金的风险与预期收益介于股票型基金和债券型基金之间。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（十一）基金管理人代表基金行使股东及债权人权利的处理原则及方法</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1、基金管理人按照国家有关规定代表基金独立行使股东及债权人权利，保护基金份额持有人的利益；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（十二）基金的融资、融券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本基金可以按照国家的有关法律法规规定进行融资、融券。</w:t>
      </w:r>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（十三）侧袋机制的实施和投资运作安排</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（十四）基金投资组合报告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本基金托管人中国建设银行根据本基金合同规定，于2023年04月20日复核了本</w:t>
      </w:r>
      <w:r>
        <w:rPr>
          <w:rFonts w:ascii="宋体" w:hAnsi="宋体"/>
          <w:sz w:val="24"/>
        </w:rPr>
        <w:lastRenderedPageBreak/>
        <w:t>报告中的财务指标、净值表现和投资组合报告等内容，保证复核内容不存在虚假记载、误导性陈述或者重大遗漏。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本报告期为2023年01月01日起至03月31日。本报告财务资料未经审计师审计。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3,097,356,627.78</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77.62</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3,097,356,627.78</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77.62</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367,591,412.60</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9.21</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367,591,412.60</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9.21</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511,822,303.47</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12.83</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13,431,813.36</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0.34</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3,990,202,157.21</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25,065,459.36</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0.63</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1,655,407,432.56</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41.81</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122,830,900.30</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3.10</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77,329.12</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444,832.76</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457,551,422.11</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11.55</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66,324,974.58</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1.67</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181,658,647.91</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4.59</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218,190,003.51</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5.51</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K</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35,411,768.46</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0.89</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197,736,546.00</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4.99</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103,469.59</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73,528.54</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136,480,312.98</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3.45</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3,097,356,627.78</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78.22</w:t>
            </w:r>
          </w:p>
        </w:tc>
      </w:tr>
    </w:tbl>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002352</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顺丰控股</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4,553,279</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252,160,591.02</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6.37</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603259</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药明康德</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1,917,560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152,446,020.00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3.85</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300182</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捷成股份</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20,339,838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136,480,312.98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3.45</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603885</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吉祥航空</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7,118,311</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127,987,231.78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3.23</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002475</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立讯精密</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4,109,720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124,565,613.20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3.15</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300973</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立高食品</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1,095,851</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116,149,247.49</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2.93</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300750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宁德时代</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270,000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109,633,500.00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2.77</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600570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恒生电子</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2,053,977</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109,312,655.94</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2.76</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000001</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平安银行</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6,495,700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81,391,121.00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2.06</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600276</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恒瑞医药</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1,889,284</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80,899,140.88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2.04</w:t>
            </w:r>
          </w:p>
        </w:tc>
      </w:tr>
    </w:tbl>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29,876,802.20</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0.75</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170,907,116.96</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4.32</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170,907,116.96</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4.32</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5</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166,807,493.44</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4.21</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367,591,412.60</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9.28</w:t>
            </w:r>
          </w:p>
        </w:tc>
      </w:tr>
    </w:tbl>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113052</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兴业转债</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663,350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67,232,703.38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1.70</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220206</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国开</w:t>
            </w:r>
            <w:r>
              <w:rPr>
                <w:rFonts w:ascii="Times New Roman" w:hAnsi="Times New Roman"/>
                <w:color w:val="000000"/>
                <w:kern w:val="0"/>
                <w:sz w:val="25"/>
                <w:szCs w:val="24"/>
              </w:rPr>
              <w:t>06</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600,000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60,917,572.60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1.54</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2303664</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进出</w:t>
            </w:r>
            <w:r>
              <w:rPr>
                <w:rFonts w:ascii="Times New Roman" w:hAnsi="Times New Roman"/>
                <w:color w:val="000000"/>
                <w:kern w:val="0"/>
                <w:sz w:val="25"/>
                <w:szCs w:val="24"/>
              </w:rPr>
              <w:t>664</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600,000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59,915,421.43</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1.51</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127038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国微转债</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334,987</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50,207,392.67</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1.27</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110075</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南航转债</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300,000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40,779,279.45</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1.03</w:t>
            </w:r>
          </w:p>
        </w:tc>
      </w:tr>
    </w:tbl>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10.3 本期国债期货投资评价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895,588.37</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10,718,464.68</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1,817,760.31</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13,431,813.36</w:t>
            </w:r>
          </w:p>
        </w:tc>
      </w:tr>
    </w:tbl>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tbl>
      <w:tblPr>
        <w:tblW w:w="5000" w:type="pct"/>
        <w:tblCellMar>
          <w:left w:w="0" w:type="dxa"/>
          <w:right w:w="0" w:type="dxa"/>
        </w:tblCellMar>
        <w:tblLook w:val="0000" w:firstRow="0" w:lastRow="0" w:firstColumn="0" w:lastColumn="0" w:noHBand="0" w:noVBand="0"/>
      </w:tblPr>
      <w:tblGrid>
        <w:gridCol w:w="666"/>
        <w:gridCol w:w="1996"/>
        <w:gridCol w:w="1996"/>
        <w:gridCol w:w="1996"/>
        <w:gridCol w:w="1996"/>
      </w:tblGrid>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113052</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兴业转债</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67,232,703.38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1.70</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127038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国微转债</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50,207,392.67</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1.27</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110075</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南航转债</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40,779,279.45</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right"/>
              <w:rPr>
                <w:rFonts w:ascii="宋体" w:hAnsi="宋体"/>
                <w:color w:val="000000"/>
                <w:kern w:val="0"/>
                <w:sz w:val="25"/>
                <w:szCs w:val="24"/>
              </w:rPr>
            </w:pPr>
            <w:r>
              <w:rPr>
                <w:rFonts w:ascii="Times New Roman" w:hAnsi="Times New Roman"/>
                <w:color w:val="000000"/>
                <w:kern w:val="0"/>
                <w:sz w:val="25"/>
                <w:szCs w:val="24"/>
              </w:rPr>
              <w:t>1.03</w:t>
            </w:r>
          </w:p>
        </w:tc>
      </w:tr>
    </w:tbl>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00FB" w:rsidRDefault="00A2121F">
      <w:pPr>
        <w:pStyle w:val="1"/>
        <w:snapToGrid w:val="0"/>
        <w:spacing w:beforeLines="0" w:before="240" w:after="240"/>
        <w:rPr>
          <w:rFonts w:ascii="宋体" w:hAnsi="宋体"/>
          <w:szCs w:val="30"/>
        </w:rPr>
      </w:pPr>
      <w:bookmarkStart w:id="14" w:name="_Toc137828547"/>
      <w:r>
        <w:rPr>
          <w:rFonts w:ascii="Times New Roman" w:hAnsi="Times New Roman"/>
          <w:sz w:val="30"/>
        </w:rPr>
        <w:lastRenderedPageBreak/>
        <w:t>十一、基金的业绩</w:t>
      </w:r>
      <w:bookmarkEnd w:id="14"/>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基金业绩截止日为2023年03月31日，所载财务数据未经审计师审计。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（1）交银主题优选混合A</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2.11%</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0.71%</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3.19%</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-1.08%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0.20%</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-2.33%</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1.17%</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-12.04%</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0.77%</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9.71%</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9.78%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0.84%</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-0.76%</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10.54%</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40.26%</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1.19%</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17.63%</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0.85%</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22.63%</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0.34%</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63.96%</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23.09%</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0.74%</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40.87%</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0.24%</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-13.88%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1.28%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-12.93%</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0.80%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-0.95%</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0.48%</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13.79%</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0.73%</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12.81%</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0.38%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0.35%</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-1.70%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1.48%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-5.60%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0.84%</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3.90%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0.64%</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55.79%</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2.50%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7.75%</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1.50%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48.04%</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59.49%</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1.17%</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33.63%</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0.75%</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25.86%</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0.42%</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-15.77%</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1.24%</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-3.46%</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0.84%</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-12.31%</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14.46%</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6.63%</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0.77%</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7.83%</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0.58%</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2011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-27.15%</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1.02%</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-14.18%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0.79%</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-12.97%</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0.23%</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2010</w:t>
            </w:r>
            <w:r>
              <w:rPr>
                <w:rFonts w:ascii="Times New Roman" w:hAnsi="Times New Roman"/>
                <w:color w:val="000000"/>
                <w:kern w:val="0"/>
                <w:sz w:val="25"/>
                <w:szCs w:val="24"/>
              </w:rPr>
              <w:t>年度（</w:t>
            </w:r>
            <w:r>
              <w:rPr>
                <w:rFonts w:ascii="Times New Roman" w:hAnsi="Times New Roman"/>
                <w:color w:val="000000"/>
                <w:kern w:val="0"/>
                <w:sz w:val="25"/>
                <w:szCs w:val="24"/>
              </w:rPr>
              <w:t>2010</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30</w:t>
            </w:r>
            <w:r>
              <w:rPr>
                <w:rFonts w:ascii="Times New Roman" w:hAnsi="Times New Roman"/>
                <w:color w:val="000000"/>
                <w:kern w:val="0"/>
                <w:sz w:val="25"/>
                <w:szCs w:val="24"/>
              </w:rPr>
              <w:t>日－</w:t>
            </w:r>
            <w:r>
              <w:rPr>
                <w:rFonts w:ascii="Times New Roman" w:hAnsi="Times New Roman"/>
                <w:color w:val="000000"/>
                <w:kern w:val="0"/>
                <w:sz w:val="25"/>
                <w:szCs w:val="24"/>
              </w:rPr>
              <w:t>2010</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12.60%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1.07%</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11.97%</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0.94%</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0.63%</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0.13%</w:t>
            </w:r>
          </w:p>
        </w:tc>
      </w:tr>
    </w:tbl>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（2）交银主题优选混合C</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1.96%</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0.71%</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3.19%</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-1.23%</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0.20%</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-2.88%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1.17%</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-12.04%</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0.77%</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9.16%</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r>
      <w:tr w:rsidR="00AC00FB">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年度（自基金份额类别首次确认起至</w:t>
            </w:r>
            <w:r>
              <w:rPr>
                <w:rFonts w:ascii="Times New Roman" w:hAnsi="Times New Roman"/>
                <w:color w:val="000000"/>
                <w:kern w:val="0"/>
                <w:sz w:val="25"/>
                <w:szCs w:val="24"/>
              </w:rPr>
              <w:t>2021</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3.33%</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0.49%</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1.25%</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0.52%</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2.08%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bl>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业绩比较基准自2015年10月1日起，由“60%×沪深300指数收益率+40%×中信标普全债指数收益率”变更为“60%×沪深300指数收益率+40%×中证综合债券指数收益率”，下图同。详情见本基金管理人于2015年9月28日发布的《交银施罗德基金管理有限公司关于旗下部分基金业绩比较基准变更并修改基金合同相关内容的公告》。本基金的业绩比较基准每日进行再平衡过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rsidR="00AC00FB" w:rsidRDefault="00A2121F">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交银施罗德主题优选灵活配置混合型证券投资基金</w:t>
      </w:r>
    </w:p>
    <w:p w:rsidR="00AC00FB" w:rsidRDefault="00A2121F">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rsidR="00AC00FB" w:rsidRDefault="00A2121F">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（2010年6月30日至2023年03月31日）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（1）交银主题优选混合A</w:t>
      </w:r>
    </w:p>
    <w:p w:rsidR="00AC00FB" w:rsidRDefault="00EA0691">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77840" cy="3413760"/>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7840" cy="3413760"/>
                    </a:xfrm>
                    <a:prstGeom prst="rect">
                      <a:avLst/>
                    </a:prstGeom>
                    <a:noFill/>
                    <a:ln>
                      <a:noFill/>
                    </a:ln>
                  </pic:spPr>
                </pic:pic>
              </a:graphicData>
            </a:graphic>
          </wp:inline>
        </w:drawing>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（2）交银主题优选混合C</w:t>
      </w:r>
    </w:p>
    <w:p w:rsidR="00AC00FB" w:rsidRDefault="00EA0691">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extent cx="5577840" cy="341376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7840" cy="3413760"/>
                    </a:xfrm>
                    <a:prstGeom prst="rect">
                      <a:avLst/>
                    </a:prstGeom>
                    <a:noFill/>
                    <a:ln>
                      <a:noFill/>
                    </a:ln>
                  </pic:spPr>
                </pic:pic>
              </a:graphicData>
            </a:graphic>
          </wp:inline>
        </w:drawing>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注：1、本基金建仓期为自基金合同生效日起的6个月。截至建仓期结束，本基金各项资产配置比例符合基金合同及招募说明书有关投资比例的约定。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2、本基金自2021年11月26日起，开始销售C类份额，投资者提交的申购申请于2021年11月29日被确认并将有效份额登记在册</w:t>
      </w:r>
      <w:r w:rsidR="00D537F6">
        <w:rPr>
          <w:rFonts w:ascii="宋体" w:hAnsi="宋体" w:hint="eastAsia"/>
          <w:sz w:val="24"/>
        </w:rPr>
        <w:t>。</w:t>
      </w:r>
    </w:p>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00FB" w:rsidRDefault="00A2121F">
      <w:pPr>
        <w:pStyle w:val="1"/>
        <w:snapToGrid w:val="0"/>
        <w:spacing w:beforeLines="0" w:before="240" w:after="240"/>
        <w:rPr>
          <w:rFonts w:ascii="宋体" w:hAnsi="宋体"/>
          <w:szCs w:val="30"/>
        </w:rPr>
      </w:pPr>
      <w:bookmarkStart w:id="15" w:name="_Toc137828548"/>
      <w:r>
        <w:rPr>
          <w:rFonts w:ascii="Times New Roman" w:hAnsi="Times New Roman"/>
          <w:sz w:val="30"/>
        </w:rPr>
        <w:lastRenderedPageBreak/>
        <w:t>十二、基金的财产</w:t>
      </w:r>
      <w:bookmarkEnd w:id="15"/>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（一）基金资产总值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（二）基金资产净值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（三）基金财产的账户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以基金名义开立银行存款账户，以基金托管人的名义开立证券交易清算资金的结算备付金账户，并以基金托管人和“交银施罗德主题优选灵活配置混合型证券投资基金”联名的方式开立基金证券账户，以“交银施罗德主题优选灵活配置混合型证券投资基金”的名义开立银行间债券托管账户并报中国人民银行备案。开立的基金专用账户与基金管理人、基金托管人、基金代销机构和基金注册登记机构自有的财产账户以及其他基金财产账户相独立。</w:t>
      </w:r>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（四）基金财产的保管与处分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固有财产承担法律责任，其债权人不得对基金财产行使请求冻结、扣押和其他权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除依据《基金法》、基金合同及其他有关规定处分外，基金财产不得被处分。非因基金财产本身承担的债务，不得对基金财产强制执行。</w:t>
      </w:r>
    </w:p>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00FB" w:rsidRDefault="00A2121F">
      <w:pPr>
        <w:pStyle w:val="1"/>
        <w:snapToGrid w:val="0"/>
        <w:spacing w:beforeLines="0" w:before="240" w:after="240"/>
        <w:rPr>
          <w:rFonts w:ascii="宋体" w:hAnsi="宋体"/>
          <w:szCs w:val="30"/>
        </w:rPr>
      </w:pPr>
      <w:bookmarkStart w:id="16" w:name="_Toc137828549"/>
      <w:r>
        <w:rPr>
          <w:rFonts w:ascii="Times New Roman" w:hAnsi="Times New Roman"/>
          <w:sz w:val="30"/>
        </w:rPr>
        <w:lastRenderedPageBreak/>
        <w:t>十三、基金资产的估值</w:t>
      </w:r>
      <w:bookmarkEnd w:id="16"/>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（一）估值目的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基金资产估值的目的是客观、准确地反映基金财产是否保值、增值，依据经基金资产估值后确定的基金资产净值计算出的基金份额净值，是计算基金申购与赎回价格的基础。</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本基金的估值日为本基金相关的证券交易场所的正常营业日以及国家法律法规规定需要对外披露基金净值的非营业日。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（三）估值方法</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（2）交易所市场上市交易或挂牌转让的固定收益品种（另有规定的除外），选取第三方估值机构提供的相应品种当日的估值净价进行估值；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（4）交易所上市不存在活跃市场的有价证券，采用估值技术确定公允价值。交易所上市的资产支持证券，采用估值技术确定公允价值，在估值技术难以可靠计量公允价值的情况下，按成本估值。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（1）送股、转增股、配股和公开增发的新股，按估值日在证券交易所挂牌的同一股票的市价（收盘价）估值；该日无交易的，以最近一日的市价（收盘价）估值；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（2）首次公开发行未上市的股票、债券和权证，采用估值技术确定公允价值，在估值技术难以可靠计量公允价值的情况下，按成本估值；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（3）首次公开发行有明确锁定期的股票，同一股票在交易所上市后，按交易所上市的同一股票的市价（收盘价）估值；非公开发行有明确锁定期的股票，按监管机构或行业协会有关规定确定公允价值。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3、全国银行间债券市场交易的债券、资产支持证券等固定收益品种，采用估值技术确定公允价值。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4、同一债券同时在两个或两个以上市场交易的，按债券所处的市场分别估值。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5、如有确凿证据表明按上述方法进行估值不能客观反映其公允价值的，基金管理人可根据具体情况与基金托管人商定后，按最能反映公允价值的价格估值。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6、本基金投资存托凭证的估值核算依照境内上市交易的股票执行。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7、相关法律法规以及监管部门有强制规定的，从其规定。如有新增事项，按国家最新规定估值。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8、如基金管理人或基金托管人发现基金估值违反基金合同订明的估值方法、程序及相关法律法规的规定或者未能充分维护基金份额持有人利益时，应立即通知对方，共同查明原因，双方协商解决。</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（四）估值对象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本基金所拥有的股票、权证、债券和银行存款本息、应收款项、其它投资等资产。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（五）估值程序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1、各类基金份额的基金份额净值是按照每个工作日闭市后，该类基金份额的基金资产净值除以当日该类基金份额的余额数量计算，精确到0.0001元，小数点后第五位四舍五入。国家另有规定的，从其规定。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每个工作日计算各类基金份额的基金资产净值及基金份额净值，并按规定公告。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月末、年中和年末估值复核与基金会计账目的核对同时进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（六）估值错误的确认和处理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基金管理人和基金托管人将采取必要、适当、合理的措施确保基金资产估值的准确性、及时性。当任一类基金份额净值小数点后4位以内(含第4位)发生差错时，视为该类基金份额净值错误。</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1.差错类型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注册登记机构、或代销机构、或投资人自身的过错造成差错，导致其他当事人遭受损失的，过错的责任人应当对由于该差错遭受损失当事人(“受损方”)的直接损失按下述“差错处理原则”给予赔偿，承担赔偿责任。</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2.差错处理原则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(2)差错的责任方对有关当事人的直接损失负责，不对间接损失负责，并且仅对差错的有关直接当事人负责，不对第三方负责。</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(4)差错调整采用尽量恢复至假设未发生差错的正确情形的方式。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差错方追偿；追偿过程中产生的有关费用，应列入基金费用，从基金资产中支付。</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(7)按法律法规规定的其他原则处理差错。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3.差错处理程序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差错被发现后，有关的当事人应当及时进行处理，处理的程序如下：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(1)查明差错发生的原因，列明所有的当事人，并根据差错发生的原因确定差错的责任方；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(2)根据差错处理原则或当事人协商的方法对因差错造成的损失进行评估；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(3)根据差错处理原则或当事人协商的方法由差错的责任方进行更正和赔偿损失；</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(4)根据差错处理的方法，需要修改基金注册登记机构交易数据的，由基金注册登记机构进行更正，并就差错的更正向有关当事人进行确认。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4.基金份额净值差错处理的原则和方法如下：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w:t>
      </w:r>
      <w:r>
        <w:rPr>
          <w:rFonts w:ascii="宋体" w:hAnsi="宋体"/>
          <w:sz w:val="24"/>
        </w:rPr>
        <w:lastRenderedPageBreak/>
        <w:t>托管人，并采取合理的措施防止损失进一步扩大。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(2)错误偏差达到该类基金份额净值的0.25%时，基金管理人应当通报基金托管人并报中国证监会备案；错误偏差达到该类基金份额净值的0.5%时，基金管理人应当公告。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(3)因基金份额净值计算错误，给基金或基金份额持有人造成损失的，应由基金管理人先行赔付，基金管理人按差错情形，有权向其他当事人追偿。</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(4)基金管理人和基金托管人由于各自技术系统设置而产生的净值计算尾差，以基金管理人计算结果为准。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(5)前述内容如法律法规或监管机关另有规定的，从其规定处理。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1、基金投资有关的证券交易市场遇法定节假日或因其他原因暂停营业时；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2、因不可抗力或其它情形致使基金管理人、基金托管人无法准确评估基金资产价值时；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3、占基金相当比例的投资品种的估值出现重大转变，而基金管理人为保障投资人的利益，已决定延迟估值；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4、当特定资产占前一估值日基金资产净值50%以上的，经与基金托管人协商一致的，基金管理人应当暂停估值；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5、中国证监会和基金合同认定的其它情形。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（八）基金净值的确认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各类基金份额的基金资产净值和基金份额净值由基金管理人负责计算，基金托管人负责进行复核。基金管理人应于每个开放日交易结束后计算当日各类基金份额的基金资产净值并发送给基金托管人。基金托管人对净值计算结果复核确认后发送给基金管理人，由基金管理人对各类基金份额的基金净值予以公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（九）特殊情形的处理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1、基金管理人或基金托管人按估值方法的第5项进行估值时，所造成的误差不作为基金资产估值错误处理；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或登记结算公司发送的数据错误，或国家会计政策变更、市场规则变更等，基金管理人和基金托管人虽然已经采取必要、适当、合理的措施进行检查，但未能发现错误的，由此造成的基金资产估值错</w:t>
      </w:r>
      <w:r>
        <w:rPr>
          <w:rFonts w:ascii="宋体" w:hAnsi="宋体"/>
          <w:sz w:val="24"/>
        </w:rPr>
        <w:lastRenderedPageBreak/>
        <w:t>误，基金管理人和基金托管人免除赔偿责任。但基金管理人应当积极采取必要的措施消除由此造成的影响。</w:t>
      </w:r>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(十)实施侧袋机制期间的基金资产估值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00FB" w:rsidRDefault="00A2121F">
      <w:pPr>
        <w:pStyle w:val="1"/>
        <w:snapToGrid w:val="0"/>
        <w:spacing w:beforeLines="0" w:before="240" w:after="240"/>
        <w:rPr>
          <w:rFonts w:ascii="宋体" w:hAnsi="宋体"/>
          <w:szCs w:val="30"/>
        </w:rPr>
      </w:pPr>
      <w:bookmarkStart w:id="17" w:name="_Toc137828550"/>
      <w:r>
        <w:rPr>
          <w:rFonts w:ascii="Times New Roman" w:hAnsi="Times New Roman"/>
          <w:sz w:val="30"/>
        </w:rPr>
        <w:lastRenderedPageBreak/>
        <w:t>十四、基金的收益与分配</w:t>
      </w:r>
      <w:bookmarkEnd w:id="17"/>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基金可供分配利润指截至收益分配基准日基金未分配利润与未分配利润中已实现收益的孰低数。其中，基金已实现收益指基金利润减去公允价值变动收益后的余额。</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本基金收益分配应遵循下列原则：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1、由于本基金A类基金份额不收取销售服务费，C类基金份额收取销售服务费，各基金份额类别对应的可供分配利润将有所不同；本基金同一基金份额类别的每份基金份额享有同等分配权；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收益分配时所发生的银行转账或其他手续费用由投资人自行承担。当投资人的现金红利小于一定金额，不足以支付银行转账或其他手续费用时，基金注册登记机构可将投资人的现金红利按除权后的单位净值自动转为相应类别的基金份额；</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3、在符合有关基金分红条件的前提下，本基金收益每年最多分配10次，每次基金收益分配比例不低于收益分配基准日可供分配利润的10%；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4、若基金合同生效不满3个月则可不进行收益分配；</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收益分配方式分为两种：现金分红与红利再投资，投资人可选择现金红利或将现金红利按除权后的单位净值自动转为相应类别的基金份额进行再投资；若投资人不选择，本基金默认的收益分配方式是现金分红；基金份额持有人可对其持有的A类基金份额和C类基金份额分别选择不同的收益分配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6、基金红利发放日距离收益分配基准日（即可供分配利润计算截止日）的时间不得超过15个工作日；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7、基金收益分配后任一类每一基金份额净值不能低于面值，即基金收益分配基准日的任一类基金份额净值减去每单位该类基金份额收益分配金额后不能低于面值；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8、法律法规或监管机构另有规定的从其规定。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（四）收益分配方案</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基金收益分配方案中应载明收益分配基准日以及该日的可供分配利润、基金收益分配对象、分配时间、分配数额及比例、分配方式、支付方式等内容。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基金收益分配方案由基金管理人拟定，并由基金托管人复核，依照《信息披露办法》的有关规定在指定媒介上公告。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在收益分配方案公布后，基金管理人依据具体方案的规定就支付的现金红利向基金托管人发送划款指令，基金托管人按照基金管理人的指令及时进行分红资金的划付。</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（六）收益分配中发生的费用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收益分配采用红利再投资方式免收再投资的费用。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不同的交易账户可设置不同的收益分配方式。投资者同一日多次申报分红方式变更的，按照《业务规则》执行，最终确认的分红方式以注册登记机构记录为准。</w:t>
      </w:r>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（八）实施侧袋机制期间的收益分配</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00FB" w:rsidRDefault="00A2121F">
      <w:pPr>
        <w:pStyle w:val="1"/>
        <w:snapToGrid w:val="0"/>
        <w:spacing w:beforeLines="0" w:before="240" w:after="240"/>
        <w:rPr>
          <w:rFonts w:ascii="宋体" w:hAnsi="宋体"/>
          <w:szCs w:val="30"/>
        </w:rPr>
      </w:pPr>
      <w:bookmarkStart w:id="18" w:name="_Toc137828551"/>
      <w:r>
        <w:rPr>
          <w:rFonts w:ascii="Times New Roman" w:hAnsi="Times New Roman"/>
          <w:sz w:val="30"/>
        </w:rPr>
        <w:lastRenderedPageBreak/>
        <w:t>十五、基金的费用与税收</w:t>
      </w:r>
      <w:bookmarkEnd w:id="18"/>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3、基金财产拨划支付的银行费用；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4、基金合同生效后的基金信息披露费用；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6、基金合同生效后与基金相关的会计师费和律师费；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7、基金的证券交易费用；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8、本基金从C类基金份额的基金财产中计提的销售服务费；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9、依法可以在基金财产中列支的其他费用。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上述基金费用由基金管理人在法律规定的范围内参照公允的市场价格确定，法律法规另有规定时从其规定。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本基金基金合同终止基金财产清算时所发生费用，按实际支出额从基金财产总值中扣除。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在通常情况下，基金管理费按前一日基金资产净值的1.</w:t>
      </w:r>
      <w:r w:rsidR="00285CFA">
        <w:rPr>
          <w:rFonts w:ascii="宋体" w:hAnsi="宋体"/>
          <w:sz w:val="24"/>
        </w:rPr>
        <w:t>2</w:t>
      </w:r>
      <w:r>
        <w:rPr>
          <w:rFonts w:ascii="宋体" w:hAnsi="宋体"/>
          <w:sz w:val="24"/>
        </w:rPr>
        <w:t>%的年费率计提。管理费的计算方法如下：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 = E×年管理费率÷当年天数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H为每日计提的基金管理费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向基金托管人发送基金管理费划款指令，基金托管人复核后于次月首日起3个工作日内从基金财产中一次性支付给基金管理人。若遇法定节假日、休息日，支付日期顺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在通常情况下，基金的托管费按前一日基金资产净值的0.2%的年费率计提。托管费的计算方法如下：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H＝E×年托管费率÷当年天数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管理人向基金托管人发送基金托管费划款指令，基金托管人复核后于次月首日起3个工作日内从基金财产中一次性支付给基金托管人。若遇法定节假日、休息日，支付日期顺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本基金A类基金份额不收取销售服务费，C类基金份额的销售服务费按前一日C类基金资产净值的0.6%年费率计提。计算方法如下：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H＝E×0.6%÷当年天数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顺延至最近可支付日支付。费用自动扣划后，管理人应进行核对，如发现数据不符，及时联系托管人协商解决。</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C类基金份额的销售服务费将专门用于本基金的市场推广、销售与基金份额持有人服务。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（4）除管理费、托管费和销售服务费之外的基金费用由基金托管人根据其他有关法规及相应协议的规定，按费用支出金额支付，列入或摊入当期基金费用。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本基金转换费的费率水平、计算公式和收取方式详见“基金的转换”一章。</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（三）不列入基金费用的项目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基金管理人和基金托管人因未履行或未完全履行义务导致的费用支出或基金财产的损失，以及处理与基金运作无关的事项发生的费用等不列入基金费用。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基金合同生效前所发生的信息披露费、会计师费、律师费及其他费用，不得从基金财产中列支。</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（四）基金管理费、托管费和销售服务费的调整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可根据基金发展情况调整基金管理费率、基金托管费率和销售服务费率。降低基金管理费率、基金托管费率和销售服务费率，无须召开基金份额持有人大会。基金管理人必须最迟于新的费率实施日2日前在指定媒介上刊登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（五）实施侧袋机制期间的基金费用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本基金实施侧袋机制的，与侧袋账户有关的费用可以从侧袋账户中列支，但应待侧袋账户资产变现后方可列支，有关费用可酌情收取或减免，但不得收取管理费，详见招募说明书“侧袋机制”部分的规定。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（六）基金税收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基金和基金份额持有人根据国家法律法规的规定，履行纳税义务。</w:t>
      </w:r>
    </w:p>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00FB" w:rsidRDefault="00A2121F">
      <w:pPr>
        <w:pStyle w:val="1"/>
        <w:snapToGrid w:val="0"/>
        <w:spacing w:beforeLines="0" w:before="240" w:after="240"/>
        <w:rPr>
          <w:rFonts w:ascii="宋体" w:hAnsi="宋体"/>
          <w:szCs w:val="30"/>
        </w:rPr>
      </w:pPr>
      <w:bookmarkStart w:id="19" w:name="_Toc137828552"/>
      <w:r>
        <w:rPr>
          <w:rFonts w:ascii="Times New Roman" w:hAnsi="Times New Roman"/>
          <w:sz w:val="30"/>
        </w:rPr>
        <w:lastRenderedPageBreak/>
        <w:t>十六、基金的会计与审计</w:t>
      </w:r>
      <w:bookmarkEnd w:id="19"/>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（一）基金会计政策</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1、基金管理人为本基金的会计责任方；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2、基金的会计年度为公历每年的1月1日至12月31日；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3、本基金的会计核算以人民币为记账本位币，以人民币元为记账单位；</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6、基金管理人保留完整的会计账目、凭证并进行日常的会计核算，按照有关规定编制基金会计报表；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7、基金托管人定期与基金管理人就基金的会计核算、报表编制等进行核对并书面确认。</w:t>
      </w:r>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（二）基金的审计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1、基金管理人聘请具有从事证券、期货相关业务资格的会计师事务所及其注册会计师对本基金年度财务报表及其他规定事项进行审计。会计师事务所及其注册会计师与基金管理人、基金托管人相互独立。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2、会计师事务所更换经办注册会计师时，应事先征得基金管理人同意。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或基金托管人）认为有充足理由更换会计师事务所，经基金托管人（或基金管理人）同意后可以更换。就更换会计师事务所，基金管理人应当依照《信息披露办法》的有关规定在指定媒介上公告。</w:t>
      </w:r>
    </w:p>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00FB" w:rsidRDefault="00A2121F">
      <w:pPr>
        <w:pStyle w:val="1"/>
        <w:snapToGrid w:val="0"/>
        <w:spacing w:beforeLines="0" w:before="240" w:after="240"/>
        <w:rPr>
          <w:rFonts w:ascii="宋体" w:hAnsi="宋体"/>
          <w:szCs w:val="30"/>
        </w:rPr>
      </w:pPr>
      <w:bookmarkStart w:id="20" w:name="_Toc137828553"/>
      <w:r>
        <w:rPr>
          <w:rFonts w:ascii="Times New Roman" w:hAnsi="Times New Roman"/>
          <w:sz w:val="30"/>
        </w:rPr>
        <w:lastRenderedPageBreak/>
        <w:t>十七、基金的信息披露</w:t>
      </w:r>
      <w:bookmarkEnd w:id="20"/>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信息披露应符合《基金法》、《运作办法》、《信息披露办法》、《流动性规定》、基金合同及其他有关规定。基金管理人、基金托管人和其他基金信息披露义务人应当以保护基金份额持有人利益为根本出发点，依法披露基金信息，并保证所披露信息的真实性、准确性、完整性、及时性、简明性和易得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本基金信息披露义务人承诺公开披露的基金信息，不得有下列行为：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本基金公开披露的信息应采用中文文本。同时采用外文文本的，基金信息披露义务人应保证不同文本的内容一致。不同文本之间发生歧义的，以中文文本为准。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(一)招募说明书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招募说明书是基金向社会公开销售时对基金情况进行说明的法律文件。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(二)基金合同、托管协议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基金管理人应在基金份额发售的3日前，将基金合同摘要登载在指定报刊和网站上；基金管理人、基金托管人应将基金合同、托管协议登载在各自网站上。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(三)基金产品资料概要</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(四)基金份额发售公告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基金管理人将按照《基金法》、《信息披露办法》的有关规定，就基金份额发售的具体事宜编制基金份额发售公告，并在披露招募说明书的当日登载于指定报刊和网站上。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(五)基金合同生效公告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基金管理人将在基金合同生效的次日在指定报刊和网站上登载基金合同生效公告。基金合同生效公告中将说明基金募集情况。</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(六)基金净值信息</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1、《基金合同》生效后，在开始办理基金份额申购或者赎回前，基金管理人应当至少每周在指定网站分别披露一次A类基金份额和C类基金份额所对应的基金份额净值和基金份额累计净值；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开始办理基金份额申购或者赎回后，基金管理人应当在不晚于每个开放日的次日，通过指定网站、销售机构网站或者营业网点分别披露开放日A类基金份额和C类基金份额所对应的基金份额净值和基金份额累计净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3、基金管理人应当在不晚于半年度和年度最后一日的次日，在指定网站披露半年度和年度最后一日A类基金份额和C类基金份额所对应的基金份额净值和基金份额累计净值。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(七)基金份额申购、赎回价格公告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(八)基金年度报告、基金中期报告、基金季度报告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2、基金管理人应当在上半年结束之日起两个月内，编制完成基金中期报告，将中期报告登载在指定网站上，并将中期报告提示性公告登载在指定报刊上；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3、基金管理人应当在季度结束之日起15个工作日内，编制完成基金季度报告，将季度报告登载在指定网站上，并将季度报告提示性公告登载在指定报刊上；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4、《基金合同》生效不足2个月的，基金管理人可以不编制当期季度报告、中期报告或者年度报告。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6、基金管理人应当在基金年度报告和中期报告中披露基金组合资产情况及其流动性风险分析等。</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(九)临时报告与公告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在基金运作过程中发生如下可能对基金份额持有人权益或者基金份额的价格产生重大影响的事件时，有关信息披露义务人应当在2日内编制临时报告书，登载在指定报刊和指定网站上：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w:t>
      </w:r>
      <w:r>
        <w:rPr>
          <w:rFonts w:ascii="宋体" w:hAnsi="宋体"/>
          <w:sz w:val="24"/>
        </w:rPr>
        <w:lastRenderedPageBreak/>
        <w:t>变更；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22、本基金增加或调整基金份额类别；</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23、基金信息披露义务人认为可能对基金份额持有人权益或者基金份额的价格产生重大影响的其他事项或中国证监会规定的其他事项。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(十)澄清公告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(十一)基金份额持有人大会决议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(十二)清算报告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(十三)实施侧袋机制期间的信息披露</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本基金实施侧袋机制的，相关信息披露义务人应当根据法律法规、基金合同和招募说明书的规定进行信息披露，详见招募说明书“侧袋机制”部分的规定。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(十四)信息披露事务管理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基金信息披露义务人公开披露基金信息，应当符合中国证监会相关基金信息披露内容与格式准则等法规规定。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w:t>
      </w:r>
      <w:r>
        <w:rPr>
          <w:rFonts w:ascii="宋体" w:hAnsi="宋体"/>
          <w:sz w:val="24"/>
        </w:rPr>
        <w:lastRenderedPageBreak/>
        <w:t>财产中列支。</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(十五)中国证监会规定的其他信息</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(十六)信息披露文件的存放与查阅</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(十七)本基金信息披露事项以法律法规规定及本章节约定的内容为准。</w:t>
      </w:r>
    </w:p>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00FB" w:rsidRDefault="00A2121F">
      <w:pPr>
        <w:pStyle w:val="1"/>
        <w:snapToGrid w:val="0"/>
        <w:spacing w:beforeLines="0" w:before="240" w:after="240"/>
        <w:rPr>
          <w:rFonts w:ascii="宋体" w:hAnsi="宋体"/>
          <w:szCs w:val="30"/>
        </w:rPr>
      </w:pPr>
      <w:bookmarkStart w:id="21" w:name="_Toc137828554"/>
      <w:r>
        <w:rPr>
          <w:rFonts w:ascii="Times New Roman" w:hAnsi="Times New Roman"/>
          <w:sz w:val="30"/>
        </w:rPr>
        <w:lastRenderedPageBreak/>
        <w:t>十八、侧袋机制</w:t>
      </w:r>
      <w:bookmarkEnd w:id="21"/>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（一）侧袋机制的实施条件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（二）实施侧袋机制期间基金份额的申购与赎回</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（三）实施侧袋机制期间的基金投资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（四）实施侧袋机制期间的基金估值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（五）实施侧袋账户期间的基金费用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1、本基金实施侧袋机制的，管理费和托管费按主袋账户基金资产净值作为基数计提。</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（六）侧袋账户中特定资产的处置变现和支付</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（七）侧袋机制的信息披露</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rsidR="00AC00FB" w:rsidRDefault="00A2121F">
      <w:pPr>
        <w:pStyle w:val="1"/>
        <w:snapToGrid w:val="0"/>
        <w:spacing w:beforeLines="0" w:before="240" w:after="240"/>
        <w:rPr>
          <w:rFonts w:ascii="宋体" w:hAnsi="宋体"/>
          <w:szCs w:val="30"/>
        </w:rPr>
      </w:pPr>
      <w:bookmarkStart w:id="22" w:name="_Toc137828555"/>
      <w:r>
        <w:rPr>
          <w:rFonts w:ascii="Times New Roman" w:hAnsi="Times New Roman"/>
          <w:sz w:val="30"/>
        </w:rPr>
        <w:lastRenderedPageBreak/>
        <w:t>十九、风险揭示</w:t>
      </w:r>
      <w:bookmarkEnd w:id="22"/>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w:t>
      </w:r>
      <w:r>
        <w:rPr>
          <w:rFonts w:ascii="宋体" w:hAnsi="宋体"/>
          <w:sz w:val="24"/>
        </w:rPr>
        <w:lastRenderedPageBreak/>
        <w:t>担。</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2、经济周期风险。证券市场受宏观经济运行的影响，而经济运行具有周期性的特点，而宏观经济运行状况将对证券市场的收益水平产生影响，从而对基金收益造成影响。</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w:t>
      </w:r>
      <w:r>
        <w:rPr>
          <w:rFonts w:ascii="宋体" w:hAnsi="宋体"/>
          <w:sz w:val="24"/>
        </w:rPr>
        <w:lastRenderedPageBreak/>
        <w:t>果基金资产变现能力差，可能会产生基金仓位调整的困难，导致流动性风险，可能影响基金份额净值。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内的基金份额净赎回申请(赎回申请份额总数加上基金转换中转出申请份额总数后扣除申购申请份额总数及基金转换中转入申请份额总数后的余额)超过上一开放日的基金总份额的10%，即认为是发生了巨额赎回。</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当基金出现巨额赎回时，基金管理人可以根据本基金当时的资产组合状况决定全额赎回或部分延期赎回。</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w:t>
      </w:r>
      <w:r>
        <w:rPr>
          <w:rFonts w:ascii="宋体" w:hAnsi="宋体"/>
          <w:sz w:val="24"/>
        </w:rPr>
        <w:lastRenderedPageBreak/>
        <w:t>赎回处理。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确认成功的赎回申请可以延缓支付赎回款项，但不得超过20个工作日，并应当在指定媒介上进行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基金管理人将根据主袋账户运作情况合理确定申购政策, 因此实施侧袋机制后主袋账户份额存在暂停申购的可能。</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（四）信用风险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基金在交易过程发生交收违约，或者基金所投资债券之发行人出现违约、拒绝支付到期本息，都可能导致基金资产损失和收益变化，从而产生风险。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（五）本基金投资策略所特有的风险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混合型基金，通过在股票、债券和现金等各类资产之间进行配置来降低风险，提高收益。如果债券市场和股票市场同时出现整体下跌，本基金的净值表现将受到影响。基金虽然采用自上而下资产配置的投资策略，但并不能完全抵御两个市场同时下跌的风险。此外，在股市大幅上涨时也不能完全保证基金净值能够完全跟随或超越大盘走势。</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对大类资产进行灵活配置适时调整的前提下，将主要通过前瞻性的主题优选，投资于预期具有良好增长前景的优势行业和把握个股投资机会。在选股策略上本基金特有的风险主要来自两个方面：一是对行业及上市公司的基本面研究是否准确、深入，二是对行业和股票的优选和判断是否科学、准确。基本面研究及上市企业分析的错误均可能导致所选择的证券不能完全符合本基金的预期目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本基金可投资创业板股票，创业板个股上市后的前五个交易日不设价格涨跌幅限制，第六个交易日开始涨跌幅限制比例为20%。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（六）投资科创板股票的特定风险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w:t>
      </w:r>
      <w:r>
        <w:rPr>
          <w:rFonts w:ascii="宋体" w:hAnsi="宋体"/>
          <w:sz w:val="24"/>
        </w:rPr>
        <w:lastRenderedPageBreak/>
        <w:t>盈利、现金流、估值均存在不确定性，与传统二级市场投资存在差异，整体投资难度加大，个股市场风险加大。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（七）投资存托凭证的特定风险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w:t>
      </w:r>
      <w:r>
        <w:rPr>
          <w:rFonts w:ascii="宋体" w:hAnsi="宋体"/>
          <w:sz w:val="24"/>
        </w:rPr>
        <w:lastRenderedPageBreak/>
        <w:t>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（八）其他风险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00FB" w:rsidRDefault="00A2121F">
      <w:pPr>
        <w:pStyle w:val="1"/>
        <w:snapToGrid w:val="0"/>
        <w:spacing w:beforeLines="0" w:before="240" w:after="240"/>
        <w:rPr>
          <w:rFonts w:ascii="宋体" w:hAnsi="宋体"/>
          <w:szCs w:val="30"/>
        </w:rPr>
      </w:pPr>
      <w:bookmarkStart w:id="23" w:name="_Toc137828556"/>
      <w:r>
        <w:rPr>
          <w:rFonts w:ascii="Times New Roman" w:hAnsi="Times New Roman"/>
          <w:sz w:val="30"/>
        </w:rPr>
        <w:lastRenderedPageBreak/>
        <w:t>二十、基金合同的终止与基金财产的清算</w:t>
      </w:r>
      <w:bookmarkEnd w:id="23"/>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（一）基金合同的终止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有下列情形之一的，基金合同经中国证监会核准后将终止：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2、基金管理人因解散、破产、撤销等事由，不能继续担任基金管理人的职务，而在6个月内无其他适当的基金管理公司承接其原有权利义务；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3、基金托管人因解散、破产、撤销等事由，不能继续担任基金托管人的职务，而在6个月内无其他适当的托管机构承接其原有权利义务；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4、中国证监会规定的其他情形。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基金合同终止时，基金管理人应予公告并组织清算小组对基金财产进行清算。</w:t>
      </w:r>
    </w:p>
    <w:p w:rsidR="00AC00FB" w:rsidRDefault="00A2121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（二）基金财产的清算</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(1)基金合同终止时，成立基金财产清算组，基金财产清算组在中国证监会的监督下进行基金清算。</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(2)基金财产清算组成员由基金管理人、基金托管人、具有从事证券相关业务资格的注册会计师、律师以及中国证监会指定的人员组成。基金财产清算组可以聘用必要的工作人员。</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(3)基金财产清算组负责基金财产的保管、清理、估价、变现和分配。基金财产清算组可以依法进行必要的民事活动。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2、基金财产清算程序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基金合同终止，应当按法律法规和基金合同的有关规定对基金财产进行清算。基金财产清算程序主要包括：</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(1)基金合同终止后，发布基金财产清算公告；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(2)基金合同终止时，由基金财产清算组统一接管基金财产；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(3)对基金财产进行清理和确认；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(4)对基金财产进行估价和变现；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(5)聘请会计师事务所对清算报告进行审计；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(6)聘请律师事务所出具法律意见书；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(7)将基金财产清算结果报告中国证监会；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(8)参加与基金财产有关的民事诉讼；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(9)公布基金财产清算结果；</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(10)对基金剩余财产进行分配。</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3、清算费用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清算费用是指基金财产清算组在进行基金财产清算过程中发生的所有合理费用，清算费用由基金财产清算组优先从基金财产中支付。</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4、基金财产按下列顺序清偿：</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(1)支付清算费用；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(2)交纳所欠税款；</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(3)清偿基金债务；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(4)按基金份额持有人持有的基金份额比例进行分配。</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基金财产未按前款(1)－(3)项规定清偿前，不分配给基金份额持有人。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6、基金财产清算账册及文件的保存</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00FB" w:rsidRDefault="00A2121F">
      <w:pPr>
        <w:pStyle w:val="1"/>
        <w:snapToGrid w:val="0"/>
        <w:spacing w:beforeLines="0" w:before="240" w:after="240"/>
        <w:rPr>
          <w:rFonts w:ascii="宋体" w:hAnsi="宋体"/>
          <w:szCs w:val="30"/>
        </w:rPr>
      </w:pPr>
      <w:bookmarkStart w:id="24" w:name="_Toc137828557"/>
      <w:r>
        <w:rPr>
          <w:rFonts w:ascii="Times New Roman" w:hAnsi="Times New Roman"/>
          <w:sz w:val="30"/>
        </w:rPr>
        <w:lastRenderedPageBreak/>
        <w:t>二十一、基金合同的内容摘要</w:t>
      </w:r>
      <w:bookmarkEnd w:id="24"/>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（一）基金合同当事人及权利义务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根据《基金法》及其他有关法律法规，基金管理人的权利为：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（1）自本基金合同生效之日起，依照有关法律法规和本基金合同的规定独立运用基金财产；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（2）依照基金合同获得基金管理费以及法律法规规定或监管部门批准的其他收入；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（3）发售基金份额；</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（4）依照有关规定行使因基金财产投资于证券所产生的权利；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根据本基金合同及有关规定监督基金托管人，对于基金托管人违反了本基金合同或有关法律法规规定的行为，对基金财产、其他基金合同当事人的利益造成重大损失的情形，应及时呈报中国证监会，并采取必要措施保护基金及相关当事人的利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（7）在基金合同约定的范围内，拒绝或暂停受理申购和赎回申请；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（8）在法律法规允许的前提下，为基金的利益依法为基金进行融资、融券；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（9）自行担任或选择、更换注册登记机构，获取基金份额持有人名册，并对注册登记机构的代理行为进行必要的监督和检查；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（10）选择、更换代销机构，并依据基金销售服务代理协议和有关法律法规，对其行为进行必要的监督和检查；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（11）选择、更换律师、审计师、证券经纪商或其他为基金提供服务的外部机构；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（12）在基金托管人更换时，提名新的基金托管人；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（13）依法召集基金份额持有人大会；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（14）法律法规和基金合同规定的其他权利。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根据《基金法》及其他有关法律法规，基金管理人的义务为：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（3）自基金合同生效之日起，以诚实信用、勤勉尽责的原则管理和运用基金财产；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（5）建立健全内部风险控制、监察与稽核、财务管理及人事管理等制度，保证所管理的基金财产和管理人的财产相互独立，对所管理的不同基金分别管理，分别记账，进行证券投资；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（6）除依据《基金法》、基金合同及其他有关规定外，不得为自己及任何第三人谋取利益，不得委托第三人运作基金财产；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（8）计算并公告基金净值信息，确定基金份额申购、赎回价格；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（9）采取适当合理的措施使计算基金份额认购、申购、赎回和注销价格的方法符合基金合同等法律文件的规定；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（10）按规定受理申购和赎回申请，及时、足额支付赎回款项；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（11）进行基金会计核算并编制基金财务会计报告；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（12）编制季度报告、中期报告和年度报告；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（13）严格按照《基金法》、基金合同及其他有关规定，履行信息披露及报告义务；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（14）保守基金商业秘密，不得泄露基金投资计划、投资意向等，除《基金法》、基金合同及其他有关规定另有规定外，在基金信息公开披露前应予保密，不得向他人泄露；</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（15）按照基金合同的约定确定基金收益分配方案，及时向基金份额持有人分配收益；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（16）依据《基金法》、基金合同及其他有关规定召集基金份额持有人大会或配合基金托管人、基金份额持有人依法召集基金份额持有人大会；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（17）保存基金财产管理业务活动的记录、账册、报表和其他相关资料；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（18）以基金管理人名义，代表基金份额持有人利益行使诉讼权利或者实施其他法律行为；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（19）组织并参加基金财产清算小组，参与基金财产的保管、清理、估价、变现和分配；</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（20）因违反基金合同导致基金财产的损失或损害基金份额持有人合法权益，应当承担赔偿责任，其赔偿责任不因其退任而免除；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（21）基金托管人违反基金合同造成基金财产损失时，应为基金份额持有人利益向基金托管人追偿；</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（22）按规定向基金托管人提供基金份额持有人名册资料；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（23）面临解散、依法被撤销或者被依法宣告破产时，及时报告中国证监会并通知基金托管人；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（24）执行生效的基金份额持有人大会决议；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（25）不从事任何有损基金及其他基金当事人利益的活动；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（26）依照法律法规为基金的利益对被投资公司行使股东权利，为基金的利益行使因基金财产投资于证券所产生的权利，不谋求对上市公司的控股和直接管理；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（27）法律法规、中国证监会和基金合同规定的其他义务。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根据《基金法》及其他有关法律法规，基金托管人的权利为：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（1）依基金合同约定获得基金托管费以及法律法规规定或监管部门批准的其他收入；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（2）监督基金管理人对本基金的投资运作；</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（3）自本基金合同生效之日起，依法保管基金资产；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（4）在基金管理人更换时，提名新任基金管理人；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（6）依法召集基金份额持有人大会；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（7）按规定取得基金份额持有人名册资料；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（8）法律法规和基金合同规定的其他权利。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根据《基金法》及其他有关法律法规，基金托管人的义务为：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（1）安全保管基金财产；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（2）设立专门的基金托管部，具有符合要求的营业场所，配备足够的、合格的熟悉基金托管业务的专职人员，负责基金财产托管事宜；</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（3）对所托管的不同基金财产分别设置账户，确保基金财产的完整与独立；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（4）除依据《基金法》、基金合同及其他有关规定外，不得为自己及任何第三人谋取利益，不得委托第三人托管基金财产；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（7）保守基金商业秘密，除《基金法》、基金合同及其他有关规定另有规定外，在基金信息公开披露前应予保密，不得向他人泄露；</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（9）保存基金托管业务活动的记录、账册、报表和其他相关资料；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（10）按照基金合同的约定，根据基金管理人的投资指令，及时办理清算、交割事宜；</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（11）办理与基金托管业务活动有关的信息披露事项；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（12）复核、审查基金管理人计算的基金资产净值、各类基金份额净值、基金份额申购、赎回价格；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（13）按照规定监督基金管理人的投资运作；</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（14）按规定制作相关账册并与基金管理人核对；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（15）依据基金管理人的指令或有关规定向基金份额持有人支付基金收益和赎回款项；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（16）按照规定召集基金份额持有人大会或配合基金管理人、基金份额持有人依法召集基金份额持有人大会；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（17）因违反基金合同导致基金财产损失，应承担赔偿责任，其赔偿责任不因其退任而免除；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（18）基金管理人因违反基金合同造成基金财产损失时，应为基金向基金管理人追偿；</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（19）参加基金财产清算小组，参与基金财产的保管、清理、估价、变现和分</w:t>
      </w:r>
      <w:r>
        <w:rPr>
          <w:rFonts w:ascii="宋体" w:hAnsi="宋体"/>
          <w:sz w:val="24"/>
        </w:rPr>
        <w:lastRenderedPageBreak/>
        <w:t>配；</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（20）面临解散、依法被撤销或者被依法宣告破产时，及时报告中国证监会和银行业监督管理机构，并通知基金管理人；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（21）执行生效的基金份额持有人大会决议；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（22）不从事任何有损基金及其他基金当事人利益的活动；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（23）建立并保存基金份额持有人名册；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（24）法律法规、中国证监会和基金合同规定的其他义务。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根据《基金法》及其他有关法律法规，基金份额持有人的权利为：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（3）依法申请赎回其持有的基金份额；</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（8）对基金管理人、基金托管人、基金份额销售机构损害其合法权益的行为依法提起诉讼；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（9）法律法规和基金合同规定的其他权利。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同一类别的每份基金份额具有同等的合法权益。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根据《基金法》及其他有关法律法规，基金份额持有人的义务为：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（1）遵守法律法规、基金合同及其他有关规定；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（2）交纳基金认购、申购款项及法律法规和基金合同所规定的费用；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（3）在持有的基金份额范围内，承担基金亏损或者基金合同终止的有限责任；</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（4）不从事任何有损基金及其他基金份额持有人合法权益的活动；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（5）执行生效的基金份额持有人大会决议；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（6）返还在基金交易过程中因任何原因，自基金管理人及基金管理人的代理人、基金托管人、代销机构、其他基金份额持有人处获得的不当得利；</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（7）法律法规和基金合同规定的其他义务。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本基金合同当事各方的权利义务以本基金合同为依据，不因基金财产账户名称而有所改变。</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1、基金份额持有人大会由基金份额持有人组成。基金份额持有人持有的每一基金份额具有同等的投票权。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2、召开事由</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当出现或需要决定下列事由之一的，经基金管理人、基金托管人或持有基金份额10%以上(含10%，下同)的基金份额持有人(以基金管理人收到提议当日的基金份额计算，下同)提议时，应当召开基金份额持有人大会：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（2）转换基金运作方式；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（3）变更基金类别；</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（4）变更基金投资目标、投资范围或投资策略；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（5）变更基金份额持有人大会程序；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（6）更换基金管理人、基金托管人；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（7）提高基金管理人、基金托管人的报酬标准或提高销售服务费率，但法律法规要求提高该等报酬标准的除外；</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（8）本基金与其他基金的合并；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（9）对基金合同当事人权利、义务产生重大影响的其他事项；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（10）法律法规、基金合同或中国证监会规定的其他情形。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出现以下情形之一的，可由基金管理人和基金托管人协商后修改基金合同，不需召开基金份额持有人大会：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（1）调低基金管理费、基金托管费、销售服务费和其他应由基金承担的费用；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（2）在法律法规和本基金合同规定的范围内变更基金的申购费率、降低赎回费率或变更收费方式；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（3）调整基金份额类别设置、对基金份额分类办法及规则进行调整；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（4）因相应的法律法规发生变动必须对基金合同进行修改；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（5）对基金合同的修改不涉及本基金合同当事人权利义务关系发生重大变</w:t>
      </w:r>
      <w:r>
        <w:rPr>
          <w:rFonts w:ascii="宋体" w:hAnsi="宋体"/>
          <w:sz w:val="24"/>
        </w:rPr>
        <w:lastRenderedPageBreak/>
        <w:t>化；</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（6）基金合同的修改对基金份额持有人利益无实质性不利影响；</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（7）按照法律法规或本基金合同规定不需召开基金份额持有人大会的其他情形。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3、召集人和召集方式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（1）除法律法规或本基金合同另有约定外，基金份额持有人大会由基金管理人召集。基金管理人未按规定召集或者不能召集时，由基金托管人召集。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（5）基金份额持有人依法自行召集基金份额持有人大会的，基金管理人、基金托管人应当配合，不得阻碍、干扰。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4、召开基金份额持有人大会的通知时间、通知内容、通知方式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以下简称“召集人”)负责选择确定开会时间、地点、方式和权益登记日。召开基金份额持有人大会，召集人必须于会议召开日前30日在指定媒介公告。基金份额持有人大会通知须至少载明以下内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（1）会议召开的时间、地点和出席方式；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（2）会议拟审议的主要事项；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（3）会议形式；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（4）议事程序；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（5）有权出席基金份额持有人大会的基金份额持有人权益登记日；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（6）代理投票的授权委托证明的内容要求(包括但不限于代理人身份、代理权限和代理有效期限等)、送达时间和地点；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（7）表决方式；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（8）会务常设联系人姓名、电话；</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（9）出席会议者必须准备的文件和必须履行的手续；</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（10）召集人需要通知的其他事项。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5、基金份额持有人出席会议的方式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1）基金份额持有人大会的召开方式包括现场开会和通讯方式开会。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2）现场开会由基金份额持有人本人出席或通过授权委托委派其代理人出席，现场开会时基金管理人和基金托管人的授权代表应当出席，如基金管理人或基金托管人拒不派代表出席的，不影响表决效力。</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3）通讯方式开会指按照本基金合同的相关规定以通讯的书面方式进行表决。</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5）会议的召开方式由召集人确定。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（2）召开基金份额持有人大会的条件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在同时符合以下条件时，现场会议方可举行：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①对到会者在权益登记日持有基金份额的统计显示，全部有效凭证所对应的基金份额应占权益登记日基金总份额的50%以上(含50%，下同)；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在同时符合以下条件时，通讯会议方可举行：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①召集人按本基金合同规定公布会议通知后，在2个工作日内连续公布相关提示性公告；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②召集人按基金合同规定通知基金托管人或/和基金管理人(分别或共同称为“监督人”)到指定地点对书面表决意见的计票进行监督；</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③召集人在监督人和公证机关的监督下按照会议通知规定的方式收取和统计基金份额持有人的书面表决意见，如基金管理人或基金托管人经通知拒不到场监督的，不影响表决效力；</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④本人直接出具书面意见和授权他人代表出具书面意见的基金份额持有人所代表的基金份额占权益登记日基金总份额的50%以上；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⑤直接出具书面意见的基金份额持有人或受托代表他人出具书面意见的代理人提交的持有基金份额的凭证、授权委托证明等文件符合法律法规、基金合同和会议通知的规定，并与注册登记机构记录相符。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6、议事内容与程序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1）议事内容为本基金合同规定的召开基金份额持有人大会事由所涉及的内容。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2）基金管理人、基金托管人、单独或合并持有权益登记日本基金总份额10%以上的基金份额持有人可以在大会召集人发出会议通知前就召开事由向大会召集人提交需由基金份额持有人大会审议表决的提案。</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3）对于基金份额持有人提交的提案，大会召集人应当按照以下原则对提案进行审核：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5）基金份额持有人大会的召集人发出召开会议的通知后，如果需要对原有提案进行修改，应当在基金份额持有人大会召开前30日及时公告。否则，会议的召开日期应当顺延并保证至少与公告日期有30日的间隔期。</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召集人应当制作出席会议人员的签名册。签名册载明参加会议人员姓名(或单位名称)、身份证号码、持有或代表有表决权的基金份额数量、委托人姓名(或单位名称)等事项。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2）通讯方式开会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表决开会的方式下，首先由召集人提前30日公布提案，在所通知的表决截止日期后第2个工作日在公证机关及监督人的监督下由召集人统计全部有效表决并形成决议。如监督人经通知但拒绝到场监督，则在公证机关监督下形成的决议有效。</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（3）基金份额持有人大会不得对未事先公告的议事内容进行表决。</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7、决议形成的条件、表决方式、程序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（1）基金份额持有人所持每一基金份额享有平等的表决权。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（2）基金份额持有人大会决议分为一般决议和特别决议：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一般决议须经出席会议的基金份额持有人（或其代理人）所持表决权的50%以上通过方为有效，除下列2）所规定的须以特别决议通过事项以外的其他事项均以一般决议的方式通过；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别决议须经出席会议的基金份额持有人(或其代理人)所持表决权的三分之二以上(含三分之二)通过方为有效；涉及更换基金管理人、更换基金托管人、转换基金运作方式、终止基金合同必须以特别决议通过方为有效。</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（3）基金份额持有人大会决定的事项，应当依法报中国证监会核准或者备案，并予以公告。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（5）基金份额持有人大会采取记名方式进行投票表决。</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（6）基金份额持有人大会的各项提案或同一项提案内并列的各项议题应当分开审议、逐项表决。</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8、计票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1）如基金份额持有人大会由基金管理人或基金托管人召集，则基金份额持有人大会的主持人应当在会议开始后宣布在出席会议的基金份额持有人和代理人中推</w:t>
      </w:r>
      <w:r>
        <w:rPr>
          <w:rFonts w:ascii="宋体" w:hAnsi="宋体"/>
          <w:sz w:val="24"/>
        </w:rPr>
        <w:lastRenderedPageBreak/>
        <w:t>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2）监票人应当在基金份额持有人表决后立即进行清点，由大会主持人当场公布计票结果。</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（2）通讯方式开会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9、基金份额持有人大会决议报中国证监会核准或备案后的公告时间、方式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通过的一般决议和特别决议，召集人应当自通过之日起5日内报中国证监会核准或者备案。基金份额持有人大会决定的事项自中国证监会依法核准或者出具无异议意见之日起生效。关于本章第2条所规定的第(1)-(8)项召开事由的基金份额持有人大会决议经中国证监会核准生效后方可执行，关于本章第2条所规定的第(9)、(10)项召开事由的基金份额持有人大会决议经中国证监会核准或出具无异议意见后方可执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（2）生效的基金份额持有人大会决议对全体基金份额持有人、基金管理人、基金托管人均有约束力。基金管理人、基金托管人和基金份额持有人应当执行生效的基金份额持有人大会决议。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（3）基金份额持有人大会决议应自生效之日起2日内在指定媒介公告。如果采用通讯方式进行表决，在公告基金份额持有人大会决议时，必须将公证书全文、公证机构、公证员姓名等一同公告。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10、实施侧袋机制期间基金份额持有人大会的特殊约定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（3）通讯开会的直接出具书面表决意见或授权他人代表出具书面表决意见的基金份额持有人所持有的基金份额不小于在权益登记日相关基金份额的二分之一（含二分之一）；</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11、法律法规或监管部门对基金份额持有人大会另有规定的，从其规定。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（三）基金合同的变更、终止与基金财产的清算</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（1）基金合同变更内容对基金合同当事人权利、义务产生重大影响的，应召开基金份额持有人大会，基金合同变更的内容应经基金份额持有人大会决议同意。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1)转换基金运作方式；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2)变更基金类别；</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3)变更基金投资目标、投资范围或投资策略；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4)变更基金份额持有人大会程序；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5)更换基金管理人、基金托管人；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6)提高基金管理人、基金托管人的报酬标准或提高销售服务费率。但根据适用的相关规定提高该等报酬标准的除外；</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8)对基金合同当事人权利、义务产生重大影响的其他事项；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9)法律法规、基金合同或中国证监会规定的其他情形。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但出现下列情况时，可不经基金份额持有人大会决议，由基金管理人和基金托管人同意变更后公布，并报中国证监会备案：</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1)调低基金管理费、基金托管费、销售服务费和其他应由基金承担的费用；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2)在法律法规和本基金合同规定的范围内变更基金的申购费率、降低赎回费率或变更收费方式；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3)调整基金份额类别设置、对基金份额分类办法及规则进行调整；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4)因相应的法律法规发生变动必须对基金合同进行修改；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5)对基金合同的修改不涉及本基金合同当事人权利义务关系发生重大变化；</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6)基金合同的修改对基金份额持有人利益无实质性不利影响；</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7)按照法律法规或本基金合同规定不需召开基金份额持有人大会的其他情形。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（2）关于变更基金合同的基金份额持有人大会决议应报中国证监会核准或备案，并于中国证监会核准或出具无异议意见后生效执行，并自生效之日起2日内在指定媒介公告。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2、本基金合同的终止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有下列情形之一的，本基金合同经中国证监会核准后将终止：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（2）基金管理人因解散、破产、撤销等事由，不能继续担任基金管理人的职务，而在6个月内无其他适当的基金管理公司承接其原有权利义务；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（3）基金托管人因解散、破产、撤销等事由，不能继续担任基金托管人的职务，而在6个月内无其他适当的托管机构承接其原有权利义务；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（4）中国证监会规定的其他情况。</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1)基金合同终止时，成立基金财产清算组，基金财产清算组在中国证监会的监督下进行基金清算。</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2)基金财产清算组成员由基金管理人、基金托管人、具有从事证券相关业务资格的注册会计师、律师以及中国证监会指定的人员组成。基金财产清算组可以聘用必要的工作人员。</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3)基金财产清算组负责基金财产的保管、清理、估价、变现和分配。基金财产清算组可以依法进行必要的民事活动。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（2）基金财产清算程序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基金合同终止，应当按法律法规和本基金合同的有关规定对基金财产进行清算。基金财产清算程序主要包括：</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1)基金合同终止后，发布基金财产清算公告；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2)基金合同终止时，由基金财产清算组统一接管基金财产；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3)对基金财产进行清理和确认；</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4)对基金财产进行估价和变现；</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5)聘请会计师事务所对清算报告进行审计；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6)聘请律师事务所出具法律意见书；</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7)将基金财产清算结果报告中国证监会；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8)参加与基金财产有关的民事诉讼；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9)公布基金财产清算结果；</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10)对基金剩余财产进行分配。</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（3）清算费用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清算费用是指基金财产清算组在进行基金财产清算过程中发生的所有合理费用，清算费用由基金财产清算组优先从基金财产中支付。</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（4）基金财产按下列顺序清偿：</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1)支付清算费用；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2)交纳所欠税款；</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3)清偿基金债务；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4)按基金份额持有人持有的基金份额比例进行分配。</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基金财产未按前款1)－3)项规定清偿前，不分配给基金份额持有人。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（6）基金财产清算账册及文件的保存</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（四）争议的处理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本基金合同受中华人民共和国法律管辖。</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（五）基金合同存放地和投资者取得基金合同的方式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本基金合同正本一式八份，除中国证监会和银行业监督管理机构各持两份外，基金管理人和基金托管人各持有两份。每份均具有同等的法律效力。</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本基金合同可印制成册，供投资人在基金管理人、基金托管人、代销机构和注册登记机构办公场所查阅，但其效力应以基金合同正本为准。</w:t>
      </w:r>
    </w:p>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00FB" w:rsidRDefault="00A2121F">
      <w:pPr>
        <w:pStyle w:val="1"/>
        <w:snapToGrid w:val="0"/>
        <w:spacing w:beforeLines="0" w:before="240" w:after="240"/>
        <w:rPr>
          <w:rFonts w:ascii="宋体" w:hAnsi="宋体"/>
          <w:szCs w:val="30"/>
        </w:rPr>
      </w:pPr>
      <w:bookmarkStart w:id="25" w:name="_Toc137828558"/>
      <w:r>
        <w:rPr>
          <w:rFonts w:ascii="Times New Roman" w:hAnsi="Times New Roman"/>
          <w:sz w:val="30"/>
        </w:rPr>
        <w:lastRenderedPageBreak/>
        <w:t>二十二、托管协议的内容摘要</w:t>
      </w:r>
      <w:bookmarkEnd w:id="25"/>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名称：中国建设银行股份有限公司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办公地址：北京市西城区闹市口大街1号院1号楼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邮政编码：100033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成立日期：2004年09月17日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基金托管业务批准文号：中国证监会证监基字[1998]12号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注册资本：贰仟伍佰亿壹仟零玖拾柒万柒仟肆佰捌拾陆元整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w:t>
      </w:r>
      <w:r>
        <w:rPr>
          <w:rFonts w:ascii="宋体" w:hAnsi="宋体"/>
          <w:sz w:val="24"/>
        </w:rPr>
        <w:lastRenderedPageBreak/>
        <w:t>业监督管理机构等监管部门批准的其他业务。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存托凭证）、债券、货币市场工具、权证、资产支持证券以及法律法规或中国证监会允许基金投资的其他金融工具。如法律法规或监管机构以后允许基金投资的其他品种，基金管理人在履行适当程序后，可以将其纳入投资范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含存托凭证）占基金资产的30%-80%；债券、货币市场工具、现金、权证、资产支持证券以及法律法规或中国证监会允许基金投资的其他证券品种占基金资产的20%-70%，其中基金保留的现金以及投资于到期日在一年以内的政府债券的比例合计不低于基金资产净值的5%，现金不包括结算备付金、存出保证金和应收申购款等。在基金实际管理过程中，基金管理人将根据中国宏观经济情况和证券市场的阶段性变化，适时调整基金资产在股票、债券及货币市场工具等之间的配置比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2、基金托管人根据有关法律法规的规定及基金合同的约定，对基金投资、融资比例进行监督。基金托管人按下述比例和调整期限进行监督：</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(1)本基金持有一家上市公司的股票，其市值不超过基金资产净值的10%；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(2)本基金持有的全部权证，其市值不得超过基金资产净值的3%；</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(3)本基金进入全国银行间同业市场进行债券回购的资金余额不得超过基金资产净值的40%；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(4)本基金的投资组合比例为：股票资产（含存托凭证）占基金资产的30%-80%；债券、货币市场工具、现金、权证、资产支持证券以及法律法规或中国证监会允许基金投资的其他证券品种占基金资产的20%-70%；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(7)本基金持有的同一(指同一信用级别)资产支持证券的比例，不得超过该资产支持证券规模的10%；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(8)本基金应投资于信用级别评级为BBB以上(含BBB)的资产支持证券。基金持有资产支持证券期间，如果其信用等级下降、不再符合投资标准，应在评级报告发布之日起3个月内予以全部卖出；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(9)基金财产参与股票发行申购，本基金所申报的金额不超过本基金的总资产，本基金所申报的股票数量不超过拟发行股票公司本次发行股票的总量；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(10)本基金在任何交易日买入权证的总金额，不得超过上一交易日基金资产净值的0.5%；</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(11)保持不低于基金资产净值5%的现金或者到期日在一年以内的政府债券，其中现金不包括结算备付金、存出保证金和应收申购款等；</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持有的所有流通受限证券，其公允价值不得超过本基金资产净值的15%；本基金持有的同一流通受限证券，其公允价值不得超过本基金资产净值的2%；经基金管理人和基金托管人协商，可对以上比例进行调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(15)本基金与私募类证券资管产品及中国证监会认定的其他主体为交易对手开展逆回购交易的，可接受质押品的资质要求应当与基金合同约定的投资范围保持一致。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（16）本基金投资存托凭证的比例限制依照境内上市交易的股票执行。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如果法律法规对上述投资组合比例限制进行变更的，以变更后的规定为准。法律法规或监管部门取消上述限制，如适用于本基金，则本基金在履行适当程序后不再受相关限制。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除上述第(8)、(11)、(14)、(15)项以外，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基金管理人应当自基金合同生效之日起6个月内使基金的投资组合比例符合基金合同的有关约定。基金托管人对基金的投资的监督与检查自本基金合同生效之日起开始。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3个工作日内与基金托管人协商解决。</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负责对交易对手的资信控制，按银行间债券市场的交易规则进行交易，并负责解决因交易对手不履行合同而造成的纠纷，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5、基金托管人根据有关法律法规的规定及基金合同的约定，对基金管理人投资流通受限证券进行监督。</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本基金投资的受限证券限于可由中国证券登记结算有限责任公司或中央国债登记结算有限责任公司负责登记和存管，并可在证券交易所或全国银行间债券市场交易的证券。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本基金投资受限证券，不得预付任何形式的保证金。</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w:t>
      </w:r>
      <w:r>
        <w:rPr>
          <w:rFonts w:ascii="宋体" w:hAnsi="宋体"/>
          <w:sz w:val="24"/>
        </w:rPr>
        <w:lastRenderedPageBreak/>
        <w:t>行股票相关流动性风险处置预案。</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规定承担所有损失。对本基金因投资受限证券导致的流动性风险，基金托管人不承担任何责任。对由于基金管理人单方面原因致使基金托管人按照相关协议及证监会规定就基金的风险损失承担连带赔偿责任的，基金管理人应赔偿基金托管人由此遭受的损失。</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1）中国证监会批准发行非公开发行股票的批准文件。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2）非公开发行股票有关发行数量、发行价格、锁定期等发行资料。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3）非公开发行股票发行人与中国证券登记结算有限责任公司或中央国债登记结算有限责任公司签订的证券登记及服务协议。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4）基金拟认购的数量、价格、总成本、账面价值。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基金管理人应在本基金投资非公开发行股票后两个交易日内，在中国证监会指定媒介披露所投资非公开发行股票的名称、数量、总成本、账面价值，以及总成本和账面价值占基金资产净值的比例、锁定期等信息。</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本基金有关投资受限证券比例如违反有关限制规定，在合理期限内未能进行及时调整，基金管理人应在两个工作日内编制临时报告书，予以公告。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（5）基金托管人根据有关规定有权对基金管理人进行以下事项监督：</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1）本基金投资受限证券时的法律法规遵守情况。</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2）在基金投资受限证券管理工作方面有关制度、流动性风险处置预案的建立与完善情况。</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3）有关比例限制的执行情况。</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4）信息披露情况。</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（6）相关法律法规对基金投资受限证券有新规定的，从其规定。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6、基金托管人根据有关法律法规的规定及基金合同的约定，对基金资产净值</w:t>
      </w:r>
      <w:r>
        <w:rPr>
          <w:rFonts w:ascii="宋体" w:hAnsi="宋体"/>
          <w:sz w:val="24"/>
        </w:rPr>
        <w:lastRenderedPageBreak/>
        <w:t>计算、各类基金份额净值计算、应收资金到账、基金费用开支及收入确定、基金收益分配、相关信息披露、基金宣传推介材料中登载基金业绩表现数据等进行监督和核查。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9、若基金托管人发现基金管理人依据交易程序已经生效的指令违反法律、行政法规和其他有关规定，或者违反基金合同约定的，应当立即通知基金管理人，由此造成的损失由基金管理人承担。</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和证券账户、复核基金管理人计算的基金资产净值和各类基金份额净值、根据基金管理人指令办理清算交收、相关信息披露和监督基金投资运作等行为。</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w:t>
      </w:r>
      <w:r>
        <w:rPr>
          <w:rFonts w:ascii="宋体" w:hAnsi="宋体"/>
          <w:sz w:val="24"/>
        </w:rPr>
        <w:lastRenderedPageBreak/>
        <w:t>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4）基金托管人对所托管的不同基金财产分别设置账户，确保基金财产的完整与独立。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1）基金募集期间募集的资金应存于中国证券登记结算有限责任公司的基金募集专户。该账户由基金管理人或基金管理人委托的注册登记机构开立并管理。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3）若基金募集期限届满，未能达到基金合同生效的条件，由基金管理人按规定办理退款等事宜。</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1）基金托管人可以基金的名义在其营业机构开立基金的银行账户，并根据基金管理人合法合规的指令办理资金收付。本基金的银行预留印鉴由基金托管人保管和使用。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3）基金银行账户的开立和管理应符合银行业监督管理机构的有关规定。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4）在符合法律法规规定的条件下，基金托管人可以通过基金托管人专用账户办理基金资产的支付。</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5）若中国证监会或其他监管机构在本托管协议订立日之后允许基金从事其他</w:t>
      </w:r>
      <w:r>
        <w:rPr>
          <w:rFonts w:ascii="宋体" w:hAnsi="宋体"/>
          <w:sz w:val="24"/>
        </w:rPr>
        <w:lastRenderedPageBreak/>
        <w:t>投资品种的投资业务，涉及相关账户的开立、使用的，若无相关规定，则基金托管人比照上述关于账户开立、使用的规定执行。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1）因业务发展需要而开立的其他账户，可以根据法律法规和基金合同的规定，由基金托管人负责开立。新账户按有关规定使用并管理。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基金托管人对由基金托管人以外机构实际有效控制的证券不承担保管责任。</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（五）基金资产净值计算与复核</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基金资产净值是指基金资产总值减去负债后的金额。</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各类基金份额的基金份额净值是指该类基金份额的基金资产净值除以该类基金份额总数，基金份额净值的计算，精确到0.0001元，小数点后第五位四舍五入，国家另有规定的，从其规定。</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基金管理人每个工作日计算各类基金份额的基金资产净值及基金份额净值，经基金托管人复核，按规定公告。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基金管理人每工作日对基金资产进行估值后，将各类基金份额净值结果发送基金托管人，经基金托管人复核无误后，由基金管理人对外公布。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各类基金份额的基金资产净值的计算结果对外予以公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（六）基金份额持有人名册的登记与保管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本协议受中华人民共和国法律管辖。</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（八）托管协议的修改与终止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本协议双方当事人经协商一致，可以对协议进行修改。修改后的新协议，其内容不得与基金合同的规定有任何冲突。基金托管协议的变更报中国证监会核准或备案后生效。</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2、基金托管协议终止出现的情形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00FB" w:rsidRDefault="00A2121F">
      <w:pPr>
        <w:pStyle w:val="1"/>
        <w:snapToGrid w:val="0"/>
        <w:spacing w:beforeLines="0" w:before="240" w:after="240"/>
        <w:rPr>
          <w:rFonts w:ascii="宋体" w:hAnsi="宋体"/>
          <w:szCs w:val="30"/>
        </w:rPr>
      </w:pPr>
      <w:bookmarkStart w:id="26" w:name="_Toc137828559"/>
      <w:r>
        <w:rPr>
          <w:rFonts w:ascii="Times New Roman" w:hAnsi="Times New Roman"/>
          <w:sz w:val="30"/>
        </w:rPr>
        <w:lastRenderedPageBreak/>
        <w:t>二十三、对基金份额持有人的服务</w:t>
      </w:r>
      <w:bookmarkEnd w:id="26"/>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本基金管理人承诺为基金份额持有人提供一系列的服务。本基金管理人根据基金份额持有人的需要和市场的变化，有权增加或变更服务项目。主要服务内容如下：</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（一）持有人交易资料的寄送服务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（二）网上直销服务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人可以直接通过本基金管理人网站的网上直销交易平台办理开户、本基金的申购、赎回、转换和定期定额投资等业务。本公司暂不开展网上直销后端基金份额的认/申购业务，通过转托管转入网上直销账户的后端收费模式的A类基金份额只能办理赎回业务。通过网上直销交易平台办理本基金前端A类基金份额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申购、定期定额投资及转换费率表或相关公告。本公司基金网上直销业务已开通的银行卡及各银行卡交易金额限额请参阅本公司网站。</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在条件成熟的时候，本基金管理人将根据基金网上直销交易业务的发展状况，适时调整可用于基金网上直销交易平台的银行卡种类，敬请投资人留意相关公告。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（三）信息咨询、查询服务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赎回等交易情况、分红方式状态、基金账户余额、基金产品与服务等信息，请拨打本基金管理人客户服务电话（400-700-5000，021-61055000）或登录本基金管理人网站（www.fund001.com）进行咨询、查询。</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w:t>
      </w:r>
      <w:r>
        <w:rPr>
          <w:rFonts w:ascii="宋体" w:hAnsi="宋体"/>
          <w:sz w:val="24"/>
        </w:rPr>
        <w:lastRenderedPageBreak/>
        <w:t>账号后，及时拨打本基金管理人客户服务电话修改基金查询密码。</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（四）基金红利再投资</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本基金收益分配时，投资人可以选择将当期分配所得的红利再投资于本基金，再投资红利按红利再投日（即除息日）除息后的基金份额净值自动转为相应类别的基金份额，并免收申购费用。</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（五）定期定额投资计划</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基金管理人的互联网地址及电子信箱</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投资人也可登录本基金管理人网站，直接提出有关本基金的问题和建议。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（六）如本招募说明书存在任何您/贵机构无法理解的内容，请通过上述方式联系基金管理人。请确保投资前，您/贵机构已经全面理解了本招募说明书。</w:t>
      </w:r>
    </w:p>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00FB" w:rsidRDefault="00A2121F">
      <w:pPr>
        <w:pStyle w:val="1"/>
        <w:snapToGrid w:val="0"/>
        <w:spacing w:beforeLines="0" w:before="240" w:after="240"/>
        <w:rPr>
          <w:rFonts w:ascii="宋体" w:hAnsi="宋体"/>
          <w:szCs w:val="30"/>
        </w:rPr>
      </w:pPr>
      <w:bookmarkStart w:id="27" w:name="_Toc137828560"/>
      <w:r>
        <w:rPr>
          <w:rFonts w:ascii="Times New Roman" w:hAnsi="Times New Roman"/>
          <w:sz w:val="30"/>
        </w:rPr>
        <w:lastRenderedPageBreak/>
        <w:t>二十四、其他应披露事项</w:t>
      </w:r>
      <w:bookmarkEnd w:id="27"/>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交银施罗德基金管理有限公司关于增加华泰证券股份有限公司为旗下基金销售机构的公告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2022-06-23</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交银施罗德主题优选灵活配置混合型证券投资基金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交银施罗德主题优选灵活配置混合型证券投资基金（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交银施罗德主题优选灵活配置混合型证券投资基金（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交银施罗德基金管理有限公司关于增加招商银行股份有限公司为旗下基金销售机构的公告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2022-06-30</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交银施罗德主题优选灵活配置混合型证券投资基金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交银施罗德基金管理有限公司关于增加中邮证券有限责任公司为旗下基金销售机构的公告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2022-07-28</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交银施罗德基金管理有限公司关于增加国金证券股份有限公司为旗下基金销售机构的公告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2022-07-28</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交银施罗德基金管理有限公司关于增加宁波银行股份有限公司为旗下基金的销售机构的公告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2022-07-29</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交银施罗德基金管理有限公司关于增加中信建投证券股份有限公司为旗下基金销售机构的公告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2022-08-04</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交银施罗德基金管理有限公司关于增加中国邮政储蓄银行股份有限公司为旗下基金的销售机构的公告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2022-08-10</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交银施罗德基金管理有限公司关于增加开源证券股份有限公司为旗下基金销售机构的公告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2022-08-12</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交银施罗德主题优选灵活配置混合型证券投资基金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交银施罗德基金管理有限公司关于固有资金拟购买旗下偏股型基金的公告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2022-10-19</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交银施罗德主题优选灵活配置混合型证券投资基金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交银施罗德基金管理有限公司关于增加华宝证券有限责任公司为旗下基金的销售机构的公告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2022-12-08</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交银施罗德基金管理有限公司关于增加招商证券股份有限公司为旗下基金销售机构的公告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2022-12-24</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交银施罗德基金管理有限公司关于增加东吴证券股份有限公司为旗下基金销售机构的公告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2023-01-05</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交银施罗德主题优选灵活配置混合型证券投资基金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22</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交银施罗德基金管理有限公司关于增加大同证券有限责任公司为旗下基金的销售机构的公告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2023-02-03</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交银施罗德基金管理有限公司关于增加南京银行股份有限公司为旗下基金销售机构的公告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2023-03-03</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交银施罗德基金管理有限公司关于增加申万宏源证券有限公司、申万宏源西部证券有限公司为旗下基金销售机构的公告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2023-03-09</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交银施罗德基金管理有限公司关于增加中信证券股份有限公司、中信证券（山东）有限责任公司、中信期货有限公司、中信证券华南股份有限公司为旗下基金销售机构的公告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2023-03-15</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交银施罗德基金管理有限公司关于增加第一创业证券股份有限公司为旗下基金的销售机构的公告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2023-03-17</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交银施罗德主题优选灵活配置混合型证券投资基金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交银施罗德基金管理有限公司关于旗下部分基金投资非公开发行股票的公告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2023-04-12</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交银施罗德主题优选灵活配置混合型证券投资基金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交银施罗德基金管理有限公司关于增加平安银行股份有限公司为旗下基金销售机构的公告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2023-04-27</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32</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交银施罗德基金管理有限公司关于增加中原证券股份有限公司为旗下基金的销售机构的公告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2023-05-12</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33</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交银施罗德基金管理有限公司关于增加中国工商银行股份有限公司为旗下基金的销售机构的公告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2023-05-18</w:t>
            </w:r>
          </w:p>
        </w:tc>
      </w:tr>
      <w:tr w:rsidR="00AC00FB">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34</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交银施罗德基金管理有限公司关于增加广发证券股份有限公司为旗下基金的销售机构的公告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AC00FB" w:rsidRDefault="00A2121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2023-05-25</w:t>
            </w:r>
          </w:p>
        </w:tc>
      </w:tr>
    </w:tbl>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00FB" w:rsidRDefault="00A2121F">
      <w:pPr>
        <w:pStyle w:val="1"/>
        <w:snapToGrid w:val="0"/>
        <w:spacing w:beforeLines="0" w:before="240" w:after="240"/>
        <w:rPr>
          <w:rFonts w:ascii="宋体" w:hAnsi="宋体"/>
          <w:szCs w:val="30"/>
        </w:rPr>
      </w:pPr>
      <w:bookmarkStart w:id="28" w:name="_Toc137828561"/>
      <w:r>
        <w:rPr>
          <w:rFonts w:ascii="Times New Roman" w:hAnsi="Times New Roman"/>
          <w:sz w:val="30"/>
        </w:rPr>
        <w:lastRenderedPageBreak/>
        <w:t>二十五、招募说明书的存放及查阅方式</w:t>
      </w:r>
      <w:bookmarkEnd w:id="28"/>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rsidR="00B439CC" w:rsidRDefault="00A2121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AC00FB" w:rsidRDefault="00A2121F">
      <w:pPr>
        <w:pStyle w:val="1"/>
        <w:snapToGrid w:val="0"/>
        <w:spacing w:beforeLines="0" w:before="240" w:after="240"/>
        <w:rPr>
          <w:rFonts w:ascii="宋体" w:hAnsi="宋体"/>
          <w:szCs w:val="30"/>
        </w:rPr>
      </w:pPr>
      <w:bookmarkStart w:id="29" w:name="_Toc137828562"/>
      <w:r>
        <w:rPr>
          <w:rFonts w:ascii="Times New Roman" w:hAnsi="Times New Roman"/>
          <w:sz w:val="30"/>
        </w:rPr>
        <w:lastRenderedPageBreak/>
        <w:t>二十六、备查文件</w:t>
      </w:r>
      <w:bookmarkEnd w:id="29"/>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（一）中国证监会核准交银施罗德主题优选灵活配置混合型证券投资基金募集的文件</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（二）《交银施罗德主题优选灵活配置混合型证券投资基金基金合同》</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（三）《交银施罗德主题优选灵活配置混合型证券投资基金托管协议》</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rsidR="00AC00FB" w:rsidRDefault="00A2121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（六）关于申请募集交银施罗德主题优选灵活配置混合型证券投资基金之法律意见书</w:t>
      </w:r>
    </w:p>
    <w:sectPr w:rsidR="00AC00FB">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4F0" w:rsidRDefault="008A64F0">
      <w:r>
        <w:separator/>
      </w:r>
    </w:p>
  </w:endnote>
  <w:endnote w:type="continuationSeparator" w:id="0">
    <w:p w:rsidR="008A64F0" w:rsidRDefault="008A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0FB" w:rsidRDefault="00EA0691">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0FB" w:rsidRDefault="00A2121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3A1362">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rsidR="00AC00FB" w:rsidRDefault="00A2121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3A1362">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0FB" w:rsidRDefault="00EA0691">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0FB" w:rsidRDefault="00A2121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3A1362">
                            <w:rPr>
                              <w:rFonts w:ascii="Times New Roman" w:hAnsi="Times New Roman"/>
                              <w:noProof/>
                              <w:kern w:val="0"/>
                              <w:sz w:val="18"/>
                              <w:szCs w:val="18"/>
                            </w:rPr>
                            <w:t>152</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rsidR="00AC00FB" w:rsidRDefault="00A2121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3A1362">
                      <w:rPr>
                        <w:rFonts w:ascii="Times New Roman" w:hAnsi="Times New Roman"/>
                        <w:noProof/>
                        <w:kern w:val="0"/>
                        <w:sz w:val="18"/>
                        <w:szCs w:val="18"/>
                      </w:rPr>
                      <w:t>152</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4F0" w:rsidRDefault="008A64F0">
      <w:r>
        <w:separator/>
      </w:r>
    </w:p>
  </w:footnote>
  <w:footnote w:type="continuationSeparator" w:id="0">
    <w:p w:rsidR="008A64F0" w:rsidRDefault="008A6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5D0" w:rsidRDefault="00EA0691">
    <w:pPr>
      <w:pStyle w:val="a3"/>
      <w:jc w:val="right"/>
    </w:pPr>
    <w:r>
      <w:rPr>
        <w:noProof/>
      </w:rPr>
      <w:drawing>
        <wp:anchor distT="0" distB="0" distL="114300" distR="114300" simplePos="0" relativeHeight="251655680"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AC00FB" w:rsidRDefault="00A2121F">
    <w:pPr>
      <w:pStyle w:val="a3"/>
      <w:jc w:val="right"/>
      <w:rPr>
        <w:rFonts w:ascii="宋体" w:hAnsi="宋体"/>
      </w:rPr>
    </w:pPr>
    <w:r>
      <w:rPr>
        <w:rFonts w:ascii="宋体" w:hAnsi="宋体" w:hint="eastAsia"/>
      </w:rPr>
      <w:t>交银施罗德主题优选灵活配置混合型证券投资基金(更新)招募说明书(2023年第1号)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0FB" w:rsidRDefault="00AC00FB">
    <w:pPr>
      <w:pStyle w:val="11"/>
      <w:jc w:val="right"/>
    </w:pPr>
  </w:p>
  <w:p w:rsidR="00AC00FB" w:rsidRDefault="00AC00FB">
    <w:pPr>
      <w:pStyle w:val="11"/>
      <w:jc w:val="right"/>
    </w:pPr>
  </w:p>
  <w:p w:rsidR="00AC00FB" w:rsidRDefault="00AC00FB">
    <w:pPr>
      <w:pStyle w:val="a3"/>
      <w:jc w:val="right"/>
    </w:pPr>
  </w:p>
  <w:p w:rsidR="009E65D0" w:rsidRDefault="00EA0691">
    <w:pPr>
      <w:pStyle w:val="a3"/>
      <w:jc w:val="right"/>
    </w:pPr>
    <w:r>
      <w:rPr>
        <w:noProof/>
      </w:rPr>
      <w:drawing>
        <wp:anchor distT="0" distB="0" distL="114300" distR="114300" simplePos="0" relativeHeight="251656704"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AC00FB" w:rsidRDefault="00A2121F">
    <w:pPr>
      <w:pStyle w:val="a3"/>
      <w:jc w:val="right"/>
      <w:rPr>
        <w:rFonts w:ascii="宋体" w:hAnsi="宋体"/>
      </w:rPr>
    </w:pPr>
    <w:r>
      <w:rPr>
        <w:rFonts w:ascii="宋体" w:hAnsi="宋体" w:hint="eastAsia"/>
      </w:rPr>
      <w:t>交银施罗德主题优选灵活配置混合型证券投资基金(更新)招募说明书(2023年第</w:t>
    </w:r>
    <w:r w:rsidR="00285CFA">
      <w:rPr>
        <w:rFonts w:ascii="宋体" w:hAnsi="宋体" w:hint="eastAsia"/>
      </w:rPr>
      <w:t>2</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0FB" w:rsidRDefault="00AC00FB">
    <w:pPr>
      <w:pStyle w:val="a3"/>
      <w:jc w:val="right"/>
    </w:pPr>
  </w:p>
  <w:p w:rsidR="00AC00FB" w:rsidRDefault="00AC00FB">
    <w:pPr>
      <w:pStyle w:val="a3"/>
      <w:jc w:val="right"/>
    </w:pPr>
  </w:p>
  <w:p w:rsidR="00AC00FB" w:rsidRDefault="00AC00FB">
    <w:pPr>
      <w:pStyle w:val="a3"/>
      <w:jc w:val="right"/>
    </w:pPr>
  </w:p>
  <w:p w:rsidR="009E65D0" w:rsidRDefault="00EA0691">
    <w:pPr>
      <w:pStyle w:val="a3"/>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AC00FB" w:rsidRDefault="00A2121F">
    <w:pPr>
      <w:pStyle w:val="a3"/>
      <w:jc w:val="right"/>
      <w:rPr>
        <w:rFonts w:ascii="宋体" w:hAnsi="宋体"/>
      </w:rPr>
    </w:pPr>
    <w:r>
      <w:rPr>
        <w:rFonts w:ascii="宋体" w:hAnsi="宋体" w:hint="eastAsia"/>
      </w:rPr>
      <w:t>交银施罗德主题优选灵活配置混合型证券投资基金(更新)招募说明书(2023年第</w:t>
    </w:r>
    <w:r w:rsidR="00285CFA">
      <w:rPr>
        <w:rFonts w:ascii="宋体" w:hAnsi="宋体" w:hint="eastAsia"/>
      </w:rPr>
      <w:t>2</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CFA"/>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1362"/>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A01"/>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E62"/>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57FD"/>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4F0"/>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21F"/>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B7E82"/>
    <w:rsid w:val="00AC00FB"/>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6F80"/>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37F6"/>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691"/>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61F4C"/>
  <w15:docId w15:val="{A02AF8EE-41F7-490E-A8F8-39C82EBB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172</Pages>
  <Words>17244</Words>
  <Characters>98296</Characters>
  <Application>Microsoft Office Word</Application>
  <DocSecurity>0</DocSecurity>
  <Lines>819</Lines>
  <Paragraphs>230</Paragraphs>
  <ScaleCrop>false</ScaleCrop>
  <Company>Microsoft</Company>
  <LinksUpToDate>false</LinksUpToDate>
  <CharactersWithSpaces>115310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王晚婷</cp:lastModifiedBy>
  <cp:revision>6</cp:revision>
  <cp:lastPrinted>2013-02-18T03:10:00Z</cp:lastPrinted>
  <dcterms:created xsi:type="dcterms:W3CDTF">2023-07-07T10:16:00Z</dcterms:created>
  <dcterms:modified xsi:type="dcterms:W3CDTF">2023-07-10T06:42:00Z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