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C0" w:rsidRPr="00EB07BC" w:rsidRDefault="00273624">
      <w:pPr>
        <w:rPr>
          <w:sz w:val="32"/>
        </w:rPr>
      </w:pPr>
      <w:bookmarkStart w:id="0" w:name="_GoBack"/>
      <w:bookmarkEnd w:id="0"/>
    </w:p>
    <w:p w:rsidR="00C92FC0" w:rsidRPr="00EB07BC" w:rsidRDefault="00273624">
      <w:pPr>
        <w:rPr>
          <w:sz w:val="32"/>
        </w:rPr>
      </w:pPr>
    </w:p>
    <w:p w:rsidR="00C92FC0" w:rsidRPr="00EB07BC" w:rsidRDefault="00273624">
      <w:pPr>
        <w:rPr>
          <w:sz w:val="32"/>
        </w:rPr>
      </w:pPr>
    </w:p>
    <w:p w:rsidR="00C92FC0" w:rsidRPr="00EB07BC" w:rsidRDefault="0003640B">
      <w:pPr>
        <w:jc w:val="center"/>
        <w:rPr>
          <w:sz w:val="32"/>
        </w:rPr>
      </w:pPr>
      <w:r>
        <w:rPr>
          <w:noProof/>
        </w:rPr>
        <w:drawing>
          <wp:inline distT="0" distB="0" distL="0" distR="0" wp14:anchorId="310493FC" wp14:editId="17ADE824">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C540B" w:rsidRDefault="00AC540B">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AC540B" w:rsidRDefault="00AC540B">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AC540B" w:rsidRDefault="0003640B">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交银施罗德成长</w:t>
      </w:r>
      <w:r>
        <w:rPr>
          <w:rFonts w:ascii="Times New Roman" w:hAnsi="Times New Roman"/>
          <w:b/>
          <w:spacing w:val="2"/>
          <w:w w:val="99"/>
          <w:kern w:val="0"/>
          <w:position w:val="-4"/>
          <w:sz w:val="44"/>
          <w:szCs w:val="44"/>
        </w:rPr>
        <w:t>30</w:t>
      </w:r>
      <w:r>
        <w:rPr>
          <w:rFonts w:ascii="Times New Roman" w:hAnsi="Times New Roman"/>
          <w:b/>
          <w:spacing w:val="2"/>
          <w:w w:val="99"/>
          <w:kern w:val="0"/>
          <w:position w:val="-4"/>
          <w:sz w:val="44"/>
          <w:szCs w:val="44"/>
        </w:rPr>
        <w:t>混合型证券投资基金</w:t>
      </w:r>
    </w:p>
    <w:p w:rsidR="00AC540B" w:rsidRDefault="0003640B">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AC540B" w:rsidRDefault="0003640B">
      <w:pPr>
        <w:snapToGrid w:val="0"/>
        <w:spacing w:line="360" w:lineRule="auto"/>
        <w:jc w:val="center"/>
        <w:rPr>
          <w:rFonts w:ascii="宋体" w:hAnsi="宋体"/>
          <w:b/>
          <w:sz w:val="30"/>
          <w:szCs w:val="30"/>
        </w:rPr>
      </w:pPr>
      <w:r>
        <w:rPr>
          <w:rFonts w:ascii="Times New Roman" w:hAnsi="Times New Roman"/>
          <w:b/>
          <w:color w:val="000000"/>
          <w:sz w:val="32"/>
          <w:szCs w:val="32"/>
        </w:rPr>
        <w:t>(2023</w:t>
      </w:r>
      <w:r>
        <w:rPr>
          <w:rFonts w:ascii="Times New Roman" w:hAnsi="Times New Roman"/>
          <w:b/>
          <w:color w:val="000000"/>
          <w:sz w:val="32"/>
          <w:szCs w:val="32"/>
        </w:rPr>
        <w:t>年</w:t>
      </w:r>
      <w:r w:rsidR="006A33AB">
        <w:rPr>
          <w:rFonts w:ascii="Times New Roman" w:hAnsi="Times New Roman"/>
          <w:b/>
          <w:color w:val="000000"/>
          <w:sz w:val="32"/>
          <w:szCs w:val="32"/>
        </w:rPr>
        <w:t>第</w:t>
      </w:r>
      <w:r w:rsidR="006A33AB">
        <w:rPr>
          <w:rFonts w:ascii="Times New Roman" w:hAnsi="Times New Roman"/>
          <w:b/>
          <w:color w:val="000000"/>
          <w:sz w:val="32"/>
          <w:szCs w:val="32"/>
        </w:rPr>
        <w:t>2</w:t>
      </w:r>
      <w:r>
        <w:rPr>
          <w:rFonts w:ascii="Times New Roman" w:hAnsi="Times New Roman"/>
          <w:b/>
          <w:color w:val="000000"/>
          <w:sz w:val="32"/>
          <w:szCs w:val="32"/>
        </w:rPr>
        <w:t>号</w:t>
      </w:r>
      <w:r>
        <w:rPr>
          <w:rFonts w:ascii="Times New Roman" w:hAnsi="Times New Roman"/>
          <w:b/>
          <w:color w:val="000000"/>
          <w:sz w:val="32"/>
          <w:szCs w:val="32"/>
        </w:rPr>
        <w:t>)</w:t>
      </w:r>
    </w:p>
    <w:p w:rsidR="00AC540B" w:rsidRDefault="00AC540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C540B" w:rsidRDefault="00AC540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C540B" w:rsidRDefault="00AC540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C540B" w:rsidRDefault="00AC540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C540B" w:rsidRDefault="00AC540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C540B" w:rsidRDefault="00AC540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C540B" w:rsidRDefault="0003640B">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AC540B" w:rsidRDefault="0003640B">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基金托管人：中国建设银行股份有限公司</w:t>
      </w:r>
    </w:p>
    <w:p w:rsidR="00AC540B" w:rsidRDefault="00AC540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C540B" w:rsidRDefault="00AC540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C540B" w:rsidRDefault="0003640B">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二〇二三年</w:t>
      </w:r>
      <w:r w:rsidR="006A33AB">
        <w:rPr>
          <w:rFonts w:ascii="Times New Roman" w:hAnsi="Times New Roman" w:hint="eastAsia"/>
          <w:b/>
          <w:spacing w:val="2"/>
          <w:w w:val="99"/>
          <w:kern w:val="0"/>
          <w:sz w:val="28"/>
          <w:szCs w:val="32"/>
        </w:rPr>
        <w:t>七</w:t>
      </w:r>
      <w:r>
        <w:rPr>
          <w:rFonts w:ascii="Times New Roman" w:hAnsi="Times New Roman"/>
          <w:b/>
          <w:spacing w:val="2"/>
          <w:w w:val="99"/>
          <w:kern w:val="0"/>
          <w:sz w:val="28"/>
          <w:szCs w:val="32"/>
        </w:rPr>
        <w:t>月</w:t>
      </w:r>
    </w:p>
    <w:p w:rsidR="00AC540B" w:rsidRDefault="00AC540B">
      <w:pPr>
        <w:autoSpaceDE w:val="0"/>
        <w:autoSpaceDN w:val="0"/>
        <w:adjustRightInd w:val="0"/>
        <w:snapToGrid w:val="0"/>
        <w:spacing w:line="360" w:lineRule="auto"/>
        <w:ind w:left="1347" w:rightChars="6" w:right="13"/>
        <w:rPr>
          <w:rFonts w:ascii="宋体" w:hAnsi="宋体"/>
          <w:kern w:val="0"/>
          <w:sz w:val="32"/>
          <w:szCs w:val="32"/>
        </w:rPr>
        <w:sectPr w:rsidR="00AC540B">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AC540B" w:rsidRDefault="0003640B">
      <w:pPr>
        <w:pStyle w:val="1"/>
        <w:snapToGrid w:val="0"/>
        <w:spacing w:beforeLines="0" w:before="240" w:after="240"/>
        <w:rPr>
          <w:rFonts w:ascii="宋体" w:hAnsi="宋体"/>
          <w:kern w:val="0"/>
        </w:rPr>
      </w:pPr>
      <w:bookmarkStart w:id="1" w:name="_Toc324920538"/>
      <w:bookmarkStart w:id="2" w:name="_Toc496884613"/>
      <w:bookmarkStart w:id="3" w:name="_Toc137828545"/>
      <w:r>
        <w:rPr>
          <w:rFonts w:ascii="Times New Roman" w:hAnsi="Times New Roman"/>
          <w:kern w:val="0"/>
        </w:rPr>
        <w:lastRenderedPageBreak/>
        <w:t>重要提示</w:t>
      </w:r>
      <w:bookmarkEnd w:id="1"/>
      <w:bookmarkEnd w:id="2"/>
      <w:bookmarkEnd w:id="3"/>
    </w:p>
    <w:p w:rsidR="00AC540B" w:rsidRDefault="0003640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交银施罗德成长</w:t>
      </w:r>
      <w:r>
        <w:rPr>
          <w:rFonts w:ascii="Times New Roman" w:hAnsi="Times New Roman"/>
          <w:kern w:val="0"/>
          <w:sz w:val="24"/>
        </w:rPr>
        <w:t>30</w:t>
      </w:r>
      <w:r>
        <w:rPr>
          <w:rFonts w:ascii="Times New Roman" w:hAnsi="Times New Roman"/>
          <w:kern w:val="0"/>
          <w:sz w:val="24"/>
        </w:rPr>
        <w:t>混合型证券投资基金由交银施罗德成长</w:t>
      </w:r>
      <w:r>
        <w:rPr>
          <w:rFonts w:ascii="Times New Roman" w:hAnsi="Times New Roman"/>
          <w:kern w:val="0"/>
          <w:sz w:val="24"/>
        </w:rPr>
        <w:t>30</w:t>
      </w:r>
      <w:r>
        <w:rPr>
          <w:rFonts w:ascii="Times New Roman" w:hAnsi="Times New Roman"/>
          <w:kern w:val="0"/>
          <w:sz w:val="24"/>
        </w:rPr>
        <w:t>股票型证券投资基金变更而来，交银施罗德成长</w:t>
      </w:r>
      <w:r>
        <w:rPr>
          <w:rFonts w:ascii="Times New Roman" w:hAnsi="Times New Roman"/>
          <w:kern w:val="0"/>
          <w:sz w:val="24"/>
        </w:rPr>
        <w:t>30</w:t>
      </w:r>
      <w:r>
        <w:rPr>
          <w:rFonts w:ascii="Times New Roman" w:hAnsi="Times New Roman"/>
          <w:kern w:val="0"/>
          <w:sz w:val="24"/>
        </w:rPr>
        <w:t>股票型证券投资基金经</w:t>
      </w:r>
      <w:r>
        <w:rPr>
          <w:rFonts w:ascii="Times New Roman" w:hAnsi="Times New Roman"/>
          <w:kern w:val="0"/>
          <w:sz w:val="24"/>
        </w:rPr>
        <w:t>2013</w:t>
      </w:r>
      <w:r>
        <w:rPr>
          <w:rFonts w:ascii="Times New Roman" w:hAnsi="Times New Roman"/>
          <w:kern w:val="0"/>
          <w:sz w:val="24"/>
        </w:rPr>
        <w:t>年</w:t>
      </w:r>
      <w:r>
        <w:rPr>
          <w:rFonts w:ascii="Times New Roman" w:hAnsi="Times New Roman"/>
          <w:kern w:val="0"/>
          <w:sz w:val="24"/>
        </w:rPr>
        <w:t>3</w:t>
      </w:r>
      <w:r>
        <w:rPr>
          <w:rFonts w:ascii="Times New Roman" w:hAnsi="Times New Roman"/>
          <w:kern w:val="0"/>
          <w:sz w:val="24"/>
        </w:rPr>
        <w:t>月</w:t>
      </w:r>
      <w:r>
        <w:rPr>
          <w:rFonts w:ascii="Times New Roman" w:hAnsi="Times New Roman"/>
          <w:kern w:val="0"/>
          <w:sz w:val="24"/>
        </w:rPr>
        <w:t>18</w:t>
      </w:r>
      <w:r>
        <w:rPr>
          <w:rFonts w:ascii="Times New Roman" w:hAnsi="Times New Roman"/>
          <w:kern w:val="0"/>
          <w:sz w:val="24"/>
        </w:rPr>
        <w:t>日中国证券监督管理委员会证监许可【</w:t>
      </w:r>
      <w:r>
        <w:rPr>
          <w:rFonts w:ascii="Times New Roman" w:hAnsi="Times New Roman"/>
          <w:kern w:val="0"/>
          <w:sz w:val="24"/>
        </w:rPr>
        <w:t>2013</w:t>
      </w:r>
      <w:r>
        <w:rPr>
          <w:rFonts w:ascii="Times New Roman" w:hAnsi="Times New Roman"/>
          <w:kern w:val="0"/>
          <w:sz w:val="24"/>
        </w:rPr>
        <w:t>】</w:t>
      </w:r>
      <w:r>
        <w:rPr>
          <w:rFonts w:ascii="Times New Roman" w:hAnsi="Times New Roman"/>
          <w:kern w:val="0"/>
          <w:sz w:val="24"/>
        </w:rPr>
        <w:t>255</w:t>
      </w:r>
      <w:r>
        <w:rPr>
          <w:rFonts w:ascii="Times New Roman" w:hAnsi="Times New Roman"/>
          <w:kern w:val="0"/>
          <w:sz w:val="24"/>
        </w:rPr>
        <w:t>号文核准募集。其基金基金合同于</w:t>
      </w:r>
      <w:r>
        <w:rPr>
          <w:rFonts w:ascii="Times New Roman" w:hAnsi="Times New Roman"/>
          <w:kern w:val="0"/>
          <w:sz w:val="24"/>
        </w:rPr>
        <w:t>2013</w:t>
      </w:r>
      <w:r>
        <w:rPr>
          <w:rFonts w:ascii="Times New Roman" w:hAnsi="Times New Roman"/>
          <w:kern w:val="0"/>
          <w:sz w:val="24"/>
        </w:rPr>
        <w:t>年</w:t>
      </w:r>
      <w:r>
        <w:rPr>
          <w:rFonts w:ascii="Times New Roman" w:hAnsi="Times New Roman"/>
          <w:kern w:val="0"/>
          <w:sz w:val="24"/>
        </w:rPr>
        <w:t>6</w:t>
      </w:r>
      <w:r>
        <w:rPr>
          <w:rFonts w:ascii="Times New Roman" w:hAnsi="Times New Roman"/>
          <w:kern w:val="0"/>
          <w:sz w:val="24"/>
        </w:rPr>
        <w:t>月</w:t>
      </w:r>
      <w:r>
        <w:rPr>
          <w:rFonts w:ascii="Times New Roman" w:hAnsi="Times New Roman"/>
          <w:kern w:val="0"/>
          <w:sz w:val="24"/>
        </w:rPr>
        <w:t>5</w:t>
      </w:r>
      <w:r>
        <w:rPr>
          <w:rFonts w:ascii="Times New Roman" w:hAnsi="Times New Roman"/>
          <w:kern w:val="0"/>
          <w:sz w:val="24"/>
        </w:rPr>
        <w:t>日正式生效。</w:t>
      </w:r>
    </w:p>
    <w:p w:rsidR="00AC540B" w:rsidRDefault="0003640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基金管理人保证招募说明书的内容真实、准确、完整。本招募说明书经中国证监会核准，但中国证监会对交银施罗德成长</w:t>
      </w:r>
      <w:r>
        <w:rPr>
          <w:rFonts w:ascii="Times New Roman" w:hAnsi="Times New Roman"/>
          <w:kern w:val="0"/>
          <w:sz w:val="24"/>
        </w:rPr>
        <w:t>30</w:t>
      </w:r>
      <w:r>
        <w:rPr>
          <w:rFonts w:ascii="Times New Roman" w:hAnsi="Times New Roman"/>
          <w:kern w:val="0"/>
          <w:sz w:val="24"/>
        </w:rPr>
        <w:t>股票型证券投资基金募集的核准，并不表明其对本基金的价值和收益作出实质性判断或保证，也不表明投资于本基金没有风险。</w:t>
      </w:r>
    </w:p>
    <w:p w:rsidR="00AC540B" w:rsidRDefault="0003640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AC540B" w:rsidRDefault="0003640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集中持股策略风险；投资股指期货的特定风险；投资科创板股票的特定风险；投资本基金特有的其他风险等等。本基金是一只混合型基金，以成长型股票为主要投资对象，其风险和预期收益高于债券型基金和货币市场基金，低于股票型基金。属于承担较高风险、预期收益较高的证券投资基金品种。</w:t>
      </w:r>
    </w:p>
    <w:p w:rsidR="00AC540B" w:rsidRDefault="0003640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rsidR="00AC540B" w:rsidRDefault="0003640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rsidR="00AC540B" w:rsidRDefault="0003640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lastRenderedPageBreak/>
        <w:t>投资有风险，投资者在投资本基金前应认真阅读本基金的招募说明书、基金合同、基金产品资料概要。基金的过往业绩并不代表其未来表现。基金管理人管理的其他基金的业绩并不构成新基金业绩表现的保证。</w:t>
      </w:r>
    </w:p>
    <w:p w:rsidR="00AC540B" w:rsidRDefault="006A33AB">
      <w:pPr>
        <w:autoSpaceDE w:val="0"/>
        <w:autoSpaceDN w:val="0"/>
        <w:adjustRightInd w:val="0"/>
        <w:snapToGrid w:val="0"/>
        <w:spacing w:line="360" w:lineRule="auto"/>
        <w:ind w:leftChars="50" w:left="105" w:firstLineChars="200" w:firstLine="480"/>
        <w:rPr>
          <w:rFonts w:ascii="宋体" w:hAnsi="宋体"/>
          <w:kern w:val="0"/>
          <w:sz w:val="24"/>
        </w:rPr>
      </w:pPr>
      <w:r w:rsidRPr="006A33AB">
        <w:rPr>
          <w:rFonts w:ascii="Times New Roman" w:hAnsi="Times New Roman" w:hint="eastAsia"/>
          <w:kern w:val="0"/>
          <w:sz w:val="24"/>
        </w:rPr>
        <w:t>本次更新招募说明书主要对调整管理费率和</w:t>
      </w:r>
      <w:r w:rsidRPr="006A33AB">
        <w:rPr>
          <w:rFonts w:ascii="Times New Roman" w:hAnsi="Times New Roman" w:hint="eastAsia"/>
          <w:kern w:val="0"/>
          <w:sz w:val="24"/>
        </w:rPr>
        <w:t>/</w:t>
      </w:r>
      <w:r w:rsidRPr="006A33AB">
        <w:rPr>
          <w:rFonts w:ascii="Times New Roman" w:hAnsi="Times New Roman" w:hint="eastAsia"/>
          <w:kern w:val="0"/>
          <w:sz w:val="24"/>
        </w:rPr>
        <w:t>或托管费率相关事项进行了相应更新，更新截止日为</w:t>
      </w:r>
      <w:r w:rsidRPr="006A33AB">
        <w:rPr>
          <w:rFonts w:ascii="Times New Roman" w:hAnsi="Times New Roman" w:hint="eastAsia"/>
          <w:kern w:val="0"/>
          <w:sz w:val="24"/>
        </w:rPr>
        <w:t>2023</w:t>
      </w:r>
      <w:r w:rsidRPr="006A33AB">
        <w:rPr>
          <w:rFonts w:ascii="Times New Roman" w:hAnsi="Times New Roman" w:hint="eastAsia"/>
          <w:kern w:val="0"/>
          <w:sz w:val="24"/>
        </w:rPr>
        <w:t>年</w:t>
      </w:r>
      <w:r w:rsidRPr="006A33AB">
        <w:rPr>
          <w:rFonts w:ascii="Times New Roman" w:hAnsi="Times New Roman" w:hint="eastAsia"/>
          <w:kern w:val="0"/>
          <w:sz w:val="24"/>
        </w:rPr>
        <w:t>07</w:t>
      </w:r>
      <w:r w:rsidRPr="006A33AB">
        <w:rPr>
          <w:rFonts w:ascii="Times New Roman" w:hAnsi="Times New Roman" w:hint="eastAsia"/>
          <w:kern w:val="0"/>
          <w:sz w:val="24"/>
        </w:rPr>
        <w:t>月</w:t>
      </w:r>
      <w:r w:rsidRPr="006A33AB">
        <w:rPr>
          <w:rFonts w:ascii="Times New Roman" w:hAnsi="Times New Roman" w:hint="eastAsia"/>
          <w:kern w:val="0"/>
          <w:sz w:val="24"/>
        </w:rPr>
        <w:t>10</w:t>
      </w:r>
      <w:r w:rsidRPr="006A33AB">
        <w:rPr>
          <w:rFonts w:ascii="Times New Roman" w:hAnsi="Times New Roman" w:hint="eastAsia"/>
          <w:kern w:val="0"/>
          <w:sz w:val="24"/>
        </w:rPr>
        <w:t>日，除非另有说明，</w:t>
      </w:r>
      <w:r w:rsidR="0003640B">
        <w:rPr>
          <w:rFonts w:ascii="Times New Roman" w:hAnsi="Times New Roman"/>
          <w:kern w:val="0"/>
          <w:sz w:val="24"/>
        </w:rPr>
        <w:t>本招募说明书</w:t>
      </w:r>
      <w:r>
        <w:rPr>
          <w:rFonts w:ascii="Times New Roman" w:hAnsi="Times New Roman"/>
          <w:kern w:val="0"/>
          <w:sz w:val="24"/>
        </w:rPr>
        <w:t>其他</w:t>
      </w:r>
      <w:r w:rsidR="0003640B">
        <w:rPr>
          <w:rFonts w:ascii="Times New Roman" w:hAnsi="Times New Roman"/>
          <w:kern w:val="0"/>
          <w:sz w:val="24"/>
        </w:rPr>
        <w:t>所载内容截止日为</w:t>
      </w:r>
      <w:r w:rsidR="0003640B">
        <w:rPr>
          <w:rFonts w:ascii="Times New Roman" w:hAnsi="Times New Roman"/>
          <w:kern w:val="0"/>
          <w:sz w:val="24"/>
        </w:rPr>
        <w:t>2023</w:t>
      </w:r>
      <w:r w:rsidR="0003640B">
        <w:rPr>
          <w:rFonts w:ascii="Times New Roman" w:hAnsi="Times New Roman"/>
          <w:kern w:val="0"/>
          <w:sz w:val="24"/>
        </w:rPr>
        <w:t>年</w:t>
      </w:r>
      <w:r w:rsidR="0003640B">
        <w:rPr>
          <w:rFonts w:ascii="Times New Roman" w:hAnsi="Times New Roman"/>
          <w:kern w:val="0"/>
          <w:sz w:val="24"/>
        </w:rPr>
        <w:t>05</w:t>
      </w:r>
      <w:r w:rsidR="0003640B">
        <w:rPr>
          <w:rFonts w:ascii="Times New Roman" w:hAnsi="Times New Roman"/>
          <w:kern w:val="0"/>
          <w:sz w:val="24"/>
        </w:rPr>
        <w:t>月</w:t>
      </w:r>
      <w:r w:rsidR="0003640B">
        <w:rPr>
          <w:rFonts w:ascii="Times New Roman" w:hAnsi="Times New Roman"/>
          <w:kern w:val="0"/>
          <w:sz w:val="24"/>
        </w:rPr>
        <w:t>27</w:t>
      </w:r>
      <w:r w:rsidR="0003640B">
        <w:rPr>
          <w:rFonts w:ascii="Times New Roman" w:hAnsi="Times New Roman"/>
          <w:kern w:val="0"/>
          <w:sz w:val="24"/>
        </w:rPr>
        <w:t>日，有关财务数据和净值表现截止日为</w:t>
      </w:r>
      <w:r w:rsidR="0003640B">
        <w:rPr>
          <w:rFonts w:ascii="Times New Roman" w:hAnsi="Times New Roman"/>
          <w:kern w:val="0"/>
          <w:sz w:val="24"/>
        </w:rPr>
        <w:t>2023</w:t>
      </w:r>
      <w:r w:rsidR="0003640B">
        <w:rPr>
          <w:rFonts w:ascii="Times New Roman" w:hAnsi="Times New Roman"/>
          <w:kern w:val="0"/>
          <w:sz w:val="24"/>
        </w:rPr>
        <w:t>年</w:t>
      </w:r>
      <w:r w:rsidR="0003640B">
        <w:rPr>
          <w:rFonts w:ascii="Times New Roman" w:hAnsi="Times New Roman"/>
          <w:kern w:val="0"/>
          <w:sz w:val="24"/>
        </w:rPr>
        <w:t>03</w:t>
      </w:r>
      <w:r w:rsidR="0003640B">
        <w:rPr>
          <w:rFonts w:ascii="Times New Roman" w:hAnsi="Times New Roman"/>
          <w:kern w:val="0"/>
          <w:sz w:val="24"/>
        </w:rPr>
        <w:t>月</w:t>
      </w:r>
      <w:r w:rsidR="0003640B">
        <w:rPr>
          <w:rFonts w:ascii="Times New Roman" w:hAnsi="Times New Roman"/>
          <w:kern w:val="0"/>
          <w:sz w:val="24"/>
        </w:rPr>
        <w:t>31</w:t>
      </w:r>
      <w:r w:rsidR="0003640B">
        <w:rPr>
          <w:rFonts w:ascii="Times New Roman" w:hAnsi="Times New Roman"/>
          <w:kern w:val="0"/>
          <w:sz w:val="24"/>
        </w:rPr>
        <w:t>日。本招募说明书所载的财务数据未经审计。</w:t>
      </w:r>
    </w:p>
    <w:p w:rsidR="00AC540B" w:rsidRDefault="00AC540B">
      <w:pPr>
        <w:autoSpaceDE w:val="0"/>
        <w:autoSpaceDN w:val="0"/>
        <w:adjustRightInd w:val="0"/>
        <w:snapToGrid w:val="0"/>
        <w:spacing w:before="51" w:line="360" w:lineRule="auto"/>
        <w:ind w:left="120" w:rightChars="6" w:right="13" w:firstLine="480"/>
        <w:rPr>
          <w:rFonts w:ascii="宋体" w:hAnsi="宋体"/>
          <w:kern w:val="0"/>
          <w:szCs w:val="24"/>
        </w:rPr>
        <w:sectPr w:rsidR="00AC540B">
          <w:headerReference w:type="default" r:id="rId12"/>
          <w:pgSz w:w="11920" w:h="16840"/>
          <w:pgMar w:top="1440" w:right="1680" w:bottom="280" w:left="1680" w:header="0" w:footer="1073" w:gutter="0"/>
          <w:pgNumType w:start="1"/>
          <w:cols w:space="720"/>
        </w:sectPr>
      </w:pPr>
    </w:p>
    <w:p w:rsidR="009F4F0F" w:rsidRPr="009F4F0F" w:rsidRDefault="0003640B" w:rsidP="009F4F0F">
      <w:pPr>
        <w:pStyle w:val="af3"/>
        <w:snapToGrid w:val="0"/>
        <w:spacing w:after="240" w:line="360" w:lineRule="auto"/>
        <w:jc w:val="center"/>
        <w:rPr>
          <w:rFonts w:ascii="宋体" w:hAnsi="宋体"/>
          <w:noProof/>
          <w:sz w:val="24"/>
        </w:rPr>
      </w:pPr>
      <w:r w:rsidRPr="009F4F0F">
        <w:rPr>
          <w:rFonts w:ascii="宋体" w:hAnsi="宋体"/>
          <w:color w:val="000000"/>
          <w:position w:val="-4"/>
          <w:sz w:val="24"/>
          <w:szCs w:val="30"/>
        </w:rPr>
        <w:lastRenderedPageBreak/>
        <w:t>目</w:t>
      </w:r>
      <w:r w:rsidRPr="009F4F0F">
        <w:rPr>
          <w:rFonts w:ascii="宋体" w:hAnsi="宋体"/>
          <w:color w:val="000000"/>
          <w:position w:val="-4"/>
          <w:sz w:val="24"/>
          <w:szCs w:val="30"/>
        </w:rPr>
        <w:tab/>
        <w:t>录</w:t>
      </w:r>
      <w:r w:rsidR="009F4F0F" w:rsidRPr="009F4F0F">
        <w:rPr>
          <w:rFonts w:ascii="宋体" w:hAnsi="宋体"/>
          <w:color w:val="000000"/>
          <w:position w:val="-4"/>
          <w:sz w:val="24"/>
          <w:szCs w:val="30"/>
        </w:rPr>
        <w:fldChar w:fldCharType="begin"/>
      </w:r>
      <w:r w:rsidR="009F4F0F" w:rsidRPr="009F4F0F">
        <w:rPr>
          <w:rFonts w:ascii="宋体" w:hAnsi="宋体"/>
          <w:color w:val="000000"/>
          <w:position w:val="-4"/>
          <w:sz w:val="24"/>
          <w:szCs w:val="30"/>
        </w:rPr>
        <w:instrText xml:space="preserve"> TOC \o "1-3" \f - \h \t "-1" </w:instrText>
      </w:r>
      <w:r w:rsidR="009F4F0F" w:rsidRPr="009F4F0F">
        <w:rPr>
          <w:rFonts w:ascii="宋体" w:hAnsi="宋体"/>
          <w:color w:val="000000"/>
          <w:position w:val="-4"/>
          <w:sz w:val="24"/>
          <w:szCs w:val="30"/>
        </w:rPr>
        <w:fldChar w:fldCharType="separate"/>
      </w:r>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45" w:history="1">
        <w:r w:rsidR="009F4F0F" w:rsidRPr="009F4F0F">
          <w:rPr>
            <w:rStyle w:val="af0"/>
            <w:rFonts w:ascii="宋体" w:hAnsi="宋体" w:hint="eastAsia"/>
            <w:noProof/>
            <w:kern w:val="0"/>
            <w:sz w:val="24"/>
          </w:rPr>
          <w:t>重要提示</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_Toc137828545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1</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46" w:history="1">
        <w:r w:rsidR="009F4F0F" w:rsidRPr="009F4F0F">
          <w:rPr>
            <w:rStyle w:val="af0"/>
            <w:rFonts w:ascii="宋体" w:hAnsi="宋体" w:hint="eastAsia"/>
            <w:noProof/>
            <w:sz w:val="24"/>
          </w:rPr>
          <w:t>一、绪言</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_Toc137828546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4</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47" w:history="1">
        <w:r w:rsidR="009F4F0F" w:rsidRPr="009F4F0F">
          <w:rPr>
            <w:rStyle w:val="af0"/>
            <w:rFonts w:ascii="宋体" w:hAnsi="宋体" w:hint="eastAsia"/>
            <w:noProof/>
            <w:sz w:val="24"/>
          </w:rPr>
          <w:t>二、释义</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_Toc137828547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5</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48" w:history="1">
        <w:r w:rsidR="009F4F0F" w:rsidRPr="009F4F0F">
          <w:rPr>
            <w:rStyle w:val="af0"/>
            <w:rFonts w:ascii="宋体" w:hAnsi="宋体" w:hint="eastAsia"/>
            <w:noProof/>
            <w:sz w:val="24"/>
          </w:rPr>
          <w:t>三、基金管理人</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_Toc137828548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10</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49" w:history="1">
        <w:r w:rsidR="009F4F0F" w:rsidRPr="009F4F0F">
          <w:rPr>
            <w:rStyle w:val="af0"/>
            <w:rFonts w:ascii="宋体" w:hAnsi="宋体" w:hint="eastAsia"/>
            <w:noProof/>
            <w:sz w:val="24"/>
          </w:rPr>
          <w:t>四、基金托管人</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_Toc137828549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18</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50" w:history="1">
        <w:r w:rsidR="009F4F0F" w:rsidRPr="009F4F0F">
          <w:rPr>
            <w:rStyle w:val="af0"/>
            <w:rFonts w:ascii="宋体" w:hAnsi="宋体" w:hint="eastAsia"/>
            <w:noProof/>
            <w:sz w:val="24"/>
          </w:rPr>
          <w:t>五、相关服务机构</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_Toc137828550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21</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51" w:history="1">
        <w:r w:rsidR="009F4F0F" w:rsidRPr="009F4F0F">
          <w:rPr>
            <w:rStyle w:val="af0"/>
            <w:rFonts w:ascii="宋体" w:hAnsi="宋体" w:hint="eastAsia"/>
            <w:noProof/>
            <w:sz w:val="24"/>
          </w:rPr>
          <w:t>六、基金的历史沿革</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_Toc137828551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55</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52" w:history="1">
        <w:r w:rsidR="009F4F0F" w:rsidRPr="009F4F0F">
          <w:rPr>
            <w:rStyle w:val="af0"/>
            <w:rFonts w:ascii="宋体" w:hAnsi="宋体" w:hint="eastAsia"/>
            <w:noProof/>
            <w:sz w:val="24"/>
          </w:rPr>
          <w:t>七、基金的存续</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_Toc137828552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56</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53" w:history="1">
        <w:r w:rsidR="009F4F0F" w:rsidRPr="009F4F0F">
          <w:rPr>
            <w:rStyle w:val="af0"/>
            <w:rFonts w:ascii="宋体" w:hAnsi="宋体" w:hint="eastAsia"/>
            <w:noProof/>
            <w:sz w:val="24"/>
          </w:rPr>
          <w:t>八、基金份额的申购与赎回</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_Toc137828553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57</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54" w:history="1">
        <w:r w:rsidR="009F4F0F" w:rsidRPr="009F4F0F">
          <w:rPr>
            <w:rStyle w:val="af0"/>
            <w:rFonts w:ascii="宋体" w:hAnsi="宋体" w:hint="eastAsia"/>
            <w:noProof/>
            <w:sz w:val="24"/>
          </w:rPr>
          <w:t>九、基金的转换</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_Toc137828554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70</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55" w:history="1">
        <w:r w:rsidR="009F4F0F" w:rsidRPr="009F4F0F">
          <w:rPr>
            <w:rStyle w:val="af0"/>
            <w:rFonts w:ascii="宋体" w:hAnsi="宋体" w:hint="eastAsia"/>
            <w:noProof/>
            <w:sz w:val="24"/>
          </w:rPr>
          <w:t>十、基金的投资</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_Toc137828555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77</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56" w:history="1">
        <w:r w:rsidR="009F4F0F" w:rsidRPr="009F4F0F">
          <w:rPr>
            <w:rStyle w:val="af0"/>
            <w:rFonts w:ascii="宋体" w:hAnsi="宋体" w:hint="eastAsia"/>
            <w:noProof/>
            <w:sz w:val="24"/>
          </w:rPr>
          <w:t>十一、基金的业绩</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_Toc137828556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90</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57" w:history="1">
        <w:r w:rsidR="009F4F0F" w:rsidRPr="009F4F0F">
          <w:rPr>
            <w:rStyle w:val="af0"/>
            <w:rFonts w:ascii="宋体" w:hAnsi="宋体" w:hint="eastAsia"/>
            <w:noProof/>
            <w:sz w:val="24"/>
          </w:rPr>
          <w:t>十二、基金的财产</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_Toc137828557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92</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58" w:history="1">
        <w:r w:rsidR="009F4F0F" w:rsidRPr="009F4F0F">
          <w:rPr>
            <w:rStyle w:val="af0"/>
            <w:rFonts w:ascii="宋体" w:hAnsi="宋体" w:hint="eastAsia"/>
            <w:noProof/>
            <w:sz w:val="24"/>
          </w:rPr>
          <w:t>十三、基金资产的估值</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_Toc137828558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93</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59" w:history="1">
        <w:r w:rsidR="009F4F0F" w:rsidRPr="009F4F0F">
          <w:rPr>
            <w:rStyle w:val="af0"/>
            <w:rFonts w:ascii="宋体" w:hAnsi="宋体" w:hint="eastAsia"/>
            <w:noProof/>
            <w:sz w:val="24"/>
          </w:rPr>
          <w:t>十四、基金的收益与分配</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_Toc137828559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98</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60" w:history="1">
        <w:r w:rsidR="009F4F0F" w:rsidRPr="009F4F0F">
          <w:rPr>
            <w:rStyle w:val="af0"/>
            <w:rFonts w:ascii="宋体" w:hAnsi="宋体" w:hint="eastAsia"/>
            <w:noProof/>
            <w:sz w:val="24"/>
          </w:rPr>
          <w:t>十五、基金的费用与税收</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_Toc137828560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100</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61" w:history="1">
        <w:r w:rsidR="009F4F0F" w:rsidRPr="009F4F0F">
          <w:rPr>
            <w:rStyle w:val="af0"/>
            <w:rFonts w:ascii="宋体" w:hAnsi="宋体" w:hint="eastAsia"/>
            <w:noProof/>
            <w:sz w:val="24"/>
          </w:rPr>
          <w:t>十六、基金的会计与审计</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_Toc137828561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103</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62" w:history="1">
        <w:r w:rsidR="009F4F0F" w:rsidRPr="009F4F0F">
          <w:rPr>
            <w:rStyle w:val="af0"/>
            <w:rFonts w:ascii="宋体" w:hAnsi="宋体" w:hint="eastAsia"/>
            <w:noProof/>
            <w:sz w:val="24"/>
          </w:rPr>
          <w:t>十七、基金的信息披露</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_Toc137828562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104</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63" w:history="1">
        <w:r w:rsidR="009F4F0F" w:rsidRPr="009F4F0F">
          <w:rPr>
            <w:rStyle w:val="af0"/>
            <w:rFonts w:ascii="宋体" w:hAnsi="宋体" w:hint="eastAsia"/>
            <w:noProof/>
            <w:sz w:val="24"/>
          </w:rPr>
          <w:t>十八、风险揭示</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_Toc137828563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110</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64" w:history="1">
        <w:r w:rsidR="009F4F0F" w:rsidRPr="009F4F0F">
          <w:rPr>
            <w:rStyle w:val="af0"/>
            <w:rFonts w:ascii="宋体" w:hAnsi="宋体" w:hint="eastAsia"/>
            <w:noProof/>
            <w:sz w:val="24"/>
          </w:rPr>
          <w:t>十九、基金合同的终止与基金财产的清算</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_Toc137828564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117</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65" w:history="1">
        <w:r w:rsidR="009F4F0F" w:rsidRPr="009F4F0F">
          <w:rPr>
            <w:rStyle w:val="af0"/>
            <w:rFonts w:ascii="宋体" w:hAnsi="宋体" w:hint="eastAsia"/>
            <w:noProof/>
            <w:sz w:val="24"/>
          </w:rPr>
          <w:t>二十、基金合同内容摘要</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_Toc137828565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119</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66" w:history="1">
        <w:r w:rsidR="009F4F0F" w:rsidRPr="009F4F0F">
          <w:rPr>
            <w:rStyle w:val="af0"/>
            <w:rFonts w:ascii="宋体" w:hAnsi="宋体" w:hint="eastAsia"/>
            <w:noProof/>
            <w:sz w:val="24"/>
          </w:rPr>
          <w:t>二十一、托管协议的内容摘要</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_Toc137828566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133</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67" w:history="1">
        <w:r w:rsidR="009F4F0F" w:rsidRPr="009F4F0F">
          <w:rPr>
            <w:rStyle w:val="af0"/>
            <w:rFonts w:ascii="宋体" w:hAnsi="宋体" w:hint="eastAsia"/>
            <w:noProof/>
            <w:sz w:val="24"/>
          </w:rPr>
          <w:t>二十二、对基金份额持有人的服务</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_Toc137828567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151</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68" w:history="1">
        <w:r w:rsidR="009F4F0F" w:rsidRPr="009F4F0F">
          <w:rPr>
            <w:rStyle w:val="af0"/>
            <w:rFonts w:ascii="宋体" w:hAnsi="宋体" w:hint="eastAsia"/>
            <w:noProof/>
            <w:sz w:val="24"/>
          </w:rPr>
          <w:t>二十三、其他应披露事项</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_Toc137828568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153</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69" w:history="1">
        <w:r w:rsidR="009F4F0F" w:rsidRPr="009F4F0F">
          <w:rPr>
            <w:rStyle w:val="af0"/>
            <w:rFonts w:ascii="宋体" w:hAnsi="宋体" w:hint="eastAsia"/>
            <w:noProof/>
            <w:sz w:val="24"/>
          </w:rPr>
          <w:t>二十四、招募说明书的存放及查阅方式</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_Toc137828569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155</w:t>
        </w:r>
        <w:r w:rsidR="009F4F0F" w:rsidRPr="009F4F0F">
          <w:rPr>
            <w:rFonts w:ascii="宋体" w:hAnsi="宋体"/>
            <w:noProof/>
            <w:sz w:val="24"/>
          </w:rPr>
          <w:fldChar w:fldCharType="end"/>
        </w:r>
      </w:hyperlink>
    </w:p>
    <w:p w:rsidR="009F4F0F" w:rsidRPr="009F4F0F" w:rsidRDefault="00273624" w:rsidP="009F4F0F">
      <w:pPr>
        <w:pStyle w:val="11"/>
        <w:tabs>
          <w:tab w:val="right" w:leader="dot" w:pos="8550"/>
        </w:tabs>
        <w:spacing w:line="360" w:lineRule="auto"/>
        <w:rPr>
          <w:rFonts w:ascii="宋体" w:hAnsi="宋体" w:cstheme="minorBidi"/>
          <w:noProof/>
          <w:sz w:val="24"/>
        </w:rPr>
      </w:pPr>
      <w:hyperlink w:anchor="_Toc137828570" w:history="1">
        <w:r w:rsidR="009F4F0F" w:rsidRPr="009F4F0F">
          <w:rPr>
            <w:rStyle w:val="af0"/>
            <w:rFonts w:ascii="宋体" w:hAnsi="宋体" w:hint="eastAsia"/>
            <w:noProof/>
            <w:sz w:val="24"/>
          </w:rPr>
          <w:t>二十五、备查文件</w:t>
        </w:r>
        <w:r w:rsidR="009F4F0F" w:rsidRPr="009F4F0F">
          <w:rPr>
            <w:rFonts w:ascii="宋体" w:hAnsi="宋体"/>
            <w:noProof/>
            <w:sz w:val="24"/>
          </w:rPr>
          <w:tab/>
        </w:r>
        <w:r w:rsidR="009F4F0F" w:rsidRPr="009F4F0F">
          <w:rPr>
            <w:rFonts w:ascii="宋体" w:hAnsi="宋体"/>
            <w:noProof/>
            <w:sz w:val="24"/>
          </w:rPr>
          <w:fldChar w:fldCharType="begin"/>
        </w:r>
        <w:r w:rsidR="009F4F0F" w:rsidRPr="009F4F0F">
          <w:rPr>
            <w:rFonts w:ascii="宋体" w:hAnsi="宋体"/>
            <w:noProof/>
            <w:sz w:val="24"/>
          </w:rPr>
          <w:instrText xml:space="preserve"> PAGEREF _Toc137828570 \h </w:instrText>
        </w:r>
        <w:r w:rsidR="009F4F0F" w:rsidRPr="009F4F0F">
          <w:rPr>
            <w:rFonts w:ascii="宋体" w:hAnsi="宋体"/>
            <w:noProof/>
            <w:sz w:val="24"/>
          </w:rPr>
        </w:r>
        <w:r w:rsidR="009F4F0F" w:rsidRPr="009F4F0F">
          <w:rPr>
            <w:rFonts w:ascii="宋体" w:hAnsi="宋体"/>
            <w:noProof/>
            <w:sz w:val="24"/>
          </w:rPr>
          <w:fldChar w:fldCharType="separate"/>
        </w:r>
        <w:r w:rsidR="009F4F0F" w:rsidRPr="009F4F0F">
          <w:rPr>
            <w:rFonts w:ascii="宋体" w:hAnsi="宋体"/>
            <w:noProof/>
            <w:sz w:val="24"/>
          </w:rPr>
          <w:t>156</w:t>
        </w:r>
        <w:r w:rsidR="009F4F0F" w:rsidRPr="009F4F0F">
          <w:rPr>
            <w:rFonts w:ascii="宋体" w:hAnsi="宋体"/>
            <w:noProof/>
            <w:sz w:val="24"/>
          </w:rPr>
          <w:fldChar w:fldCharType="end"/>
        </w:r>
      </w:hyperlink>
    </w:p>
    <w:p w:rsidR="00AC540B" w:rsidRPr="009F4F0F" w:rsidRDefault="009F4F0F" w:rsidP="009F4F0F">
      <w:pPr>
        <w:pStyle w:val="af3"/>
        <w:snapToGrid w:val="0"/>
        <w:spacing w:after="240" w:line="360" w:lineRule="auto"/>
        <w:jc w:val="center"/>
        <w:rPr>
          <w:rFonts w:ascii="宋体" w:hAnsi="宋体"/>
          <w:color w:val="000000"/>
          <w:sz w:val="24"/>
        </w:rPr>
      </w:pPr>
      <w:r w:rsidRPr="009F4F0F">
        <w:rPr>
          <w:rFonts w:ascii="宋体" w:hAnsi="宋体"/>
          <w:color w:val="000000"/>
          <w:position w:val="-4"/>
          <w:sz w:val="24"/>
          <w:szCs w:val="30"/>
        </w:rPr>
        <w:lastRenderedPageBreak/>
        <w:fldChar w:fldCharType="end"/>
      </w:r>
    </w:p>
    <w:p w:rsidR="00AC540B" w:rsidRDefault="00AC540B">
      <w:pPr>
        <w:autoSpaceDE w:val="0"/>
        <w:autoSpaceDN w:val="0"/>
        <w:adjustRightInd w:val="0"/>
        <w:snapToGrid w:val="0"/>
        <w:spacing w:line="360" w:lineRule="auto"/>
        <w:ind w:left="120" w:rightChars="6" w:right="13"/>
        <w:rPr>
          <w:rFonts w:ascii="宋体" w:hAnsi="宋体"/>
          <w:kern w:val="0"/>
          <w:szCs w:val="24"/>
        </w:rPr>
        <w:sectPr w:rsidR="00AC540B">
          <w:pgSz w:w="11920" w:h="16840"/>
          <w:pgMar w:top="1480" w:right="1680" w:bottom="280" w:left="1680" w:header="0" w:footer="1073" w:gutter="0"/>
          <w:cols w:space="720"/>
        </w:sectPr>
      </w:pPr>
    </w:p>
    <w:p w:rsidR="00AC540B" w:rsidRDefault="0003640B">
      <w:pPr>
        <w:pStyle w:val="1"/>
        <w:snapToGrid w:val="0"/>
        <w:spacing w:beforeLines="0" w:before="240" w:after="240"/>
        <w:rPr>
          <w:rFonts w:ascii="宋体" w:hAnsi="宋体"/>
          <w:szCs w:val="30"/>
        </w:rPr>
      </w:pPr>
      <w:bookmarkStart w:id="4" w:name="_Toc137828546"/>
      <w:r>
        <w:rPr>
          <w:rFonts w:ascii="Times New Roman" w:hAnsi="Times New Roman"/>
          <w:sz w:val="30"/>
        </w:rPr>
        <w:lastRenderedPageBreak/>
        <w:t>一、绪言</w:t>
      </w:r>
      <w:bookmarkEnd w:id="4"/>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成长30混合型证券投资基金招募说明书》（以下简称“本招募说明书”）依据《中华人民共和国证券投资基金法》、《证券投资基金运作管理办法》、《证券投资基金销售管理办法》、《公开募集证券投资基金信息披露管理办法》、《公开募集开放式证券投资基金流动性风险管理规定》（以下简称“《流动性规定》”）和其他相关法律法规的规定以及《交银施罗德成长30混合型证券投资基金基金合同》（以下简称“基金合同”）编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rsidR="00B439CC" w:rsidRDefault="0003640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540B" w:rsidRDefault="0003640B">
      <w:pPr>
        <w:pStyle w:val="1"/>
        <w:snapToGrid w:val="0"/>
        <w:spacing w:beforeLines="0" w:before="240" w:after="240"/>
        <w:rPr>
          <w:rFonts w:ascii="宋体" w:hAnsi="宋体"/>
          <w:szCs w:val="30"/>
        </w:rPr>
      </w:pPr>
      <w:bookmarkStart w:id="5" w:name="_Toc137828547"/>
      <w:r>
        <w:rPr>
          <w:rFonts w:ascii="Times New Roman" w:hAnsi="Times New Roman"/>
          <w:sz w:val="30"/>
        </w:rPr>
        <w:lastRenderedPageBreak/>
        <w:t>二、释义</w:t>
      </w:r>
      <w:bookmarkEnd w:id="5"/>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1、基金或本基金：指交银施罗德成长30混合型证券投资基金</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3、基金托管人或本基金托管人：指中国建设银行股份有限公司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4、基金合同或《基金合同》：指《交银施罗德成长30混合型证券投资基金基金合同》及对该基金合同的任何有效修订和补充</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5、托管协议：指基金管理人与基金托管人就本基金签订之《交银施罗德成长30混合型证券投资基金托管协议》及对该托管协议的任何有效修订和补充</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6、招募说明书、《招募说明书》或本招募说明书：指《交银施罗德成长30混合型证券投资基金招募说明书》及其更新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7、基金份额发售公告：指《交银施罗德成长30股票型证券投资基金基金份额发售公告》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8、基金产品资料概要：指《交银施罗德成长30混合型证券投资基金基金产品资料概要》及其更新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10、中国：指中华人民共和国（仅为基金合同之目的，不包括香港特别行政区、澳门特别行政区及台湾地区）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11、《基金法》：指2003年10月28日经第十届全国人民代表大会常务委员会第五次会议通过，自2004年6月1日起实施的《中华人民共和国证券投资基金法》及颁布机关对其不时做出的修订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12、《销售办法》：指中国证监会2011年6月9日颁布、同年10月1日实施的《证券投资基金销售管理办法》及颁布机关对其不时做出的修订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13、《信息披露办法》：指中国证监会2019年7月26日颁布、同年9月1日实施的《公开募集证券投资基金信息披露管理办法》及颁布机关对其不时做出的修订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14、《运作办法》：指中国证监会2004年6月29日颁布、同年7月1日实施的《证券投资基金运作管理办法》及颁布机关对其不时做出的修订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15、《流动性规定》：指中国证监会2017年8月31日颁布、同年10月1日实施的</w:t>
      </w:r>
      <w:r>
        <w:rPr>
          <w:rFonts w:ascii="宋体" w:hAnsi="宋体"/>
          <w:sz w:val="24"/>
        </w:rPr>
        <w:lastRenderedPageBreak/>
        <w:t>《公开募集开放式证券投资基金流动性风险管理规定》及颁布机关对其不时做出的修订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16、中国证监会：指中国证券监督管理委员会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17、银行业监督管理机构：指中国人民银行和/或中国银行业监督管理委员会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18、基金合同当事人：指受基金合同约束，根据基金合同享有权利并承担义务的法律主体，包括基金管理人、基金托管人和基金份额持有人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19、个人投资者：指依据有关法律法规规定可投资于证券投资基金的自然人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20、机构投资者：指依法可以投资证券投资基金的、在中国境内合法登记并存续或经有关政府部门批准设立并存续的企业法人、事业法人、社会团体或其他组织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21、合格境外机构投资者：指符合《合格境外机构投资者境内证券投资管理办法》及相关法律法规规定可以投资于在中国境内依法募集的证券投资基金的中国境外的机构投资者</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22、投资人或投资者：指个人投资者、机构投资者和合格境外机构投资者以及法律法规或中国证监会允许购买证券投资基金的其他投资人的合称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23、基金份额持有人：指依基金合同和招募说明书合法取得基金份额的投资人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24、基金销售业务：指基金管理人或销售机构宣传推介基金，发售基金份额，办理基金份额的申购、赎回、转换、转托管及定期定额投资等业务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25、直销机构：指交银施罗德基金管理有限公司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代销机构：指符合《销售办法》和中国证监会规定的其他条件，取得基金销售业务资格并与基金管理人签订了基金销售服务代理协议，代为办理基金销售业务的机构以及可通过上海证券交易所开放式基金销售系统办理基金销售业务的会员单位</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会员单位：指具有开放式基金代销资格，经上海证券交易所和中国证券登记结算有限责任公司认可的、可通过上海证券交易所开放式基金销售系统办理开放式基金的认购、申购、赎回和转托管等业务的上海证券交易所会员单位</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28、销售机构：指直销机构和代销机构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30、登记机构：指办理登记业务的机构。基金的登记机构为交银施罗德基金管</w:t>
      </w:r>
      <w:r>
        <w:rPr>
          <w:rFonts w:ascii="宋体" w:hAnsi="宋体"/>
          <w:sz w:val="24"/>
        </w:rPr>
        <w:lastRenderedPageBreak/>
        <w:t>理有限公司或接受交银施罗德基金管理有限公司委托代为办理登记业务的机构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31、开放式基金账户：指登记机构为投资人开立的、记录其持有的、基金管理人所管理的基金份额余额及其变动情况的账户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32、基金交易账户：指销售机构为投资人开立的、记录投资人通过该销售机构办理认购、申购、赎回、转换及转托管等业务而引起的基金份额变动及结余情况的账户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上海证券账户：指在中国证券登记结算有限责任公司上海分公司开设的上海证券交易所人民币普通股票账户(简称“A股账户”)或证券投资基金账户(简称“基金账户”)，投资人通过上海证券交易所开放式基金销售系统办理申购、赎回等业务时需持有上海证券账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34、基金合同生效日：指基金募集达到法律法规规定及基金合同规定的条件，基金管理人向中国证监会办理基金备案手续完毕，并获得中国证监会书面确认的日期</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35、基金合同终止日：指基金合同规定的基金合同终止事由出现后，基金财产清算完毕，清算结果报中国证监会备案并予以公告的日期</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36、基金募集期：指自基金份额发售之日起至发售结束之日止的期间，最长不得超过3个月</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37、存续期：指基金合同生效至终止之间的不定期期限</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38、工作日：指上海证券交易所、深圳证券交易所的正常交易日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39、T日：指销售机构在规定时间受理投资人申购、赎回或其他业务申请的开放日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40、T+n日：指自T日起第n个工作日(不包含T日)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41、开放日：指为投资人办理基金份额申购、赎回或其他业务的工作日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42、开放时间：指开放日基金接受申购、赎回或其他交易的时间段</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业务规则》：指《中国证券登记结算有限责任公司开放式证券投资基金及证券公司集合资产管理计划份额登记及资金结算业务指南》，是规范基金管理人所管理的开放式证券投资基金登记方面的业务规则，由基金管理人和投资人共同遵守；此外，投资者通过场内认购、申购、赎回本基金还须遵守上海证券交易所及中国证券登记结算有限责任公司场内业务有关规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44、认购：指在基金募集期内，投资人根据基金合同和招募说明书的规定申请</w:t>
      </w:r>
      <w:r>
        <w:rPr>
          <w:rFonts w:ascii="宋体" w:hAnsi="宋体"/>
          <w:sz w:val="24"/>
        </w:rPr>
        <w:lastRenderedPageBreak/>
        <w:t>购买基金份额的行为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45、申购：指基金合同生效后，投资人根据基金合同和招募说明书的规定申请购买基金份额的行为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46、赎回：指基金合同生效后，基金份额持有人按基金合同和招募说明书规定的条件要求将基金份额兑换为现金的行为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47、场外：指不通过上海证券交易所的开放式基金销售系统办理基金份额认购、申购和赎回等业务的销售机构和场所</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48、场内：指通过上海证券交易的开放式基金销售系统办理基金份额认购、申购和赎回等业务的销售机构和场所</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49、注册登记系统：指中国证券登记结算有限责任公司开放式基金登记结算系统</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50、证券登记结算系统：指中国证券登记结算有限责任公司上海分公司证券登记结算系统</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51、基金转换：指基金份额持有人按照本基金合同和基金管理人届时有效公告规定的条件，申请将其持有基金管理人管理的、某一基金的基金份额转换为基金管理人管理的其他基金基金份额的行为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52、转托管：指基金份额持有人在本基金的不同销售机构之间实施的变更所持基金份额销售机构的操作</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定期定额投资计划：指投资人通过有关销售机构提出申请，约定每期申购日、扣款金额及扣款方式，由指定的销售机构在投资人指定银行账户内自动完成扣款并于每期约定的申购日提交基金申购申请的一种投资方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巨额赎回：指本基金单个开放日，基金净赎回申请（赎回申请份额总数加上基金转换中转出申请份额总数后扣除申购申请份额总数及基金转换中转入申请份额总数后的余额)超过上一开放日基金总份额的10%的情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55、元：指人民币元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56、基金收益：指基金投资所得红利、股息、债券利息、买卖证券价差、银行存款利息、已实现的其他合法收入及因运用基金财产带来的成本和费用的节约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57、基金资产总值：指基金拥有的各类有价证券、银行存款本息、基金应收申购款及其他资产的价值总和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58、基金资产净值：指基金资产总值减去基金负债后的价值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59、基金份额净值：指计算日基金资产净值除以计算日基金份额总数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60、基金资产估值：指计算评估基金资产和负债的价值，以确定基金资产净值和基金份额净值的过程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62、指定媒介：指中国证监会指定的用以进行信息披露的全国性报刊及指定互联网网站（包括基金管理人网站、基金托管人网站、中国证监会基金电子披露网站）等媒介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63、不可抗力：指本基金合同当事人不能预见、不能避免且不能克服的客观事件</w:t>
      </w:r>
    </w:p>
    <w:p w:rsidR="00B439CC" w:rsidRDefault="0003640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540B" w:rsidRDefault="0003640B">
      <w:pPr>
        <w:pStyle w:val="1"/>
        <w:snapToGrid w:val="0"/>
        <w:spacing w:beforeLines="0" w:before="240" w:after="240"/>
        <w:rPr>
          <w:rFonts w:ascii="宋体" w:hAnsi="宋体"/>
          <w:szCs w:val="30"/>
        </w:rPr>
      </w:pPr>
      <w:bookmarkStart w:id="6" w:name="_Toc137828548"/>
      <w:r>
        <w:rPr>
          <w:rFonts w:ascii="Times New Roman" w:hAnsi="Times New Roman"/>
          <w:sz w:val="30"/>
        </w:rPr>
        <w:lastRenderedPageBreak/>
        <w:t>三、基金管理人</w:t>
      </w:r>
      <w:bookmarkEnd w:id="6"/>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AC540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AC540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AC540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AC540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童洁萍女士，董事，硕士。现任交通银行总行个人金融业务部副总经理。历任交通银行南京分行个人金融业务部副高级经理、江苏省分行个人金融业务部副总经理、总经理、玄武支行行长。</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 副总经理。历任交通银行总行国际业务部外汇资金处交易员、澳门分行资金部主管、总行</w:t>
      </w:r>
      <w:r>
        <w:rPr>
          <w:rFonts w:ascii="宋体" w:hAnsi="宋体"/>
          <w:sz w:val="24"/>
        </w:rPr>
        <w:lastRenderedPageBreak/>
        <w:t>金融市场部债券投资部副高级经理、外汇交易部高级经理。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博士，高级经济师。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林凯珊女士，监事，硕士。现任施罗德投资管理（香港）有限公司中国内地及</w:t>
      </w:r>
      <w:r>
        <w:rPr>
          <w:rFonts w:ascii="宋体" w:hAnsi="宋体"/>
          <w:sz w:val="24"/>
        </w:rPr>
        <w:lastRenderedPageBreak/>
        <w:t>中国香港法律部主管。历任香港证券及期货事务监察委员会发牌科经理、的近律师行律师。</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郭斐先生:基金经理。复旦大学经济学学士，14年证券投资行业从业经验。2009年至2014年于高盛（亚洲）有限责任公司/高华证券公司任职。2014年加入交银施罗德基金管理有限公司，曾任研究部行业分析师，现任权益部基金经理。现任交银施罗德成长30混合型证券投资基金(2017年09月26日至今)、交银施罗德经济新动力混合型证券投资基金(2018年06月02日至今)、交银施罗德创新领航混合型证券投资基金(2020年02月27日至今)、交银施罗德瑞卓三年持有期混合型证券投资基金(2021年09月24日至今)的基金经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本基金历任基金经理：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管华雨先生(2013年06月05日至2014年10月21日)；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王少成先生(2013年07月02日至2019年06月17日)。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上述人员之间无近亲属关系，上述各项人员信息更新截止日为2023年05月27日，期后变动（如有）敬请关注基金管理人发布的相关公告。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9、召集基金份额持有人大会；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1、基金管理人承诺不从事违反《证券法》的行为，并承诺建立健全内部控制制度，采取有效措施，防止违反《证券法》行为的发生；</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2、基金管理人承诺不从事违反《基金法》的行为，并承诺建立健全内部风险控制制度，采取有效措施，防止下列行为的发生：</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（5）依照法律法规有关规定，由中国证监会规定禁止的其他行为。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全面性原则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独立性原则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相互制约原则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 定性和定量相结合原则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董事会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监事会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合规审核及风险管理委员会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风险控制委员会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督察长</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风险管理部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w:t>
      </w:r>
      <w:r>
        <w:rPr>
          <w:rFonts w:ascii="宋体" w:hAnsi="宋体"/>
          <w:sz w:val="24"/>
        </w:rPr>
        <w:lastRenderedPageBreak/>
        <w:t>及管理目标，对公司内部控制体系的适当性及运行的效果和效率进行独立评价，协助促进公司风险管理、控制和治理过程的完善，实现合规经营目标。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业务部门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建立内控体系，完善内控制度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建立相互分离、相互制衡的内控机制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建立、健全岗位责任制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建立风险分类、识别、评估、报告、提示程序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建立有效的内部监控系统</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使用数量化的风险管理手段</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w:t>
      </w:r>
      <w:r>
        <w:rPr>
          <w:rFonts w:ascii="宋体" w:hAnsi="宋体"/>
          <w:sz w:val="24"/>
        </w:rPr>
        <w:lastRenderedPageBreak/>
        <w:t>指数趋势、行业及个股的风险，以便公司及时采取有效的措施，对风险进行分散、控制和规避，尽可能地减少损失。</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提供足够的培训</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B439CC" w:rsidRDefault="0003640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540B" w:rsidRDefault="0003640B">
      <w:pPr>
        <w:pStyle w:val="1"/>
        <w:snapToGrid w:val="0"/>
        <w:spacing w:beforeLines="0" w:before="240" w:after="240"/>
        <w:rPr>
          <w:rFonts w:ascii="宋体" w:hAnsi="宋体"/>
          <w:szCs w:val="30"/>
        </w:rPr>
      </w:pPr>
      <w:bookmarkStart w:id="7" w:name="_Toc137828549"/>
      <w:r>
        <w:rPr>
          <w:rFonts w:ascii="Times New Roman" w:hAnsi="Times New Roman"/>
          <w:sz w:val="30"/>
        </w:rPr>
        <w:lastRenderedPageBreak/>
        <w:t>四、基金托管人</w:t>
      </w:r>
      <w:bookmarkEnd w:id="7"/>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名称：中国建设银行股份有限公司(简称：中国建设银行)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办公地址：北京市西城区闹市口大街1号院1号楼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成立时间：2004年09月17日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注册资本：贰仟伍佰亿壹仟零玖拾柒万柒仟肆佰捌拾陆元整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基金托管资格批文及文号：中国证监会证监基字[1998]12号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联系人：王小飞</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联系电话：(021)6063 7103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建设银行总行设资产托管业务部，下设综合处、基金业务处、证券保险业务处、理财信托业务处、全球业务处、养老金业务处、新兴业务处、客户服务与业务协同处、运营管理处、跨境与外包管理处、托管应用系统支持处、内控合规处等12个职能处室，在北京、上海、合肥设有托管运营中心，共有员工300余人。自2007年起，托管部连续聘请外部会计师事务所对托管业务进行内部控制审计，并已经成为常规化的内控工作手段。</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3、基金托管业务经营情况</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2022年年末，中国建设银行已托管1270</w:t>
      </w:r>
      <w:r>
        <w:rPr>
          <w:rFonts w:ascii="宋体" w:hAnsi="宋体"/>
          <w:sz w:val="24"/>
        </w:rPr>
        <w:lastRenderedPageBreak/>
        <w:t>只证券投资基金。中国建设银行专业高效的托管服务能力和业务水平，赢得了业内的高度认同。中国建设银行多次被《全球托管人》、 《财资》、《环球金融》杂志及《中国基金报》评选为“最佳托管银行”、连续多年荣获中央国债登记结算有限责任公司（中债）“优秀资产托管机构”、银行间市场清算所股份有限公司（上清所）“优秀托管银行”奖项、并先后荣获《亚洲银行家》颁发的2017年度“最佳托管系统实施奖”、2019年度“中国年度托管业务科技实施奖”、2021年度“中国最佳数字化资产托管银行”、以及 2020及2022年度“中国年度托管银行（大型银行）”奖项。2022年度，荣获《环球金融》 “中国最佳次托管银行”，并作为唯一中资银行获得《财资》“中国最佳QFII托管银行”奖项。</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（二）基金托管人的内部控制制度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2、内部控制组织结构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建设银行设有风险内控管理委员会，负责全行风险管理与内部控制工作，对托管业务风险管理和内部控制的有效性进行指导。资产托管业务部配备了专职内控合规人员负责托管业务的内控合规工作，具有独立行使内控合规工作职权和能力。</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3、内部控制制度及措施</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（三）基金托管人对基金管理人运作基金进行监督的方法和程序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1、监督方法</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2、监督流程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(2)收到基金管理人的划款指令后，对指令要素等内容进行核查。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(3)通过技术或非技术手段发现基金涉嫌违规交易，电话或书面要求基金管理人进行解释或举证，如有必要将及时报告中国证监会。</w:t>
      </w:r>
    </w:p>
    <w:p w:rsidR="00B439CC" w:rsidRDefault="0003640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540B" w:rsidRDefault="0003640B">
      <w:pPr>
        <w:pStyle w:val="1"/>
        <w:snapToGrid w:val="0"/>
        <w:spacing w:beforeLines="0" w:before="240" w:after="240"/>
        <w:rPr>
          <w:rFonts w:ascii="宋体" w:hAnsi="宋体"/>
          <w:szCs w:val="30"/>
        </w:rPr>
      </w:pPr>
      <w:bookmarkStart w:id="8" w:name="_Toc137828550"/>
      <w:r>
        <w:rPr>
          <w:rFonts w:ascii="Times New Roman" w:hAnsi="Times New Roman"/>
          <w:sz w:val="30"/>
        </w:rPr>
        <w:lastRenderedPageBreak/>
        <w:t>五、相关服务机构</w:t>
      </w:r>
      <w:bookmarkEnd w:id="8"/>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个人投资者可以通过本公司网上直销交易平台办理开户、本基金的申购、赎回、定期定额投资、转换等业务，具体交易细则请参阅本公司网站。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2、场内代销机构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具有基金代销资格的上海证券交易所场内会员单位。（具体名单见基金份额发售公告）。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3、场外代销机构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客户服务电话：95559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（2）名称：东莞农村商业银行股份有限公司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客户服务电话：（0769）961122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（3）名称：招商银行股份有限公司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（4）名称：中国农业银行股份有限公司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（5）名称：中国建设银行股份有限公司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住所：北京市西城区金融大街25号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办公地址：北京市西城区金融大街25号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电话：（010）66275654</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传真：（010）66275654</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网址：www.ccb.com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（6）名称：江苏常熟农村商业银行股份有限公司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住所：江苏省常熟市新世纪大道58号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办公地址：江苏省常熟市新世纪大道58号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法定代表人：宋建明</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联系电话：（0512）52909128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传真：（0512）52909122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联系人：黄晓</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客户服务电话：962000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网址：www.csrcbank.com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（7）名称：江苏江南农村商业银行股份有限公司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（8）名称：平安银行股份有限公司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传真：0755-82080406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（9）名称：宁波银行股份有限公司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（10）名称：中国光大银行股份有限公司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办公地址：北京市西城区太平桥大街25号、甲25号中国光大中心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电话：（010）63639681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传真：（010）63639709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联系人：刘昭宇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（11）名称：光大证券股份有限公司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（12）名称：中信证券股份有限公司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（13）名称：方正证券股份有限公司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（14）名称：中航证券有限公司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住所：南昌市红谷滩新区红谷中大道1619号国际金融大厦41楼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办公地址：南昌市红谷滩新区红谷中大道1619号国际金融大厦41楼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法定代表人：杜航</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电话：（0791）86768681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传真：（0791）86770178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联系人：戴蕾</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客户服务电话：400-8866-567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网址：www.avicsec.com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（15）名称：中信建投证券股份有限公司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传真：（010）65182261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（16）名称：华宝证券股份有限公司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（17）名称：长城国瑞证券有限公司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住所：厦门市莲前西路2号莲富大厦17楼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办公地址：厦门市莲前西路2号莲富大厦17楼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电话：（0592）5161642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传真：（0592）5161640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客户服务电话：（0592）5163588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网址：www.xmzq.cn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（18）名称：招商证券股份有限公司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网址：www.newone.com.cn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（19）名称：国泰君安证券股份有限公司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（20）名称：国新证券股份有限公司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网址：www.crsec.com.cn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（21）名称：西南证券股份有限公司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住所：重庆市江北区桥北苑8号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办公地址：重庆市江北区桥北苑8号西南证券大厦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电话：（023）63786141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传真：（023）63786212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联系人：张煜</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客户服务电话：95355、400-809-6096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网址：www.swsc.com.cn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（22）名称：信达证券股份有限公司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办公地址：北京市西城区闹市口大街9号院1号楼信达金融中心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（23）名称：国金证券股份有限公司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（24）名称：长城证券有限责任公司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电话：（0755）83516289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传真：（0755）83516199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（25）名称：瑞银证券有限责任公司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住所：北京市西城区金融大街7号英蓝国际金融中心12层、15层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办公地址：北京市西城区金融大街7号英蓝国际金融中心12层、15层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法定代表人：程宜荪</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电话：（010）58328112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传真：（010）58328740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联系人：牟冲</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客户服务电话：400-887-8827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网址：www.ubssecurities.com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（26）名称：中国国际金融股份有限公司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（27）名称：江海证券有限公司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住所：黑龙江省哈尔滨市香坊区赣水路56号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（28）名称：中泰证券股份有限公司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（29）名称：申万宏源西部证券有限公司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办公地址：北京市西城区太平桥大街19号宏源证券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（30）名称：中信证券（山东）有限责任公司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（31）名称：中国银河证券股份有限公司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（32）名称：申万宏源证券有限公司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客户服务电话：95523或4008895523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（33）名称：国都证券股份有限公司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（34）名称：渤海证券股份有限公司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住所：天津经济技术开发区第二大街42号写字楼101室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办公地址：天津市南开区宾水西道8号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法定代表人：安志勇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电话：（022）28451991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传真：（022）28451892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956066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网址：www.ewww.com.cn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（35）名称：中国中金财富证券有限公司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（36）名称：华福证券有限责任公司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住所：福州市五四路157号新天地大厦7、8层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办公地址：福州市五四路新天地大厦7至10层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法定代表人：黄金琳</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电话：（0591）87383623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传真：（0591）87383610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客户服务电话：（0591）96326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网址：www.hfzq.com.cn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（37）名称：兴业证券股份有限公司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（38）名称：联讯证券股份有限公司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惠州市江北东江三路55号广播电视新闻中心西面一层大堂和三、四层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办公地址：惠州市江北东江三路55号广播电视新闻中心西面一层大堂和三、四层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电话：（021）33606736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传真：（021）33606760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联系人：陈思</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客户服务电话：95564</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网址：www.lxzq.com.cn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（39）名称：华西证券股份有限公司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网址：www.hx168.com.cn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（40）名称：平安证券股份有限公司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（41）名称：安信证券股份有限公司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住所：深圳市福田区金田路4018号安联大厦35层、28层A02单元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办公地址：深圳市福田区金田路4018号安联大厦35层、28层A02单元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法定代表人：黄炎勋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电话：（0755）82558305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客户服务电话：400-800-1001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网址：www.essence.com.cn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（42）名称：东莞证券股份有限公司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住所：广东省东莞市莞城区可园南路一号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办公地址：广东省东莞市莞城区可园南路一号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电话：（0769）22115712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传真：（0769）22115712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联系人：李荣</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网址：www.dgzq.com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（43）名称：第一创业证券股份有限公司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法定代表人：刘学民</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（44）名称：东方财富证券股份有限公司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（45）名称：山西证券股份有限公司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住所：山西省太原市府西街69号山西国际贸易中心东塔楼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办公地址：山西省太原市府西街69号山西国际贸易中心东塔楼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法定代表人：侯巍</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电话：0351—8686815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联系人：谢武兵</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客户服务电话：400-666-1618、95573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网址：www.i618.com.cn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（46）名称：德邦证券有限责任公司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网址：www.tebon.com.cn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（47）名称：联储证券有限责任公司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住所：深圳市福田区福田街道岗厦社区深南大道南侧金地中心大厦9楼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办公地址：北京市朝阳区安定路5号院3号楼中建财富国际中心27层联储证券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法定代表人：吕春卫</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传真：010-86499401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祝博文、张婉婷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 400-620-6868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www.lczq.com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（48）名称：恒泰证券股份有限公司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住所：内蒙古呼和浩特市新城区新华东街111号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办公地址：内蒙古呼和浩特市新城区新华东街111号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法定代表人：庞介民</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电话：（0471）4979037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传真：（0471）4961259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联系人：王旭华</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客户服务电话：（0471）4960762，（021）68405273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网址：www.cnht.com.cn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（49）名称：中信证券华南股份有限公司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（50）名称：国信证券股份有限公司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法定代表人：何如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（51）名称：方正中期期货有限公司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住所：北京市石景山区金府路32号院3号楼5层512室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办公地址：北京市朝阳区东三环北路38号院1号泰康金融大厦22层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法定代表人：姜志军</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联系电话：010-85881211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传真：010-85881394</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联系人：罗雯</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客户服务电话：4008802277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网址：www.founderfu.com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（52）名称：东兴证券股份有限公司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住所：北京市西城区金融大街5号新盛大厦B座12-15层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法定代表人：徐勇力</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电话：（010）66555316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传真：（010）66555246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联系人：汤漫川</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400-8888-993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网址：www.dxzq.net</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（53）名称：海通证券股份有限公司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客户服务电话：95553或拨打各城市营业网点咨询电话</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（54）名称：西部证券股份有限公司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住所：陕西省西安市新城区东新街 319 号 8 幢 10000 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办公地址：陕西省西安市新城区东新街 319 号 8 幢 10000 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法定代表人：徐朝晖</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电话：029-87211668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联系人：张吉安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网址：www.west95582.com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（55）名称：北京钱景财富投资管理有限公司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（56）名称：上海大智慧基金销售有限公司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（57）名称：上海利得基金销售有限公司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 上海浦东新区峨山路91弄61号陆家嘴软件园10号楼12楼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（58）名称：上海凯石财富基金销售有限公司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（59）名称：北京虹点基金销售有限公司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（60）名称：诺亚正行(上海)基金销售投资顾问有限公司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电话：（021）38600735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（61）名称：上海好买基金销售有限公司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（62）名称：上海长量基金销售投资顾问有限公司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（63）名称：深圳众禄基金销售有限公司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网址：www.zlfund.cn，www.jjmmw.com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（64）名称：蚂蚁（杭州）基金销售有限公司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（65）名称：天相投资顾问有限公司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（66）名称：深圳市新兰德证券投资咨询有限公司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（67）名称：北京展恒基金销售股份有限公司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电话：（010）59601366-7024</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（68）名称：一路财富（北京）信息科技有限公司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（69）名称：和讯信息科技有限公司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（70）名称：上海天天基金销售有限公司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客户服务电话：400-1818-188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（71）名称：上海联泰基金销售有限公司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（72）名称：珠海盈米财富管理有限公司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（73）名称：上海基煜基金销售有限公司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（74）名称：宜信普泽投资顾问（北京）有限公司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（75）名称：浙江同花顺基金销售有限公司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（76）名称：中信期货有限公司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（77）名称：上海陆金所资产管理有限公司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住所：上海市浦东新区陆家嘴环路1333号14楼09单元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（78）名称：北京中植基金销售有限公司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（79）名称：北京汇成基金销售有限公司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（80）名称：奕丰基金销售有限公司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法定代表人：TEO WEE HOWE</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（81）名称：北京唐鼎耀华投资咨询有限公司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（82）名称：北京创金启富基金销售有限公司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（83）名称：上海云湾投资管理有限公司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联系人：江辉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（84）名称：中证金牛（北京）投资咨询有限公司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（85）名称：北京新浪仓石基金销售有限公司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（86）名称：北京肯特瑞基金销售有限公司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联系人：李丹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（87）名称：北京雪球基金销售有限公司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（88）名称：凤凰金信（银川）投资管理有限公司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住所：宁夏回族自治区银川市金凤区阅海湾中央商务区万寿路142号14层1402(750000)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办公地址：北京市朝阳区紫月路18号院朝来高科技产业园18号楼 (100000)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（89）名称：深圳市金斧子基金销售有限公司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网址：www.jfzinv.com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（90）名称：格上富信投资顾问有限公司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（91）名称：上海万得基金销售有限公司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（92）名称：天津万家财富资产管理有限公司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（93）名称：上海挖财金融信息服务有限公司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办公地址：中国（上海）自由贸易试验区杨高南路799号5层01、02、03室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（94）名称：嘉实财富管理有限公司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（95）名称：南京苏宁基金销售有限公司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（96）名称：北京度小满基金销售有限公司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传真：010-61951007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（97）名称：上海华夏财富投资管理有限公司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（98）名称：江苏汇林保大基金销售有限公司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（99）名称：玄元保险代理有限公司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（100）名称：阳光人寿保险股份有限公司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（101）名称：大连网金基金销售有限公司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（102）名称：泛华普益基金销售有限公司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（103）名称：中国人寿保险股份有限公司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法定代表人：王滨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（104）名称：和耕传承基金销售有限公司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（105）名称：腾安基金销售（深圳）有限公司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（106）名称：北京植信基金销售有限公司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办公地址：北京市朝阳区惠河南路盛世龙源10号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网址：www.zhixin-inv.com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（107）名称：上海钜派钰茂基金销售有限公司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办公地址：上海市闵行区闵虹路166弄中庚环球创意中心T2栋9层</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（108）名称：济安财富（北京）基金销售有限公司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负责人：韩炯</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联系人：黎明</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经办律师：吕红、黎明</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注册地址：中国(上海)自由贸易试验区陆家嘴环路1318号星展银行大厦507单元01室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经办注册会计师：沈兆杰、金诗涛</w:t>
      </w:r>
    </w:p>
    <w:p w:rsidR="00B439CC" w:rsidRDefault="0003640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540B" w:rsidRDefault="0003640B">
      <w:pPr>
        <w:pStyle w:val="1"/>
        <w:snapToGrid w:val="0"/>
        <w:spacing w:beforeLines="0" w:before="240" w:after="240"/>
        <w:rPr>
          <w:rFonts w:ascii="宋体" w:hAnsi="宋体"/>
          <w:szCs w:val="30"/>
        </w:rPr>
      </w:pPr>
      <w:bookmarkStart w:id="9" w:name="_Toc137828551"/>
      <w:r>
        <w:rPr>
          <w:rFonts w:ascii="Times New Roman" w:hAnsi="Times New Roman"/>
          <w:sz w:val="30"/>
        </w:rPr>
        <w:lastRenderedPageBreak/>
        <w:t>六、基金的历史沿革</w:t>
      </w:r>
      <w:bookmarkEnd w:id="9"/>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成长30混合型证券投资基金由交银施罗德成长30股票型证券投资基金变更而来，交银施罗德成长30股票型证券投资基金由基金管理人依照《基金法》、《运作办法》、基金合同及其他有关规定，并经中国证监会证监许可[2013]255号文核准募集发售。</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交银施罗德成长30股票型证券投资基金为契约型开放式股票型基金。基金存续期间为不定期。</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本基金自2013年5月6日至2013年5月31日进行发售。本基金设立募集期共募集2,024,955,437.39份基金份额，有效认购户数为14,946户。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中国人民共和国证券投资基金法》、《公开募集证券投资基金运作管理办法》、《关于实施&lt;公开募集证券投资基金运作管理办法&g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2015年8月8日起，本基金正式变更为交银施罗德成长30混合型证券投资基金，由《交银施罗德成长30股票型证券投资基金基金合同》修订而成的《交银施罗德成长30混合型证券投资基金基金合同》自该日起生效。</w:t>
      </w:r>
    </w:p>
    <w:p w:rsidR="00B439CC" w:rsidRDefault="0003640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540B" w:rsidRDefault="0003640B">
      <w:pPr>
        <w:pStyle w:val="1"/>
        <w:snapToGrid w:val="0"/>
        <w:spacing w:beforeLines="0" w:before="240" w:after="240"/>
        <w:rPr>
          <w:rFonts w:ascii="宋体" w:hAnsi="宋体"/>
          <w:szCs w:val="30"/>
        </w:rPr>
      </w:pPr>
      <w:bookmarkStart w:id="10" w:name="_Toc137828552"/>
      <w:r>
        <w:rPr>
          <w:rFonts w:ascii="Times New Roman" w:hAnsi="Times New Roman"/>
          <w:sz w:val="30"/>
        </w:rPr>
        <w:lastRenderedPageBreak/>
        <w:t>七、基金的存续</w:t>
      </w:r>
      <w:bookmarkEnd w:id="10"/>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rsidR="00B439CC" w:rsidRDefault="0003640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540B" w:rsidRDefault="0003640B">
      <w:pPr>
        <w:pStyle w:val="1"/>
        <w:snapToGrid w:val="0"/>
        <w:spacing w:beforeLines="0" w:before="240" w:after="240"/>
        <w:rPr>
          <w:rFonts w:ascii="宋体" w:hAnsi="宋体"/>
          <w:szCs w:val="30"/>
        </w:rPr>
      </w:pPr>
      <w:bookmarkStart w:id="11" w:name="_Toc137828553"/>
      <w:r>
        <w:rPr>
          <w:rFonts w:ascii="Times New Roman" w:hAnsi="Times New Roman"/>
          <w:sz w:val="30"/>
        </w:rPr>
        <w:lastRenderedPageBreak/>
        <w:t>八、基金份额的申购与赎回</w:t>
      </w:r>
      <w:bookmarkEnd w:id="11"/>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本基金直销机构为本基金管理人以及本基金管理人的网上直销交易平台。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个人投资者可以通过基金管理人网上直销交易平台办理开户、本基金的申购、赎回、定期定额投资、转换等业务，具体交易细则请参阅本基金管理人网站。网上直销交易平台网址：www.fund001.com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2、通过上海证券交易所开放式基金销售系统办理相关业务的上海证券交易所会员单位，目前场内交易只支持前端基金份额的申购。具体名单详见上海证券交易所网站。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3、不通过上海证券交易所开放式基金销售系统办理相关业务的场外代销机构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本基金场外代销机构参见本招募说明书“五、相关服务机构”章节或拨打本公司客户服务电话进行咨询。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投资者可通过上述销售机构办理基金销售业务的营业场所或按上述销售机构提供的其他方式进行申购或赎回。本基金管理人可根据情况变更或增减基金场外代销机构，并在管理人网站公示。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若基金管理人或其指定的代销机构开通电话、传真或网上等交易方式，投资者可以通过上述方式进行申购与赎回。</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（二）申购和赎回的开放日及时间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2、申购的开始日及业务办理时间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本基金已于2013年8月30日起开放场内、场外申购业务。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3、赎回的开始日及业务办理时间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本基金已于2013年8月30日起开放场内、场外赎回业务。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（三）申购和赎回的原则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3、当日的申购与赎回申请可以在基金管理人规定的时间以内撤销，但申请经登记机构正式受理的不得撤销；</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5、投资人通过上海证券交易所开放式基金销售系统办理本基金的场内申购、赎回业务时，需遵守上海证券交易所的相关业务规则。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6、基金管理人可在法律法规允许的情况下，对上述原则进行调整。基金管理人必须在新规则开始实施前依照《信息披露办法》的有关规定在指定媒介上公告。</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（四）申购和赎回的数额限定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场外申购时，场外代销机构单笔申购的最低金额为单笔1元，如果代销机构业务规则规定的最低单笔认购金额高于1元，以代销机构的规定为准。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者不受首次申购最低金额的限制。通过本公司网上直销交易平台办理基金申购业务的不受直销机构单笔申购最低金额的限制，申购最低金额为单笔1元。本基金直销机构单笔申购最低金额可由基金管理人酌情调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场内申购时，每笔申购金额最低为1,000元人民币，同时每笔申购必须是100元的整数倍，并且单笔申购最高不超过99,999,900元。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赎回的最低份额为1份基金份额，如果销售机构业务规则规定的最低单笔赎回份额高于1份，以该销售机构的规定为准。场内赎回时，赎回的最低份额为50份基金份额，同时赎回份额必须是整数份额，并且单笔赎回最多不超过99,999,999份基金份额。</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每个工作日投资者在单个交易账户保留的本基金份额余额少于1份时，若当日该账户同时有份额减少类业务（如赎回、转换出等）被确认，则基金管理人有权将投资者在该账户保留的本基金份额一次性全部赎回。</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5、基金管理人可以根据市场情况，在法律法规允许的情况下，调整上述规定的数量或比例限制。基金管理人必须在调整前依照《信息披露办法》的有关规定在指定媒介上公告。</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（五）申购和赎回的程序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w:t>
      </w:r>
      <w:r>
        <w:rPr>
          <w:rFonts w:ascii="宋体" w:hAnsi="宋体"/>
          <w:sz w:val="24"/>
        </w:rPr>
        <w:lastRenderedPageBreak/>
        <w:t>回申请无效。</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投资人申购基金份额时，必须全额交付申购款项，若申购资金在规定时间内未全额到账则申购不成功。</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投资人赎回申请成功后，基金管理人将在T＋7日（包括该日) 内支付赎回款项。在发生巨额赎回时，款项的支付办法参照本基金合同有关条款处理。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 (T日) ，在正常情况下，本基金登记机构在T+1日（包括该日）内对该交易的有效性进行确认。T日提交的有效申请，投资人应在T+2日后 (包括该日) 到销售网点柜台或以销售机构规定的其他方式查询申请的确认情况。若申购不成功，则申购款项退还给投资人。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（六）申购与赎回的注册登记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1、投资者T 日申购基金成功后，正常情况下，登记机构在T＋1 日为投资者增加权益并办理注册登记手续，投资者自T＋2 日（包括该日）起有权赎回该部分基金份额。投资者应及时查询有关申请的确认情况。</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2、投资者T 日赎回基金成功后，正常情况下，登记机构在T＋1 日为投资者扣除权益并办理相应的注册登记手续。</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3、基金管理人可在法律法规允许的范围内，对上述注册登记办理时间进行调整，并最迟于开始实施前按照《信息披露办法》的有关规定在指定媒介上公告。</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（七）基金的申购费和赎回费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本基金提供两种申购费用的支付模式。投资者可以选择前端收费模式，即在申购时支付申购费用；也可以选择后端收费模式，即在赎回时才支付相应的申购费</w:t>
      </w:r>
      <w:r>
        <w:rPr>
          <w:rFonts w:ascii="宋体" w:hAnsi="宋体"/>
          <w:sz w:val="24"/>
        </w:rPr>
        <w:lastRenderedPageBreak/>
        <w:t>用，该费用随基金份额的持有时间递减。场外申购可以采取前端收费模式和后端收费模式，场内申购目前只支持前端收费模式。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本基金的申购费用由基金申购人承担，不列入基金财产，主要用于本基金的市场推广、销售、注册登记等各项费用。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投资者可以多次申购本基金，申购费率按每笔申购申请单独计算。</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AC540B">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申购费率（前端）</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前端申购费率</w:t>
            </w:r>
          </w:p>
        </w:tc>
      </w:tr>
      <w:tr w:rsidR="00AC540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540B" w:rsidRDefault="00AC540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AC540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540B" w:rsidRDefault="00AC540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AC540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540B" w:rsidRDefault="00AC540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AC540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540B" w:rsidRDefault="00AC540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AC540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540B" w:rsidRDefault="00AC540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r w:rsidR="00AC540B">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申购费率（后端）</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后端申购费率</w:t>
            </w:r>
          </w:p>
        </w:tc>
      </w:tr>
      <w:tr w:rsidR="00AC540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540B" w:rsidRDefault="00AC540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年以内（含）</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p>
        </w:tc>
      </w:tr>
      <w:tr w:rsidR="00AC540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540B" w:rsidRDefault="00AC540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AC540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540B" w:rsidRDefault="00AC540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AC540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540B" w:rsidRDefault="00AC540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上表中的“年”指的是365个自然日。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因红利自动再投资而产生的基金份额，不收取相应的申购费用。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投资者通过直销机构交易享有如下费率优惠，有关费率优惠活动的具体费率折扣及活动起止时间如有变化，敬请投资者留意本基金管理人的有关公告，届时费率优惠相关事项以最新公告为准：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本基金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本基金管理人可根据业务情况调整上述交易费用和限额要求，并依据相关法规的要求提前进行公告。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由赎回基金份额的基金份额持有人承担，在基金份额持有人赎回基金份额时收取，赎回费用的25%归基金财产，其余用于支付注册登记费和其他必要的手续费。其中，对持续持有期少于7日的基金份额持有人收取不低于1.5%的赎回费并全额计入基金财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AC540B">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赎回费率</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AC540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540B" w:rsidRDefault="00AC540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AC540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540B" w:rsidRDefault="00AC540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AC540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540B" w:rsidRDefault="00AC540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rsidR="00AC540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540B" w:rsidRDefault="00AC540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上表中的“年”指的是365个自然日。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基金赎回费率和转换费率。</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（八）申购和赎回的数额和价格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份额余额的处理方式：申购的有效份额为净申购金额除以当日的基金份额净值，有效份额单位为份，场外申购有效份额的计算按四舍五入方法，保留到小数点后两位，由此产生的收益或损失由基金财产承担。场内申购有效份额的计算保留到整数位，剩余部分折回金额返回投资人，折回金额的计算保留到小数点后2位，小数点2位以后的部分四舍五入，由此产生的收益或损失由基金财产承担。</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的处理方式：赎回金额为按实际确认的有效赎回份额乘以当日基金份额净值并扣除相应的费用，赎回金额计算结果保留到小数点后2位，小数点后两位以后的部分四舍五入，由此产生的收益或损失由基金财产承担。</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2、申购份额的计算</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场外申购可以采取前端收费模式和后端收费模式，场内申购目前只支持前端收费模式。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T日基金份额净值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场内申购金额的有效份额保留到整数位，剩余部分对应申购资金返还投资者。</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例一：某投资者投资40,000元申购本基金，假设申购当日基金份额净值为1.040元，如果其选择前端收费方式，申购费率为1.5%，则其可得到的申购份额为：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净申购金额=40,000/（1+1.5%）=39,408.87元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申购费用=40,000-39,408.87=591.13元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申购份额=（40,000-591.13）/1.040=37,893.14份</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如果投资者是场外申购，申购份额为37,893.14份。</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如果投资者是场内申购，则申购份额为37,893份，其余0.14份对应金额返回给投资者。</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申购份额＝申购总金额/T日基金份额净值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当投资者提出赎回时，后端申购费用的计算方法为：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后端申购费用＝赎回份额×申购日基金份额净值×后端申购费率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例二：某投资者投资40,000元申购本基金，假设申购当日基金份额净值为1.040元，如果其选择后端收费方式，则其可得到的申购份额为：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 ＝ 40,000 / 1.040 ＝ 38,461.54份</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即：投资者投资40,000元申购本基金，假设申购当日基金份额净值为1.040元，则可得到38,461.54份基金份额，但其在赎回时需根据其持有时间按对应的后端申购费率交纳后端申购费用。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赎回金额为按实际确认的有效赎回份额乘以当日基金份额净值并扣除相应的费用，赎回金额单位为元，计算结果保留到小数点后两位，第三位四舍五入。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（1）如果投资者在认（申）购时选择交纳前端认（申）购费用，则赎回金额的计算方法如下：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赎回费用=赎回份额×T日基金份额净值×赎回费率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赎回金额=赎回份额×T日基金份额净值-赎回费用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例三：某投资者赎回通过前端认购（申购）持有的10,000份基金份额，对应的赎回费率为0.5%，假设赎回当日基金份额净值是1.016元，则其可得到的赎回金额为：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10,000×1.016×0.5% ＝ 50.80元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10,000×1.016-50.80 ＝ 10,109.20元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即：投资者赎回本基金10,000份基金份额，假设赎回当日基金份额净值是1.016元，则其可得到的赎回金额为10,109.20元。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（2）如果投资者在认（申）购时选择交纳后端认（申）购费用，则赎回金额的计算方法如下：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赎回总额＝赎回份额×T日基金份额净值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后端认（申）购费用＝赎回份额×认（申）购日基金份额净值×后端认（申）购费率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赎回费用＝赎回总额×赎回费率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赎回金额＝赎回总额－后端认（申）购费用－赎回费用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例四：某投资者赎回通过后端认购持有的10,000份基金份额，对应的后端认购费率为1.6%，赎回费率为0.5%，假设赎回当日基金份额净值是1.016元，则其可得到的赎回金额为：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后端认购费用 = 10,000×1.00×1.6% = 160.00元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10,000×1.016×0.5% ＝ 50.80元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10,000×1.016-160.00-50.80 ＝ 9,949.20元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即：投资者赎回通过后端认购所得本基金10,000份基金份额，对应的赎回费率为0.5%，假设赎回当日基金份额净值是1.016元，投资者对应的后端认购费率是1.6%，认购时的基金份额初始面值为1.00元，则其可得到的赎回金额为9,949.20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例五：某投资者赎回通过后端申购持有的10,000份基金份额，对应的后端申购费率是1.8%，赎回费率为0.5%，假设赎回当日基金份额净值是1.016元，申购时的基金份额净值为1.010元，则其可得到的赎回金额为：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赎回总额=10,000×1.016=10,160元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后端申购费用=10,000×1.010×1.8%=181.80元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赎回费用=10,160×0.5%=50.80元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赎回金额=10,160-181.80-50.80=9,927.40元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即：投资者赎回本基金10,000份基金份额，对应的赎回费率为0.5%，假设赎回当日基金份额净值是1.016元，投资者对应的后端申购费率是1.8%，申购时的基金净值为1.010元，则其可得到的赎回金额为9,927.40元。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基金份额净值＝基金资产净值总额/发行在外的基金份额总数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净值的计算，保留到小数点后3位，小数点后第4位四舍五入，由此误差产生的收益或损失由基金财产承担。本基金T日的基金份额净值在当天收市后计算，并在T＋1日内公告。遇特殊情况，经中国证监会同意，可以适当延迟计算或公告。</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（九）拒绝或暂停申购的情形及处理方式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发生下列情况时，基金管理人可拒绝或暂停接受基金投资者的申购申请：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3、证券、期货交易所交易时间非正常停市，导致基金管理人无法计算当日基金资产净值。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4、基金管理人认为接受某笔或某些申购申请可能会影响或损害现有基金份额持有人利益时。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w:t>
      </w:r>
      <w:r>
        <w:rPr>
          <w:rFonts w:ascii="宋体" w:hAnsi="宋体"/>
          <w:sz w:val="24"/>
        </w:rPr>
        <w:lastRenderedPageBreak/>
        <w:t>对基金业绩产生负面影响，从而损害现有基金份额持有人利益的情形。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6、基金管理人接受某笔或者某些申购申请有可能导致单一投资者持有基金份额的比例超过50%，或者变相规避50%集中度的情形。出现上述情形时，基金管理人有权将上述申购申请全部或部分确认失败。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7、当前一估值日基金资产净值50%以上的资产出现无可参考的活跃市场价格且采用估值技术仍导致公允价值存在重大不确定性时，经与基金托管人协商确认后，基金管理人应当暂停接受基金申购申请。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8、法律法规规定或中国证监会认定的其他情形。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7、8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（十）暂停赎回或者延缓支付赎回款项的情形及处理方式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发生下列情形时，基金管理人可暂停接受基金投资者的赎回申请或延缓支付赎回款项：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3、证券、期货交易所交易时间非正常停市，导致基金管理人无法计算当日基金资产净值。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6、法律法规规定或中国证监会认定的其他情形。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w:t>
      </w:r>
      <w:r>
        <w:rPr>
          <w:rFonts w:ascii="宋体" w:hAnsi="宋体"/>
          <w:sz w:val="24"/>
        </w:rPr>
        <w:lastRenderedPageBreak/>
        <w:t>条款处理。基金份额持有人在申请赎回时可事先选择将当日可能未获受理部分予以撤销。在暂停赎回的情况消除时，基金管理人应及时恢复赎回业务的办理并公告。</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（十一）巨额赎回的情形及处理方式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巨额赎回业务的场内处理，按照上海证券交易所及中国证券登记结算有限责任</w:t>
      </w:r>
      <w:r>
        <w:rPr>
          <w:rFonts w:ascii="宋体" w:hAnsi="宋体"/>
          <w:sz w:val="24"/>
        </w:rPr>
        <w:lastRenderedPageBreak/>
        <w:t>公司的有关规定办理。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 发生巨额赎回，如基金管理人认为有必要，可暂停接受基金的赎回申请；已经接受的赎回申请可以延缓支付赎回款项，但不得超过20个工作日，并应当在指定媒介上进行公告。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当发生上述延期赎回并延期办理时，基金管理人应当通过邮寄、传真、刊登公告或者通知代销机构代为告知等方式在3个交易日内通知基金份额持有人，说明有关处理方法，并在2日内在指定媒介上刊登公告。</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（十二）暂停申购或赎回的公告和重新开放申购或赎回的公告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2、暂停结束，基金重新开放申购或赎回时，基金管理人应依照《信息披露管理办法》的有关规定，不迟于重新开放日在指定媒介上刊登基金重新开放申购或赎回公告，并公告最近1个开放日的基金份额净值。</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（十三）基金的非交易过户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（十四）基金的转托管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（十五）定期定额投资计划</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w:t>
      </w:r>
      <w:r>
        <w:rPr>
          <w:rFonts w:ascii="宋体" w:hAnsi="宋体"/>
          <w:sz w:val="24"/>
        </w:rPr>
        <w:lastRenderedPageBreak/>
        <w:t>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2013年8月27日刊登公告自2013年8月30日起开通定期定额投资计划业务，具体开通销售机构名单和业务规则参见相关公告。</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（十六）定期定额赎回业务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2013年8月27日刊登公告自2013年8月30日起在中国农业银行股份有限公司下属各代销网点开通定期定额赎回业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（十七）基金份额的冻结和解冻</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rsidR="00B439CC" w:rsidRDefault="0003640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540B" w:rsidRDefault="0003640B">
      <w:pPr>
        <w:pStyle w:val="1"/>
        <w:snapToGrid w:val="0"/>
        <w:spacing w:beforeLines="0" w:before="240" w:after="240"/>
        <w:rPr>
          <w:rFonts w:ascii="宋体" w:hAnsi="宋体"/>
          <w:szCs w:val="30"/>
        </w:rPr>
      </w:pPr>
      <w:bookmarkStart w:id="12" w:name="_Toc137828554"/>
      <w:r>
        <w:rPr>
          <w:rFonts w:ascii="Times New Roman" w:hAnsi="Times New Roman"/>
          <w:sz w:val="30"/>
        </w:rPr>
        <w:lastRenderedPageBreak/>
        <w:t>九、基金的转换</w:t>
      </w:r>
      <w:bookmarkEnd w:id="12"/>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本基金2013年8月27日刊登公告自2013年8月30日起开放日常转换业务。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（四）基金转换的数额限制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本基金遵循“份额转换”的原则，单笔转换份额不得低于1份。基金持有人可将其全部或部分基金份额转换成其它基金，单笔转换申请不受转入基金最低申购限额限制。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w:t>
      </w:r>
      <w:r>
        <w:rPr>
          <w:rFonts w:ascii="宋体" w:hAnsi="宋体"/>
          <w:sz w:val="24"/>
        </w:rPr>
        <w:lastRenderedPageBreak/>
        <w:t>转入基金的后端申购费。后端申购补差费用按照转出份额持有时间对应分档的转出基金后端申购费率减去转入基金后端申购费率差额进行补差。</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6、基金管理人可以根据法律法规及基金合同的规定对上述收费方式和费率进行调整，并应于调整后的收费方式和费率在实施前依照《信息披露办法》的有关规定在中国证监会指定媒介上公告。</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w:t>
      </w:r>
      <w:r>
        <w:rPr>
          <w:rFonts w:ascii="宋体" w:hAnsi="宋体"/>
          <w:sz w:val="24"/>
        </w:rPr>
        <w:lastRenderedPageBreak/>
        <w:t>半年，转换申请当日交银趋势的A类基金份额净值为1.0100元，交银成长的基金份额净值为2.2700元。若该投资者将100,000份交银趋势前端A类基金份额转换为交银成长前端基金份额，则转入交银成长确认的基金份额为：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转出确认金额=100,000×1.00=100,000元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w:t>
      </w:r>
      <w:r>
        <w:rPr>
          <w:rFonts w:ascii="宋体" w:hAnsi="宋体"/>
          <w:sz w:val="24"/>
        </w:rPr>
        <w:lastRenderedPageBreak/>
        <w:t>货币，则转入交银货币的基金份额为：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w:t>
      </w:r>
      <w:r>
        <w:rPr>
          <w:rFonts w:ascii="宋体" w:hAnsi="宋体"/>
          <w:sz w:val="24"/>
        </w:rPr>
        <w:lastRenderedPageBreak/>
        <w:t>只能转换到前端收费模式的其他基金，后端收费模式的基金只能转换到后端收费模式的其他基金。货币市场基金、债券基金C类基金份额与其他基金之间的转换不受上述收费模式的限制。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B439CC" w:rsidRDefault="0003640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540B" w:rsidRDefault="0003640B">
      <w:pPr>
        <w:pStyle w:val="1"/>
        <w:snapToGrid w:val="0"/>
        <w:spacing w:beforeLines="0" w:before="240" w:after="240"/>
        <w:rPr>
          <w:rFonts w:ascii="宋体" w:hAnsi="宋体"/>
          <w:szCs w:val="30"/>
        </w:rPr>
      </w:pPr>
      <w:bookmarkStart w:id="13" w:name="_Toc137828555"/>
      <w:r>
        <w:rPr>
          <w:rFonts w:ascii="Times New Roman" w:hAnsi="Times New Roman"/>
          <w:sz w:val="30"/>
        </w:rPr>
        <w:lastRenderedPageBreak/>
        <w:t>十、基金的投资</w:t>
      </w:r>
      <w:bookmarkEnd w:id="13"/>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（一）投资目标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本基金属于成长型混合基金，主要通过投资于不超过30只精选的成长型上市公司股票，在适度控制风险并保持基金资产良好流动性的前提下，为基金份额持有人谋求长期、稳定的资本增值。</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（二）投资范围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债券、中期票据、货币市场工具、权证、资产支持证券、股指期货以及法律法规或中国证监会允许基金投资的其他金融工具(但须符合中国证监会相关规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含存托凭证）占基金资产的60%-95%，其中投资于经过严格品质筛选、成长质量优良的成长型股票的资产比例不低于股票资产的80%；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5%，其中现金不包括结算备付金、存出保证金、应收申购款等。</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（三）投资策略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30只股票的集中持股策略，为基金资产谋求长期稳健增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1、资产配置</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具体操作中，基金管理人采用经济周期理论下的资产配置模型，通过对宏观经</w:t>
      </w:r>
      <w:r>
        <w:rPr>
          <w:rFonts w:ascii="宋体" w:hAnsi="宋体"/>
          <w:sz w:val="24"/>
        </w:rPr>
        <w:lastRenderedPageBreak/>
        <w:t>济运行指标、利率和货币政策等相关因素的分析，对中国的宏观经济运行情况进行判断和预测，然后利用经济周期理论确定基金资产在各类别资产间的战略配置策略。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2、股票选择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对象重点为经过严格品质筛选和价值评估，具有完善的治理结构、较大的发展潜力、良好的行业景气度、成长质量优良、业务聚焦型、在所属行业内数一数二的成长型上市公司。本基金将综合运用施罗德集团的股票研究分析方法和其它投资分析工具，充分发挥研究团队自下而上的选股能力，精选不超过30只股票构建股票投资组合。具体分以下几个层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（1）品质筛选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筛选出在公司治理、财务及管理品质上符合基本品质要求的上市公司，构建备选股票池。主要筛选指标包括：</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盈利能力指标（如P/E、P/Cash Flow、P/FCF、P/S、P/EBIT等）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经营效率指标（如ROE、ROA、Return on operating assets等）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财务状况指标（如D/A、流动比率等）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（2）行业及成长性评估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定量与定性相结合的评价方法，评估其行业地位和业绩成长性。本基金在全球经济的框架下，通过对宏观经济运行趋势、产业环境、产业政策和行业竞争格局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三个方面评估行业成长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充分的行业评估之下，本基金将进一步结合交银施罗德企业成长性评价体系从宏观环境、行业前景、公司质量和成长性质量四个方面对企业的成长性进行综合评价。同时，本基金将选择出满足以下条件的上市公司为主要投资对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1）未来两年预期主营业务收入和行业市占率处于行业前列，或者公司在技术上或商业模式上具有突出的创新，代表行业发展的方向；</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2）公司业务聚焦。公司主营业务组合（考虑到产业链的延伸）清晰，主营业务组合销售收入占公司整体销售收入比重突出；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3）公司主营业务具有数一数二的行业地位。本基金主要依据公司主营业务的市场份额来定义公司行业地位，其中：</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 典型的周期性行业中，技术和商业模式领先的公司能有效的规避行业同质化竞争，可以理解为数一数二；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 在缺乏相关权威、公认的行业统计数据的情形下，本基金将依据交银施罗德研究团队对该行业和相关企业的竞争力评估形成判断，相关的考虑因素包括但不限于技术上的明显领先、商业模式的创新、草根行业调研结论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4）公司所处行业不存在重大退化风险。随着经济不断发展，产业变迁速度越来越快，经常发生行业退化的情形。因此，本基金关注的数一数二的公司只能根植于整体附加值不衰退的行业之中。</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本基金投资于满足上述条件的股票占全部股票投资组合市值的比例不低于80%。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（3）多元化价值评估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对上述核心股票池中的重点上市公司进行内在价值的评估和成长性跟踪研究，在明确的价值评估基础上选择定价相对合理且成长性可持续的投资标的。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（4）存托凭证的投资策略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3、债券投资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债券投资方面，本基金可投资于国债、央行票据、金融债、企业债和可转换债券等债券品种。本基金的债券投资采取主动的投资管理方式，获得与风险想匹配的投资收益，以实现在一定程度上规避股票市场的系统性风险和保证基金资产的流动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4、权证投资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本基金的权证投资以权证的市场价值分析为基础，配以权证定价模型寻求其合</w:t>
      </w:r>
      <w:r>
        <w:rPr>
          <w:rFonts w:ascii="宋体" w:hAnsi="宋体"/>
          <w:sz w:val="24"/>
        </w:rPr>
        <w:lastRenderedPageBreak/>
        <w:t>理估值水平，以主动式的科学投资管理为手段，充分考虑权证资产的收益性、流动性及风险性特征，通过资产配置、品种与类属选择，追求基金资产稳定的当期收益。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5、资产支持证券投资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6、股指期货投资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（四）投资限制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资产（含存托凭证）占基金资产的60%-95%，其中投资于经过严格品质筛选、成长质量优良的成长型股票的资产比例不低于股票资产的80%；其余资产投资于债券、中期票据、货币市场工具、现金、权证、资产支持证券以及法律法规或中国证监会允许基金投资的其他证券品种；</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（2）保持不低于基金资产净值5％的现金或者到期日在一年以内的政府债券，其中现金不包括结算备付金、存出保证金、应收申购款等；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（3）本基金持有一家上市公司的股票，其市值不超过基金资产净值的10％；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（5）本基金持有的全部权证，其市值不得超过基金资产净值的3％；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（6）本基金管理人管理的全部基金持有的同一权证，不得超过该权证的 10％；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（7）本基金在任何交易日买入权证的总金额，不得超过上一交易日基金资产净值的0.5％；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（13）基金财产参与股票发行申购，本基金所申报的金额不超过本基金的总资产，本基金所申报的股票数量不超过拟发行股票公司本次发行股票的总量；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（14）本基金进入全国银行间同业市场进行债券回购的资金余额不得超过基金资产净值的40%；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（15）本基金在任何交易日日终，持有的买入股指期货合约价值，不得超过基金资产净值的10%；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（17）本基金在任何交易日日终，持有的卖出期货合约价值不得超过基金持有的股票总市值的20%；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（18）本基金所持有的股票市值和买入、卖出股指期货合约价值，合计（轧差计算）占基金资产的60%-95%；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（19）本基金在任何交易日内交易（不包括平仓）的股指期货合约的成交金额</w:t>
      </w:r>
      <w:r>
        <w:rPr>
          <w:rFonts w:ascii="宋体" w:hAnsi="宋体"/>
          <w:sz w:val="24"/>
        </w:rPr>
        <w:lastRenderedPageBreak/>
        <w:t>不得超过上一交易日基金资产净值的20%；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（20）本基金每个交易日日终在扣除股指期货合约需缴纳的交易保证金后，应当保持不低于基金资产净值5%的现金或到期日在一年以内的政府债券，其中现金不包括结算备付金、存出保证金、应收申购款等；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（23）本基金与私募类证券资管产品及中国证监会认定的其他主体为交易对手开展逆回购交易的，可接受质押品的资质要求应当与基金合同约定的投资范围保持一致；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（24）本基金投资存托凭证的比例限制依照境内上市交易的股票执行；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（25）法律法规及中国证监会规定的和《基金合同》约定的其他投资限制。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12）、（20）、（22）、（23）项以外，因证券、期货市场波动、上市公司合并、基金规模变动、股权分置改革中支付对价等基金管理人之外的因素致使基金投资比例不符合上述规定投资比例的，基金管理人应当在10个交易日内进行调整。法律法规另有规定的，从其规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基金管理人应当自基金合同生效之日起6个月内使基金的投资组合比例符合基金合同的有关约定。基金托管人对基金的投资的监督与检查自本基金合同生效之日起开始。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法律法规或监管部门取消或修改上述限制，如适用于本基金，基金管理人在履行适当程序后，则本基金投资所受限制相应调整。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（2）向他人贷款或者提供担保；</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（3）从事承担无限责任的投资；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（4）买卖其他基金份额，但是国务院另有规定的除外；</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（5）向其基金管理人、基金托管人出资或者买卖其基金管理人、基金托管人发行的股票或者债券；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（6）买卖与其基金管理人、基金托管人有控股关系的股东或者与其基金管理人、基金托管人有其他重大利害关系的公司发行的证券或者承销期内承销的证券；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（7）从事内幕交易、操纵证券交易价格及其他不正当的证券交易活动；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（8）依照法律法规有关规定，由中国证监会规定禁止的其他活动。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如法律法规或监管部门取消上述禁止性规定，基金管理人在履行适当程序后，本基金可不受上述规定的限制。</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（五）业绩比较基准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75%富时中国A600成长指数收益率+25%中证综合债券指数收益率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其中股票投资比较基准为富时中国A600成长指数，债券投资比较基准为中证综合债券指数。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本基金采用富时中国A600成长指数作为股票投资部分的业绩比较基准主要基于以下原因：</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富时中国A600成长指数是富时依据国际指数编制标准，结合中国的实际情况为中国资本市场编制的富时中国风格指数系列之一，旨在反映以收益和收入增长特征为主的、具有可识别成长特点的股票投资组合。富时中国风格指数系列于2003年12月12日开始计算，于2004年4月30日正式发布。富时中国A600成长指数具有以下特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1、本基金的股票投资对象是具有高成长特性的行业和股票，而富时中国A600成长指数具有相似的风格；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2、该指数遵循富时指数一致的基本编制方法，保证全球范围内的可比性；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3、该指数编制方法的透明度高；</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4、该指数遵循全球行业分类标准（GICS），容易被全球投资者广泛接受。</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此，富时中国A600成长指数是目前衡量本基金股票投资业绩的理想基准。同时，根据本基金的目标资产配置比例来分配权重，本基金的业绩比较基准中加入了中证综合债券指数并按照本基金的目标资产配置比例来安排。</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w:t>
      </w:r>
      <w:r>
        <w:rPr>
          <w:rFonts w:ascii="宋体" w:hAnsi="宋体"/>
          <w:sz w:val="24"/>
        </w:rPr>
        <w:lastRenderedPageBreak/>
        <w:t>或者市场推出更具权威、且更能够表征本基金风险收益特征的指数，则本基金管理人可与本基金托管人协商一致后，调整或变更本基金的业绩比较基准并及时公告，而无需召开基金份额持有人大会。</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（六）风险收益特征</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混合型基金，以成长型股票为主要投资对象，其风险和预期收益高于债券型基金和货币市场基金，低于股票型基金。属于承担较高风险、预期收益较高的证券投资基金品种。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（七）基金的融资、融券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本基金可以根据有关法律法规和政策的有关规定进行融资、融券。</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（八）基金管理人代表基金行使股东及债权人权利的处理原则及方法</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1、基金管理人按照国家有关规定代表基金独立行使股东及债权人权利，保护基金份额持有人的利益；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（九）投资决策依据和投资流程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w:t>
      </w:r>
      <w:r>
        <w:rPr>
          <w:rFonts w:ascii="宋体" w:hAnsi="宋体"/>
          <w:sz w:val="24"/>
        </w:rPr>
        <w:lastRenderedPageBreak/>
        <w:t>职责是对基金的资产配置提出指导性意见，审批重大单项投资决定，审视投资组合风险状况等。投资总监是投资决策委员会的执行代表。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（十）基金投资组合报告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基金管理人的董事会及董事保证本报告所载资料不存在虚假记载、误导性陈述</w:t>
      </w:r>
      <w:r>
        <w:rPr>
          <w:rFonts w:ascii="宋体" w:hAnsi="宋体"/>
          <w:sz w:val="24"/>
        </w:rPr>
        <w:lastRenderedPageBreak/>
        <w:t>或重大遗漏，并对其内容的真实性、准确性和完整性承担个别及连带责任。</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本基金托管人中国建设银行根据本基金合同规定，于2023年04月20日复核了本报告中的财务指标、净值表现和投资组合报告等内容，保证复核内容不存在虚假记载、误导性陈述或者重大遗漏。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本报告期为2023年01月01日至03月31日。本报告财务资料未经审计师审计。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801,603,837.18</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72.44</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801,603,837.18</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72.44</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300,459,239.87</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27.15</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4,456,318.79</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0.40</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1,106,519,395.84</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637,213,780.96</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57.87</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1,694,289.00</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0.15</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2,856,278.00</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0.26</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I</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5,505,640.35</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0.50</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69,780,369.87</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6.34</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60,846,340.50</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5.53</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23,707,138.50</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2.15</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801,603,837.18</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72.80</w:t>
            </w:r>
          </w:p>
        </w:tc>
      </w:tr>
    </w:tbl>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600519</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贵州茅台</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59,700</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108,654,000.00</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9.87</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002444</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巨星科技</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5,538,175</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104,782,271.00</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9.52</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002271</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东方雨虹</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3,029,837</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101,438,942.76</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9.21</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000733</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振华科技</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1,084,084</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97,632,605.04</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8.87</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300750</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宁德时代</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94,526</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38,382,282.30</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3.49</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600048</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保利发展</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2,527,300</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35,710,749.00</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3.24</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601658</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邮储银行</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7,481,800</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34,790,370.00</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3.16</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002179</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中航光电</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618,700</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33,459,296.00</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3.04</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002049</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紫光国微</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261,995</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29,115,504.35</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2.64</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002142</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宁波银行</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1,032,840</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28,206,860.40</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2.56</w:t>
            </w:r>
          </w:p>
        </w:tc>
      </w:tr>
    </w:tbl>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w:t>
      </w:r>
      <w:r>
        <w:rPr>
          <w:rFonts w:ascii="宋体" w:hAnsi="宋体"/>
          <w:sz w:val="24"/>
        </w:rPr>
        <w:lastRenderedPageBreak/>
        <w:t>投资明细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报告编制日前一年内，宁波市银保监局分别公示甬银保监罚决字〔2023〕1号、〔2022〕60、44、35、30、28号行政处罚决定书，分别给予宁波银行220万、25万元、290万元、270万元、220万元、30万元人民币罚款的行政处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本基金管理人对证券投资决策程序的说明如下：本基金管理人对证券投资特别是重仓证券的投资有严格的投资决策流程控制，对上述主体发行证券的投资决策程序符合公司投资制度的规定。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 xml:space="preserve">　　除上述主体外，本基金投资的前十名证券的其他发行主体本期没有出现被监管部门立案调查，或在报告编制日前一年内受到公开谴责、处罚的情形。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107,769.78</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3,849,685.85</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498,863.16</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right"/>
              <w:rPr>
                <w:rFonts w:ascii="宋体" w:hAnsi="宋体"/>
                <w:color w:val="000000"/>
                <w:kern w:val="0"/>
                <w:sz w:val="25"/>
                <w:szCs w:val="24"/>
              </w:rPr>
            </w:pPr>
            <w:r>
              <w:rPr>
                <w:rFonts w:ascii="Times New Roman" w:hAnsi="Times New Roman"/>
                <w:color w:val="000000"/>
                <w:kern w:val="0"/>
                <w:sz w:val="25"/>
                <w:szCs w:val="24"/>
              </w:rPr>
              <w:t>4,456,318.79</w:t>
            </w:r>
          </w:p>
        </w:tc>
      </w:tr>
    </w:tbl>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B439CC" w:rsidRDefault="0003640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540B" w:rsidRDefault="0003640B">
      <w:pPr>
        <w:pStyle w:val="1"/>
        <w:snapToGrid w:val="0"/>
        <w:spacing w:beforeLines="0" w:before="240" w:after="240"/>
        <w:rPr>
          <w:rFonts w:ascii="宋体" w:hAnsi="宋体"/>
          <w:szCs w:val="30"/>
        </w:rPr>
      </w:pPr>
      <w:bookmarkStart w:id="14" w:name="_Toc137828556"/>
      <w:r>
        <w:rPr>
          <w:rFonts w:ascii="Times New Roman" w:hAnsi="Times New Roman"/>
          <w:sz w:val="30"/>
        </w:rPr>
        <w:lastRenderedPageBreak/>
        <w:t>十一、基金的业绩</w:t>
      </w:r>
      <w:bookmarkEnd w:id="14"/>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基金业绩截止日为2023年03月31日，所载财务数据未经审计师审计。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AC540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AC540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-3.14%</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0.73%</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2.43%</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-5.57%</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AC540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-18.88%</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-19.40%</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1.16%</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0.52%</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-0.16%</w:t>
            </w:r>
          </w:p>
        </w:tc>
      </w:tr>
      <w:tr w:rsidR="00AC540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8.79%</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1.55%</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0.48%</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1.10%</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8.31%</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0.45%</w:t>
            </w:r>
          </w:p>
        </w:tc>
      </w:tr>
      <w:tr w:rsidR="00AC540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61.28%</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1.80%</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33.43%</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1.15%</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27.85%</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0.65%</w:t>
            </w:r>
          </w:p>
        </w:tc>
      </w:tr>
      <w:tr w:rsidR="00AC540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99.88%</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1.65%</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36.62%</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1.01%</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63.26%</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0.64%</w:t>
            </w:r>
          </w:p>
        </w:tc>
      </w:tr>
      <w:tr w:rsidR="00AC540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-24.34%</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1.52%</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-23.70%</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1.11%</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-0.64%</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0.41%</w:t>
            </w:r>
          </w:p>
        </w:tc>
      </w:tr>
      <w:tr w:rsidR="00AC540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1.11%</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10.32%</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0.55%</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-10.51%</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0.56%</w:t>
            </w:r>
          </w:p>
        </w:tc>
      </w:tr>
      <w:tr w:rsidR="00AC540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-9.13%</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1.66%</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-14.95%</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1.27%</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5.82%</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0.39%</w:t>
            </w:r>
          </w:p>
        </w:tc>
      </w:tr>
      <w:tr w:rsidR="00AC540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46.80%</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2.74%</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16.29%</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1.96%</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30.51%</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0.78%</w:t>
            </w:r>
          </w:p>
        </w:tc>
      </w:tr>
      <w:tr w:rsidR="00AC540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11.75%</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1.06%</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21.01%</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0.85%</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-9.26%</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r>
      <w:tr w:rsidR="00AC540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2013</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0.46%</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-4.68%</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1.06%</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6.78%</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-0.60%</w:t>
            </w:r>
          </w:p>
        </w:tc>
      </w:tr>
    </w:tbl>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业绩比较基准自2015年10月1日起，由“75%×富时中国A600成长指数收益率+25%×中信标普全债指数收益率”变更为“75%×富时中国A600成长指数收益率+25%×中证综合债券指数收益率”，下图同。详情见本基金管理人于2015年9月28日发布的《交银施罗德基金管理有限公司关于旗下部分基金业绩比较基准变更并修改基金合同相关内容的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rsidR="00AC540B" w:rsidRDefault="0003640B">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交银施罗德成长30混合型证券投资基金</w:t>
      </w:r>
    </w:p>
    <w:p w:rsidR="00AC540B" w:rsidRDefault="0003640B">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rsidR="00AC540B" w:rsidRDefault="0003640B">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lastRenderedPageBreak/>
        <w:t>（2013年6月5日至2023年03月31日）</w:t>
      </w:r>
    </w:p>
    <w:p w:rsidR="00AC540B" w:rsidRDefault="0039586D">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77840" cy="3413760"/>
            <wp:effectExtent l="0" t="0" r="0" b="0"/>
            <wp:docPr id="7" name="图片 1"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7840" cy="3413760"/>
                    </a:xfrm>
                    <a:prstGeom prst="rect">
                      <a:avLst/>
                    </a:prstGeom>
                    <a:noFill/>
                    <a:ln>
                      <a:noFill/>
                    </a:ln>
                  </pic:spPr>
                </pic:pic>
              </a:graphicData>
            </a:graphic>
          </wp:inline>
        </w:drawing>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rsidR="00B439CC" w:rsidRDefault="0003640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540B" w:rsidRDefault="0003640B">
      <w:pPr>
        <w:pStyle w:val="1"/>
        <w:snapToGrid w:val="0"/>
        <w:spacing w:beforeLines="0" w:before="240" w:after="240"/>
        <w:rPr>
          <w:rFonts w:ascii="宋体" w:hAnsi="宋体"/>
          <w:szCs w:val="30"/>
        </w:rPr>
      </w:pPr>
      <w:bookmarkStart w:id="15" w:name="_Toc137828557"/>
      <w:r>
        <w:rPr>
          <w:rFonts w:ascii="Times New Roman" w:hAnsi="Times New Roman"/>
          <w:sz w:val="30"/>
        </w:rPr>
        <w:lastRenderedPageBreak/>
        <w:t>十二、基金的财产</w:t>
      </w:r>
      <w:bookmarkEnd w:id="15"/>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（一）基金资产总值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基金资产总值是指基金拥有的各类有价证券、银行存款本息、基金应收申购款以及其他资产的价值总和。</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（二）基金资产净值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（三）基金财产的账户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（四）基金财产的保管和处分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439CC" w:rsidRDefault="0003640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540B" w:rsidRDefault="0003640B">
      <w:pPr>
        <w:pStyle w:val="1"/>
        <w:snapToGrid w:val="0"/>
        <w:spacing w:beforeLines="0" w:before="240" w:after="240"/>
        <w:rPr>
          <w:rFonts w:ascii="宋体" w:hAnsi="宋体"/>
          <w:szCs w:val="30"/>
        </w:rPr>
      </w:pPr>
      <w:bookmarkStart w:id="16" w:name="_Toc137828558"/>
      <w:r>
        <w:rPr>
          <w:rFonts w:ascii="Times New Roman" w:hAnsi="Times New Roman"/>
          <w:sz w:val="30"/>
        </w:rPr>
        <w:lastRenderedPageBreak/>
        <w:t>十三、基金资产的估值</w:t>
      </w:r>
      <w:bookmarkEnd w:id="16"/>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（一）估值日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（二）估值对象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基金所拥有的股票、权证、债券、股指期货和银行存款本息、应收款项、其它投资等资产及负债。</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（三）估值方法</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（2）交易所市场上市交易或挂牌转让的固定收益品种（另有规定的除外），选取第三方估值机构提供的相应品种当日的估值净价进行估值；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（4）交易所上市不存在活跃市场的有价证券，采用估值技术确定公允价值。交易所上市的资产支持证券，采用估值技术确定公允价值，在估值技术难以可靠计量公允价值的情况下，按成本估值。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（1）送股、转增股、配股和公开增发的新股，按估值日在证券交易所挂牌的同一股票的估值方法估值；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（2）首次公开发行未上市的股票、债券和权证，采用估值技术确定公允价</w:t>
      </w:r>
      <w:r>
        <w:rPr>
          <w:rFonts w:ascii="宋体" w:hAnsi="宋体"/>
          <w:sz w:val="24"/>
        </w:rPr>
        <w:lastRenderedPageBreak/>
        <w:t>值，在估值技术难以可靠计量公允价值的情况下，按成本估值；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（3）首次公开发行有明确锁定期的股票，同一股票在交易所上市后，按交易所上市的同一股票的估值方法估值；非公开发行有明确锁定期的股票，按监管机构或行业协会有关规定确定公允价值。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3、全国银行间债券市场交易的债券、资产支持证券等固定收益品种，采用估值技术确定公允价值。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4、同一债券同时在两个或两个以上市场交易的，按债券所处的市场分别估值。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5、本基金投资股指期货合约，一般以估值当日结算价进行估值，估值当日无结算价的，且最近交易日后经济环境未发生重大变化的，采用最近交易日结算价估值。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6、如有确凿证据表明按上述方法进行估值不能客观反映其公允价值的，基金管理人可根据具体情况与基金托管人商定后，按最能反映公允价值的价格估值。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7、本基金投资存托凭证的估值核算依照境内上市交易的股票执行。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8、相关法律法规以及监管部门有强制规定的，从其规定。如有新增事项，按法律法规以及监管部门最新规定估值。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（四）估值程序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1、基金份额净值是按照每个工作日闭市后，基金资产净值除以当日基金份额的余额数量计算，精确到0.001元，小数点后第四位四舍五入。国家另有规定的，从其规定。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每个工作日计算基金资产净值及基金份额净值，并按规定公告。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2、基金管理人应每个工作日对基金资产估值，但基金管理人根据法律法规或本基金合同的规定暂停估值时除外。基金管理人每个工作日对基金资产估值后，将</w:t>
      </w:r>
      <w:r>
        <w:rPr>
          <w:rFonts w:ascii="宋体" w:hAnsi="宋体"/>
          <w:sz w:val="24"/>
        </w:rPr>
        <w:lastRenderedPageBreak/>
        <w:t>基金份额净值结果发送基金托管人，经基金托管人复核无误后，由基金管理人依据基金合同和相关法律法规的规定对外公布。</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（五）估值错误的处理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基金管理人和基金托管人将采取必要、适当、合理的措施确保基金资产估值的准确性、及时性。当基金份额净值小数点后第3位以内（含第3位) 发生估值错误时，视为基金份额净值错误。</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本基金合同的当事人应按照以下约定处理：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因不可抗力原因出现估值错误的当事人不对其他当事人承担赔偿责任，但因该估值错误取得不当得利的当事人仍应负有返还不当得利的义务。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w:t>
      </w:r>
      <w:r>
        <w:rPr>
          <w:rFonts w:ascii="宋体" w:hAnsi="宋体"/>
          <w:sz w:val="24"/>
        </w:rPr>
        <w:lastRenderedPageBreak/>
        <w:t>给受损方，则受损方应当将其已经获得的赔偿额加上已经获得的不当得利返还的总和超过其实际损失的差额部分支付给估值错误责任方。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（3）前述内容如法律法规或监管部门另有规定的，从其规定处理。</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（六）暂停估值的情形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1、基金投资所涉及的证券、期货交易市场遇法定节假日或因其他原因暂停营业时；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2、因不可抗力或基金合同约定的其他情形致使基金管理人、基金托管人无法准确评估基金资产价值时；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3、占基金相当比例的投资品种的估值出现重大转变，而基金管理人为保障基金份额持有人的利益，决定延迟估值；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4、当前一估值日基金资产净值50%以上的资产出现无可参考的活跃市场价格且采用估值技术仍导致公允价值存在重大不确定性时，经与基金托管人协商一致的，</w:t>
      </w:r>
      <w:r>
        <w:rPr>
          <w:rFonts w:ascii="宋体" w:hAnsi="宋体"/>
          <w:sz w:val="24"/>
        </w:rPr>
        <w:lastRenderedPageBreak/>
        <w:t>基金管理人应当暂停估值；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5、中国证监会和基金合同认定的其它情形。</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（七）基金净值的确认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（八）特殊情形的处理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基金管理人或基金托管人按估值方法的第6项进行估值时，所造成的误差不作为基金资产估值错误处理。</w:t>
      </w:r>
    </w:p>
    <w:p w:rsidR="00B439CC" w:rsidRDefault="0003640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540B" w:rsidRDefault="0003640B">
      <w:pPr>
        <w:pStyle w:val="1"/>
        <w:snapToGrid w:val="0"/>
        <w:spacing w:beforeLines="0" w:before="240" w:after="240"/>
        <w:rPr>
          <w:rFonts w:ascii="宋体" w:hAnsi="宋体"/>
          <w:szCs w:val="30"/>
        </w:rPr>
      </w:pPr>
      <w:bookmarkStart w:id="17" w:name="_Toc137828559"/>
      <w:r>
        <w:rPr>
          <w:rFonts w:ascii="Times New Roman" w:hAnsi="Times New Roman"/>
          <w:sz w:val="30"/>
        </w:rPr>
        <w:lastRenderedPageBreak/>
        <w:t>十四、基金的收益与分配</w:t>
      </w:r>
      <w:bookmarkEnd w:id="17"/>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（一）基金利润的构成</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（二）基金可供分配利润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（三）基金收益分配原则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1、在符合有关基金分红条件的前提下，本基金每年收益分配次数最多为10次，每次收益分配比例不得低于该次可供分配利润的10%，若《基金合同》生效不满3个月可不进行收益分配；</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2、本基金收益分配方式分两种：现金分红与红利再投资，投资者可选择现金红利或将现金红利自动转为基金份额进行再投资；若投资者不选择，本基金默认的收益分配方式是现金分红；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3、基金收益分配后基金份额净值不能低于面值；即基金收益分配基准日的基金份额净值减去每单位基金份额收益分配金额后不能低于面值；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4、每一基金份额享有同等分配权；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5、法律法规或监管部门另有规定的，从其规定。</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（四）收益分配方案</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（五）收益分配方案的确定、公告与实施</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基金红利发放日距离收益分配基准日（即可供分配利润计算截止日）的时间不得超过15个工作日。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法律法规或监管部门另有规定的，从其规定。</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（六）收益分配中发生的费用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w:t>
      </w:r>
      <w:r>
        <w:rPr>
          <w:rFonts w:ascii="宋体" w:hAnsi="宋体"/>
          <w:sz w:val="24"/>
        </w:rPr>
        <w:lastRenderedPageBreak/>
        <w:t>者的现金红利小于一定金额，不足以支付银行转账或其他手续费用时，登记机构可将基金份额持有人的现金红利自动转为基金份额。红利再投资的计算方法，依照《业务规则》执行。</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（七）收益分配方式的修改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投资者可至销售机构办理收益分配方式的修改，投资者对不同的交易账户可设置不同的收益分配方式。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投资者同一日多次申报分红方式变更的，按照《业务规则》执行，最终确认的分红方式以登记机构记录为准。</w:t>
      </w:r>
    </w:p>
    <w:p w:rsidR="00B439CC" w:rsidRDefault="0003640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540B" w:rsidRDefault="0003640B">
      <w:pPr>
        <w:pStyle w:val="1"/>
        <w:snapToGrid w:val="0"/>
        <w:spacing w:beforeLines="0" w:before="240" w:after="240"/>
        <w:rPr>
          <w:rFonts w:ascii="宋体" w:hAnsi="宋体"/>
          <w:szCs w:val="30"/>
        </w:rPr>
      </w:pPr>
      <w:bookmarkStart w:id="18" w:name="_Toc137828560"/>
      <w:r>
        <w:rPr>
          <w:rFonts w:ascii="Times New Roman" w:hAnsi="Times New Roman"/>
          <w:sz w:val="30"/>
        </w:rPr>
        <w:lastRenderedPageBreak/>
        <w:t>十五、基金的费用与税收</w:t>
      </w:r>
      <w:bookmarkEnd w:id="18"/>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（一）基金费用的种类</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4、《基金合同》生效后与基金相关的会计师费、律师费和诉讼费；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6、基金的证券、期货交易费用；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9、按照国家有关规定和《基金合同》约定，可以在基金财产中列支的其他费用。</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（二）基金费用计提方法、计提标准和支付方式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本基金的管理费按前一日基金资产净值的1.</w:t>
      </w:r>
      <w:r w:rsidR="006A33AB">
        <w:rPr>
          <w:rFonts w:ascii="宋体" w:hAnsi="宋体"/>
          <w:sz w:val="24"/>
        </w:rPr>
        <w:t>2</w:t>
      </w:r>
      <w:r>
        <w:rPr>
          <w:rFonts w:ascii="宋体" w:hAnsi="宋体"/>
          <w:sz w:val="24"/>
        </w:rPr>
        <w:t>%年费率计提。管理费的计算方法如下：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H＝E×1.</w:t>
      </w:r>
      <w:r w:rsidR="006A33AB">
        <w:rPr>
          <w:rFonts w:ascii="宋体" w:hAnsi="宋体"/>
          <w:sz w:val="24"/>
        </w:rPr>
        <w:t>2</w:t>
      </w:r>
      <w:r>
        <w:rPr>
          <w:rFonts w:ascii="宋体" w:hAnsi="宋体"/>
          <w:sz w:val="24"/>
        </w:rPr>
        <w:t>%÷当年天数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托管人根据与基金管理人核对一致的财务数据，自动在月初5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本基金的托管费按前一日基金资产净值的0.2%的年费率计提。托管费的计算方法如下：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H＝E×0.2%÷当年天数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托管人根据与基金管理人核对一致的财务数据，自动在月初5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本基金转换费的费率水平、计算公式和收取方式详见“基金的转换”一章。</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3、上述“一、基金费用的种类”中第3－9项费用，根据有关法规及相应协议规定，按费用实际支出金额列入当期费用，由基金托管人从基金财产中支付。</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（三）不列入基金费用的项目</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管理人和基金托管人可根据基金发展情况调整基金管理费率、基金托管费率等相关费率。降低基金管理费率、基金托管费率，无须召开基金份额持有人大会。基金管理人必须依照有关规定于新的费率实施日前在指定媒介和基金管理人网站上刊登公告。</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（五）基金税收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rsidR="00B439CC" w:rsidRDefault="0003640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540B" w:rsidRDefault="0003640B">
      <w:pPr>
        <w:pStyle w:val="1"/>
        <w:snapToGrid w:val="0"/>
        <w:spacing w:beforeLines="0" w:before="240" w:after="240"/>
        <w:rPr>
          <w:rFonts w:ascii="宋体" w:hAnsi="宋体"/>
          <w:szCs w:val="30"/>
        </w:rPr>
      </w:pPr>
      <w:bookmarkStart w:id="19" w:name="_Toc137828561"/>
      <w:r>
        <w:rPr>
          <w:rFonts w:ascii="Times New Roman" w:hAnsi="Times New Roman"/>
          <w:sz w:val="30"/>
        </w:rPr>
        <w:lastRenderedPageBreak/>
        <w:t>十六、基金的会计与审计</w:t>
      </w:r>
      <w:bookmarkEnd w:id="19"/>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（一）基金的会计政策</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1、基金管理人为本基金的会计责任方；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2、本基金的会计年度为公历每年的1月1日至12月31日；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3、本基金的会计核算以人民币为记账本位币，以人民币元为记账单位；</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4、会计制度执行国家有关的会计制度；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6、基金管理人及基金托管人分别保留完整的会计账目、凭证并进行日常的会计核算，按照有关规定编制基金会计报表；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7、基金托管人定期与基金管理人就基金的会计核算、报表编制等进行核对并书面确认。</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（二）基金的年度审计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1、基金管理人聘请与基金管理人、基金托管人相互独立的具有证券、期货相关业务资格的会计师事务所及其注册会计师对本基金的年度财务报表进行审计。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rsidR="00B439CC" w:rsidRDefault="0003640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540B" w:rsidRDefault="0003640B">
      <w:pPr>
        <w:pStyle w:val="1"/>
        <w:snapToGrid w:val="0"/>
        <w:spacing w:beforeLines="0" w:before="240" w:after="240"/>
        <w:rPr>
          <w:rFonts w:ascii="宋体" w:hAnsi="宋体"/>
          <w:szCs w:val="30"/>
        </w:rPr>
      </w:pPr>
      <w:bookmarkStart w:id="20" w:name="_Toc137828562"/>
      <w:r>
        <w:rPr>
          <w:rFonts w:ascii="Times New Roman" w:hAnsi="Times New Roman"/>
          <w:sz w:val="30"/>
        </w:rPr>
        <w:lastRenderedPageBreak/>
        <w:t>十七、基金的信息披露</w:t>
      </w:r>
      <w:bookmarkEnd w:id="20"/>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（一）本基金的信息披露应符合《基金法》、《运作办法》、《信息披露办法》、《流动性规定》、《基金合同》及其他有关规定。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w:t>
      </w:r>
      <w:r>
        <w:rPr>
          <w:rFonts w:ascii="宋体" w:hAnsi="宋体"/>
          <w:sz w:val="24"/>
        </w:rPr>
        <w:lastRenderedPageBreak/>
        <w:t>金份额持有人大会召开的规则及具体程序，说明基金产品的特性等涉及基金投资者重大利益的事项的法律文件。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《基金合同》生效后，在开始办理基金份额申购或者赎回前，基金管理人应当至少每周在指定网站披露一次基金份额净值和基金份额累计净值。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在开始办理基金份额申购或者赎回后，基金管理人应当在不晚于每个开放日的次日，通过指定网站、销售机构网站或者营业网点披露开放日的基金份额净值和基</w:t>
      </w:r>
      <w:r>
        <w:rPr>
          <w:rFonts w:ascii="宋体" w:hAnsi="宋体"/>
          <w:sz w:val="24"/>
        </w:rPr>
        <w:lastRenderedPageBreak/>
        <w:t>金份额累计净值。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基金管理人应当在不晚于半年度和年度最后一日的次日，在指定网站披露半年度和年度最后一日的基金份额净值和基金份额累计净值。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3）转换基金运作方式、基金合并；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15）管理费、托管费、申购费、赎回费等费用计提标准、计提方式和费率发生变更；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16）基金份额净值计价错误达基金份额净值百分之零点五；</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22）基金信息披露义务人认为可能对基金份额持有人权益或者基金份额的价格</w:t>
      </w:r>
      <w:r>
        <w:rPr>
          <w:rFonts w:ascii="宋体" w:hAnsi="宋体"/>
          <w:sz w:val="24"/>
        </w:rPr>
        <w:lastRenderedPageBreak/>
        <w:t>产生重大影响的其他事项或中国证监会规定的其他事项。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10、清算报告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若本基金投资了股指期货，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12、中国证监会规定的其他信息。</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基金信息披露义务人公开披露基金信息，应当符合中国证监会相关基金信息披露内容与格式准则等法规规定。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基金管理人、基金托管人应当在指定报刊中选择一家报刊披露本基金信息。基金管理人、基金托管人应当向中国证监会基金电子披露网站报送拟披露的基金信息，并保证相关报送信息的真实、准确、完整、及时。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（八）本基金信息披露事项以法律法规规定及本章节约定的内容为准。</w:t>
      </w:r>
    </w:p>
    <w:p w:rsidR="00B439CC" w:rsidRDefault="0003640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540B" w:rsidRDefault="0003640B">
      <w:pPr>
        <w:pStyle w:val="1"/>
        <w:snapToGrid w:val="0"/>
        <w:spacing w:beforeLines="0" w:before="240" w:after="240"/>
        <w:rPr>
          <w:rFonts w:ascii="宋体" w:hAnsi="宋体"/>
          <w:szCs w:val="30"/>
        </w:rPr>
      </w:pPr>
      <w:bookmarkStart w:id="21" w:name="_Toc137828563"/>
      <w:r>
        <w:rPr>
          <w:rFonts w:ascii="Times New Roman" w:hAnsi="Times New Roman"/>
          <w:sz w:val="30"/>
        </w:rPr>
        <w:lastRenderedPageBreak/>
        <w:t>十八、风险揭示</w:t>
      </w:r>
      <w:bookmarkEnd w:id="21"/>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应当认真阅读《基金合同》、《招募说明书》、基金产品资料概要等基金法律文件，了解基金的风险收益特征，并根据自身的投资目的、投资期限、投资经验、资产状况等判断基金是否和投资者的风险承受能力相适应。</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作出投资决策后，基金运营状况与基金净值变化引致的投资风险，由投资者自行负</w:t>
      </w:r>
      <w:r>
        <w:rPr>
          <w:rFonts w:ascii="宋体" w:hAnsi="宋体"/>
          <w:sz w:val="24"/>
        </w:rPr>
        <w:lastRenderedPageBreak/>
        <w:t>担。</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（一）市场风险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市场风险是指证券市场价格因受到经济因素、政治因素、投资心理和交易制度等各种因素的影响而引起的波动，对基金收益水平产生的潜在风险，主要包括：</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2、经济周期风险。证券市场受宏观经济运行的影响，而经济运行具有周期性的特点，而宏观经济运行状况将对证券市场的收益水平产生影响，从而对基金收益造成影响。</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本基金投资于债券和债券回购，其收益水平会受到利率变化和货币市场供求状况的影响。例如当市场利率上升时，基金所持有的债券价格将下降，若基金组合久期较长，则基金资产面临损失。</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（二）管理风险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w:t>
      </w:r>
      <w:r>
        <w:rPr>
          <w:rFonts w:ascii="宋体" w:hAnsi="宋体"/>
          <w:sz w:val="24"/>
        </w:rPr>
        <w:lastRenderedPageBreak/>
        <w:t>较大，本基金可能因为基金管理人的因素而影响基金收益水平。</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（三）流动性风险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开放式基金。按照基金合同的约定，基金管理人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收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w:t>
      </w:r>
      <w:r>
        <w:rPr>
          <w:rFonts w:ascii="宋体" w:hAnsi="宋体"/>
          <w:sz w:val="24"/>
        </w:rPr>
        <w:lastRenderedPageBreak/>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巨额赎回业务的场内处理，按照上海证券交易所及中国证券登记结算有限责任公司的有关规定办理。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（四）投资本基金特有的风险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1、本基金为混合型基金，将维持较高的股票持仓比例，如果股票市场出现整体下跌，本基金的净值表现将受到影响。</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2、对宏观经济趋势、政策以及上市公司基本面研究是否准确、深入，以及对</w:t>
      </w:r>
      <w:r>
        <w:rPr>
          <w:rFonts w:ascii="宋体" w:hAnsi="宋体"/>
          <w:sz w:val="24"/>
        </w:rPr>
        <w:lastRenderedPageBreak/>
        <w:t>成长型股票的优选和判断是否科学、准确将影响本基金的收益。基本面研究及上市公司分析的错误均可能导致所选择的证券不能完全符合本基金的预期目标。同时，本基金股票组合采用不超过30只股票的集中持股策略，使得上述单个股票的股价波动对基金净值的影响较普通股票基金更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（1）市场风险是指由于股指期货价格变动而给投资者带来的风险。市场风险是股指期货投资中最主要的风险。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（2）流动性风险是指由于股指期货合约无法及时变现所带来的风险。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（3）基差风险是指股指期货合约价格和指数价格之间的价格差的波动所造成的风险，以及不同股指期货合约价格之间价格差的波动所造成的期现价差风险。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（4）保证金风险是指由于无法及时筹措资金满足建立或者维持股指期货合约头寸所要求的保证金而带来的风险。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（5）信用风险是指期货经纪公司违约而产生损失的风险。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（6）操作风险是指由于内部流程的不完善，业务人员出现差错或者疏漏，或者系统出现故障等原因造成损失的风险。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此外，由于衍生品通常具有杠杆效应，价格波动比标的工具更为剧烈，并且其定价相当复杂，不适当的估值也有可能使基金资产面临损失风险。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4、本基金可投资创业板股票，创业板个股上市后的前五个交易日不设价格涨跌幅限制，第六个交易日开始涨跌幅限制比例为20%。</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（五）投资科创板股票的特定风险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w:t>
      </w:r>
      <w:r>
        <w:rPr>
          <w:rFonts w:ascii="宋体" w:hAnsi="宋体"/>
          <w:sz w:val="24"/>
        </w:rPr>
        <w:lastRenderedPageBreak/>
        <w:t>及生物医药等高新技术和战略新兴产业领域。大多数企业为初创型公司，企业未来盈利、现金流、估值均存在不确定性，与传统二级市场投资存在差异，整体投资难度加大，个股市场风险加大。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（六）投资存托凭证的特定风险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w:t>
      </w:r>
      <w:r>
        <w:rPr>
          <w:rFonts w:ascii="宋体" w:hAnsi="宋体"/>
          <w:sz w:val="24"/>
        </w:rPr>
        <w:lastRenderedPageBreak/>
        <w:t>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（七）其他风险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rsidR="00B439CC" w:rsidRDefault="0003640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540B" w:rsidRDefault="0003640B">
      <w:pPr>
        <w:pStyle w:val="1"/>
        <w:snapToGrid w:val="0"/>
        <w:spacing w:beforeLines="0" w:before="240" w:after="240"/>
        <w:rPr>
          <w:rFonts w:ascii="宋体" w:hAnsi="宋体"/>
          <w:szCs w:val="30"/>
        </w:rPr>
      </w:pPr>
      <w:bookmarkStart w:id="22" w:name="_Toc137828564"/>
      <w:r>
        <w:rPr>
          <w:rFonts w:ascii="Times New Roman" w:hAnsi="Times New Roman"/>
          <w:sz w:val="30"/>
        </w:rPr>
        <w:lastRenderedPageBreak/>
        <w:t>十九、基金合同的终止与基金财产的清算</w:t>
      </w:r>
      <w:bookmarkEnd w:id="22"/>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（一）基金合同的终止事由</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4、相关法律法规和中国证监会规定的其他情况。</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（二）基金财产的清算</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（三）清算费用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清算费用是指基金财产清算小组在进行基金清算过程中发生的所有合理费用，清算费用由基金财产清算小组优先从基金财产中支付。</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（四）基金财产清算剩余资产的分配</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（五）基金财产清算的公告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（六）基金财产清算账册及文件的保存</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B439CC" w:rsidRDefault="0003640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540B" w:rsidRDefault="0003640B">
      <w:pPr>
        <w:pStyle w:val="1"/>
        <w:snapToGrid w:val="0"/>
        <w:spacing w:beforeLines="0" w:before="240" w:after="240"/>
        <w:rPr>
          <w:rFonts w:ascii="宋体" w:hAnsi="宋体"/>
          <w:szCs w:val="30"/>
        </w:rPr>
      </w:pPr>
      <w:bookmarkStart w:id="23" w:name="_Toc137828565"/>
      <w:r>
        <w:rPr>
          <w:rFonts w:ascii="Times New Roman" w:hAnsi="Times New Roman"/>
          <w:sz w:val="30"/>
        </w:rPr>
        <w:lastRenderedPageBreak/>
        <w:t>二十、基金合同内容摘要</w:t>
      </w:r>
      <w:bookmarkEnd w:id="23"/>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（一）基金合同当事人的权利与义务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根据《基金法》、《运作办法》及其他有关规定，基金管理人的权利包括但不限于：</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（5）召集基金份额持有人大会；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（15）选择、更换律师事务所、会计师事务所、证券经纪商、期货经纪机构或其他为基金提供服务的外部机构；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（16）在符合有关法律、法规的前提下，制定和调整有关基金认购、申购、赎回、转换和非交易过户等的业务规则；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根据《基金法》、《运作办法》及其他有关规定，基金管理人的义务包括但不限于：</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 严格按照《基金法》、《基金合同》及其他有关规定，履行信息披露及报告义务；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（14）按规定受理申购与赎回申请，及时、足额支付赎回款项；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存款利息在基金募集期结束后30日内退还基金认购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根据《基金法》、《运作办法》及其他有关规定，基金托管人的权利包括但不限于：</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（1）自《基金合同》生效之日起，依法律法规和《基金合同》的规定安全保管基金财产；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（4）根据相关市场规则，为基金开设证券账户、协助开立股指期货业务相关账户及交易编码、为基金办理证券交易资金清算；</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根据《基金法》、《运作办法》及其他有关规定，基金托管人的义务包括但不限于：</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（6）按规定开设基金财产的资金账户和证券账户,协助开立股指期货业务相关账户及交易编码，按照《基金合同》的约定，根据基金管理人的投资指令，及时办理清算、交割事宜；</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（8）复核、审查基金管理人计算的基金资产净值、基金份额净值、基金份额</w:t>
      </w:r>
      <w:r>
        <w:rPr>
          <w:rFonts w:ascii="宋体" w:hAnsi="宋体"/>
          <w:sz w:val="24"/>
        </w:rPr>
        <w:lastRenderedPageBreak/>
        <w:t>申购、赎回价格、基金业绩数据等；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每份基金份额具有同等的合法权益。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根据《基金法》、《运作办法》及其他有关规定，基金份额持有人的权利包括但不限于：</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（3）依法并按照基金合同的规定申请赎回其持有的基金份额；</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（8）对基金管理人、基金托管人、基金销售机构损害其合法权益的行为依法提起诉讼或仲裁；</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根据《基金法》、《运作办法》及其他有关法律法规的规定，基金份额持有人的义务包括但不限于：</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（2）了解所投资基金产品，了解自身风险承受能力，自行承担投资风险；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（4）缴纳基金认购、申购、赎回款项及法律法规和基金合同所规定的费用；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（二）基金份额持有人大会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5）提高基金管理人、基金托管人的报酬标准，但法律法规要求提高该等报酬标准的除外；</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12）对基金当事人权利和义务产生重大影响的其他事项；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（2）以下情况可由基金管理人和基金托管人协商后修改，不需召开基金份额持有人大会：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3）在法律法规和《基金合同》规定的范围内调整本基金的申购费率、调低赎回费率、变更或增加收费方式；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4）因相应的法律法规发生变动而应当对《基金合同》进行修改；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5）对《基金合同》的修改对基金份额持有人利益无实质性不利影响或修改不涉及《基金合同》当事人权利义务关系发生变化；</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6）在法律法规和《基金合同》规定的范围内调整本基金份额类别的设置；</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7）按照法律法规和《基金合同》规定不需召开基金份额持有人大会的以外的其他情形。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（1）召开基金份额持有人大会，召集人应于会议召开前30日，在指定媒介公告。基金份额持有人大会通知应至少载明以下内容：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基金份额持有人大会可通过现场开会方式、通讯开会方式或法律法规和监管部门允许的其他方式召开，会议的召开方式由会议召集人确定。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w:t>
      </w:r>
      <w:r>
        <w:rPr>
          <w:rFonts w:ascii="宋体" w:hAnsi="宋体"/>
          <w:sz w:val="24"/>
        </w:rPr>
        <w:lastRenderedPageBreak/>
        <w:t>的基金份额不少于本基金在权益登记日基金总份额的50%（含50%）。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（2）通讯开会。通讯开会系指基金份额持有人将其对表决事项的投票以书面形式在表决截至日以前送达至召集人指定的地址。通讯开会应以书面方式进行表决。</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3）本人直接出具书面意见或授权他人代表出具书面意见的，基金份额持有人所持有的基金份额不小于在权益登记日基金总份额的50%（含50%）；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5）会议通知公布前报中国证监会备案。</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（3）在法律法规或监管部门允许的情况下，本基金亦可采用网络、电话等其他非书面方式由基金份额持有人向其授权代表进行授权。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（4）在法律法规和监管部门允许的情况下，本基金亦可采用网络、电话等其他非现场方式或者以非现场方式与现场方式结合的方式召开基金份额持有人大会，会议程序比照现场开会和通讯方式开会的程序进行。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基金份额持有人大会的召集人发出召集会议的通知后，对原有提案的修改应当在基金份额持有人大会召开前及时公告。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（1）一般决议，一般决议须经参加大会的基金份额持有人或其代理人所持表决权的50%以上（含50%）通过方为有效；除下列第（2）项所规定的须以特别决议通过事项以外的其他事项均以一般决议的方式通过。</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2/3以上（含2/3）通过方可做出。转换基金运作方式、更换基金管理人或者基金托管人、终止《基金合同》以特别决议通过方为有效。</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基金份额持有人大会的决议，召集人应当自通过之日起5日内报中国证监会核准或者备案。</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基金份额持有人大会的决议自中国证监会依法核准或者出具无异议意见之日起生效。</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9、法律法规或监管部门对基金份额持有人大会另有规定的，从其规定。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（三）《基金合同》的变更与终止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（2）关于《基金合同》变更的基金份额持有人大会决议经中国证监会核准或出具无异议意见后方可执行，自决议生效后依照《信息披露办法》的规定在指定媒介公告。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（4）相关法律法规和中国证监会规定的其他情况。</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（四）争议的处理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w:t>
      </w:r>
      <w:r>
        <w:rPr>
          <w:rFonts w:ascii="宋体" w:hAnsi="宋体"/>
          <w:sz w:val="24"/>
        </w:rPr>
        <w:lastRenderedPageBreak/>
        <w:t>担。</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（五）基金合同存放及投资者取得基金合同的方式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1、《基金合同》正本一式六份，除上报有关监管机构一式二份外，基金管理人、基金托管人各持有二份，每份具有同等的法律效力。</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2、《基金合同》可印制成册，供投资者在基金管理人、基金托管人、销售机构的办公场所和营业场所查阅，但应以《基金合同》正本为准。</w:t>
      </w:r>
    </w:p>
    <w:p w:rsidR="00B439CC" w:rsidRDefault="0003640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540B" w:rsidRDefault="0003640B">
      <w:pPr>
        <w:pStyle w:val="1"/>
        <w:snapToGrid w:val="0"/>
        <w:spacing w:beforeLines="0" w:before="240" w:after="240"/>
        <w:rPr>
          <w:rFonts w:ascii="宋体" w:hAnsi="宋体"/>
          <w:szCs w:val="30"/>
        </w:rPr>
      </w:pPr>
      <w:bookmarkStart w:id="24" w:name="_Toc137828566"/>
      <w:r>
        <w:rPr>
          <w:rFonts w:ascii="Times New Roman" w:hAnsi="Times New Roman"/>
          <w:sz w:val="30"/>
        </w:rPr>
        <w:lastRenderedPageBreak/>
        <w:t>二十一、托管协议的内容摘要</w:t>
      </w:r>
      <w:bookmarkEnd w:id="24"/>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阮红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名称：中国建设银行股份有限公司(简称：中国建设银行)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办公地址：北京市西城区闹市口大街1号院1号楼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邮政编码：100033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成立日期：2004年09月17日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基金托管业务批准文号：中国证监会证监基字[1998]12号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注册资本：贰仟伍佰亿壹仟零玖拾柒万柒仟肆佰捌拾陆元整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债券、中期票据、货币市场工具、权证、资产支持证券、股指期货以及法律法规或中国证监会允许基金投资的其他金融工具（但须符合中国证监会的相关规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含存托凭证）占基金资产的60%-95%，其中投资于经过严格品质筛选、成长质量优良的成长型股票的资产比例不低于股票资产的80%；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5%，其中现金不包括结算备付金、存出保证金、应收申购款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2、基金托管人根据有关法律法规的规定及《基金合同》的约定，对基金投资、融资比例进行监督。基金托管人按下述比例和调整期限进行监督：</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（1）股票资产（含存托凭证）占基金资产的60%-95%；其余资产投资于债券、中期票据、货币市场工具、现金、权证、资产支持证券以及法律法规或中国证监会允许基金投资的其他证券品种；</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（2）保持不低于基金资产净值5％的现金或者到期日在一年以内的政府债券，其中现金不包括结算备付金、存出保证金、应收申购款等；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（3）本基金持有一家上市公司的股票，其市值不超过基金资产净值的10％；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（4）本基金持有的全部权证，其市值不得超过基金资产净值的3％；</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（5）本基金在任何交易日买入权证的总金额，不得超过上一交易日基金资产净值的0.5％；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（6）本基金投资于同一原始权益人的各类资产支持证券的比例，不得超过基金资产净值的10％；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（7）本基金持有的全部资产支持证券，其市值不得超过基金资产净值的20％；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（8）本基金持有的同一(指同一信用级别)资产支持证券的比例，不得超过该资产支持证券规模的10％；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（10）基金财产参与股票发行申购，本基金所申报的金额不超过本基金的总资产，本基金所申报的股票数量不超过拟发行股票公司本次发行股票的总量；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（11）本基金进入全国银行间同业市场进行债券回购的资金余额不得超过基金资产净值的40％；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（12）本基金持有的所有流通受限证券，其公允价值不得超过本基金资产净值的15%；本基金持有的同一流通受限证券，其公允价值不得超过本基金资产净值的2%；</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（13）本基金在任何交易日日终，持有的买入股指期货合约价值，不得超过基金资产净值的10%；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（14）本基金在任何交易日日终，持有的买入期货合约价值与有价证券市值之和,不得超过基金资产净值的95%；</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其中，有价证券指股票、债券（不含到期日在一年以内的政府债券）、权证、资产支持证券、买入返售金融资产（不含质押式回购）等；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（15）本基金在任何交易日日终，持有的卖出期货合约价值不得超过基金持有的股票总市值的20%；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（16）本基金所持有的股票市值和买入、卖出股指期货合约价值，合计（轧差计算）应当符合《基金合同》关于股票投资比例的有关约定；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（17）本基金在任何交易日内交易（不包括平仓）的股指期货合约的成交金额不得超过上一交易日基金资产净值的20%；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（18）本基金每个交易日日终在扣除股指期货合约需缴纳的交易保证金后，应当保持不低于基金资产净值5%的现金或到期日在一年以内的政府债券，其中现金不包括结算备付金、存出保证金、应收申购款等；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本基金在开始进行股指期货投资之前，应与基金托管人就股指期货开户、清</w:t>
      </w:r>
      <w:r>
        <w:rPr>
          <w:rFonts w:ascii="宋体" w:hAnsi="宋体"/>
          <w:sz w:val="24"/>
        </w:rPr>
        <w:lastRenderedPageBreak/>
        <w:t>算、估值、交收等事宜另行具体协商；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（21）本基金与私募类证券资管产品及中国证监会认定的其他主体为交易对手开展逆回购交易的，可接受质押品的资质要求应当与基金合同约定的投资范围保持一致；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（22）本基金投资存托凭证的比例限制依照境内上市交易的股票执行；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如果法律法规对上述投资组合比例限制进行变更的，以变更后的规定为准。法律法规或监管部门取消上述限制，如适用于本基金，则本基金投资不再受相关限制。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基金管理人应当自基金合同生效之日起6个月内使基金的投资组合比例符合基金合同的有关约定。基金托管人对基金的投资的监督与检查自基金合同生效之日起开始。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9）、（18）、（20）、（21）项以外，因证券、期货市场波动、上市公司合并、基金规模变动、股权分置改革中支付对价等基金管理人之外的因素致使基金投资比例不符合上述规定投资比例的，基金管理人应当在10个交易日内进行调整。法律法规另有规定的，从其规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w:t>
      </w:r>
      <w:r>
        <w:rPr>
          <w:rFonts w:ascii="宋体" w:hAnsi="宋体"/>
          <w:sz w:val="24"/>
        </w:rPr>
        <w:lastRenderedPageBreak/>
        <w:t>责及时将更新后的名单发送给对方。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1个工作日内与基金托管人协商解决。基金管理人与基金托管人完成确认后，被确认调整的名单开始生效，新名单生效前已与本次剔除的交易对手所进行但尚未结算的交易，仍应按照协议进行结算。</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5、基金托管人根据有关法律法规的规定及《基金合同》的约定，对基金管理人投资流通受限证券进行监督。</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基金管理人投资流通受限证券，应事先根据中国证监会相关规定，明确基金投</w:t>
      </w:r>
      <w:r>
        <w:rPr>
          <w:rFonts w:ascii="宋体" w:hAnsi="宋体"/>
          <w:sz w:val="24"/>
        </w:rPr>
        <w:lastRenderedPageBreak/>
        <w:t>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本基金投资的受限证券限于可由中国证券登记结算有限责任公司或中央国债登记结算有限责任公司负责登记和存管，并可在证券交易所或全国银行间债券市场交易的证券。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本基金投资受限证券，不得预付任何形式的保证金。</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规定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w:t>
      </w:r>
      <w:r>
        <w:rPr>
          <w:rFonts w:ascii="宋体" w:hAnsi="宋体"/>
          <w:sz w:val="24"/>
        </w:rPr>
        <w:lastRenderedPageBreak/>
        <w:t>括但不限于：</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1）中国证监会批准发行非公开发行股票的批准文件。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2）非公开发行股票有关发行数量、发行价格、锁定期等发行资料。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3）非公开发行股票发行人与中国证券登记结算有限责任公司或中央国债登记结算有限责任公司签订的证券登记及服务协议。</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4）基金拟认购的数量、价格、总成本、账面价值。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本基金有关投资受限证券比例如违反有关限制规定，在合理期限内未能进行及时调整，基金管理人应在两个工作日内编制临时报告书，予以公告。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（5）基金托管人根据有关规定有权对基金管理人进行以下事项监督：</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1）本基金投资受限证券时的法律法规遵守情况。</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2）在基金投资受限证券管理工作方面有关制度、流动性风险处置预案的建立与完善情况。</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3）有关比例限制的执行情况。</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4）信息披露情况。</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（6）相关法律法规对基金投资受限证券有新规定的，从其规定。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9、若基金托管人发现基金管理人依据交易程序已经生效的指令违反法律、行政法规和其他有关规定，或者违反《基金合同》约定的，应当立即通知基金管理人，由此造成的损失由基金管理人承担。</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w:t>
      </w:r>
      <w:r>
        <w:rPr>
          <w:rFonts w:ascii="宋体" w:hAnsi="宋体"/>
          <w:sz w:val="24"/>
        </w:rPr>
        <w:lastRenderedPageBreak/>
        <w:t>告中国证监会。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（四）基金财产保管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（3）基金托管人按照规定开设基金财产的资金账户和证券账户，协助开立股指期货业务相关账户及交易编码。</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（1）基金募集期间募集认购款项应存于基金认购专用账户。该账户由基金管理人或基金管理人委托的登记机构开立并管理。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（3）若基金募集期限届满，未能达到基金备案的条件，由基金管理人按规定</w:t>
      </w:r>
      <w:r>
        <w:rPr>
          <w:rFonts w:ascii="宋体" w:hAnsi="宋体"/>
          <w:sz w:val="24"/>
        </w:rPr>
        <w:lastRenderedPageBreak/>
        <w:t>办理退款等事宜。</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3、基金的银行账户的开立和管理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（1）基金托管人可以基金的名义在其营业机构开立基金的银行账户，并根据基金管理人合法合规的指令办理资金收付。本基金的银行预留印鉴由基金托管人保管和使用。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（3）基金银行账户的开立和管理应符合银行业监督管理机构的有关规定。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（4）在符合法律法规规定的条件下，基金托管人可以通过基金托管人专用账户办理基金资产的支付。</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银行间市场登记结算机构的有关规定，以本基金的名义在银行间市场登记结算机构开立债券托管账户，持有人账户和资金结算账户，并代表基金进行银行间市场债券的结算。基金管理人和</w:t>
      </w:r>
      <w:r>
        <w:rPr>
          <w:rFonts w:ascii="宋体" w:hAnsi="宋体"/>
          <w:sz w:val="24"/>
        </w:rPr>
        <w:lastRenderedPageBreak/>
        <w:t>基金托管人共同代表基金签订全国银行间债券市场债券回购主协议。</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（1）因业务发展需要而开立的其他账户，可以根据法律法规和《基金合同》的规定，由基金托管人负责开立。新账户按有关规定使用并管理。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或票据营业中心的代保管库，保管凭证由基金托管人持有。有价凭证的购买和转让，由基金管理人和基金托管人共同办理。基金托管人对由基金托管人以外机构实际有效控制的资产不承担保管责任。</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（五）基金资产净值计算和会计核算</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1、基金资产净值的计算、复核与完成的时间及程序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是指基金资产总值减去负债后的价值。基金份额净值是按照每个工作日闭市后，基金资产净值除以当日基金份额的余额数量计算，精确到0.001元，小数点后第四位四舍五入。国家另有规定的，从其规定。</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每个工作日计算基金资产净值及基金份额净值，并按规定公告。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工作日对基金资产估值。但基金管理人根据法律法规或《基金合同》的规定暂停估值时除外。基金管理人每个工作日对基金资产估值后，将基金份额净值结果发送基金托管人，经基金托管人复核无误后，由基金管理人依</w:t>
      </w:r>
      <w:r>
        <w:rPr>
          <w:rFonts w:ascii="宋体" w:hAnsi="宋体"/>
          <w:sz w:val="24"/>
        </w:rPr>
        <w:lastRenderedPageBreak/>
        <w:t>据基金合同和相关法律法规的规定对外公布。月末、年中和年末估值复核与基金会计账目的核对同时进行。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2、基金资产估值方法和特殊情形的处理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基金所拥有的股票、权证、债券、股指期货和银行存款本息、应收款项、其它投资等资产及负债。</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 交易所市场上市交易或挂牌转让的固定收益品种（另有规定的除外），选取第三方估值机构提供的相应品种当日的估值净价进行估值；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d)交易所上市不存在活跃市场的有价证券，采用估值技术确定公允价值。交易所上市的资产支持证券，采用估值技术确定公允价值，在估值技术难以可靠计量公允价值的情况下，按成本估值。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a)送股、转增股、配股和公开增发的新股，按估值日在证券交易所挂牌的同一股票的估值方法估值；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b)首次公开发行未上市的股票、债券和权证，采用估值技术确定公允价值，在估值技术难以可靠计量公允价值的情况下，按成本估值；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c)首次公开发行有明确锁定期的股票，同一股票在交易所上市后，按交易所上</w:t>
      </w:r>
      <w:r>
        <w:rPr>
          <w:rFonts w:ascii="宋体" w:hAnsi="宋体"/>
          <w:sz w:val="24"/>
        </w:rPr>
        <w:lastRenderedPageBreak/>
        <w:t>市的同一股票的估值方法估值；非公开发行有明确锁定期的股票，按监管机构或行业协会有关规定确定公允价值。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3)全国银行间债券市场交易的债券、资产支持证券等固定收益品种，采用估值技术确定公允价值。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4)同一债券同时在两个或两个以上市场交易的，按债券所处的市场分别估值。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5)本基金投资股指期货合约，一般以估值当日结算价进行估值，估值当日无结算价的，且最近交易日后经济环境未发生重大变化的，采用最近交易日结算价估值。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6)如有确凿证据表明按上述方法进行估值不能客观反映其公允价值的，基金管理人可根据具体情况与基金托管人商定后，按最能反映公允价值的价格估值。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7)本基金投资存托凭证的估值核算依照境内上市交易的股票执行。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8)相关法律法规以及监管部门有强制规定的，从其规定。如有新增事项，按法律法规以及监管部门最新规定估值。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（3）特殊情形的处理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基金管理人、基金托管人按估值方法的第(6)项进行估值时，所造成的误差不作为基金份额净值错误处理。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3、基金估值错误的处理方式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w:t>
      </w:r>
      <w:r>
        <w:rPr>
          <w:rFonts w:ascii="宋体" w:hAnsi="宋体"/>
          <w:sz w:val="24"/>
        </w:rPr>
        <w:lastRenderedPageBreak/>
        <w:t>人负责处理，由此给基金份额持有人和基金造成损失的，应由基金管理人先行赔付，基金管理人按差错情形，有权向其他当事人追偿。</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（2）当基金份额净值计算差错给基金和基金份额持有人造成损失需要进行赔偿时，基金管理人和基金托管人应根据实际情况界定双方承担的责任，经确认后按以下条款进行赔偿：</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按照管理费和托管费的比例各自承担相应的责任。</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4)由于基金管理人提供的信息错误（包括但不限于基金申购或赎回金额等），进而导致基金份额净值计算错误而引起的基金份额持有人和基金财产的损失，由基金管理人负责赔付。</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（3）基金管理人和基金托管人由于各自技术系统设置而产生的净值计算尾差，以基金管理人计算结果为准。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（4）前述内容如法律法规或者监管部门另有规定的，从其规定。如果行业另有通行做法，双方当事人应本着平等和保护基金份额持有人利益的原则进行协商。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4、暂停估值与公告基金份额净值的情形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（1）基金投资所涉及的证券、期货交易市场遇法定节假日或因其他原因暂停营业时；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（2）因不可抗力或基金合同约定的其他情形致使基金管理人、基金托管人无法准确评估基金资产价值时；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w:t>
      </w:r>
      <w:r>
        <w:rPr>
          <w:rFonts w:ascii="宋体" w:hAnsi="宋体"/>
          <w:sz w:val="24"/>
        </w:rPr>
        <w:lastRenderedPageBreak/>
        <w:t>投资人的利益，决定延迟估值；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（4）当前一估值日基金资产净值50%以上的资产出现无可参考的活跃市场价格且采用估值技术仍导致公允价值存在重大不确定性时，经与基金托管人协商一致的，基金管理人应当暂停估值；</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（5）中国证监会和《基金合同》认定的其他情形。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5、基金会计制度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按国家有关部门规定的会计制度执行。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6、基金账册的建立</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7、基金财务报表与报告的编制和复核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（1）财务报表的编制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基金财务报表由基金管理人编制，基金托管人复核。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（2）报表复核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基金托管人在收到基金管理人编制的基金财务报表后，进行独立的复核。核对不符时，应及时通知基金管理人共同查出原因，进行调整，直至双方数据完全一致。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（3）财务报表的编制与复核时间安排</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1)报表的编制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2)报表的复核</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基金管理人应及时完成报表编制，将有关报表提供基金托管人复核；基金托管人在复核过程中，发现双方的报表存在不符时，基金管理人和基金托管人应共同查</w:t>
      </w:r>
      <w:r>
        <w:rPr>
          <w:rFonts w:ascii="宋体" w:hAnsi="宋体"/>
          <w:sz w:val="24"/>
        </w:rPr>
        <w:lastRenderedPageBreak/>
        <w:t>明原因，进行调整，调整以国家有关规定为准。</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基金管理人应留足充分的时间，便于基金托管人复核相关报表及报告。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8、基金管理人应在编制季度报告、半年度报告或者年度报告之前及时向基金托管人提供基金业绩比较基准的基础数据和编制结果。</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（六）基金份额持有人名册的的登记与保管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（八）托管协议的变更、终止与基金财产的清算</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本协议双方当事人经协商一致，可以对协议进行修改。修改后的新协议，其内容不得与《基金合同》的规定有任何冲突。基金托管协议的变更报中国证监会核准或备案后生效。</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2、基金托管协议终止出现的情形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w:t>
      </w:r>
      <w:r>
        <w:rPr>
          <w:rFonts w:ascii="宋体" w:hAnsi="宋体"/>
          <w:sz w:val="24"/>
        </w:rPr>
        <w:lastRenderedPageBreak/>
        <w:t>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6)将清算结果报中国证监会备案并公告；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（5）基金财产清算的期限为6个月。若遇基金持有的股票或其他有价证券出现长期休市、停牌或其他流通受限的情形除外。</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（6）清算费用</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（7）基金财产清算剩余资产的分配</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w:t>
      </w:r>
      <w:r>
        <w:rPr>
          <w:rFonts w:ascii="宋体" w:hAnsi="宋体"/>
          <w:sz w:val="24"/>
        </w:rPr>
        <w:lastRenderedPageBreak/>
        <w:t>比例进行分配。</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（8）基金财产清算的公告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（9）基金财产清算账册及文件的保存</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B439CC" w:rsidRDefault="0003640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540B" w:rsidRDefault="0003640B">
      <w:pPr>
        <w:pStyle w:val="1"/>
        <w:snapToGrid w:val="0"/>
        <w:spacing w:beforeLines="0" w:before="240" w:after="240"/>
        <w:rPr>
          <w:rFonts w:ascii="宋体" w:hAnsi="宋体"/>
          <w:szCs w:val="30"/>
        </w:rPr>
      </w:pPr>
      <w:bookmarkStart w:id="25" w:name="_Toc137828567"/>
      <w:r>
        <w:rPr>
          <w:rFonts w:ascii="Times New Roman" w:hAnsi="Times New Roman"/>
          <w:sz w:val="30"/>
        </w:rPr>
        <w:lastRenderedPageBreak/>
        <w:t>二十二、对基金份额持有人的服务</w:t>
      </w:r>
      <w:bookmarkEnd w:id="25"/>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本基金管理人承诺为基金份额持有人提供一系列的服务。本基金管理人根据基金份额持有人的需要和市场的变化，有权增加或变更服务项目。主要服务内容如下：</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（一）持有人交易资料的寄送服务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（二）网上直销服务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在条件成熟的时候，本基金管理人将根据基金网上直销业务的发展状况，适时调整可用于基金网上直销交易平台的银行卡种类，敬请投资者留意相关公告。</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如果想查询申购、赎回等交易情况、分红方式状态、基金账户余额、基金产品与服务等信息，请拨打本基金管理人客户服务电话（400-700-5000，021-61055000）或登录本基金管理人网站（www.fund001.com）进行咨询、查询。</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本基金管理人为投资者预设基金查询密码，预设的基金查询密码为投资者开户证件号码的后6位数字，不足6位数字的，前面加“0”补足。基金查询密码用于投</w:t>
      </w:r>
      <w:r>
        <w:rPr>
          <w:rFonts w:ascii="宋体" w:hAnsi="宋体"/>
          <w:sz w:val="24"/>
        </w:rPr>
        <w:lastRenderedPageBreak/>
        <w:t>资者通过客户服务电话查询基金账户下的账户和交易信息。投资者请在其知晓基金账号后，及时拨打本基金管理人客户服务电话修改基金查询密码。</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投资者可以拨打本基金管理人客户服务电话投诉直销机构的人员和服务。</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（四）基金转换业务</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本基金已开通转换业务，具体实施方法请参见相关公告。</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（五）定期定额投资计划</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rsidR="00AC540B" w:rsidRDefault="0003640B">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（六）如本招募说明书存在任何您/贵机构无法理解的内容，请通过上述方式联系基金管理人。请确保投资前，您/贵机构已经全面理解了本招募说明书。</w:t>
      </w:r>
    </w:p>
    <w:p w:rsidR="00B439CC" w:rsidRDefault="0003640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540B" w:rsidRDefault="0003640B">
      <w:pPr>
        <w:pStyle w:val="1"/>
        <w:snapToGrid w:val="0"/>
        <w:spacing w:beforeLines="0" w:before="240" w:after="240"/>
        <w:rPr>
          <w:rFonts w:ascii="宋体" w:hAnsi="宋体"/>
          <w:szCs w:val="30"/>
        </w:rPr>
      </w:pPr>
      <w:bookmarkStart w:id="26" w:name="_Toc137828568"/>
      <w:r>
        <w:rPr>
          <w:rFonts w:ascii="Times New Roman" w:hAnsi="Times New Roman"/>
          <w:sz w:val="30"/>
        </w:rPr>
        <w:lastRenderedPageBreak/>
        <w:t>二十三、其他应披露事项</w:t>
      </w:r>
      <w:bookmarkEnd w:id="26"/>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交银施罗德成长</w:t>
            </w:r>
            <w:r>
              <w:rPr>
                <w:rFonts w:ascii="Times New Roman" w:hAnsi="Times New Roman"/>
                <w:color w:val="000000"/>
                <w:kern w:val="0"/>
                <w:sz w:val="25"/>
                <w:szCs w:val="24"/>
              </w:rPr>
              <w:t>30</w:t>
            </w:r>
            <w:r>
              <w:rPr>
                <w:rFonts w:ascii="Times New Roman" w:hAnsi="Times New Roman"/>
                <w:color w:val="000000"/>
                <w:kern w:val="0"/>
                <w:sz w:val="25"/>
                <w:szCs w:val="24"/>
              </w:rPr>
              <w:t>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交银施罗德成长</w:t>
            </w:r>
            <w:r>
              <w:rPr>
                <w:rFonts w:ascii="Times New Roman" w:hAnsi="Times New Roman"/>
                <w:color w:val="000000"/>
                <w:kern w:val="0"/>
                <w:sz w:val="25"/>
                <w:szCs w:val="24"/>
              </w:rPr>
              <w:t>30</w:t>
            </w:r>
            <w:r>
              <w:rPr>
                <w:rFonts w:ascii="Times New Roman" w:hAnsi="Times New Roman"/>
                <w:color w:val="000000"/>
                <w:kern w:val="0"/>
                <w:sz w:val="25"/>
                <w:szCs w:val="24"/>
              </w:rPr>
              <w:t>混合型证券投资基金基金产品资料概要更新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交银施罗德成长</w:t>
            </w:r>
            <w:r>
              <w:rPr>
                <w:rFonts w:ascii="Times New Roman" w:hAnsi="Times New Roman"/>
                <w:color w:val="000000"/>
                <w:kern w:val="0"/>
                <w:sz w:val="25"/>
                <w:szCs w:val="24"/>
              </w:rPr>
              <w:t>30</w:t>
            </w:r>
            <w:r>
              <w:rPr>
                <w:rFonts w:ascii="Times New Roman" w:hAnsi="Times New Roman"/>
                <w:color w:val="000000"/>
                <w:kern w:val="0"/>
                <w:sz w:val="25"/>
                <w:szCs w:val="24"/>
              </w:rPr>
              <w:t>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交银施罗德基金管理有限公司关于增加东兴证券股份有限公司为旗下基金销售机构的公告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2022-08-25</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交银施罗德成长</w:t>
            </w:r>
            <w:r>
              <w:rPr>
                <w:rFonts w:ascii="Times New Roman" w:hAnsi="Times New Roman"/>
                <w:color w:val="000000"/>
                <w:kern w:val="0"/>
                <w:sz w:val="25"/>
                <w:szCs w:val="24"/>
              </w:rPr>
              <w:t>30</w:t>
            </w:r>
            <w:r>
              <w:rPr>
                <w:rFonts w:ascii="Times New Roman" w:hAnsi="Times New Roman"/>
                <w:color w:val="000000"/>
                <w:kern w:val="0"/>
                <w:sz w:val="25"/>
                <w:szCs w:val="24"/>
              </w:rPr>
              <w:t>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交银施罗德基金管理有限公司关于固有资金拟购买旗下偏股型基金的公告</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2022-10-19</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交银施罗德成长</w:t>
            </w:r>
            <w:r>
              <w:rPr>
                <w:rFonts w:ascii="Times New Roman" w:hAnsi="Times New Roman"/>
                <w:color w:val="000000"/>
                <w:kern w:val="0"/>
                <w:sz w:val="25"/>
                <w:szCs w:val="24"/>
              </w:rPr>
              <w:t>30</w:t>
            </w:r>
            <w:r>
              <w:rPr>
                <w:rFonts w:ascii="Times New Roman" w:hAnsi="Times New Roman"/>
                <w:color w:val="000000"/>
                <w:kern w:val="0"/>
                <w:sz w:val="25"/>
                <w:szCs w:val="24"/>
              </w:rPr>
              <w:t>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交银施罗德基金管理有限公司关于增加海通证券股份有限公司为旗下基金销售机构的公告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2022-11-11</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交银施罗德基金管理有限公司关于旗下部分基金投资非公开发行股票的公告</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2022-12-26</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12</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交银施罗德成长</w:t>
            </w:r>
            <w:r>
              <w:rPr>
                <w:rFonts w:ascii="Times New Roman" w:hAnsi="Times New Roman"/>
                <w:color w:val="000000"/>
                <w:kern w:val="0"/>
                <w:sz w:val="25"/>
                <w:szCs w:val="24"/>
              </w:rPr>
              <w:t>30</w:t>
            </w:r>
            <w:r>
              <w:rPr>
                <w:rFonts w:ascii="Times New Roman" w:hAnsi="Times New Roman"/>
                <w:color w:val="000000"/>
                <w:kern w:val="0"/>
                <w:sz w:val="25"/>
                <w:szCs w:val="24"/>
              </w:rPr>
              <w:t>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交银施罗德基金管理有限公司关于增加西部证券股份有限公司为旗下基金销售机构的公告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交银施罗德成长</w:t>
            </w:r>
            <w:r>
              <w:rPr>
                <w:rFonts w:ascii="Times New Roman" w:hAnsi="Times New Roman"/>
                <w:color w:val="000000"/>
                <w:kern w:val="0"/>
                <w:sz w:val="25"/>
                <w:szCs w:val="24"/>
              </w:rPr>
              <w:t>30</w:t>
            </w:r>
            <w:r>
              <w:rPr>
                <w:rFonts w:ascii="Times New Roman" w:hAnsi="Times New Roman"/>
                <w:color w:val="000000"/>
                <w:kern w:val="0"/>
                <w:sz w:val="25"/>
                <w:szCs w:val="24"/>
              </w:rPr>
              <w:t>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AC540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交银施罗德成长</w:t>
            </w:r>
            <w:r>
              <w:rPr>
                <w:rFonts w:ascii="Times New Roman" w:hAnsi="Times New Roman"/>
                <w:color w:val="000000"/>
                <w:kern w:val="0"/>
                <w:sz w:val="25"/>
                <w:szCs w:val="24"/>
              </w:rPr>
              <w:t>30</w:t>
            </w:r>
            <w:r>
              <w:rPr>
                <w:rFonts w:ascii="Times New Roman" w:hAnsi="Times New Roman"/>
                <w:color w:val="000000"/>
                <w:kern w:val="0"/>
                <w:sz w:val="25"/>
                <w:szCs w:val="24"/>
              </w:rPr>
              <w:t>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540B" w:rsidRDefault="0003640B">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bl>
    <w:p w:rsidR="00B439CC" w:rsidRDefault="0003640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540B" w:rsidRDefault="0003640B">
      <w:pPr>
        <w:pStyle w:val="1"/>
        <w:snapToGrid w:val="0"/>
        <w:spacing w:beforeLines="0" w:before="240" w:after="240"/>
        <w:rPr>
          <w:rFonts w:ascii="宋体" w:hAnsi="宋体"/>
          <w:szCs w:val="30"/>
        </w:rPr>
      </w:pPr>
      <w:bookmarkStart w:id="27" w:name="_Toc137828569"/>
      <w:r>
        <w:rPr>
          <w:rFonts w:ascii="Times New Roman" w:hAnsi="Times New Roman"/>
          <w:sz w:val="30"/>
        </w:rPr>
        <w:lastRenderedPageBreak/>
        <w:t>二十四、招募说明书的存放及查阅方式</w:t>
      </w:r>
      <w:bookmarkEnd w:id="27"/>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投资者还可以直接登录基金管理人的网站（www.fund001.com）查阅和下载招募说明书。</w:t>
      </w:r>
    </w:p>
    <w:p w:rsidR="00B439CC" w:rsidRDefault="0003640B"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540B" w:rsidRDefault="0003640B">
      <w:pPr>
        <w:pStyle w:val="1"/>
        <w:snapToGrid w:val="0"/>
        <w:spacing w:beforeLines="0" w:before="240" w:after="240"/>
        <w:rPr>
          <w:rFonts w:ascii="宋体" w:hAnsi="宋体"/>
          <w:szCs w:val="30"/>
        </w:rPr>
      </w:pPr>
      <w:bookmarkStart w:id="28" w:name="_Toc137828570"/>
      <w:r>
        <w:rPr>
          <w:rFonts w:ascii="Times New Roman" w:hAnsi="Times New Roman"/>
          <w:sz w:val="30"/>
        </w:rPr>
        <w:lastRenderedPageBreak/>
        <w:t>二十五、备查文件</w:t>
      </w:r>
      <w:bookmarkEnd w:id="28"/>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（一）中国证监会核准交银施罗德成长30股票型证券投资基金募集的文件</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（二）《交银施罗德成长30混合型证券投资基金基金合同》</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（三）《交银施罗德成长30混合型证券投资基金托管协议》</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rsidR="00AC540B" w:rsidRDefault="0003640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（六）关于申请募集交银施罗德成长30股票型证券投资基金之法律意见书</w:t>
      </w:r>
    </w:p>
    <w:sectPr w:rsidR="00AC540B">
      <w:footerReference w:type="default" r:id="rId14"/>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624" w:rsidRDefault="00273624">
      <w:r>
        <w:separator/>
      </w:r>
    </w:p>
  </w:endnote>
  <w:endnote w:type="continuationSeparator" w:id="0">
    <w:p w:rsidR="00273624" w:rsidRDefault="0027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0B" w:rsidRDefault="0039586D">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40B" w:rsidRDefault="0003640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C361B">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8t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DVHn8trAIAAKgFAAAOAAAA&#10;AAAAAAAAAAAAAC4CAABkcnMvZTJvRG9jLnhtbFBLAQItABQABgAIAAAAIQCqI3XO4QAAAA0BAAAP&#10;AAAAAAAAAAAAAAAAAAYFAABkcnMvZG93bnJldi54bWxQSwUGAAAAAAQABADzAAAAFAYAAAAA&#10;" o:allowincell="f" filled="f" stroked="f">
              <v:textbox inset="0,0,0,0">
                <w:txbxContent>
                  <w:p w:rsidR="00AC540B" w:rsidRDefault="0003640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C361B">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0B" w:rsidRDefault="0039586D">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40B" w:rsidRDefault="0003640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C361B">
                            <w:rPr>
                              <w:rFonts w:ascii="Times New Roman" w:hAnsi="Times New Roman"/>
                              <w:noProof/>
                              <w:kern w:val="0"/>
                              <w:sz w:val="18"/>
                              <w:szCs w:val="18"/>
                            </w:rPr>
                            <w:t>157</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hcsg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" o:allowincell="f" filled="f" stroked="f">
              <v:textbox inset="0,0,0,0">
                <w:txbxContent>
                  <w:p w:rsidR="00AC540B" w:rsidRDefault="0003640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C361B">
                      <w:rPr>
                        <w:rFonts w:ascii="Times New Roman" w:hAnsi="Times New Roman"/>
                        <w:noProof/>
                        <w:kern w:val="0"/>
                        <w:sz w:val="18"/>
                        <w:szCs w:val="18"/>
                      </w:rPr>
                      <w:t>157</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624" w:rsidRDefault="00273624">
      <w:r>
        <w:separator/>
      </w:r>
    </w:p>
  </w:footnote>
  <w:footnote w:type="continuationSeparator" w:id="0">
    <w:p w:rsidR="00273624" w:rsidRDefault="00273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5D0" w:rsidRDefault="0003640B">
    <w:pPr>
      <w:pStyle w:val="a3"/>
      <w:jc w:val="right"/>
    </w:pPr>
    <w:r>
      <w:rPr>
        <w:noProof/>
      </w:rPr>
      <w:drawing>
        <wp:anchor distT="0" distB="0" distL="114300" distR="114300" simplePos="0" relativeHeight="251655680"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AC540B" w:rsidRDefault="0003640B">
    <w:pPr>
      <w:pStyle w:val="a3"/>
      <w:jc w:val="right"/>
      <w:rPr>
        <w:rFonts w:ascii="宋体" w:hAnsi="宋体"/>
      </w:rPr>
    </w:pPr>
    <w:r>
      <w:rPr>
        <w:rFonts w:ascii="宋体" w:hAnsi="宋体" w:hint="eastAsia"/>
      </w:rPr>
      <w:t>交银施罗德成长30混合型证券投资基金(更新)招募说明书(2023年第1号)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0B" w:rsidRDefault="00AC540B">
    <w:pPr>
      <w:pStyle w:val="11"/>
      <w:jc w:val="right"/>
    </w:pPr>
  </w:p>
  <w:p w:rsidR="00AC540B" w:rsidRDefault="00AC540B">
    <w:pPr>
      <w:pStyle w:val="11"/>
      <w:jc w:val="right"/>
    </w:pPr>
  </w:p>
  <w:p w:rsidR="00AC540B" w:rsidRDefault="00AC540B">
    <w:pPr>
      <w:pStyle w:val="a3"/>
      <w:jc w:val="right"/>
    </w:pPr>
  </w:p>
  <w:p w:rsidR="009E65D0" w:rsidRDefault="0003640B">
    <w:pPr>
      <w:pStyle w:val="a3"/>
      <w:jc w:val="right"/>
    </w:pPr>
    <w:r>
      <w:rPr>
        <w:noProof/>
      </w:rPr>
      <w:drawing>
        <wp:anchor distT="0" distB="0" distL="114300" distR="114300" simplePos="0" relativeHeight="251656704"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AC540B" w:rsidRDefault="0003640B">
    <w:pPr>
      <w:pStyle w:val="a3"/>
      <w:jc w:val="right"/>
      <w:rPr>
        <w:rFonts w:ascii="宋体" w:hAnsi="宋体"/>
      </w:rPr>
    </w:pPr>
    <w:r>
      <w:rPr>
        <w:rFonts w:ascii="宋体" w:hAnsi="宋体" w:hint="eastAsia"/>
      </w:rPr>
      <w:t>交银施罗德成长30混合型证券投资基金(更新)招募说明书(2023年</w:t>
    </w:r>
    <w:r w:rsidR="006A33AB">
      <w:rPr>
        <w:rFonts w:ascii="宋体" w:hAnsi="宋体" w:hint="eastAsia"/>
      </w:rPr>
      <w:t>第</w:t>
    </w:r>
    <w:r w:rsidR="006A33AB">
      <w:rPr>
        <w:rFonts w:ascii="宋体" w:hAnsi="宋体"/>
      </w:rPr>
      <w:t>2</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0B" w:rsidRDefault="00AC540B">
    <w:pPr>
      <w:pStyle w:val="a3"/>
      <w:jc w:val="right"/>
    </w:pPr>
  </w:p>
  <w:p w:rsidR="00AC540B" w:rsidRDefault="00AC540B">
    <w:pPr>
      <w:pStyle w:val="a3"/>
      <w:jc w:val="right"/>
    </w:pPr>
  </w:p>
  <w:p w:rsidR="00AC540B" w:rsidRDefault="00AC540B">
    <w:pPr>
      <w:pStyle w:val="a3"/>
      <w:jc w:val="right"/>
    </w:pPr>
  </w:p>
  <w:p w:rsidR="009E65D0" w:rsidRDefault="0003640B">
    <w:pPr>
      <w:pStyle w:val="a3"/>
      <w:jc w:val="right"/>
    </w:pPr>
    <w:r>
      <w:rPr>
        <w:noProof/>
      </w:rPr>
      <w:drawing>
        <wp:anchor distT="0" distB="0" distL="114300" distR="114300" simplePos="0" relativeHeight="251657728"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AC540B" w:rsidRDefault="0003640B">
    <w:pPr>
      <w:pStyle w:val="a3"/>
      <w:jc w:val="right"/>
      <w:rPr>
        <w:rFonts w:ascii="宋体" w:hAnsi="宋体"/>
      </w:rPr>
    </w:pPr>
    <w:r>
      <w:rPr>
        <w:rFonts w:ascii="宋体" w:hAnsi="宋体" w:hint="eastAsia"/>
      </w:rPr>
      <w:t>交银施罗德成长30混合型证券投资基金(更新)招募说明书(2023年</w:t>
    </w:r>
    <w:r w:rsidR="006A33AB">
      <w:rPr>
        <w:rFonts w:ascii="宋体" w:hAnsi="宋体" w:hint="eastAsia"/>
      </w:rPr>
      <w:t>第</w:t>
    </w:r>
    <w:r w:rsidR="006A33AB">
      <w:rPr>
        <w:rFonts w:ascii="宋体" w:hAnsi="宋体"/>
      </w:rPr>
      <w:t>2</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40B"/>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3624"/>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86D"/>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27431"/>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3AB"/>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4F0F"/>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0B"/>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61B"/>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0057B9-5752-499A-9C60-3443D680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158</Pages>
  <Words>15888</Words>
  <Characters>90566</Characters>
  <Application>Microsoft Office Word</Application>
  <DocSecurity>0</DocSecurity>
  <Lines>754</Lines>
  <Paragraphs>212</Paragraphs>
  <ScaleCrop>false</ScaleCrop>
  <Company>Microsoft</Company>
  <LinksUpToDate>false</LinksUpToDate>
  <CharactersWithSpaces>106242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许帆</cp:lastModifiedBy>
  <cp:revision>4</cp:revision>
  <cp:lastPrinted>2013-02-18T03:10:00Z</cp:lastPrinted>
  <dcterms:created xsi:type="dcterms:W3CDTF">2023-07-07T10:50:00Z</dcterms:created>
  <dcterms:modified xsi:type="dcterms:W3CDTF">2023-07-10T07:48:00Z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